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2BE9F">
      <w:pPr>
        <w:tabs>
          <w:tab w:val="left" w:pos="7567"/>
        </w:tabs>
        <w:spacing w:line="360" w:lineRule="auto"/>
        <w:ind w:firstLine="2891" w:firstLineChars="400"/>
        <w:jc w:val="both"/>
        <w:rPr>
          <w:rFonts w:hint="eastAsia" w:ascii="仿宋" w:hAnsi="仿宋" w:eastAsia="仿宋" w:cs="宋体"/>
          <w:b/>
          <w:sz w:val="72"/>
          <w:szCs w:val="72"/>
        </w:rPr>
      </w:pPr>
    </w:p>
    <w:p w14:paraId="5F1A2A98">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val="en-US" w:eastAsia="zh-CN"/>
          <w14:textOutline w14:w="3844" w14:cap="flat" w14:cmpd="sng">
            <w14:solidFill>
              <w14:srgbClr w14:val="000000"/>
            </w14:solidFill>
            <w14:prstDash w14:val="solid"/>
            <w14:miter w14:val="0"/>
          </w14:textOutline>
        </w:rPr>
      </w:pPr>
    </w:p>
    <w:p w14:paraId="6D805126">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val="en-US" w:eastAsia="zh-CN"/>
          <w14:textOutline w14:w="3844"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
          <w:sz w:val="52"/>
          <w:szCs w:val="52"/>
          <w:lang w:val="en-US" w:eastAsia="zh-CN"/>
          <w14:textOutline w14:w="3844" w14:cap="flat" w14:cmpd="sng">
            <w14:solidFill>
              <w14:srgbClr w14:val="000000"/>
            </w14:solidFill>
            <w14:prstDash w14:val="solid"/>
            <w14:miter w14:val="0"/>
          </w14:textOutline>
        </w:rPr>
        <w:t>南阳市政府采购项目</w:t>
      </w:r>
    </w:p>
    <w:p w14:paraId="4FE44F3F">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t>征集文件</w:t>
      </w:r>
    </w:p>
    <w:p w14:paraId="1178A90B">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14:paraId="41BC3CD8">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14:paraId="34B623D3">
      <w:pPr>
        <w:keepNext w:val="0"/>
        <w:keepLines w:val="0"/>
        <w:pageBreakBefore w:val="0"/>
        <w:kinsoku/>
        <w:wordWrap w:val="0"/>
        <w:overflowPunct/>
        <w:topLinePunct w:val="0"/>
        <w:bidi w:val="0"/>
        <w:spacing w:line="317" w:lineRule="auto"/>
        <w:jc w:val="both"/>
        <w:rPr>
          <w:rFonts w:hint="eastAsia" w:asciiTheme="minorEastAsia" w:hAnsiTheme="minorEastAsia" w:eastAsiaTheme="minorEastAsia" w:cstheme="minorEastAsia"/>
          <w:sz w:val="21"/>
        </w:rPr>
      </w:pPr>
    </w:p>
    <w:p w14:paraId="6F25EAFE">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0B316E78">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4F5E6661">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07F95BE5">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0A284E40">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583C7E18">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val="0"/>
          <w:bCs w:val="0"/>
          <w:spacing w:val="-17"/>
          <w:sz w:val="32"/>
          <w:szCs w:val="32"/>
          <w:u w:val="single"/>
          <w:lang w:val="en-US" w:eastAsia="zh-CN"/>
        </w:rPr>
      </w:pPr>
      <w:r>
        <w:rPr>
          <w:rFonts w:hint="eastAsia" w:asciiTheme="minorEastAsia" w:hAnsiTheme="minorEastAsia" w:eastAsiaTheme="minorEastAsia" w:cstheme="minorEastAsia"/>
          <w:b/>
          <w:bCs/>
          <w:spacing w:val="-17"/>
          <w:sz w:val="36"/>
          <w:szCs w:val="36"/>
          <w:lang w:val="en-US" w:eastAsia="zh-CN"/>
        </w:rPr>
        <w:t>项目名称：</w:t>
      </w:r>
      <w:r>
        <w:rPr>
          <w:rFonts w:hint="eastAsia" w:asciiTheme="minorEastAsia" w:hAnsiTheme="minorEastAsia" w:eastAsiaTheme="minorEastAsia" w:cstheme="minorEastAsia"/>
          <w:b w:val="0"/>
          <w:bCs w:val="0"/>
          <w:spacing w:val="-17"/>
          <w:sz w:val="32"/>
          <w:szCs w:val="32"/>
          <w:u w:val="single"/>
          <w:lang w:val="en-US" w:eastAsia="zh-CN"/>
        </w:rPr>
        <w:t>南阳市财政局预算绩效管理第三方</w:t>
      </w:r>
    </w:p>
    <w:p w14:paraId="0C7D81EA">
      <w:pPr>
        <w:keepNext w:val="0"/>
        <w:keepLines w:val="0"/>
        <w:pageBreakBefore w:val="0"/>
        <w:widowControl/>
        <w:kinsoku/>
        <w:wordWrap w:val="0"/>
        <w:overflowPunct/>
        <w:topLinePunct w:val="0"/>
        <w:autoSpaceDE w:val="0"/>
        <w:autoSpaceDN w:val="0"/>
        <w:bidi w:val="0"/>
        <w:adjustRightInd w:val="0"/>
        <w:snapToGrid w:val="0"/>
        <w:spacing w:line="360" w:lineRule="auto"/>
        <w:ind w:firstLine="1716" w:firstLineChars="600"/>
        <w:jc w:val="both"/>
        <w:textAlignment w:val="baseline"/>
        <w:rPr>
          <w:rFonts w:hint="eastAsia" w:asciiTheme="minorEastAsia" w:hAnsiTheme="minorEastAsia" w:eastAsiaTheme="minorEastAsia" w:cstheme="minorEastAsia"/>
          <w:b w:val="0"/>
          <w:bCs w:val="0"/>
          <w:spacing w:val="-17"/>
          <w:sz w:val="32"/>
          <w:szCs w:val="32"/>
          <w:u w:val="single"/>
          <w:lang w:val="en-US" w:eastAsia="zh-CN"/>
        </w:rPr>
      </w:pPr>
      <w:r>
        <w:rPr>
          <w:rFonts w:hint="eastAsia" w:asciiTheme="minorEastAsia" w:hAnsiTheme="minorEastAsia" w:eastAsiaTheme="minorEastAsia" w:cstheme="minorEastAsia"/>
          <w:b w:val="0"/>
          <w:bCs w:val="0"/>
          <w:spacing w:val="-17"/>
          <w:sz w:val="32"/>
          <w:szCs w:val="32"/>
          <w:u w:val="single"/>
          <w:lang w:val="en-US" w:eastAsia="zh-CN"/>
        </w:rPr>
        <w:t>服务框架协议（2025-2026年）采购项目</w:t>
      </w:r>
    </w:p>
    <w:p w14:paraId="7616F4AE">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default" w:asciiTheme="minorEastAsia" w:hAnsiTheme="minorEastAsia" w:eastAsiaTheme="minorEastAsia" w:cstheme="minorEastAsia"/>
          <w:b w:val="0"/>
          <w:bCs w:val="0"/>
          <w:spacing w:val="-17"/>
          <w:sz w:val="32"/>
          <w:szCs w:val="32"/>
          <w:u w:val="single"/>
          <w:lang w:val="en-US" w:eastAsia="zh-CN"/>
        </w:rPr>
      </w:pPr>
      <w:r>
        <w:rPr>
          <w:rFonts w:hint="eastAsia" w:asciiTheme="minorEastAsia" w:hAnsiTheme="minorEastAsia" w:eastAsiaTheme="minorEastAsia" w:cstheme="minorEastAsia"/>
          <w:b/>
          <w:bCs/>
          <w:spacing w:val="-17"/>
          <w:sz w:val="36"/>
          <w:szCs w:val="36"/>
          <w:lang w:val="en-US" w:eastAsia="zh-CN"/>
        </w:rPr>
        <w:t>项目编号：</w:t>
      </w:r>
      <w:r>
        <w:rPr>
          <w:rFonts w:hint="eastAsia" w:asciiTheme="minorEastAsia" w:hAnsiTheme="minorEastAsia" w:eastAsiaTheme="minorEastAsia" w:cstheme="minorEastAsia"/>
          <w:b w:val="0"/>
          <w:bCs w:val="0"/>
          <w:spacing w:val="-17"/>
          <w:sz w:val="32"/>
          <w:szCs w:val="32"/>
          <w:u w:val="single"/>
          <w:lang w:val="en-US" w:eastAsia="zh-CN"/>
        </w:rPr>
        <w:t xml:space="preserve">       南阳政采公开-2025-34         </w:t>
      </w:r>
    </w:p>
    <w:p w14:paraId="449F9AFD">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default" w:asciiTheme="minorEastAsia" w:hAnsiTheme="minorEastAsia" w:eastAsiaTheme="minorEastAsia" w:cstheme="minorEastAsia"/>
          <w:b w:val="0"/>
          <w:bCs w:val="0"/>
          <w:spacing w:val="-17"/>
          <w:sz w:val="32"/>
          <w:szCs w:val="32"/>
          <w:u w:val="single"/>
          <w:lang w:val="en-US" w:eastAsia="zh-CN"/>
        </w:rPr>
      </w:pPr>
      <w:r>
        <w:rPr>
          <w:rFonts w:hint="eastAsia" w:asciiTheme="minorEastAsia" w:hAnsiTheme="minorEastAsia" w:eastAsiaTheme="minorEastAsia" w:cstheme="minorEastAsia"/>
          <w:b/>
          <w:bCs/>
          <w:spacing w:val="-17"/>
          <w:sz w:val="32"/>
          <w:szCs w:val="32"/>
          <w:lang w:val="en-US" w:eastAsia="zh-CN"/>
        </w:rPr>
        <w:t>征集人</w:t>
      </w:r>
      <w:r>
        <w:rPr>
          <w:rFonts w:hint="eastAsia" w:asciiTheme="minorEastAsia" w:hAnsiTheme="minorEastAsia" w:eastAsiaTheme="minorEastAsia" w:cstheme="minorEastAsia"/>
          <w:b/>
          <w:bCs/>
          <w:spacing w:val="-17"/>
          <w:sz w:val="32"/>
          <w:szCs w:val="32"/>
        </w:rPr>
        <w:t>：</w:t>
      </w:r>
      <w:r>
        <w:rPr>
          <w:rFonts w:hint="eastAsia" w:asciiTheme="minorEastAsia" w:hAnsiTheme="minorEastAsia" w:eastAsiaTheme="minorEastAsia" w:cstheme="minorEastAsia"/>
          <w:b/>
          <w:bCs/>
          <w:spacing w:val="-17"/>
          <w:sz w:val="32"/>
          <w:szCs w:val="32"/>
          <w:u w:val="single"/>
          <w:lang w:val="en-US" w:eastAsia="zh-CN"/>
        </w:rPr>
        <w:t xml:space="preserve">            </w:t>
      </w:r>
      <w:r>
        <w:rPr>
          <w:rFonts w:hint="eastAsia" w:asciiTheme="minorEastAsia" w:hAnsiTheme="minorEastAsia" w:eastAsiaTheme="minorEastAsia" w:cstheme="minorEastAsia"/>
          <w:b w:val="0"/>
          <w:bCs w:val="0"/>
          <w:spacing w:val="-17"/>
          <w:sz w:val="32"/>
          <w:szCs w:val="32"/>
          <w:u w:val="single"/>
          <w:lang w:val="en-US" w:eastAsia="zh-CN"/>
        </w:rPr>
        <w:t xml:space="preserve">南阳市财政局               </w:t>
      </w:r>
    </w:p>
    <w:p w14:paraId="638F2A5E">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3"/>
          <w:sz w:val="44"/>
          <w:szCs w:val="44"/>
          <w14:textOutline w14:w="2306" w14:cap="flat" w14:cmpd="sng">
            <w14:solidFill>
              <w14:srgbClr w14:val="000000"/>
            </w14:solidFill>
            <w14:prstDash w14:val="solid"/>
            <w14:miter w14:val="0"/>
          </w14:textOutline>
        </w:rPr>
        <w:sectPr>
          <w:headerReference r:id="rId5" w:type="default"/>
          <w:footerReference r:id="rId6"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b/>
          <w:bCs/>
          <w:spacing w:val="-17"/>
          <w:sz w:val="32"/>
          <w:szCs w:val="32"/>
          <w:u w:val="single"/>
          <w:lang w:val="en-US" w:eastAsia="zh-CN"/>
        </w:rPr>
        <w:t xml:space="preserve">  </w:t>
      </w:r>
      <w:r>
        <w:rPr>
          <w:rFonts w:hint="eastAsia" w:asciiTheme="minorEastAsia" w:hAnsiTheme="minorEastAsia" w:eastAsiaTheme="minorEastAsia" w:cstheme="minorEastAsia"/>
          <w:b w:val="0"/>
          <w:bCs w:val="0"/>
          <w:spacing w:val="-17"/>
          <w:sz w:val="32"/>
          <w:szCs w:val="32"/>
          <w:u w:val="single"/>
          <w:lang w:val="en-US" w:eastAsia="zh-CN"/>
        </w:rPr>
        <w:t xml:space="preserve">南阳市公共资源交易中心    </w:t>
      </w:r>
      <w:r>
        <w:rPr>
          <w:rFonts w:hint="eastAsia" w:asciiTheme="minorEastAsia" w:hAnsiTheme="minorEastAsia" w:eastAsiaTheme="minorEastAsia" w:cstheme="minorEastAsia"/>
          <w:b/>
          <w:bCs/>
          <w:spacing w:val="-17"/>
          <w:sz w:val="32"/>
          <w:szCs w:val="32"/>
          <w:u w:val="single"/>
          <w:lang w:val="en-US" w:eastAsia="zh-CN"/>
        </w:rPr>
        <w:t xml:space="preserve">    </w:t>
      </w:r>
    </w:p>
    <w:sdt>
      <w:sdtPr>
        <w:rPr>
          <w:rFonts w:hint="eastAsia" w:asciiTheme="minorEastAsia" w:hAnsiTheme="minorEastAsia" w:eastAsiaTheme="minorEastAsia" w:cstheme="minorEastAsia"/>
          <w:sz w:val="21"/>
          <w:szCs w:val="21"/>
        </w:rPr>
        <w:id w:val="2"/>
        <w:docPartObj>
          <w:docPartGallery w:val="Table of Contents"/>
          <w:docPartUnique/>
        </w:docPartObj>
      </w:sdtPr>
      <w:sdtEndPr>
        <w:rPr>
          <w:rFonts w:hint="eastAsia" w:asciiTheme="minorEastAsia" w:hAnsiTheme="minorEastAsia" w:eastAsiaTheme="minorEastAsia" w:cstheme="minorEastAsia"/>
          <w:sz w:val="28"/>
          <w:szCs w:val="28"/>
          <w:lang w:val="en-US"/>
        </w:rPr>
      </w:sdtEndPr>
      <w:sdtContent>
        <w:p w14:paraId="413E6206">
          <w:pPr>
            <w:pStyle w:val="5"/>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目</w:t>
          </w:r>
          <w:r>
            <w:rPr>
              <w:rFonts w:hint="eastAsia" w:asciiTheme="minorEastAsia" w:hAnsiTheme="minorEastAsia" w:eastAsiaTheme="minorEastAsia" w:cstheme="minorEastAsia"/>
              <w:spacing w:val="-42"/>
              <w:sz w:val="44"/>
              <w:szCs w:val="44"/>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录</w:t>
          </w:r>
        </w:p>
        <w:p w14:paraId="6D4245DF">
          <w:pPr>
            <w:pStyle w:val="5"/>
            <w:keepNext w:val="0"/>
            <w:keepLines w:val="0"/>
            <w:pageBreakBefore w:val="0"/>
            <w:kinsoku/>
            <w:wordWrap w:val="0"/>
            <w:overflowPunct/>
            <w:topLinePunct w:val="0"/>
            <w:bidi w:val="0"/>
            <w:jc w:val="both"/>
            <w:rPr>
              <w:rFonts w:hint="eastAsia"/>
              <w:shd w:val="clear" w:color="FFFFFF" w:fill="D9D9D9"/>
            </w:rPr>
          </w:pPr>
        </w:p>
        <w:p w14:paraId="24BF1EE8">
          <w:pPr>
            <w:pStyle w:val="5"/>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第一章</w:t>
          </w:r>
          <w:r>
            <w:rPr>
              <w:rFonts w:hint="eastAsia"/>
              <w:sz w:val="28"/>
              <w:szCs w:val="28"/>
              <w:lang w:val="en-US" w:eastAsia="zh-CN"/>
            </w:rPr>
            <w:t xml:space="preserve"> 征集</w:t>
          </w:r>
          <w:r>
            <w:rPr>
              <w:rFonts w:hint="eastAsia"/>
              <w:sz w:val="28"/>
              <w:szCs w:val="28"/>
              <w:lang w:eastAsia="zh-CN"/>
            </w:rPr>
            <w:t>公告</w:t>
          </w:r>
        </w:p>
        <w:p w14:paraId="2DAFFB5F">
          <w:pPr>
            <w:pStyle w:val="5"/>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二</w:t>
          </w:r>
          <w:r>
            <w:rPr>
              <w:rFonts w:hint="eastAsia"/>
              <w:sz w:val="28"/>
              <w:szCs w:val="28"/>
            </w:rPr>
            <w:t>章</w:t>
          </w:r>
          <w:r>
            <w:rPr>
              <w:rFonts w:hint="eastAsia"/>
              <w:sz w:val="28"/>
              <w:szCs w:val="28"/>
              <w:lang w:val="en-US" w:eastAsia="zh-CN"/>
            </w:rPr>
            <w:t xml:space="preserve"> </w:t>
          </w:r>
          <w:r>
            <w:rPr>
              <w:rFonts w:hint="eastAsia"/>
              <w:sz w:val="28"/>
              <w:szCs w:val="28"/>
            </w:rPr>
            <w:t>采购需求</w:t>
          </w:r>
        </w:p>
        <w:p w14:paraId="5915FD39">
          <w:pPr>
            <w:pStyle w:val="5"/>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三</w:t>
          </w:r>
          <w:r>
            <w:rPr>
              <w:rFonts w:hint="eastAsia"/>
              <w:sz w:val="28"/>
              <w:szCs w:val="28"/>
            </w:rPr>
            <w:t>章</w:t>
          </w:r>
          <w:r>
            <w:rPr>
              <w:rFonts w:hint="eastAsia"/>
              <w:sz w:val="28"/>
              <w:szCs w:val="28"/>
              <w:lang w:val="en-US" w:eastAsia="zh-CN"/>
            </w:rPr>
            <w:t xml:space="preserve"> </w:t>
          </w:r>
          <w:r>
            <w:rPr>
              <w:rFonts w:hint="eastAsia"/>
              <w:sz w:val="28"/>
              <w:szCs w:val="28"/>
              <w:lang w:eastAsia="zh-CN"/>
            </w:rPr>
            <w:t>供应商</w:t>
          </w:r>
          <w:r>
            <w:rPr>
              <w:rFonts w:hint="eastAsia"/>
              <w:sz w:val="28"/>
              <w:szCs w:val="28"/>
            </w:rPr>
            <w:t>须知</w:t>
          </w:r>
        </w:p>
        <w:p w14:paraId="240AFA06">
          <w:pPr>
            <w:pStyle w:val="5"/>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四</w:t>
          </w:r>
          <w:r>
            <w:rPr>
              <w:rFonts w:hint="eastAsia"/>
              <w:sz w:val="28"/>
              <w:szCs w:val="28"/>
            </w:rPr>
            <w:t>章</w:t>
          </w:r>
          <w:r>
            <w:rPr>
              <w:rFonts w:hint="eastAsia"/>
              <w:sz w:val="28"/>
              <w:szCs w:val="28"/>
              <w:lang w:val="en-US" w:eastAsia="zh-CN"/>
            </w:rPr>
            <w:t xml:space="preserve"> 开、</w:t>
          </w:r>
          <w:r>
            <w:rPr>
              <w:rFonts w:hint="eastAsia"/>
              <w:sz w:val="28"/>
              <w:szCs w:val="28"/>
              <w:lang w:eastAsia="zh-CN"/>
            </w:rPr>
            <w:t>评审</w:t>
          </w:r>
          <w:r>
            <w:rPr>
              <w:rFonts w:hint="eastAsia"/>
              <w:sz w:val="28"/>
              <w:szCs w:val="28"/>
            </w:rPr>
            <w:t>程序、</w:t>
          </w:r>
          <w:r>
            <w:rPr>
              <w:rFonts w:hint="eastAsia"/>
              <w:sz w:val="28"/>
              <w:szCs w:val="28"/>
              <w:lang w:eastAsia="zh-CN"/>
            </w:rPr>
            <w:t>评审</w:t>
          </w:r>
          <w:r>
            <w:rPr>
              <w:rFonts w:hint="eastAsia"/>
              <w:sz w:val="28"/>
              <w:szCs w:val="28"/>
            </w:rPr>
            <w:t>方法和</w:t>
          </w:r>
          <w:r>
            <w:rPr>
              <w:rFonts w:hint="eastAsia"/>
              <w:sz w:val="28"/>
              <w:szCs w:val="28"/>
              <w:lang w:eastAsia="zh-CN"/>
            </w:rPr>
            <w:t>评审</w:t>
          </w:r>
          <w:r>
            <w:rPr>
              <w:rFonts w:hint="eastAsia"/>
              <w:sz w:val="28"/>
              <w:szCs w:val="28"/>
            </w:rPr>
            <w:t>标准</w:t>
          </w:r>
        </w:p>
        <w:p w14:paraId="394305BF">
          <w:pPr>
            <w:pStyle w:val="5"/>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五</w:t>
          </w:r>
          <w:r>
            <w:rPr>
              <w:rFonts w:hint="eastAsia"/>
              <w:sz w:val="28"/>
              <w:szCs w:val="28"/>
            </w:rPr>
            <w:t>章</w:t>
          </w:r>
          <w:r>
            <w:rPr>
              <w:rFonts w:hint="eastAsia"/>
              <w:sz w:val="28"/>
              <w:szCs w:val="28"/>
              <w:lang w:val="en-US" w:eastAsia="zh-CN"/>
            </w:rPr>
            <w:t xml:space="preserve"> </w:t>
          </w:r>
          <w:r>
            <w:rPr>
              <w:rFonts w:hint="eastAsia"/>
              <w:sz w:val="28"/>
              <w:szCs w:val="28"/>
              <w:lang w:eastAsia="zh-CN"/>
            </w:rPr>
            <w:t>政府采购合同（草案）</w:t>
          </w:r>
        </w:p>
        <w:p w14:paraId="2D74A23B">
          <w:pPr>
            <w:pStyle w:val="5"/>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val="en-US"/>
            </w:rPr>
          </w:pPr>
          <w:r>
            <w:rPr>
              <w:rFonts w:hint="eastAsia"/>
              <w:sz w:val="28"/>
              <w:szCs w:val="28"/>
            </w:rPr>
            <w:t>第</w:t>
          </w:r>
          <w:r>
            <w:rPr>
              <w:rFonts w:hint="eastAsia"/>
              <w:sz w:val="28"/>
              <w:szCs w:val="28"/>
              <w:lang w:val="en-US" w:eastAsia="zh-CN"/>
            </w:rPr>
            <w:t>六</w:t>
          </w:r>
          <w:r>
            <w:rPr>
              <w:rFonts w:hint="eastAsia"/>
              <w:sz w:val="28"/>
              <w:szCs w:val="28"/>
            </w:rPr>
            <w:t>章</w:t>
          </w:r>
          <w:r>
            <w:rPr>
              <w:rFonts w:hint="eastAsia"/>
              <w:sz w:val="28"/>
              <w:szCs w:val="28"/>
              <w:lang w:val="en-US" w:eastAsia="zh-CN"/>
            </w:rPr>
            <w:t xml:space="preserve"> </w:t>
          </w:r>
          <w:r>
            <w:rPr>
              <w:rFonts w:hint="eastAsia"/>
              <w:sz w:val="28"/>
              <w:szCs w:val="28"/>
              <w:lang w:eastAsia="zh-CN"/>
            </w:rPr>
            <w:t>响应文件</w:t>
          </w:r>
          <w:r>
            <w:rPr>
              <w:rFonts w:hint="eastAsia"/>
              <w:sz w:val="28"/>
              <w:szCs w:val="28"/>
            </w:rPr>
            <w:t>格式</w:t>
          </w:r>
        </w:p>
      </w:sdtContent>
    </w:sdt>
    <w:p w14:paraId="3A320E1E">
      <w:pPr>
        <w:pStyle w:val="21"/>
        <w:rPr>
          <w:rFonts w:hint="eastAsia"/>
        </w:rPr>
      </w:pPr>
    </w:p>
    <w:p w14:paraId="09F7028B">
      <w:pPr>
        <w:pStyle w:val="5"/>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21"/>
          <w:szCs w:val="21"/>
        </w:rPr>
      </w:pPr>
    </w:p>
    <w:p w14:paraId="31D378ED">
      <w:pPr>
        <w:pStyle w:val="5"/>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21"/>
          <w:szCs w:val="21"/>
        </w:rPr>
      </w:pPr>
    </w:p>
    <w:p w14:paraId="0490319D">
      <w:pPr>
        <w:pStyle w:val="5"/>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21"/>
          <w:szCs w:val="21"/>
        </w:rPr>
      </w:pPr>
    </w:p>
    <w:p w14:paraId="53D72FF2">
      <w:pPr>
        <w:pStyle w:val="5"/>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21"/>
          <w:szCs w:val="21"/>
        </w:rPr>
      </w:pPr>
    </w:p>
    <w:p w14:paraId="117A1A47">
      <w:pPr>
        <w:pStyle w:val="5"/>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21"/>
          <w:szCs w:val="21"/>
        </w:rPr>
      </w:pPr>
    </w:p>
    <w:p w14:paraId="7F571A64">
      <w:pPr>
        <w:pStyle w:val="5"/>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21"/>
          <w:szCs w:val="21"/>
        </w:rPr>
        <w:sectPr>
          <w:footerReference r:id="rId7" w:type="default"/>
          <w:pgSz w:w="11907" w:h="16840"/>
          <w:pgMar w:top="1440" w:right="1800" w:bottom="1440" w:left="1800" w:header="878" w:footer="886" w:gutter="0"/>
          <w:pgNumType w:fmt="decimal"/>
          <w:cols w:space="720" w:num="1"/>
        </w:sectPr>
      </w:pPr>
    </w:p>
    <w:p w14:paraId="675FAC02">
      <w:pPr>
        <w:pStyle w:val="5"/>
        <w:keepNext w:val="0"/>
        <w:keepLines w:val="0"/>
        <w:pageBreakBefore w:val="0"/>
        <w:kinsoku/>
        <w:wordWrap w:val="0"/>
        <w:overflowPunct/>
        <w:topLinePunct w:val="0"/>
        <w:bidi w:val="0"/>
        <w:spacing w:before="353" w:line="360" w:lineRule="auto"/>
        <w:ind w:firstLine="2506" w:firstLineChars="700"/>
        <w:jc w:val="both"/>
        <w:rPr>
          <w:spacing w:val="-6"/>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第一章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征集</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公告</w:t>
      </w:r>
    </w:p>
    <w:p w14:paraId="0767D78B">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p>
    <w:p w14:paraId="1DA6E231">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一、项目基本情况</w:t>
      </w:r>
    </w:p>
    <w:p w14:paraId="12B96AEC">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pacing w:val="-25"/>
          <w:sz w:val="24"/>
          <w:szCs w:val="24"/>
        </w:rPr>
        <w:t>1.</w:t>
      </w:r>
      <w:r>
        <w:rPr>
          <w:rFonts w:hint="eastAsia" w:asciiTheme="minorEastAsia" w:hAnsiTheme="minorEastAsia" w:eastAsiaTheme="minorEastAsia" w:cstheme="minorEastAsia"/>
          <w:spacing w:val="-25"/>
          <w:sz w:val="24"/>
          <w:szCs w:val="24"/>
          <w:highlight w:val="none"/>
        </w:rPr>
        <w:t>项目编号：南阳政采公开-2025-34</w:t>
      </w:r>
    </w:p>
    <w:p w14:paraId="13CC10E0">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2.项目名称：</w:t>
      </w:r>
      <w:r>
        <w:rPr>
          <w:rFonts w:hint="eastAsia" w:asciiTheme="minorEastAsia" w:hAnsiTheme="minorEastAsia" w:eastAsiaTheme="minorEastAsia" w:cstheme="minorEastAsia"/>
          <w:spacing w:val="-24"/>
          <w:sz w:val="24"/>
          <w:szCs w:val="24"/>
          <w:lang w:val="en-US" w:eastAsia="zh-CN"/>
        </w:rPr>
        <w:t>南阳市财政局预算绩效管理第三方服务框架协议（2025-2026年）采购项目</w:t>
      </w:r>
    </w:p>
    <w:p w14:paraId="1CDB4B01">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rPr>
        <w:t>3.项目预算金额：</w:t>
      </w:r>
      <w:r>
        <w:rPr>
          <w:rFonts w:hint="eastAsia" w:asciiTheme="minorEastAsia" w:hAnsiTheme="minorEastAsia" w:eastAsiaTheme="minorEastAsia" w:cstheme="minorEastAsia"/>
          <w:spacing w:val="-14"/>
          <w:sz w:val="24"/>
          <w:szCs w:val="24"/>
          <w:lang w:val="en-US" w:eastAsia="zh-CN"/>
        </w:rPr>
        <w:t>260</w:t>
      </w:r>
      <w:r>
        <w:rPr>
          <w:rFonts w:hint="eastAsia" w:asciiTheme="minorEastAsia" w:hAnsiTheme="minorEastAsia" w:eastAsiaTheme="minorEastAsia" w:cstheme="minorEastAsia"/>
          <w:spacing w:val="-14"/>
          <w:sz w:val="24"/>
          <w:szCs w:val="24"/>
        </w:rPr>
        <w:t>万元、项目最高限价</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lang w:val="en-US" w:eastAsia="zh-CN"/>
        </w:rPr>
        <w:t>260</w:t>
      </w:r>
      <w:r>
        <w:rPr>
          <w:rFonts w:hint="eastAsia" w:asciiTheme="minorEastAsia" w:hAnsiTheme="minorEastAsia" w:eastAsiaTheme="minorEastAsia" w:cstheme="minorEastAsia"/>
          <w:spacing w:val="-14"/>
          <w:sz w:val="24"/>
          <w:szCs w:val="24"/>
        </w:rPr>
        <w:t>万元</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lang w:val="en-US" w:eastAsia="zh-CN"/>
        </w:rPr>
        <w:t>仅供参考</w:t>
      </w:r>
      <w:r>
        <w:rPr>
          <w:rFonts w:hint="eastAsia" w:asciiTheme="minorEastAsia" w:hAnsiTheme="minorEastAsia" w:eastAsiaTheme="minorEastAsia" w:cstheme="minorEastAsia"/>
          <w:spacing w:val="-14"/>
          <w:sz w:val="24"/>
          <w:szCs w:val="24"/>
          <w:lang w:eastAsia="zh-CN"/>
        </w:rPr>
        <w:t>）</w:t>
      </w:r>
    </w:p>
    <w:p w14:paraId="52BD01FC">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22"/>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215"/>
        <w:gridCol w:w="2321"/>
      </w:tblGrid>
      <w:tr w14:paraId="68226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5" w:type="dxa"/>
            <w:vAlign w:val="center"/>
          </w:tcPr>
          <w:p w14:paraId="6945A12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4215" w:type="dxa"/>
            <w:vAlign w:val="center"/>
          </w:tcPr>
          <w:p w14:paraId="775FBC7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包</w:t>
            </w:r>
            <w:r>
              <w:rPr>
                <w:rFonts w:hint="eastAsia" w:asciiTheme="minorEastAsia" w:hAnsiTheme="minorEastAsia" w:eastAsiaTheme="minorEastAsia" w:cstheme="minorEastAsia"/>
                <w:spacing w:val="7"/>
                <w:sz w:val="24"/>
                <w:szCs w:val="24"/>
              </w:rPr>
              <w:t>名称</w:t>
            </w:r>
          </w:p>
        </w:tc>
        <w:tc>
          <w:tcPr>
            <w:tcW w:w="2321" w:type="dxa"/>
            <w:vAlign w:val="center"/>
          </w:tcPr>
          <w:p w14:paraId="2833542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万</w:t>
            </w:r>
            <w:r>
              <w:rPr>
                <w:rFonts w:hint="eastAsia" w:asciiTheme="minorEastAsia" w:hAnsiTheme="minorEastAsia" w:eastAsiaTheme="minorEastAsia" w:cstheme="minorEastAsia"/>
                <w:sz w:val="24"/>
                <w:szCs w:val="24"/>
              </w:rPr>
              <w:t>元）</w:t>
            </w:r>
          </w:p>
        </w:tc>
      </w:tr>
      <w:tr w14:paraId="3A435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635" w:type="dxa"/>
            <w:vAlign w:val="top"/>
          </w:tcPr>
          <w:p w14:paraId="10B5DA8C">
            <w:pPr>
              <w:pStyle w:val="2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val="en-US" w:eastAsia="zh-CN"/>
              </w:rPr>
              <w:t>项目编号-</w:t>
            </w:r>
            <w:r>
              <w:rPr>
                <w:rFonts w:hint="eastAsia" w:asciiTheme="minorEastAsia" w:hAnsiTheme="minorEastAsia" w:eastAsiaTheme="minorEastAsia" w:cstheme="minorEastAsia"/>
                <w:spacing w:val="14"/>
                <w:sz w:val="24"/>
                <w:szCs w:val="24"/>
              </w:rPr>
              <w:t>1</w:t>
            </w:r>
          </w:p>
        </w:tc>
        <w:tc>
          <w:tcPr>
            <w:tcW w:w="4215" w:type="dxa"/>
            <w:vAlign w:val="top"/>
          </w:tcPr>
          <w:p w14:paraId="759CE978">
            <w:pPr>
              <w:pStyle w:val="2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南阳市财政局预算绩效管理第三方服务框架协议（2025-2026年）采购项目</w:t>
            </w:r>
          </w:p>
        </w:tc>
        <w:tc>
          <w:tcPr>
            <w:tcW w:w="2321" w:type="dxa"/>
            <w:vAlign w:val="top"/>
          </w:tcPr>
          <w:p w14:paraId="333B2C5E">
            <w:pPr>
              <w:pStyle w:val="2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720" w:firstLineChars="30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260</w:t>
            </w:r>
          </w:p>
        </w:tc>
      </w:tr>
    </w:tbl>
    <w:p w14:paraId="244CC32C">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5.服务要求</w:t>
      </w:r>
    </w:p>
    <w:p w14:paraId="4FEAD715">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476" w:firstLineChars="200"/>
        <w:jc w:val="both"/>
        <w:textAlignment w:val="baseline"/>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接受南阳市财政局的委托，对财政事前绩效评估、绩效目标审核、财政重点绩效监控、财政重点绩效评价或评价结果复核、全成本预算绩效分析和支出标准制定、绩效指标和标准体系制定、预算绩效管理课题研究等预算绩效管理提供综合服务。</w:t>
      </w:r>
    </w:p>
    <w:p w14:paraId="29D492A6">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460" w:firstLineChars="200"/>
        <w:jc w:val="both"/>
        <w:textAlignment w:val="baseline"/>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lang w:val="en-US" w:eastAsia="zh-CN"/>
        </w:rPr>
        <w:t>框架协议</w:t>
      </w:r>
      <w:r>
        <w:rPr>
          <w:rFonts w:hint="eastAsia" w:asciiTheme="minorEastAsia" w:hAnsiTheme="minorEastAsia" w:eastAsiaTheme="minorEastAsia" w:cstheme="minorEastAsia"/>
          <w:spacing w:val="-5"/>
          <w:sz w:val="24"/>
          <w:szCs w:val="24"/>
        </w:rPr>
        <w:t>期限：</w:t>
      </w:r>
      <w:r>
        <w:rPr>
          <w:rFonts w:hint="eastAsia" w:asciiTheme="minorEastAsia" w:hAnsiTheme="minorEastAsia" w:eastAsiaTheme="minorEastAsia" w:cstheme="minorEastAsia"/>
          <w:spacing w:val="-5"/>
          <w:sz w:val="24"/>
          <w:szCs w:val="24"/>
          <w:lang w:val="en-US" w:eastAsia="zh-CN"/>
        </w:rPr>
        <w:t>两年</w:t>
      </w:r>
    </w:p>
    <w:p w14:paraId="342AF02C">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7</w:t>
      </w:r>
      <w:r>
        <w:rPr>
          <w:rFonts w:hint="eastAsia" w:asciiTheme="minorEastAsia" w:hAnsiTheme="minorEastAsia" w:eastAsiaTheme="minorEastAsia" w:cstheme="minorEastAsia"/>
          <w:spacing w:val="-2"/>
          <w:sz w:val="24"/>
          <w:szCs w:val="24"/>
        </w:rPr>
        <w:t>.本项目是否接受联合体投标：</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否。</w:t>
      </w:r>
    </w:p>
    <w:p w14:paraId="5C9BE9F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6D5CC9A6">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26D4D7DB">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申请人具备的</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资格要求（须同时满足）</w:t>
      </w:r>
    </w:p>
    <w:p w14:paraId="14FBE51D">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1、注册于中华人民共和国境内，具有独立承担民事责任能力；</w:t>
      </w:r>
    </w:p>
    <w:p w14:paraId="12D2B08D">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2、具有良好的商业信誉和健全的财务会计制度；</w:t>
      </w:r>
    </w:p>
    <w:p w14:paraId="444DBD83">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3、具有履行合同所必需的设备和专业技术能力；</w:t>
      </w:r>
    </w:p>
    <w:p w14:paraId="0209BA4B">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4、有依法缴纳税收和社会保障资金的良好记录；</w:t>
      </w:r>
    </w:p>
    <w:p w14:paraId="46E3FA67">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5、参加政府采购活动前三年内，在经营活动中没有重大违法记录；</w:t>
      </w:r>
    </w:p>
    <w:p w14:paraId="26E589A7">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6、单位负责人为同一人或者存在直接控股、管理关系的不同供应商，不得参加同一合同项下的政府采购活动。提供承诺函，格式自拟；</w:t>
      </w:r>
    </w:p>
    <w:p w14:paraId="14D438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7、根据《关于在政府采购活动中查询及使用信用记录有关问题的通知》(财库</w:t>
      </w:r>
      <w:r>
        <w:rPr>
          <w:rFonts w:hint="eastAsia" w:asciiTheme="minorEastAsia" w:hAnsiTheme="minorEastAsia" w:eastAsiaTheme="minorEastAsia" w:cstheme="minorEastAsia"/>
          <w:spacing w:val="-2"/>
          <w:sz w:val="24"/>
          <w:szCs w:val="24"/>
          <w:lang w:val="en-US" w:eastAsia="zh-CN"/>
        </w:rPr>
        <w:t>〔2016〕</w:t>
      </w:r>
      <w:r>
        <w:rPr>
          <w:rFonts w:hint="eastAsia" w:asciiTheme="minorEastAsia" w:hAnsiTheme="minorEastAsia" w:eastAsiaTheme="minorEastAsia" w:cstheme="minorEastAsia"/>
          <w:snapToGrid w:val="0"/>
          <w:color w:val="000000"/>
          <w:spacing w:val="-14"/>
          <w:kern w:val="0"/>
          <w:sz w:val="24"/>
          <w:szCs w:val="24"/>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2139BE71">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8、遵守国家有关法律、法规、规章。</w:t>
      </w:r>
    </w:p>
    <w:p w14:paraId="573780C9">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9、符合《第三方机构预算绩效评价业务监督管理暂行办法》（财监[2021]4号）第二条、第七条规定，提供相应的资格证明材料及承诺函，格式自拟；</w:t>
      </w:r>
    </w:p>
    <w:p w14:paraId="4F3CB212">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9.1 第三方机构是指依法设立并向各级财政部门、预算部门和单位等管理、使用财政资金的主体（以下简称委托方）提供预算绩效评价服务，独立于委托方和预算绩效评价对象的组织，主要包括专业咨询机构、会计师事务所、资产评估机构、律师事务所、科研院所、高等院校等。</w:t>
      </w:r>
    </w:p>
    <w:p w14:paraId="58D49073">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9.2供应商拟派项目负责人（主评人）应符合《第三方机构预算绩效评价业务监督管理暂行办法》第七条规定：</w:t>
      </w:r>
    </w:p>
    <w:p w14:paraId="72850EE7">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（1）遵守法律、行政法规和本办法的规定，具有良好的职业道德；</w:t>
      </w:r>
    </w:p>
    <w:p w14:paraId="685F83E5">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（2）具有与预算绩效评价业务相适应的学历、能力；</w:t>
      </w:r>
    </w:p>
    <w:p w14:paraId="2C21F653">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（3）具备中高级职称或注册会计师、评估师、律师、内审师、注册造价工程师、注册咨询工程师等相关行业管理部门认可的专业资质；</w:t>
      </w:r>
    </w:p>
    <w:p w14:paraId="77B85BC9">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（4）具有5年以上工作经验，其中从事预算绩效评价工作3年以上；</w:t>
      </w:r>
    </w:p>
    <w:p w14:paraId="333EED7F">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（5）具有较强的政策理解、项目管理和沟通协调能力；</w:t>
      </w:r>
    </w:p>
    <w:p w14:paraId="02EE5D94">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（6）未被追究过刑事责任，或者从事评估、财务、会计、审计活动中因过失犯罪而受刑事处罚，刑罚执行期满逾5年。</w:t>
      </w:r>
    </w:p>
    <w:p w14:paraId="18A0EB58">
      <w:pPr>
        <w:keepNext w:val="0"/>
        <w:keepLines w:val="0"/>
        <w:pageBreakBefore w:val="0"/>
        <w:kinsoku/>
        <w:wordWrap w:val="0"/>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p>
    <w:p w14:paraId="5512CA49">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p>
    <w:p w14:paraId="756EA6BB">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14:paraId="34C97932">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1.</w:t>
      </w:r>
      <w:r>
        <w:rPr>
          <w:rFonts w:hint="eastAsia" w:asciiTheme="minorEastAsia" w:hAnsiTheme="minorEastAsia" w:eastAsiaTheme="minorEastAsia" w:cstheme="minorEastAsia"/>
          <w:spacing w:val="1"/>
          <w:sz w:val="24"/>
          <w:szCs w:val="24"/>
          <w:highlight w:val="none"/>
        </w:rPr>
        <w:t>中小企业政策</w:t>
      </w:r>
    </w:p>
    <w:p w14:paraId="41E5F9A6">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
          <w:sz w:val="24"/>
          <w:szCs w:val="24"/>
          <w:highlight w:val="none"/>
        </w:rPr>
        <w:t>本项目不专门面向中小企业预留采购份额。</w:t>
      </w:r>
    </w:p>
    <w:p w14:paraId="0214E673">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60E93435">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r>
        <w:rPr>
          <w:rFonts w:hint="eastAsia" w:asciiTheme="minorEastAsia" w:hAnsiTheme="minorEastAsia" w:eastAsiaTheme="minorEastAsia" w:cstheme="minorEastAsia"/>
          <w:spacing w:val="-2"/>
          <w:position w:val="17"/>
          <w:sz w:val="24"/>
          <w:szCs w:val="24"/>
          <w:lang w:val="en-US" w:eastAsia="zh-CN"/>
        </w:rPr>
        <w:t>和</w:t>
      </w:r>
      <w:r>
        <w:rPr>
          <w:rFonts w:hint="eastAsia" w:asciiTheme="minorEastAsia" w:hAnsiTheme="minorEastAsia" w:eastAsiaTheme="minorEastAsia" w:cstheme="minorEastAsia"/>
          <w:spacing w:val="-2"/>
          <w:position w:val="17"/>
          <w:sz w:val="24"/>
          <w:szCs w:val="24"/>
          <w:lang w:eastAsia="zh-CN"/>
        </w:rPr>
        <w:t>资格信用承诺制。</w:t>
      </w:r>
    </w:p>
    <w:p w14:paraId="347BBE58">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.本项目是否属于政府购买服务：</w:t>
      </w:r>
    </w:p>
    <w:p w14:paraId="0C4BC263">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2"/>
          <w:sz w:val="24"/>
          <w:szCs w:val="24"/>
          <w:highlight w:val="none"/>
          <w:lang w:eastAsia="zh-CN"/>
        </w:rPr>
        <w:t>☑</w:t>
      </w:r>
      <w:r>
        <w:rPr>
          <w:rFonts w:hint="eastAsia" w:asciiTheme="minorEastAsia" w:hAnsiTheme="minorEastAsia" w:eastAsiaTheme="minorEastAsia" w:cstheme="minorEastAsia"/>
          <w:spacing w:val="-2"/>
          <w:sz w:val="24"/>
          <w:szCs w:val="24"/>
          <w:highlight w:val="none"/>
        </w:rPr>
        <w:t>是，公益一类事业单位、使用事业编制且由财政</w:t>
      </w:r>
      <w:r>
        <w:rPr>
          <w:rFonts w:hint="eastAsia" w:asciiTheme="minorEastAsia" w:hAnsiTheme="minorEastAsia" w:eastAsiaTheme="minorEastAsia" w:cstheme="minorEastAsia"/>
          <w:spacing w:val="-3"/>
          <w:sz w:val="24"/>
          <w:szCs w:val="24"/>
          <w:highlight w:val="none"/>
        </w:rPr>
        <w:t>拨款保障的群团组织，不得</w:t>
      </w:r>
      <w:r>
        <w:rPr>
          <w:rFonts w:hint="eastAsia" w:asciiTheme="minorEastAsia" w:hAnsiTheme="minorEastAsia" w:eastAsiaTheme="minorEastAsia" w:cstheme="minorEastAsia"/>
          <w:spacing w:val="-9"/>
          <w:sz w:val="24"/>
          <w:szCs w:val="24"/>
          <w:highlight w:val="none"/>
        </w:rPr>
        <w:t>作为承接主体</w:t>
      </w:r>
      <w:r>
        <w:rPr>
          <w:rFonts w:hint="eastAsia" w:asciiTheme="minorEastAsia" w:hAnsiTheme="minorEastAsia" w:eastAsiaTheme="minorEastAsia" w:cstheme="minorEastAsia"/>
          <w:spacing w:val="-12"/>
          <w:sz w:val="24"/>
          <w:szCs w:val="24"/>
          <w:highlight w:val="none"/>
        </w:rPr>
        <w:t>。</w:t>
      </w:r>
    </w:p>
    <w:p w14:paraId="66AB3A1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3656337F">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p>
    <w:p w14:paraId="1AC8B906">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四</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、获取</w:t>
      </w:r>
      <w:r>
        <w:rPr>
          <w:rFonts w:hint="eastAsia" w:asciiTheme="minorEastAsia" w:hAnsiTheme="minorEastAsia" w:eastAsiaTheme="minorEastAsia" w:cstheme="minorEastAsia"/>
          <w:spacing w:val="-1"/>
          <w:sz w:val="24"/>
          <w:szCs w:val="24"/>
          <w:lang w:eastAsia="zh-CN"/>
          <w14:textOutline w14:w="1537" w14:cap="flat" w14:cmpd="sng">
            <w14:solidFill>
              <w14:srgbClr w14:val="000000"/>
            </w14:solidFill>
            <w14:prstDash w14:val="solid"/>
            <w14:miter w14:val="0"/>
          </w14:textOutline>
        </w:rPr>
        <w:t>征集文件</w:t>
      </w:r>
    </w:p>
    <w:p w14:paraId="6F9B0B3A">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2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3"/>
          <w:sz w:val="24"/>
          <w:szCs w:val="24"/>
          <w:highlight w:val="none"/>
        </w:rPr>
        <w:t>1.时间：</w:t>
      </w:r>
      <w:r>
        <w:rPr>
          <w:rFonts w:hint="eastAsia" w:asciiTheme="minorEastAsia" w:hAnsiTheme="minorEastAsia" w:eastAsiaTheme="minorEastAsia" w:cstheme="minorEastAsia"/>
          <w:spacing w:val="-13"/>
          <w:sz w:val="24"/>
          <w:szCs w:val="24"/>
          <w:highlight w:val="none"/>
          <w:u w:val="single"/>
          <w:lang w:val="en-US" w:eastAsia="zh-CN"/>
        </w:rPr>
        <w:t xml:space="preserve">  2025  </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u w:val="single"/>
          <w:lang w:val="en-US" w:eastAsia="zh-CN"/>
        </w:rPr>
        <w:t xml:space="preserve"> 7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val="en-US" w:eastAsia="zh-CN"/>
        </w:rPr>
        <w:t xml:space="preserve"> 10 </w:t>
      </w:r>
      <w:r>
        <w:rPr>
          <w:rFonts w:hint="eastAsia" w:asciiTheme="minorEastAsia" w:hAnsiTheme="minorEastAsia" w:eastAsiaTheme="minorEastAsia" w:cstheme="minorEastAsia"/>
          <w:spacing w:val="-13"/>
          <w:sz w:val="24"/>
          <w:szCs w:val="24"/>
          <w:highlight w:val="none"/>
        </w:rPr>
        <w:t>日至</w:t>
      </w:r>
      <w:r>
        <w:rPr>
          <w:rFonts w:hint="eastAsia" w:asciiTheme="minorEastAsia" w:hAnsiTheme="minorEastAsia" w:eastAsiaTheme="minorEastAsia" w:cstheme="minorEastAsia"/>
          <w:spacing w:val="-13"/>
          <w:sz w:val="24"/>
          <w:szCs w:val="24"/>
          <w:highlight w:val="none"/>
          <w:u w:val="single"/>
          <w:lang w:val="en-US" w:eastAsia="zh-CN"/>
        </w:rPr>
        <w:t xml:space="preserve">  2025  </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u w:val="single"/>
          <w:lang w:val="en-US" w:eastAsia="zh-CN"/>
        </w:rPr>
        <w:t xml:space="preserve"> 7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val="en-US" w:eastAsia="zh-CN"/>
        </w:rPr>
        <w:t xml:space="preserve"> 16 </w:t>
      </w:r>
      <w:r>
        <w:rPr>
          <w:rFonts w:hint="eastAsia" w:asciiTheme="minorEastAsia" w:hAnsiTheme="minorEastAsia" w:eastAsiaTheme="minorEastAsia" w:cstheme="minorEastAsia"/>
          <w:spacing w:val="-13"/>
          <w:sz w:val="24"/>
          <w:szCs w:val="24"/>
          <w:highlight w:val="none"/>
        </w:rPr>
        <w:t>日，</w:t>
      </w:r>
      <w:r>
        <w:rPr>
          <w:rFonts w:hint="eastAsia" w:asciiTheme="minorEastAsia" w:hAnsiTheme="minorEastAsia" w:eastAsiaTheme="minorEastAsia" w:cstheme="minorEastAsia"/>
          <w:spacing w:val="-14"/>
          <w:sz w:val="24"/>
          <w:szCs w:val="24"/>
          <w:highlight w:val="none"/>
        </w:rPr>
        <w:t>每天上午</w:t>
      </w:r>
      <w:r>
        <w:rPr>
          <w:rFonts w:hint="eastAsia" w:asciiTheme="minorEastAsia" w:hAnsiTheme="minorEastAsia" w:eastAsiaTheme="minorEastAsia" w:cstheme="minorEastAsia"/>
          <w:spacing w:val="-13"/>
          <w:sz w:val="24"/>
          <w:szCs w:val="24"/>
          <w:highlight w:val="none"/>
          <w:u w:val="single"/>
          <w:lang w:val="en-US" w:eastAsia="zh-CN"/>
        </w:rPr>
        <w:t xml:space="preserve"> 0：00</w:t>
      </w:r>
      <w:r>
        <w:rPr>
          <w:rFonts w:hint="eastAsia" w:asciiTheme="minorEastAsia" w:hAnsiTheme="minorEastAsia" w:eastAsiaTheme="minorEastAsia" w:cstheme="minorEastAsia"/>
          <w:spacing w:val="-14"/>
          <w:sz w:val="24"/>
          <w:szCs w:val="24"/>
          <w:highlight w:val="none"/>
        </w:rPr>
        <w:t>至</w:t>
      </w:r>
      <w:r>
        <w:rPr>
          <w:rFonts w:hint="eastAsia" w:asciiTheme="minorEastAsia" w:hAnsiTheme="minorEastAsia" w:eastAsiaTheme="minorEastAsia" w:cstheme="minorEastAsia"/>
          <w:spacing w:val="-13"/>
          <w:sz w:val="24"/>
          <w:szCs w:val="24"/>
          <w:highlight w:val="none"/>
          <w:u w:val="single"/>
          <w:lang w:val="en-US" w:eastAsia="zh-CN"/>
        </w:rPr>
        <w:t xml:space="preserve">  12：00  </w:t>
      </w:r>
      <w:r>
        <w:rPr>
          <w:rFonts w:hint="eastAsia" w:asciiTheme="minorEastAsia" w:hAnsiTheme="minorEastAsia" w:eastAsiaTheme="minorEastAsia" w:cstheme="minorEastAsia"/>
          <w:spacing w:val="-14"/>
          <w:sz w:val="24"/>
          <w:szCs w:val="24"/>
          <w:highlight w:val="none"/>
        </w:rPr>
        <w:t>，下午</w:t>
      </w:r>
      <w:r>
        <w:rPr>
          <w:rFonts w:hint="eastAsia" w:asciiTheme="minorEastAsia" w:hAnsiTheme="minorEastAsia" w:eastAsiaTheme="minorEastAsia" w:cstheme="minorEastAsia"/>
          <w:spacing w:val="-13"/>
          <w:sz w:val="24"/>
          <w:szCs w:val="24"/>
          <w:highlight w:val="none"/>
          <w:u w:val="single"/>
          <w:lang w:val="en-US" w:eastAsia="zh-CN"/>
        </w:rPr>
        <w:t xml:space="preserve">  12：00  </w:t>
      </w:r>
      <w:r>
        <w:rPr>
          <w:rFonts w:hint="eastAsia" w:asciiTheme="minorEastAsia" w:hAnsiTheme="minorEastAsia" w:eastAsiaTheme="minorEastAsia" w:cstheme="minorEastAsia"/>
          <w:spacing w:val="-14"/>
          <w:sz w:val="24"/>
          <w:szCs w:val="24"/>
          <w:highlight w:val="none"/>
        </w:rPr>
        <w:t>至</w:t>
      </w:r>
      <w:r>
        <w:rPr>
          <w:rFonts w:hint="eastAsia" w:asciiTheme="minorEastAsia" w:hAnsiTheme="minorEastAsia" w:eastAsiaTheme="minorEastAsia" w:cstheme="minorEastAsia"/>
          <w:spacing w:val="-13"/>
          <w:sz w:val="24"/>
          <w:szCs w:val="24"/>
          <w:highlight w:val="none"/>
          <w:u w:val="single"/>
          <w:lang w:val="en-US" w:eastAsia="zh-CN"/>
        </w:rPr>
        <w:t xml:space="preserve">  23：59   </w:t>
      </w:r>
      <w:r>
        <w:rPr>
          <w:rFonts w:hint="eastAsia" w:asciiTheme="minorEastAsia" w:hAnsiTheme="minorEastAsia" w:eastAsiaTheme="minorEastAsia" w:cstheme="minorEastAsia"/>
          <w:spacing w:val="-14"/>
          <w:sz w:val="24"/>
          <w:szCs w:val="24"/>
          <w:highlight w:val="none"/>
        </w:rPr>
        <w:t>（北京时</w:t>
      </w:r>
      <w:r>
        <w:rPr>
          <w:rFonts w:hint="eastAsia" w:asciiTheme="minorEastAsia" w:hAnsiTheme="minorEastAsia" w:eastAsiaTheme="minorEastAsia" w:cstheme="minorEastAsia"/>
          <w:spacing w:val="-15"/>
          <w:sz w:val="24"/>
          <w:szCs w:val="24"/>
          <w:highlight w:val="none"/>
        </w:rPr>
        <w:t>间，法定节假日除外）。</w:t>
      </w:r>
    </w:p>
    <w:p w14:paraId="536629B8">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2.地点：南阳市公共资源交易中心网站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https://ggzyjy.nanyang.gov.cn</w:t>
      </w:r>
      <w:r>
        <w:rPr>
          <w:rFonts w:hint="eastAsia" w:asciiTheme="minorEastAsia" w:hAnsiTheme="minorEastAsia" w:eastAsiaTheme="minorEastAsia" w:cstheme="minorEastAsia"/>
          <w:sz w:val="24"/>
          <w:szCs w:val="24"/>
          <w:lang w:eastAsia="zh-CN"/>
        </w:rPr>
        <w:t>）</w:t>
      </w:r>
    </w:p>
    <w:p w14:paraId="509FA3B2">
      <w:pPr>
        <w:keepNext w:val="0"/>
        <w:keepLines w:val="0"/>
        <w:pageBreakBefore w:val="0"/>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rPr>
        <w:t>3.方式</w:t>
      </w:r>
      <w:r>
        <w:rPr>
          <w:rFonts w:hint="eastAsia" w:asciiTheme="minorEastAsia" w:hAnsiTheme="minorEastAsia" w:eastAsiaTheme="minorEastAsia" w:cstheme="minorEastAsia"/>
          <w:spacing w:val="-4"/>
          <w:sz w:val="24"/>
          <w:szCs w:val="24"/>
          <w:lang w:eastAsia="zh-CN"/>
        </w:rPr>
        <w:t>：</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登录南阳市公共资源交易中心网（https://ggzyjy.nanyang.gov.cn），注册后凭办理的企业身份认证锁（CA数字证书）登录会员系统按网上提示下载征集文件(*.nyzf格式)及资料（操作程序详见南阳市公共资源交易中心网站下载专区）</w:t>
      </w:r>
      <w:r>
        <w:rPr>
          <w:rFonts w:hint="eastAsia" w:asciiTheme="minorEastAsia" w:hAnsiTheme="minorEastAsia" w:eastAsiaTheme="minorEastAsia" w:cstheme="minorEastAsia"/>
          <w:snapToGrid w:val="0"/>
          <w:color w:val="000000"/>
          <w:kern w:val="0"/>
          <w:sz w:val="24"/>
          <w:szCs w:val="24"/>
          <w:lang w:val="en-US" w:eastAsia="zh-CN" w:bidi="ar-SA"/>
        </w:rPr>
        <w:t>，电子交易系统技术支持电话：400-998-0000，</w:t>
      </w:r>
      <w:r>
        <w:rPr>
          <w:rFonts w:hint="eastAsia" w:asciiTheme="minorEastAsia" w:hAnsiTheme="minorEastAsia" w:eastAsiaTheme="minorEastAsia" w:cstheme="minorEastAsia"/>
          <w:spacing w:val="-4"/>
          <w:sz w:val="24"/>
          <w:szCs w:val="24"/>
          <w:lang w:eastAsia="zh-CN"/>
        </w:rPr>
        <w:t>CA数字证书技术支持电话</w:t>
      </w:r>
      <w:r>
        <w:rPr>
          <w:rFonts w:hint="eastAsia" w:asciiTheme="minorEastAsia" w:hAnsiTheme="minorEastAsia" w:eastAsiaTheme="minorEastAsia" w:cstheme="minorEastAsia"/>
          <w:spacing w:val="-4"/>
          <w:sz w:val="24"/>
          <w:szCs w:val="24"/>
          <w:lang w:val="en-US" w:eastAsia="zh-CN"/>
        </w:rPr>
        <w:t>详见：https://ggzyjy.nanyang.gov.cn/ptdl/011009/single.html</w:t>
      </w:r>
      <w:r>
        <w:rPr>
          <w:rFonts w:hint="eastAsia" w:asciiTheme="minorEastAsia" w:hAnsiTheme="minorEastAsia" w:eastAsiaTheme="minorEastAsia" w:cstheme="minorEastAsia"/>
          <w:spacing w:val="-4"/>
          <w:sz w:val="24"/>
          <w:szCs w:val="24"/>
          <w:lang w:eastAsia="zh-CN"/>
        </w:rPr>
        <w:t>。</w:t>
      </w:r>
    </w:p>
    <w:p w14:paraId="5CE61175">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4.售价：0元。</w:t>
      </w:r>
    </w:p>
    <w:p w14:paraId="4A3BCEC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297418C3">
      <w:pPr>
        <w:pStyle w:val="5"/>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p>
    <w:p w14:paraId="51F3087A">
      <w:pPr>
        <w:pStyle w:val="5"/>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五、响应文件的制作及上传</w:t>
      </w:r>
    </w:p>
    <w:p w14:paraId="5A82F4B5">
      <w:pPr>
        <w:keepNext w:val="0"/>
        <w:keepLines w:val="0"/>
        <w:pageBreakBefore w:val="0"/>
        <w:shd w:val="clear" w:color="auto" w:fill="FFFFFF"/>
        <w:kinsoku/>
        <w:wordWrap w:val="0"/>
        <w:overflowPunct/>
        <w:topLinePunct w:val="0"/>
        <w:bidi w:val="0"/>
        <w:spacing w:line="360" w:lineRule="auto"/>
        <w:ind w:firstLine="600"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。供应商须</w:t>
      </w:r>
      <w:r>
        <w:rPr>
          <w:rFonts w:hint="eastAsia" w:asciiTheme="minorEastAsia" w:hAnsiTheme="minorEastAsia" w:eastAsiaTheme="minorEastAsia" w:cstheme="minorEastAsia"/>
          <w:spacing w:val="-4"/>
          <w:sz w:val="24"/>
          <w:szCs w:val="24"/>
          <w:lang w:val="en-US" w:eastAsia="zh-CN"/>
        </w:rPr>
        <w:t>上传加密</w:t>
      </w:r>
      <w:r>
        <w:rPr>
          <w:rFonts w:hint="eastAsia" w:asciiTheme="minorEastAsia" w:hAnsiTheme="minorEastAsia" w:eastAsiaTheme="minorEastAsia" w:cstheme="minorEastAsia"/>
          <w:spacing w:val="-4"/>
          <w:sz w:val="24"/>
          <w:szCs w:val="24"/>
          <w:lang w:eastAsia="zh-CN"/>
        </w:rPr>
        <w:t>电子响应文件，电子响应文件需要使用响应文件制作工具制作，制作工具及操作手册可在南阳市公共资源交易中心网站“下载专区”中下载。</w:t>
      </w:r>
      <w:r>
        <w:rPr>
          <w:rFonts w:hint="eastAsia" w:asciiTheme="minorEastAsia" w:hAnsiTheme="minorEastAsia" w:eastAsiaTheme="minorEastAsia" w:cstheme="minorEastAsia"/>
          <w:spacing w:val="-4"/>
          <w:sz w:val="24"/>
          <w:szCs w:val="24"/>
          <w:lang w:val="en-US" w:eastAsia="zh-CN"/>
        </w:rPr>
        <w:t>加密</w:t>
      </w:r>
      <w:r>
        <w:rPr>
          <w:rFonts w:hint="eastAsia" w:asciiTheme="minorEastAsia" w:hAnsiTheme="minorEastAsia" w:eastAsiaTheme="minorEastAsia" w:cstheme="minorEastAsia"/>
          <w:spacing w:val="-4"/>
          <w:sz w:val="24"/>
          <w:szCs w:val="24"/>
          <w:lang w:eastAsia="zh-CN"/>
        </w:rPr>
        <w:t>电子响应文件应在征集文件规定的响应截止时间前到达交易系统。逾期到达交易系统的电子响应文件视为放弃本次投标。</w:t>
      </w:r>
    </w:p>
    <w:p w14:paraId="39540D87">
      <w:pPr>
        <w:keepNext w:val="0"/>
        <w:keepLines w:val="0"/>
        <w:pageBreakBefore w:val="0"/>
        <w:shd w:val="clear" w:color="auto" w:fill="FFFFFF"/>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因供应商无需现场参与开标，所有准备工作需要自行到位。开标过程中如遇到紧急事项，可在不见面开标大厅中进行提出异议或文字交流，严重问题可拨打技术支持电话0377-61176137。不见面开标过程中，如</w:t>
      </w:r>
      <w:r>
        <w:rPr>
          <w:rFonts w:hint="eastAsia" w:asciiTheme="minorEastAsia" w:hAnsiTheme="minorEastAsia" w:eastAsiaTheme="minorEastAsia" w:cstheme="minorEastAsia"/>
          <w:spacing w:val="-4"/>
          <w:sz w:val="24"/>
          <w:szCs w:val="24"/>
          <w:lang w:val="en-US" w:eastAsia="zh-CN"/>
        </w:rPr>
        <w:t>因</w:t>
      </w:r>
      <w:r>
        <w:rPr>
          <w:rFonts w:hint="eastAsia" w:asciiTheme="minorEastAsia" w:hAnsiTheme="minorEastAsia" w:eastAsiaTheme="minorEastAsia" w:cstheme="minorEastAsia"/>
          <w:spacing w:val="-4"/>
          <w:sz w:val="24"/>
          <w:szCs w:val="24"/>
          <w:lang w:eastAsia="zh-CN"/>
        </w:rPr>
        <w:t>供应商准备不到位、网络问题等情况</w:t>
      </w:r>
      <w:r>
        <w:rPr>
          <w:rFonts w:hint="eastAsia" w:asciiTheme="minorEastAsia" w:hAnsiTheme="minorEastAsia" w:eastAsiaTheme="minorEastAsia" w:cstheme="minorEastAsia"/>
          <w:snapToGrid w:val="0"/>
          <w:color w:val="000000"/>
          <w:spacing w:val="-4"/>
          <w:kern w:val="0"/>
          <w:sz w:val="24"/>
          <w:szCs w:val="24"/>
          <w:lang w:val="en-US" w:eastAsia="zh-CN" w:bidi="ar-SA"/>
        </w:rPr>
        <w:t>（30分钟内）无法及时解密，</w:t>
      </w:r>
      <w:r>
        <w:rPr>
          <w:rFonts w:hint="eastAsia" w:asciiTheme="minorEastAsia" w:hAnsiTheme="minorEastAsia" w:eastAsiaTheme="minorEastAsia" w:cstheme="minorEastAsia"/>
          <w:spacing w:val="-4"/>
          <w:sz w:val="24"/>
          <w:szCs w:val="24"/>
          <w:lang w:eastAsia="zh-CN"/>
        </w:rPr>
        <w:t>造成开标无法继续的，视为该供应商自动放弃投标，将被退回响应文件”。电子交易系统技术支持电话：400-998-0000。</w:t>
      </w:r>
    </w:p>
    <w:p w14:paraId="537C48F6">
      <w:pPr>
        <w:keepNext w:val="0"/>
        <w:keepLines w:val="0"/>
        <w:pageBreakBefore w:val="0"/>
        <w:shd w:val="clear" w:color="auto" w:fill="FFFFFF"/>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spacing w:val="-4"/>
          <w:sz w:val="24"/>
          <w:szCs w:val="24"/>
          <w:lang w:val="en-US" w:eastAsia="zh-CN"/>
        </w:rPr>
      </w:pPr>
    </w:p>
    <w:p w14:paraId="0CDBA7B0">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p>
    <w:p w14:paraId="283AAA76">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六</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交</w:t>
      </w:r>
      <w:r>
        <w:rPr>
          <w:rFonts w:hint="eastAsia" w:asciiTheme="minorEastAsia" w:hAnsiTheme="minorEastAsia" w:eastAsiaTheme="minorEastAsia" w:cstheme="minorEastAsia"/>
          <w:sz w:val="24"/>
          <w:szCs w:val="24"/>
          <w:lang w:eastAsia="zh-CN"/>
          <w14:textOutline w14:w="1537" w14:cap="flat" w14:cmpd="sng">
            <w14:solidFill>
              <w14:srgbClr w14:val="000000"/>
            </w14:solidFill>
            <w14:prstDash w14:val="solid"/>
            <w14:miter w14:val="0"/>
          </w14:textOutline>
        </w:rPr>
        <w:t>响应文件</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截止时间、开标时间和地点</w:t>
      </w:r>
    </w:p>
    <w:p w14:paraId="0CF57725">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响应</w:t>
      </w:r>
      <w:r>
        <w:rPr>
          <w:rFonts w:hint="eastAsia" w:asciiTheme="minorEastAsia" w:hAnsiTheme="minorEastAsia" w:eastAsiaTheme="minorEastAsia" w:cstheme="minorEastAsia"/>
          <w:spacing w:val="-14"/>
          <w:sz w:val="24"/>
          <w:szCs w:val="24"/>
        </w:rPr>
        <w:t>截止时间、开标时间：</w:t>
      </w:r>
      <w:r>
        <w:rPr>
          <w:rFonts w:hint="eastAsia" w:asciiTheme="minorEastAsia" w:hAnsiTheme="minorEastAsia" w:eastAsiaTheme="minorEastAsia" w:cstheme="minorEastAsia"/>
          <w:spacing w:val="-14"/>
          <w:sz w:val="24"/>
          <w:szCs w:val="24"/>
          <w:highlight w:val="none"/>
          <w:u w:val="single"/>
          <w:lang w:val="en-US" w:eastAsia="zh-CN"/>
        </w:rPr>
        <w:t xml:space="preserve">  2025  </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年</w:t>
      </w:r>
      <w:r>
        <w:rPr>
          <w:rFonts w:hint="eastAsia" w:asciiTheme="minorEastAsia" w:hAnsiTheme="minorEastAsia" w:eastAsiaTheme="minorEastAsia" w:cstheme="minorEastAsia"/>
          <w:snapToGrid w:val="0"/>
          <w:color w:val="000000"/>
          <w:spacing w:val="-4"/>
          <w:kern w:val="0"/>
          <w:sz w:val="24"/>
          <w:szCs w:val="24"/>
          <w:highlight w:val="none"/>
          <w:u w:val="single"/>
          <w:lang w:val="en-US" w:eastAsia="zh-CN" w:bidi="ar-SA"/>
        </w:rPr>
        <w:t xml:space="preserve"> 7 </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月</w:t>
      </w:r>
      <w:r>
        <w:rPr>
          <w:rFonts w:hint="eastAsia" w:asciiTheme="minorEastAsia" w:hAnsiTheme="minorEastAsia" w:eastAsiaTheme="minorEastAsia" w:cstheme="minorEastAsia"/>
          <w:snapToGrid w:val="0"/>
          <w:color w:val="000000"/>
          <w:spacing w:val="-4"/>
          <w:kern w:val="0"/>
          <w:sz w:val="24"/>
          <w:szCs w:val="24"/>
          <w:highlight w:val="none"/>
          <w:u w:val="single"/>
          <w:lang w:val="en-US" w:eastAsia="zh-CN" w:bidi="ar-SA"/>
        </w:rPr>
        <w:t xml:space="preserve"> 30 </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日</w:t>
      </w:r>
      <w:r>
        <w:rPr>
          <w:rFonts w:hint="eastAsia" w:asciiTheme="minorEastAsia" w:hAnsiTheme="minorEastAsia" w:eastAsiaTheme="minorEastAsia" w:cstheme="minorEastAsia"/>
          <w:snapToGrid w:val="0"/>
          <w:color w:val="000000"/>
          <w:spacing w:val="-4"/>
          <w:kern w:val="0"/>
          <w:sz w:val="24"/>
          <w:szCs w:val="24"/>
          <w:highlight w:val="none"/>
          <w:u w:val="single"/>
          <w:lang w:val="en-US" w:eastAsia="zh-CN" w:bidi="ar-SA"/>
        </w:rPr>
        <w:t xml:space="preserve"> 9 </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点（北</w:t>
      </w:r>
      <w:r>
        <w:rPr>
          <w:rFonts w:hint="eastAsia" w:asciiTheme="minorEastAsia" w:hAnsiTheme="minorEastAsia" w:eastAsiaTheme="minorEastAsia" w:cstheme="minorEastAsia"/>
          <w:spacing w:val="-15"/>
          <w:sz w:val="24"/>
          <w:szCs w:val="24"/>
          <w:highlight w:val="none"/>
        </w:rPr>
        <w:t>京时间）。</w:t>
      </w:r>
    </w:p>
    <w:p w14:paraId="52263042">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7"/>
          <w:sz w:val="24"/>
          <w:szCs w:val="24"/>
          <w:lang w:val="en-US" w:eastAsia="zh-CN"/>
        </w:rPr>
      </w:pPr>
      <w:r>
        <w:rPr>
          <w:rFonts w:hint="eastAsia" w:asciiTheme="minorEastAsia" w:hAnsiTheme="minorEastAsia" w:eastAsiaTheme="minorEastAsia" w:cstheme="minorEastAsia"/>
          <w:spacing w:val="-17"/>
          <w:sz w:val="24"/>
          <w:szCs w:val="24"/>
          <w:lang w:val="en-US" w:eastAsia="zh-CN"/>
        </w:rPr>
        <w:t>开标方式：不见面开标</w:t>
      </w:r>
    </w:p>
    <w:p w14:paraId="474EAC21">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地点：</w:t>
      </w:r>
      <w:r>
        <w:rPr>
          <w:rFonts w:hint="eastAsia"/>
          <w:color w:val="000000" w:themeColor="text1"/>
          <w:spacing w:val="-17"/>
          <w:sz w:val="24"/>
          <w:szCs w:val="24"/>
          <w:lang w:eastAsia="zh-CN"/>
          <w14:textFill>
            <w14:solidFill>
              <w14:schemeClr w14:val="tx1"/>
            </w14:solidFill>
          </w14:textFill>
        </w:rPr>
        <w:t>不见面开标大厅（</w:t>
      </w:r>
      <w:r>
        <w:rPr>
          <w:rFonts w:hint="eastAsia" w:ascii="微软雅黑" w:hAnsi="微软雅黑" w:eastAsia="微软雅黑" w:cs="微软雅黑"/>
          <w:color w:val="000000" w:themeColor="text1"/>
          <w:sz w:val="21"/>
          <w:szCs w:val="21"/>
          <w:u w:val="single"/>
          <w:lang w:eastAsia="zh-CN"/>
          <w14:textFill>
            <w14:solidFill>
              <w14:schemeClr w14:val="tx1"/>
            </w14:solidFill>
          </w14:textFill>
        </w:rPr>
        <w:t>https://ggzyjy.nanyang.gov.cn/BidOpening/bidopeninghallaction/hall/login</w:t>
      </w:r>
      <w:r>
        <w:rPr>
          <w:rFonts w:hint="eastAsia"/>
          <w:color w:val="000000" w:themeColor="text1"/>
          <w:sz w:val="24"/>
          <w:szCs w:val="24"/>
          <w:u w:val="single"/>
          <w:lang w:eastAsia="zh-CN"/>
          <w14:textFill>
            <w14:solidFill>
              <w14:schemeClr w14:val="tx1"/>
            </w14:solidFill>
          </w14:textFill>
        </w:rPr>
        <w:t>）</w:t>
      </w:r>
      <w:r>
        <w:rPr>
          <w:rFonts w:hint="eastAsia" w:asciiTheme="minorEastAsia" w:hAnsiTheme="minorEastAsia" w:eastAsiaTheme="minorEastAsia" w:cstheme="minorEastAsia"/>
          <w:spacing w:val="-17"/>
          <w:sz w:val="24"/>
          <w:szCs w:val="24"/>
          <w:u w:val="single"/>
        </w:rPr>
        <w:t>。</w:t>
      </w:r>
    </w:p>
    <w:p w14:paraId="021B822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76A61FE4">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pPr>
    </w:p>
    <w:p w14:paraId="6C68D867">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七</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、公告期限</w:t>
      </w:r>
    </w:p>
    <w:p w14:paraId="64EFE1E1">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u w:val="none"/>
          <w:lang w:val="en-US" w:eastAsia="zh-CN"/>
        </w:rPr>
        <w:t xml:space="preserve">  </w:t>
      </w:r>
      <w:r>
        <w:rPr>
          <w:rFonts w:hint="eastAsia" w:asciiTheme="minorEastAsia" w:hAnsiTheme="minorEastAsia" w:eastAsiaTheme="minorEastAsia" w:cstheme="minorEastAsia"/>
          <w:spacing w:val="-13"/>
          <w:sz w:val="24"/>
          <w:szCs w:val="24"/>
          <w:highlight w:val="none"/>
          <w:u w:val="none"/>
          <w:lang w:val="en-US" w:eastAsia="zh-CN"/>
        </w:rPr>
        <w:t xml:space="preserve"> 2025 </w:t>
      </w:r>
      <w:r>
        <w:rPr>
          <w:rFonts w:hint="eastAsia" w:asciiTheme="minorEastAsia" w:hAnsiTheme="minorEastAsia" w:eastAsiaTheme="minorEastAsia" w:cstheme="minorEastAsia"/>
          <w:spacing w:val="-13"/>
          <w:sz w:val="24"/>
          <w:szCs w:val="24"/>
          <w:highlight w:val="none"/>
          <w:u w:val="none"/>
        </w:rPr>
        <w:t>年</w:t>
      </w:r>
      <w:r>
        <w:rPr>
          <w:rFonts w:hint="eastAsia" w:asciiTheme="minorEastAsia" w:hAnsiTheme="minorEastAsia" w:eastAsiaTheme="minorEastAsia" w:cstheme="minorEastAsia"/>
          <w:spacing w:val="-13"/>
          <w:sz w:val="24"/>
          <w:szCs w:val="24"/>
          <w:highlight w:val="none"/>
          <w:u w:val="none"/>
          <w:lang w:val="en-US" w:eastAsia="zh-CN"/>
        </w:rPr>
        <w:t xml:space="preserve"> 7 </w:t>
      </w:r>
      <w:r>
        <w:rPr>
          <w:rFonts w:hint="eastAsia" w:asciiTheme="minorEastAsia" w:hAnsiTheme="minorEastAsia" w:eastAsiaTheme="minorEastAsia" w:cstheme="minorEastAsia"/>
          <w:spacing w:val="-13"/>
          <w:sz w:val="24"/>
          <w:szCs w:val="24"/>
          <w:highlight w:val="none"/>
          <w:u w:val="none"/>
        </w:rPr>
        <w:t>月</w:t>
      </w:r>
      <w:r>
        <w:rPr>
          <w:rFonts w:hint="eastAsia" w:asciiTheme="minorEastAsia" w:hAnsiTheme="minorEastAsia" w:eastAsiaTheme="minorEastAsia" w:cstheme="minorEastAsia"/>
          <w:spacing w:val="-13"/>
          <w:sz w:val="24"/>
          <w:szCs w:val="24"/>
          <w:highlight w:val="none"/>
          <w:u w:val="none"/>
          <w:lang w:val="en-US" w:eastAsia="zh-CN"/>
        </w:rPr>
        <w:t xml:space="preserve"> 10 </w:t>
      </w:r>
      <w:r>
        <w:rPr>
          <w:rFonts w:hint="eastAsia" w:asciiTheme="minorEastAsia" w:hAnsiTheme="minorEastAsia" w:eastAsiaTheme="minorEastAsia" w:cstheme="minorEastAsia"/>
          <w:spacing w:val="-13"/>
          <w:sz w:val="24"/>
          <w:szCs w:val="24"/>
          <w:highlight w:val="none"/>
          <w:u w:val="none"/>
        </w:rPr>
        <w:t>日至</w:t>
      </w:r>
      <w:r>
        <w:rPr>
          <w:rFonts w:hint="eastAsia" w:asciiTheme="minorEastAsia" w:hAnsiTheme="minorEastAsia" w:eastAsiaTheme="minorEastAsia" w:cstheme="minorEastAsia"/>
          <w:spacing w:val="-13"/>
          <w:sz w:val="24"/>
          <w:szCs w:val="24"/>
          <w:highlight w:val="none"/>
          <w:u w:val="none"/>
          <w:lang w:val="en-US" w:eastAsia="zh-CN"/>
        </w:rPr>
        <w:t xml:space="preserve"> 2025 </w:t>
      </w:r>
      <w:r>
        <w:rPr>
          <w:rFonts w:hint="eastAsia" w:asciiTheme="minorEastAsia" w:hAnsiTheme="minorEastAsia" w:eastAsiaTheme="minorEastAsia" w:cstheme="minorEastAsia"/>
          <w:spacing w:val="-13"/>
          <w:sz w:val="24"/>
          <w:szCs w:val="24"/>
          <w:highlight w:val="none"/>
          <w:u w:val="none"/>
        </w:rPr>
        <w:t>年</w:t>
      </w:r>
      <w:r>
        <w:rPr>
          <w:rFonts w:hint="eastAsia" w:asciiTheme="minorEastAsia" w:hAnsiTheme="minorEastAsia" w:eastAsiaTheme="minorEastAsia" w:cstheme="minorEastAsia"/>
          <w:spacing w:val="-13"/>
          <w:sz w:val="24"/>
          <w:szCs w:val="24"/>
          <w:highlight w:val="none"/>
          <w:u w:val="none"/>
          <w:lang w:val="en-US" w:eastAsia="zh-CN"/>
        </w:rPr>
        <w:t xml:space="preserve"> 7 </w:t>
      </w:r>
      <w:r>
        <w:rPr>
          <w:rFonts w:hint="eastAsia" w:asciiTheme="minorEastAsia" w:hAnsiTheme="minorEastAsia" w:eastAsiaTheme="minorEastAsia" w:cstheme="minorEastAsia"/>
          <w:spacing w:val="-13"/>
          <w:sz w:val="24"/>
          <w:szCs w:val="24"/>
          <w:highlight w:val="none"/>
          <w:u w:val="none"/>
        </w:rPr>
        <w:t>月</w:t>
      </w:r>
      <w:r>
        <w:rPr>
          <w:rFonts w:hint="eastAsia" w:asciiTheme="minorEastAsia" w:hAnsiTheme="minorEastAsia" w:eastAsiaTheme="minorEastAsia" w:cstheme="minorEastAsia"/>
          <w:spacing w:val="-13"/>
          <w:sz w:val="24"/>
          <w:szCs w:val="24"/>
          <w:highlight w:val="none"/>
          <w:u w:val="none"/>
          <w:lang w:val="en-US" w:eastAsia="zh-CN"/>
        </w:rPr>
        <w:t xml:space="preserve"> 16 </w:t>
      </w:r>
      <w:r>
        <w:rPr>
          <w:rFonts w:hint="eastAsia" w:asciiTheme="minorEastAsia" w:hAnsiTheme="minorEastAsia" w:eastAsiaTheme="minorEastAsia" w:cstheme="minorEastAsia"/>
          <w:spacing w:val="-13"/>
          <w:sz w:val="24"/>
          <w:szCs w:val="24"/>
          <w:highlight w:val="none"/>
        </w:rPr>
        <w:t>日</w:t>
      </w:r>
      <w:r>
        <w:rPr>
          <w:rFonts w:hint="eastAsia" w:asciiTheme="minorEastAsia" w:hAnsiTheme="minorEastAsia" w:eastAsiaTheme="minorEastAsia" w:cstheme="minorEastAsia"/>
          <w:spacing w:val="-13"/>
          <w:sz w:val="24"/>
          <w:szCs w:val="24"/>
          <w:lang w:eastAsia="zh-CN"/>
        </w:rPr>
        <w:t>。</w:t>
      </w:r>
    </w:p>
    <w:p w14:paraId="4A08F8E3">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rPr>
      </w:pPr>
    </w:p>
    <w:p w14:paraId="2922B7C7">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p>
    <w:p w14:paraId="5B197AFF">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八</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、其他补充事宜</w:t>
      </w:r>
    </w:p>
    <w:p w14:paraId="5F157806">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r>
        <w:rPr>
          <w:rFonts w:hint="eastAsia" w:ascii="宋体" w:hAnsi="宋体" w:cs="宋体"/>
          <w:sz w:val="24"/>
          <w:szCs w:val="24"/>
        </w:rPr>
        <w:t>本项目采用</w:t>
      </w:r>
      <w:r>
        <w:rPr>
          <w:rFonts w:hint="eastAsia" w:ascii="宋体" w:hAnsi="宋体" w:cs="宋体"/>
          <w:b/>
          <w:bCs/>
          <w:sz w:val="24"/>
          <w:szCs w:val="24"/>
        </w:rPr>
        <w:t>“暗标”评审</w:t>
      </w:r>
      <w:r>
        <w:rPr>
          <w:rFonts w:hint="eastAsia" w:ascii="宋体" w:hAnsi="宋体" w:cs="宋体"/>
          <w:sz w:val="24"/>
          <w:szCs w:val="24"/>
        </w:rPr>
        <w:t>。供应商应按照</w:t>
      </w:r>
      <w:r>
        <w:rPr>
          <w:rFonts w:hint="eastAsia" w:cs="宋体"/>
          <w:sz w:val="24"/>
          <w:szCs w:val="24"/>
          <w:lang w:val="en-US" w:eastAsia="zh-CN"/>
        </w:rPr>
        <w:t>招标</w:t>
      </w:r>
      <w:r>
        <w:rPr>
          <w:rFonts w:hint="eastAsia" w:ascii="宋体" w:hAnsi="宋体" w:cs="宋体"/>
          <w:sz w:val="24"/>
          <w:szCs w:val="24"/>
        </w:rPr>
        <w:t>文件要求制作投标文件。</w:t>
      </w:r>
      <w:r>
        <w:rPr>
          <w:rFonts w:hint="eastAsia" w:asciiTheme="minorEastAsia" w:hAnsiTheme="minorEastAsia" w:eastAsiaTheme="minorEastAsia" w:cstheme="minorEastAsia"/>
          <w:spacing w:val="-9"/>
          <w:sz w:val="24"/>
          <w:szCs w:val="24"/>
          <w:lang w:val="en-US" w:eastAsia="zh-CN"/>
        </w:rPr>
        <w:t>本次招标公告在河南省政府采购网、南阳市公共资源交易中心网发布。</w:t>
      </w:r>
    </w:p>
    <w:p w14:paraId="25017DC3">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p>
    <w:p w14:paraId="458C0F0F">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p>
    <w:p w14:paraId="21A13E6C">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、对本次招标</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14:paraId="1F700AA7">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1.</w:t>
      </w:r>
      <w:r>
        <w:rPr>
          <w:rFonts w:hint="eastAsia" w:asciiTheme="minorEastAsia" w:hAnsiTheme="minorEastAsia" w:eastAsiaTheme="minorEastAsia" w:cstheme="minorEastAsia"/>
          <w:spacing w:val="5"/>
          <w:sz w:val="24"/>
          <w:szCs w:val="24"/>
          <w:lang w:val="en-US" w:eastAsia="zh-CN"/>
          <w14:textOutline w14:w="1537" w14:cap="flat" w14:cmpd="sng">
            <w14:solidFill>
              <w14:srgbClr w14:val="000000"/>
            </w14:solidFill>
            <w14:prstDash w14:val="solid"/>
            <w14:miter w14:val="0"/>
          </w14:textOutline>
        </w:rPr>
        <w:t>征集</w:t>
      </w: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人信息</w:t>
      </w:r>
    </w:p>
    <w:p w14:paraId="0E0740D7">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color w:val="auto"/>
          <w:spacing w:val="-15"/>
          <w:sz w:val="24"/>
          <w:szCs w:val="24"/>
          <w:lang w:val="en-US" w:eastAsia="zh-CN"/>
        </w:rPr>
      </w:pPr>
      <w:r>
        <w:rPr>
          <w:rFonts w:hint="eastAsia" w:asciiTheme="minorEastAsia" w:hAnsiTheme="minorEastAsia" w:eastAsiaTheme="minorEastAsia" w:cstheme="minorEastAsia"/>
          <w:color w:val="auto"/>
          <w:spacing w:val="-15"/>
          <w:sz w:val="24"/>
          <w:szCs w:val="24"/>
        </w:rPr>
        <w:t>名称：</w:t>
      </w:r>
      <w:r>
        <w:rPr>
          <w:rFonts w:hint="eastAsia" w:asciiTheme="minorEastAsia" w:hAnsiTheme="minorEastAsia" w:eastAsiaTheme="minorEastAsia" w:cstheme="minorEastAsia"/>
          <w:color w:val="auto"/>
          <w:spacing w:val="-15"/>
          <w:sz w:val="24"/>
          <w:szCs w:val="24"/>
          <w:lang w:val="en-US" w:eastAsia="zh-CN"/>
        </w:rPr>
        <w:t>南阳市财政局</w:t>
      </w:r>
    </w:p>
    <w:p w14:paraId="485983B9">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15"/>
          <w:sz w:val="24"/>
          <w:szCs w:val="24"/>
        </w:rPr>
      </w:pPr>
      <w:r>
        <w:rPr>
          <w:rFonts w:hint="eastAsia" w:asciiTheme="minorEastAsia" w:hAnsiTheme="minorEastAsia" w:eastAsiaTheme="minorEastAsia" w:cstheme="minorEastAsia"/>
          <w:color w:val="auto"/>
          <w:spacing w:val="-15"/>
          <w:sz w:val="24"/>
          <w:szCs w:val="24"/>
        </w:rPr>
        <w:t>地址：南阳市张衡东路396号</w:t>
      </w:r>
    </w:p>
    <w:p w14:paraId="023B378F">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color w:val="auto"/>
          <w:spacing w:val="-15"/>
          <w:sz w:val="24"/>
          <w:szCs w:val="24"/>
          <w:lang w:val="en-US" w:eastAsia="zh-CN"/>
        </w:rPr>
      </w:pPr>
      <w:r>
        <w:rPr>
          <w:rFonts w:hint="eastAsia" w:asciiTheme="minorEastAsia" w:hAnsiTheme="minorEastAsia" w:eastAsiaTheme="minorEastAsia" w:cstheme="minorEastAsia"/>
          <w:color w:val="auto"/>
          <w:spacing w:val="-15"/>
          <w:sz w:val="24"/>
          <w:szCs w:val="24"/>
          <w:lang w:val="en-US" w:eastAsia="zh-CN"/>
        </w:rPr>
        <w:t>联系人：贺先生</w:t>
      </w:r>
    </w:p>
    <w:p w14:paraId="480F7AED">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b/>
          <w:bCs/>
          <w:color w:val="FF0000"/>
          <w:spacing w:val="4"/>
          <w:sz w:val="24"/>
          <w:szCs w:val="24"/>
          <w:lang w:val="en-US" w:eastAsia="zh-CN"/>
        </w:rPr>
      </w:pPr>
      <w:r>
        <w:rPr>
          <w:rFonts w:hint="eastAsia" w:asciiTheme="minorEastAsia" w:hAnsiTheme="minorEastAsia" w:eastAsiaTheme="minorEastAsia" w:cstheme="minorEastAsia"/>
          <w:color w:val="auto"/>
          <w:spacing w:val="-15"/>
          <w:sz w:val="24"/>
          <w:szCs w:val="24"/>
        </w:rPr>
        <w:t>联系方式：</w:t>
      </w:r>
      <w:r>
        <w:rPr>
          <w:rFonts w:hint="eastAsia" w:asciiTheme="minorEastAsia" w:hAnsiTheme="minorEastAsia" w:eastAsiaTheme="minorEastAsia" w:cstheme="minorEastAsia"/>
          <w:color w:val="auto"/>
          <w:spacing w:val="-15"/>
          <w:sz w:val="24"/>
          <w:szCs w:val="24"/>
          <w:lang w:val="en-US" w:eastAsia="zh-CN"/>
        </w:rPr>
        <w:t>0377-62376368</w:t>
      </w:r>
    </w:p>
    <w:p w14:paraId="5E544A02">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p>
    <w:p w14:paraId="076156B8">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14:paraId="29559D69">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spacing w:val="-15"/>
          <w:sz w:val="24"/>
          <w:szCs w:val="24"/>
          <w:lang w:val="en-US" w:eastAsia="zh-CN"/>
        </w:rPr>
        <w:t>南阳市公共资源交易中心</w:t>
      </w:r>
    </w:p>
    <w:p w14:paraId="26CDA486">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w:t>
      </w:r>
      <w:r>
        <w:rPr>
          <w:rFonts w:hint="eastAsia" w:asciiTheme="minorEastAsia" w:hAnsiTheme="minorEastAsia" w:eastAsiaTheme="minorEastAsia" w:cstheme="minorEastAsia"/>
          <w:spacing w:val="-15"/>
          <w:sz w:val="24"/>
          <w:szCs w:val="24"/>
          <w:lang w:val="en-US" w:eastAsia="zh-CN"/>
        </w:rPr>
        <w:t>南阳市范蠡东路与南都路交叉口市民服务中心中区3号楼5楼</w:t>
      </w:r>
    </w:p>
    <w:p w14:paraId="72618E8D">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联系人：黄先生</w:t>
      </w:r>
    </w:p>
    <w:p w14:paraId="06447AB0">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pacing w:val="-15"/>
          <w:sz w:val="24"/>
          <w:szCs w:val="24"/>
          <w:lang w:val="en-US" w:eastAsia="zh-CN"/>
        </w:rPr>
        <w:t xml:space="preserve">0377-61176178 </w:t>
      </w:r>
    </w:p>
    <w:p w14:paraId="7183C0EB">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仿宋_GB2312" w:hAnsi="宋体" w:eastAsia="仿宋_GB2312"/>
          <w:color w:val="0000FF"/>
          <w:sz w:val="28"/>
          <w:szCs w:val="28"/>
          <w:lang w:val="en-US" w:eastAsia="zh-CN"/>
        </w:rPr>
      </w:pPr>
      <w:r>
        <w:rPr>
          <w:rFonts w:hint="eastAsia" w:asciiTheme="minorEastAsia" w:hAnsiTheme="minorEastAsia" w:eastAsiaTheme="minorEastAsia" w:cstheme="minorEastAsia"/>
          <w:spacing w:val="4"/>
          <w:sz w:val="24"/>
          <w:szCs w:val="24"/>
          <w:lang w:val="en-US" w:eastAsia="zh-CN"/>
          <w14:textOutline w14:w="1537" w14:cap="flat" w14:cmpd="sng">
            <w14:solidFill>
              <w14:srgbClr w14:val="000000"/>
            </w14:solidFill>
            <w14:prstDash w14:val="solid"/>
            <w14:miter w14:val="0"/>
          </w14:textOutline>
        </w:rPr>
        <w:t>3.网址：</w:t>
      </w:r>
      <w:r>
        <w:rPr>
          <w:rFonts w:hint="eastAsia" w:asciiTheme="minorEastAsia" w:hAnsiTheme="minorEastAsia" w:eastAsiaTheme="minorEastAsia" w:cstheme="minorEastAsia"/>
          <w:spacing w:val="-15"/>
          <w:sz w:val="24"/>
          <w:szCs w:val="24"/>
          <w:lang w:val="en-US" w:eastAsia="zh-CN"/>
        </w:rPr>
        <w:fldChar w:fldCharType="begin"/>
      </w:r>
      <w:r>
        <w:rPr>
          <w:rFonts w:hint="eastAsia" w:asciiTheme="minorEastAsia" w:hAnsiTheme="minorEastAsia" w:eastAsiaTheme="minorEastAsia" w:cstheme="minorEastAsia"/>
          <w:spacing w:val="-15"/>
          <w:sz w:val="24"/>
          <w:szCs w:val="24"/>
          <w:lang w:val="en-US" w:eastAsia="zh-CN"/>
        </w:rPr>
        <w:instrText xml:space="preserve"> HYPERLINK "https://ggzyjy.nanyang.gov.cn" </w:instrText>
      </w:r>
      <w:r>
        <w:rPr>
          <w:rFonts w:hint="eastAsia" w:asciiTheme="minorEastAsia" w:hAnsiTheme="minorEastAsia" w:eastAsiaTheme="minorEastAsia" w:cstheme="minorEastAsia"/>
          <w:spacing w:val="-15"/>
          <w:sz w:val="24"/>
          <w:szCs w:val="24"/>
          <w:lang w:val="en-US" w:eastAsia="zh-CN"/>
        </w:rPr>
        <w:fldChar w:fldCharType="separate"/>
      </w:r>
      <w:r>
        <w:rPr>
          <w:rStyle w:val="20"/>
          <w:rFonts w:hint="eastAsia" w:asciiTheme="minorEastAsia" w:hAnsiTheme="minorEastAsia" w:eastAsiaTheme="minorEastAsia" w:cstheme="minorEastAsia"/>
          <w:spacing w:val="-15"/>
          <w:sz w:val="24"/>
          <w:szCs w:val="24"/>
          <w:lang w:val="en-US" w:eastAsia="zh-CN"/>
        </w:rPr>
        <w:t>https://ggzyjy.nanyang.gov.cn</w:t>
      </w:r>
      <w:r>
        <w:rPr>
          <w:rFonts w:hint="eastAsia" w:asciiTheme="minorEastAsia" w:hAnsiTheme="minorEastAsia" w:eastAsiaTheme="minorEastAsia" w:cstheme="minorEastAsia"/>
          <w:spacing w:val="-15"/>
          <w:sz w:val="24"/>
          <w:szCs w:val="24"/>
          <w:lang w:val="en-US" w:eastAsia="zh-CN"/>
        </w:rPr>
        <w:fldChar w:fldCharType="end"/>
      </w:r>
      <w:r>
        <w:rPr>
          <w:rFonts w:hint="eastAsia" w:asciiTheme="minorEastAsia" w:hAnsiTheme="minorEastAsia" w:eastAsiaTheme="minorEastAsia" w:cstheme="minorEastAsia"/>
          <w:spacing w:val="-15"/>
          <w:sz w:val="24"/>
          <w:szCs w:val="24"/>
          <w:lang w:val="en-US" w:eastAsia="zh-CN"/>
        </w:rPr>
        <w:t xml:space="preserve">   E-mail:</w:t>
      </w:r>
      <w:r>
        <w:rPr>
          <w:rFonts w:hint="eastAsia" w:asciiTheme="minorEastAsia" w:hAnsiTheme="minorEastAsia" w:eastAsiaTheme="minorEastAsia" w:cstheme="minorEastAsia"/>
          <w:spacing w:val="-15"/>
          <w:sz w:val="24"/>
          <w:szCs w:val="24"/>
          <w:lang w:eastAsia="zh-CN"/>
        </w:rPr>
        <w:t xml:space="preserve">nyszfcgzx@126.com </w:t>
      </w:r>
    </w:p>
    <w:p w14:paraId="5FA87FC1">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5250" w:firstLineChars="2500"/>
        <w:jc w:val="both"/>
        <w:textAlignment w:val="baseline"/>
        <w:outlineLvl w:val="1"/>
        <w:rPr>
          <w:rFonts w:hint="eastAsia" w:asciiTheme="minorEastAsia" w:hAnsiTheme="minorEastAsia" w:eastAsiaTheme="minorEastAsia" w:cstheme="minorEastAsia"/>
          <w:spacing w:val="-15"/>
          <w:sz w:val="24"/>
          <w:szCs w:val="24"/>
          <w:lang w:val="en-US" w:eastAsia="zh-CN"/>
        </w:rPr>
      </w:pPr>
    </w:p>
    <w:p w14:paraId="67CBF4A4">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5250" w:firstLineChars="2500"/>
        <w:jc w:val="both"/>
        <w:textAlignment w:val="baseline"/>
        <w:outlineLvl w:val="1"/>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南阳市公共资源交易中心</w:t>
      </w:r>
    </w:p>
    <w:p w14:paraId="5CA01574">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5564" w:firstLineChars="2600"/>
        <w:jc w:val="both"/>
        <w:textAlignment w:val="baseline"/>
        <w:outlineLvl w:val="1"/>
        <w:rPr>
          <w:rFonts w:hint="eastAsia" w:asciiTheme="minorEastAsia" w:hAnsiTheme="minorEastAsia" w:eastAsiaTheme="minorEastAsia" w:cstheme="minorEastAsia"/>
          <w:spacing w:val="-1"/>
          <w:sz w:val="36"/>
          <w:szCs w:val="36"/>
          <w:highlight w:val="yellow"/>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3"/>
          <w:sz w:val="24"/>
          <w:szCs w:val="24"/>
          <w:highlight w:val="none"/>
          <w:u w:val="none"/>
          <w:lang w:val="en-US" w:eastAsia="zh-CN"/>
        </w:rPr>
        <w:t xml:space="preserve">2025 </w:t>
      </w:r>
      <w:r>
        <w:rPr>
          <w:rFonts w:hint="eastAsia" w:asciiTheme="minorEastAsia" w:hAnsiTheme="minorEastAsia" w:eastAsiaTheme="minorEastAsia" w:cstheme="minorEastAsia"/>
          <w:spacing w:val="-13"/>
          <w:sz w:val="24"/>
          <w:szCs w:val="24"/>
          <w:highlight w:val="none"/>
          <w:u w:val="none"/>
        </w:rPr>
        <w:t>年</w:t>
      </w:r>
      <w:r>
        <w:rPr>
          <w:rFonts w:hint="eastAsia" w:asciiTheme="minorEastAsia" w:hAnsiTheme="minorEastAsia" w:eastAsiaTheme="minorEastAsia" w:cstheme="minorEastAsia"/>
          <w:spacing w:val="-13"/>
          <w:sz w:val="24"/>
          <w:szCs w:val="24"/>
          <w:highlight w:val="none"/>
          <w:u w:val="none"/>
          <w:lang w:val="en-US" w:eastAsia="zh-CN"/>
        </w:rPr>
        <w:t xml:space="preserve"> 7 </w:t>
      </w:r>
      <w:r>
        <w:rPr>
          <w:rFonts w:hint="eastAsia" w:asciiTheme="minorEastAsia" w:hAnsiTheme="minorEastAsia" w:eastAsiaTheme="minorEastAsia" w:cstheme="minorEastAsia"/>
          <w:spacing w:val="-13"/>
          <w:sz w:val="24"/>
          <w:szCs w:val="24"/>
          <w:highlight w:val="none"/>
          <w:u w:val="none"/>
        </w:rPr>
        <w:t>月</w:t>
      </w:r>
      <w:r>
        <w:rPr>
          <w:rFonts w:hint="eastAsia" w:asciiTheme="minorEastAsia" w:hAnsiTheme="minorEastAsia" w:eastAsiaTheme="minorEastAsia" w:cstheme="minorEastAsia"/>
          <w:spacing w:val="-13"/>
          <w:sz w:val="24"/>
          <w:szCs w:val="24"/>
          <w:highlight w:val="none"/>
          <w:u w:val="none"/>
          <w:lang w:val="en-US" w:eastAsia="zh-CN"/>
        </w:rPr>
        <w:t xml:space="preserve"> 9 </w:t>
      </w:r>
      <w:r>
        <w:rPr>
          <w:rFonts w:hint="eastAsia" w:asciiTheme="minorEastAsia" w:hAnsiTheme="minorEastAsia" w:eastAsiaTheme="minorEastAsia" w:cstheme="minorEastAsia"/>
          <w:spacing w:val="-13"/>
          <w:sz w:val="24"/>
          <w:szCs w:val="24"/>
          <w:highlight w:val="none"/>
        </w:rPr>
        <w:t>日</w:t>
      </w:r>
    </w:p>
    <w:p w14:paraId="540FDBF3">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2847494">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E668E79">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67B900DF">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FE0B6C8">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5D151ED">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349EC56">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11B0C1D">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39373C1">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00E0EAF">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99EF6B4">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50C2EEC">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35907CD">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66B255B3">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F02AB4E">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14:paraId="3A70864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28D34AB4">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内容及要求</w:t>
      </w:r>
    </w:p>
    <w:p w14:paraId="422ED735">
      <w:pPr>
        <w:spacing w:line="360" w:lineRule="auto"/>
        <w:ind w:firstLine="431" w:firstLineChars="177"/>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（一）项目概况</w:t>
      </w:r>
    </w:p>
    <w:p w14:paraId="07C233A7">
      <w:pPr>
        <w:spacing w:line="360" w:lineRule="auto"/>
        <w:ind w:firstLine="431" w:firstLineChars="177"/>
        <w:rPr>
          <w:rFonts w:hint="eastAsia" w:asciiTheme="minorEastAsia" w:hAnsiTheme="minorEastAsia" w:eastAsiaTheme="minorEastAsia" w:cstheme="minorEastAsia"/>
          <w:snapToGrid w:val="0"/>
          <w:color w:val="auto"/>
          <w:spacing w:val="2"/>
          <w:kern w:val="0"/>
          <w:position w:val="17"/>
          <w:sz w:val="24"/>
          <w:szCs w:val="24"/>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为深入贯彻落实全面实施预算绩效管理改革要求,保障预算绩效管理服务相关工作顺利开展,现通过框架协议采购方式选择入围第三方预算绩效管理服务机构。</w:t>
      </w:r>
    </w:p>
    <w:p w14:paraId="63D5A98C">
      <w:pPr>
        <w:spacing w:line="360" w:lineRule="auto"/>
        <w:ind w:firstLine="431" w:firstLineChars="177"/>
        <w:rPr>
          <w:rFonts w:hint="eastAsia" w:asciiTheme="minorEastAsia" w:hAnsiTheme="minorEastAsia" w:eastAsiaTheme="minorEastAsia" w:cstheme="minorEastAsia"/>
          <w:snapToGrid w:val="0"/>
          <w:color w:val="auto"/>
          <w:spacing w:val="2"/>
          <w:kern w:val="0"/>
          <w:position w:val="17"/>
          <w:sz w:val="24"/>
          <w:szCs w:val="24"/>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预算绩效管理服务范围：南阳市财政局委托的财政重点绩效评价等与预算绩效管理相关的工作（包括但不限于：财政事前绩效评估；绩效目标审核；财政重点绩效监控；财政重点绩效评价或评价结果复核；全成本预算绩效分析和支出标准制定；绩效指标和标准体系制定；预算绩效管理课题研究）。</w:t>
      </w:r>
    </w:p>
    <w:p w14:paraId="75FC1DA6">
      <w:pPr>
        <w:spacing w:line="360" w:lineRule="auto"/>
        <w:ind w:firstLine="488" w:firstLineChars="200"/>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p>
    <w:p w14:paraId="403DDA5E">
      <w:pPr>
        <w:numPr>
          <w:ilvl w:val="0"/>
          <w:numId w:val="1"/>
        </w:numPr>
        <w:spacing w:line="360" w:lineRule="auto"/>
        <w:ind w:firstLine="488" w:firstLineChars="200"/>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技术要求</w:t>
      </w:r>
    </w:p>
    <w:p w14:paraId="78B1DED2">
      <w:pPr>
        <w:spacing w:line="360" w:lineRule="auto"/>
        <w:ind w:firstLine="431" w:firstLineChars="177"/>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1.服务要求</w:t>
      </w:r>
    </w:p>
    <w:p w14:paraId="4726F98D">
      <w:pPr>
        <w:spacing w:line="360" w:lineRule="auto"/>
        <w:ind w:firstLine="431" w:firstLineChars="177"/>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1.1拟订工作实施方案，报委托人审定。</w:t>
      </w:r>
    </w:p>
    <w:p w14:paraId="40365001">
      <w:pPr>
        <w:spacing w:line="360" w:lineRule="auto"/>
        <w:ind w:firstLine="431" w:firstLineChars="177"/>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1.2按照预算绩效管理及相关法律法规要求，客观公正、规范有序地开展受托的预算绩效管理工作，并全程接受委托人督导。</w:t>
      </w:r>
    </w:p>
    <w:p w14:paraId="69C73D73">
      <w:pPr>
        <w:spacing w:line="360" w:lineRule="auto"/>
        <w:ind w:firstLine="431" w:firstLineChars="177"/>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1.3按规定程序真实、完整地取得数据、成果，对提交的评价意见或报告等工作结果的客观公正性负责。</w:t>
      </w:r>
    </w:p>
    <w:p w14:paraId="083A11CC">
      <w:pPr>
        <w:spacing w:line="360" w:lineRule="auto"/>
        <w:ind w:firstLine="431" w:firstLineChars="177"/>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1.4对工作中获悉的国家秘密、商业秘密和工作信息负有保密义务，未经委托人同意，不得以任何形式对外提供、泄露或公开委托事项的有关情况。</w:t>
      </w:r>
    </w:p>
    <w:p w14:paraId="6E1B1FA9">
      <w:pPr>
        <w:spacing w:line="360" w:lineRule="auto"/>
        <w:ind w:firstLine="431" w:firstLineChars="177"/>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1.5按时提交工作成果，做好相关信息资料归档保管工作。</w:t>
      </w:r>
    </w:p>
    <w:p w14:paraId="7CCE213F">
      <w:pPr>
        <w:spacing w:line="360" w:lineRule="auto"/>
        <w:ind w:firstLine="431" w:firstLineChars="177"/>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1.6按照协议或合同收取委托服务费用。</w:t>
      </w:r>
    </w:p>
    <w:p w14:paraId="0D7D0E24">
      <w:pPr>
        <w:spacing w:line="360" w:lineRule="auto"/>
        <w:ind w:firstLine="431" w:firstLineChars="177"/>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 xml:space="preserve">1.7预算绩效管理服务涉及各种领域，在服务过程中需各种专业技术人员、财务人员、评估人员进行评估和评价，项目团队应根据项目实际情况由具有相关专业技术职称、注册会计师、资产评估师等执业资格相关人员组成。 </w:t>
      </w:r>
    </w:p>
    <w:p w14:paraId="5557122C">
      <w:pPr>
        <w:spacing w:line="360" w:lineRule="auto"/>
        <w:ind w:firstLine="431" w:firstLineChars="177"/>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2.服务标准</w:t>
      </w:r>
    </w:p>
    <w:p w14:paraId="659330C9">
      <w:pPr>
        <w:spacing w:line="360" w:lineRule="auto"/>
        <w:ind w:firstLine="431" w:firstLineChars="177"/>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供应商提供的预算绩效管理服务应符合《南阳市市级部门委托第三方机构参与预算绩效管理工作办法》等有关规定。</w:t>
      </w:r>
    </w:p>
    <w:p w14:paraId="5546FA0E">
      <w:pPr>
        <w:spacing w:line="360" w:lineRule="auto"/>
        <w:ind w:firstLine="431" w:firstLineChars="177"/>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3.服务方案</w:t>
      </w:r>
    </w:p>
    <w:p w14:paraId="75CEADD2">
      <w:pPr>
        <w:spacing w:line="360" w:lineRule="auto"/>
        <w:ind w:firstLine="431" w:firstLineChars="177"/>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包括但不限于以下内容：</w:t>
      </w:r>
    </w:p>
    <w:p w14:paraId="5BC00022">
      <w:pPr>
        <w:spacing w:line="360" w:lineRule="auto"/>
        <w:ind w:firstLine="431" w:firstLineChars="177"/>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3.1对预算绩效管理服务的认识和理解：对预算绩效管理有全面深入的认识和理解，能够详细介绍预算绩效管理有关法律和政策要求、管理框架、积极作用和最新进展等有关内容，介绍预算绩效管理与预算管理各环节、各相关方及预算管理理念的相互作用。</w:t>
      </w:r>
    </w:p>
    <w:p w14:paraId="33EBBE15">
      <w:pPr>
        <w:spacing w:line="360" w:lineRule="auto"/>
        <w:ind w:firstLine="431" w:firstLineChars="177"/>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3.2服务实施方案：根据征集人服务需求，制定切实可行的整体服务实施方案，服务内容详实、项目需求理解全面，工作部署、岗位职责安排（含项目负责人或主评人、专家）、资源配置清晰，服务流程具体，制定的服务方案能够保证项目的顺利完成。</w:t>
      </w:r>
    </w:p>
    <w:p w14:paraId="4DC8D464">
      <w:pPr>
        <w:spacing w:line="360" w:lineRule="auto"/>
        <w:ind w:firstLine="431" w:firstLineChars="177"/>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3.3服务质量保障措施：质量目标明确，有各阶段的工作内容、工作方法、工作重点、难点分析及相关的处理方法的服务质量保障措施，对服务过程中的关键节点均有具体质量控制措施和处理方法。</w:t>
      </w:r>
    </w:p>
    <w:p w14:paraId="17372239">
      <w:pPr>
        <w:spacing w:line="360" w:lineRule="auto"/>
        <w:ind w:firstLine="431" w:firstLineChars="177"/>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3.4履约服务便利度：有针对拟投入本项目人员到岗、执业服务质量、工作期间提供驻场服务、积极配合采购人工作、服从安排等内容的保障措施。</w:t>
      </w:r>
    </w:p>
    <w:p w14:paraId="13726462">
      <w:pPr>
        <w:spacing w:line="360" w:lineRule="auto"/>
        <w:ind w:firstLine="431" w:firstLineChars="177"/>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3.5内部管理制度：有完善的规章和包括财务管理、质量控制、时效控制、风险控制、保密、技术档案等相关管理制度。</w:t>
      </w:r>
    </w:p>
    <w:p w14:paraId="6CE0372D">
      <w:pPr>
        <w:spacing w:line="360" w:lineRule="auto"/>
        <w:ind w:firstLine="431" w:firstLineChars="177"/>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3.6进度保障措施：按照征集人要求能按时完成项目，制定包括进度计划、人员配备、资源配备计划、在服务期限内完成项目任务的进度控制措施和处理方法。</w:t>
      </w:r>
    </w:p>
    <w:p w14:paraId="4DBF0133">
      <w:pPr>
        <w:spacing w:line="360" w:lineRule="auto"/>
        <w:ind w:firstLine="431" w:firstLineChars="177"/>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3.7业务操作流程：结合对预算绩效管理全流程及预算绩效管理不同阶段特点的理解，阐述预算绩效管理不同工作内容的工作思路及方法，提出完善的工作流程、工作计划及实施时间，体现标准化服务，管理服务水平符合国家和行业标准。</w:t>
      </w:r>
    </w:p>
    <w:p w14:paraId="7A3EAA95">
      <w:pPr>
        <w:spacing w:line="360" w:lineRule="auto"/>
        <w:ind w:firstLine="431" w:firstLineChars="177"/>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3.8风险管控措施：有对项目风险的识别及应对，有包括项目开展的事前、事中、事后风险控制及应急措施的详细方案和应对措施。</w:t>
      </w:r>
    </w:p>
    <w:p w14:paraId="1AE6C69E">
      <w:pPr>
        <w:spacing w:line="360" w:lineRule="auto"/>
        <w:ind w:firstLine="431" w:firstLineChars="177"/>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3.9档案管理措施：有切实可行的档案管理制度、良好的档案存放环境和存放档案的设施设备，档案资料存放达到法定的储存年限，并且档案资料具有可追溯性。</w:t>
      </w:r>
    </w:p>
    <w:p w14:paraId="2B78A74B">
      <w:pPr>
        <w:spacing w:line="360" w:lineRule="auto"/>
        <w:ind w:firstLine="431" w:firstLineChars="177"/>
        <w:rPr>
          <w:rFonts w:hint="eastAsia" w:asciiTheme="minorEastAsia" w:hAnsiTheme="minorEastAsia" w:eastAsiaTheme="minorEastAsia" w:cstheme="minorEastAsia"/>
          <w:snapToGrid w:val="0"/>
          <w:color w:val="auto"/>
          <w:spacing w:val="2"/>
          <w:kern w:val="0"/>
          <w:position w:val="17"/>
          <w:sz w:val="24"/>
          <w:szCs w:val="24"/>
          <w:highlight w:val="yellow"/>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3.10拟派项目团队：由负责人（主评人）及项目团队人员组成。应阐述项目组成员配备情况，包括组织结构，拟派负责人（主评人）、项目团队人员所具备的与预算绩效管理服务相关的专业能力、证书等内容。</w:t>
      </w:r>
    </w:p>
    <w:p w14:paraId="3300A2F0">
      <w:pPr>
        <w:spacing w:line="360" w:lineRule="auto"/>
        <w:ind w:firstLine="431" w:firstLineChars="177"/>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3.11其他内容。</w:t>
      </w:r>
    </w:p>
    <w:p w14:paraId="0A337478">
      <w:pPr>
        <w:spacing w:line="360" w:lineRule="auto"/>
        <w:ind w:firstLine="488" w:firstLineChars="200"/>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p>
    <w:p w14:paraId="14369F72">
      <w:pPr>
        <w:spacing w:line="360" w:lineRule="auto"/>
        <w:ind w:firstLine="488" w:firstLineChars="200"/>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（三）报价要求</w:t>
      </w:r>
    </w:p>
    <w:p w14:paraId="63DCE627">
      <w:pPr>
        <w:spacing w:line="360" w:lineRule="auto"/>
        <w:ind w:firstLine="431" w:firstLineChars="177"/>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1.报价为综合费率报价。即按照本征集文件所规定“基础收费标准”的百分之几收取。供应商应根据自身情况，考虑所有基础收费标准报出综合费率。</w:t>
      </w:r>
    </w:p>
    <w:p w14:paraId="469E2DE2">
      <w:pPr>
        <w:spacing w:line="360" w:lineRule="auto"/>
        <w:ind w:firstLine="431" w:firstLineChars="177"/>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如供应商响应文件或开标一览表中填写错误，将承担一切不利责任。</w:t>
      </w:r>
    </w:p>
    <w:p w14:paraId="2DE775F9">
      <w:pPr>
        <w:spacing w:line="360" w:lineRule="auto"/>
        <w:ind w:firstLine="431" w:firstLineChars="177"/>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2.供应商计费不得高于下述基础收费标准。</w:t>
      </w:r>
    </w:p>
    <w:p w14:paraId="559B366F">
      <w:pPr>
        <w:spacing w:line="360" w:lineRule="auto"/>
        <w:ind w:firstLine="431" w:firstLineChars="177"/>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3.基础收费标准</w:t>
      </w:r>
    </w:p>
    <w:p w14:paraId="0DD8DCAD">
      <w:pPr>
        <w:ind w:firstLine="480" w:firstLineChars="200"/>
        <w:rPr>
          <w:rFonts w:hint="eastAsia" w:cs="Calibri"/>
          <w:b/>
          <w:sz w:val="28"/>
          <w:szCs w:val="28"/>
        </w:rPr>
      </w:pPr>
      <w:bookmarkStart w:id="0" w:name="_Hlk200353548"/>
      <w:r>
        <w:rPr>
          <w:rFonts w:hint="eastAsia" w:ascii="宋体" w:hAnsi="宋体" w:cs="宋体"/>
          <w:b/>
          <w:bCs w:val="0"/>
          <w:sz w:val="24"/>
          <w:szCs w:val="24"/>
        </w:rPr>
        <w:t>①</w:t>
      </w:r>
      <w:r>
        <w:rPr>
          <w:rFonts w:cs="Calibri"/>
          <w:b/>
          <w:bCs w:val="0"/>
          <w:sz w:val="24"/>
          <w:szCs w:val="24"/>
        </w:rPr>
        <w:t>计件费用标准</w:t>
      </w:r>
      <w:bookmarkEnd w:id="0"/>
      <w:r>
        <w:rPr>
          <w:rFonts w:cs="Calibri"/>
          <w:b/>
          <w:bCs w:val="0"/>
          <w:sz w:val="24"/>
          <w:szCs w:val="24"/>
        </w:rPr>
        <w:t>上限</w:t>
      </w:r>
    </w:p>
    <w:p w14:paraId="6D4CD45E">
      <w:pPr>
        <w:pStyle w:val="21"/>
        <w:ind w:firstLine="476" w:firstLineChars="200"/>
        <w:rPr>
          <w:rFonts w:hint="eastAsia" w:asciiTheme="minorEastAsia" w:hAnsiTheme="minorEastAsia" w:eastAsiaTheme="minorEastAsia" w:cstheme="minorEastAsia"/>
          <w:snapToGrid w:val="0"/>
          <w:color w:val="000000"/>
          <w:spacing w:val="-1"/>
          <w:kern w:val="0"/>
          <w:sz w:val="24"/>
          <w:szCs w:val="24"/>
          <w:lang w:val="en-US" w:eastAsia="zh-CN" w:bidi="ar-SA"/>
        </w:rPr>
      </w:pPr>
    </w:p>
    <w:tbl>
      <w:tblPr>
        <w:tblStyle w:val="16"/>
        <w:tblW w:w="8079" w:type="dxa"/>
        <w:tblInd w:w="534" w:type="dxa"/>
        <w:tblLayout w:type="fixed"/>
        <w:tblCellMar>
          <w:top w:w="0" w:type="dxa"/>
          <w:left w:w="108" w:type="dxa"/>
          <w:bottom w:w="0" w:type="dxa"/>
          <w:right w:w="108" w:type="dxa"/>
        </w:tblCellMar>
      </w:tblPr>
      <w:tblGrid>
        <w:gridCol w:w="1701"/>
        <w:gridCol w:w="2976"/>
        <w:gridCol w:w="3402"/>
      </w:tblGrid>
      <w:tr w14:paraId="78FEC499">
        <w:tblPrEx>
          <w:tblCellMar>
            <w:top w:w="0" w:type="dxa"/>
            <w:left w:w="108" w:type="dxa"/>
            <w:bottom w:w="0" w:type="dxa"/>
            <w:right w:w="108" w:type="dxa"/>
          </w:tblCellMar>
        </w:tblPrEx>
        <w:trPr>
          <w:trHeight w:val="799" w:hRule="atLeast"/>
        </w:trPr>
        <w:tc>
          <w:tcPr>
            <w:tcW w:w="1701" w:type="dxa"/>
            <w:tcBorders>
              <w:top w:val="single" w:color="auto" w:sz="8" w:space="0"/>
              <w:left w:val="single" w:color="auto" w:sz="8" w:space="0"/>
              <w:bottom w:val="single" w:color="auto" w:sz="8" w:space="0"/>
              <w:right w:val="single" w:color="auto" w:sz="8" w:space="0"/>
            </w:tcBorders>
            <w:noWrap w:val="0"/>
            <w:vAlign w:val="center"/>
          </w:tcPr>
          <w:p w14:paraId="32179BD5">
            <w:pPr>
              <w:widowControl/>
              <w:jc w:val="center"/>
              <w:rPr>
                <w:b/>
                <w:bCs/>
                <w:color w:val="000000"/>
                <w:kern w:val="0"/>
                <w:sz w:val="24"/>
                <w:szCs w:val="24"/>
              </w:rPr>
            </w:pPr>
            <w:r>
              <w:rPr>
                <w:rFonts w:cs="Calibri"/>
                <w:b/>
                <w:bCs/>
                <w:color w:val="000000"/>
                <w:kern w:val="0"/>
                <w:sz w:val="24"/>
                <w:szCs w:val="24"/>
              </w:rPr>
              <w:t>计费依据</w:t>
            </w:r>
          </w:p>
        </w:tc>
        <w:tc>
          <w:tcPr>
            <w:tcW w:w="2976" w:type="dxa"/>
            <w:tcBorders>
              <w:top w:val="single" w:color="auto" w:sz="8" w:space="0"/>
              <w:left w:val="nil"/>
              <w:bottom w:val="single" w:color="auto" w:sz="8" w:space="0"/>
              <w:right w:val="single" w:color="auto" w:sz="8" w:space="0"/>
            </w:tcBorders>
            <w:noWrap w:val="0"/>
            <w:vAlign w:val="center"/>
          </w:tcPr>
          <w:p w14:paraId="1E16996F">
            <w:pPr>
              <w:widowControl/>
              <w:jc w:val="center"/>
              <w:rPr>
                <w:rFonts w:cs="宋体"/>
                <w:b/>
                <w:bCs/>
                <w:color w:val="000000"/>
                <w:kern w:val="0"/>
                <w:sz w:val="24"/>
                <w:szCs w:val="24"/>
              </w:rPr>
            </w:pPr>
            <w:r>
              <w:rPr>
                <w:rFonts w:cs="Calibri"/>
                <w:b/>
                <w:bCs/>
                <w:color w:val="000000"/>
                <w:kern w:val="0"/>
                <w:sz w:val="24"/>
                <w:szCs w:val="24"/>
              </w:rPr>
              <w:t>超额累进费率计费（万元）</w:t>
            </w:r>
          </w:p>
        </w:tc>
        <w:tc>
          <w:tcPr>
            <w:tcW w:w="3402" w:type="dxa"/>
            <w:tcBorders>
              <w:top w:val="single" w:color="auto" w:sz="8" w:space="0"/>
              <w:left w:val="nil"/>
              <w:bottom w:val="single" w:color="auto" w:sz="8" w:space="0"/>
              <w:right w:val="single" w:color="auto" w:sz="8" w:space="0"/>
            </w:tcBorders>
            <w:noWrap w:val="0"/>
            <w:vAlign w:val="center"/>
          </w:tcPr>
          <w:p w14:paraId="6241C3E2">
            <w:pPr>
              <w:widowControl/>
              <w:jc w:val="center"/>
              <w:rPr>
                <w:b/>
                <w:bCs/>
                <w:color w:val="000000"/>
                <w:kern w:val="0"/>
                <w:sz w:val="24"/>
                <w:szCs w:val="24"/>
              </w:rPr>
            </w:pPr>
            <w:r>
              <w:rPr>
                <w:rFonts w:cs="Calibri"/>
                <w:b/>
                <w:bCs/>
                <w:color w:val="000000"/>
                <w:kern w:val="0"/>
                <w:sz w:val="24"/>
                <w:szCs w:val="24"/>
              </w:rPr>
              <w:t>最高费率</w:t>
            </w:r>
            <w:r>
              <w:rPr>
                <w:rFonts w:ascii="宋体" w:hAnsi="宋体" w:cs="宋体"/>
                <w:b/>
                <w:color w:val="000000"/>
                <w:kern w:val="0"/>
                <w:sz w:val="24"/>
              </w:rPr>
              <w:t>（‰）</w:t>
            </w:r>
          </w:p>
        </w:tc>
      </w:tr>
      <w:tr w14:paraId="73EBA812">
        <w:tblPrEx>
          <w:tblCellMar>
            <w:top w:w="0" w:type="dxa"/>
            <w:left w:w="108" w:type="dxa"/>
            <w:bottom w:w="0" w:type="dxa"/>
            <w:right w:w="108" w:type="dxa"/>
          </w:tblCellMar>
        </w:tblPrEx>
        <w:trPr>
          <w:trHeight w:val="660" w:hRule="atLeast"/>
        </w:trPr>
        <w:tc>
          <w:tcPr>
            <w:tcW w:w="1701" w:type="dxa"/>
            <w:vMerge w:val="restart"/>
            <w:tcBorders>
              <w:top w:val="nil"/>
              <w:left w:val="single" w:color="auto" w:sz="8" w:space="0"/>
              <w:bottom w:val="single" w:color="auto" w:sz="8" w:space="0"/>
              <w:right w:val="single" w:color="auto" w:sz="8" w:space="0"/>
            </w:tcBorders>
            <w:noWrap w:val="0"/>
            <w:vAlign w:val="center"/>
          </w:tcPr>
          <w:p w14:paraId="02A81858">
            <w:pPr>
              <w:widowControl/>
              <w:jc w:val="center"/>
              <w:rPr>
                <w:color w:val="000000"/>
                <w:kern w:val="0"/>
                <w:sz w:val="24"/>
                <w:szCs w:val="24"/>
              </w:rPr>
            </w:pPr>
            <w:r>
              <w:rPr>
                <w:rFonts w:cs="Calibri"/>
                <w:color w:val="000000"/>
                <w:kern w:val="0"/>
                <w:sz w:val="24"/>
                <w:szCs w:val="24"/>
              </w:rPr>
              <w:t>绩效评价对象的资金规模</w:t>
            </w:r>
          </w:p>
        </w:tc>
        <w:tc>
          <w:tcPr>
            <w:tcW w:w="2976" w:type="dxa"/>
            <w:tcBorders>
              <w:top w:val="nil"/>
              <w:left w:val="nil"/>
              <w:bottom w:val="single" w:color="auto" w:sz="8" w:space="0"/>
              <w:right w:val="single" w:color="auto" w:sz="8" w:space="0"/>
            </w:tcBorders>
            <w:noWrap w:val="0"/>
            <w:vAlign w:val="center"/>
          </w:tcPr>
          <w:p w14:paraId="51F5F311">
            <w:pPr>
              <w:widowControl/>
              <w:jc w:val="center"/>
              <w:rPr>
                <w:color w:val="000000"/>
                <w:kern w:val="0"/>
                <w:sz w:val="24"/>
                <w:szCs w:val="24"/>
              </w:rPr>
            </w:pPr>
            <w:r>
              <w:rPr>
                <w:color w:val="000000"/>
                <w:kern w:val="0"/>
                <w:sz w:val="24"/>
                <w:szCs w:val="24"/>
              </w:rPr>
              <w:t>X</w:t>
            </w:r>
            <w:r>
              <w:rPr>
                <w:rFonts w:cs="Calibri"/>
                <w:color w:val="000000"/>
                <w:kern w:val="0"/>
                <w:sz w:val="24"/>
                <w:szCs w:val="24"/>
              </w:rPr>
              <w:t>≤</w:t>
            </w:r>
            <w:r>
              <w:rPr>
                <w:color w:val="000000"/>
                <w:kern w:val="0"/>
                <w:sz w:val="24"/>
                <w:szCs w:val="24"/>
              </w:rPr>
              <w:t>500</w:t>
            </w:r>
          </w:p>
        </w:tc>
        <w:tc>
          <w:tcPr>
            <w:tcW w:w="3402" w:type="dxa"/>
            <w:tcBorders>
              <w:top w:val="nil"/>
              <w:left w:val="nil"/>
              <w:bottom w:val="single" w:color="auto" w:sz="8" w:space="0"/>
              <w:right w:val="single" w:color="auto" w:sz="8" w:space="0"/>
            </w:tcBorders>
            <w:noWrap/>
            <w:vAlign w:val="center"/>
          </w:tcPr>
          <w:p w14:paraId="674B5D43">
            <w:pPr>
              <w:widowControl/>
              <w:jc w:val="center"/>
              <w:rPr>
                <w:rFonts w:hint="default"/>
                <w:kern w:val="0"/>
                <w:sz w:val="24"/>
                <w:szCs w:val="24"/>
              </w:rPr>
            </w:pPr>
            <w:r>
              <w:rPr>
                <w:kern w:val="0"/>
                <w:sz w:val="24"/>
                <w:szCs w:val="24"/>
              </w:rPr>
              <w:t>3.78</w:t>
            </w:r>
          </w:p>
        </w:tc>
      </w:tr>
      <w:tr w14:paraId="3447BF49">
        <w:tblPrEx>
          <w:tblCellMar>
            <w:top w:w="0" w:type="dxa"/>
            <w:left w:w="108" w:type="dxa"/>
            <w:bottom w:w="0" w:type="dxa"/>
            <w:right w:w="108" w:type="dxa"/>
          </w:tblCellMar>
        </w:tblPrEx>
        <w:trPr>
          <w:trHeight w:val="660" w:hRule="atLeast"/>
        </w:trPr>
        <w:tc>
          <w:tcPr>
            <w:tcW w:w="1701" w:type="dxa"/>
            <w:vMerge w:val="continue"/>
            <w:tcBorders>
              <w:top w:val="nil"/>
              <w:left w:val="single" w:color="auto" w:sz="8" w:space="0"/>
              <w:bottom w:val="single" w:color="auto" w:sz="8" w:space="0"/>
              <w:right w:val="single" w:color="auto" w:sz="8" w:space="0"/>
            </w:tcBorders>
            <w:noWrap w:val="0"/>
            <w:vAlign w:val="center"/>
          </w:tcPr>
          <w:p w14:paraId="30F3691C">
            <w:pPr>
              <w:widowControl/>
              <w:jc w:val="left"/>
              <w:rPr>
                <w:rFonts w:ascii="宋体" w:hAnsi="宋体" w:cs="宋体"/>
                <w:color w:val="000000"/>
                <w:kern w:val="0"/>
                <w:sz w:val="24"/>
                <w:szCs w:val="24"/>
              </w:rPr>
            </w:pPr>
          </w:p>
        </w:tc>
        <w:tc>
          <w:tcPr>
            <w:tcW w:w="2976" w:type="dxa"/>
            <w:tcBorders>
              <w:top w:val="nil"/>
              <w:left w:val="nil"/>
              <w:bottom w:val="single" w:color="auto" w:sz="8" w:space="0"/>
              <w:right w:val="single" w:color="auto" w:sz="8" w:space="0"/>
            </w:tcBorders>
            <w:noWrap w:val="0"/>
            <w:vAlign w:val="center"/>
          </w:tcPr>
          <w:p w14:paraId="0C66ED0B">
            <w:pPr>
              <w:widowControl/>
              <w:jc w:val="center"/>
              <w:rPr>
                <w:color w:val="000000"/>
                <w:kern w:val="0"/>
                <w:sz w:val="24"/>
                <w:szCs w:val="24"/>
              </w:rPr>
            </w:pPr>
            <w:r>
              <w:rPr>
                <w:color w:val="000000"/>
                <w:kern w:val="0"/>
                <w:sz w:val="24"/>
                <w:szCs w:val="24"/>
              </w:rPr>
              <w:t>500</w:t>
            </w:r>
            <w:r>
              <w:rPr>
                <w:rFonts w:cs="Calibri"/>
                <w:color w:val="000000"/>
                <w:kern w:val="0"/>
                <w:sz w:val="24"/>
                <w:szCs w:val="24"/>
              </w:rPr>
              <w:t>＜</w:t>
            </w:r>
            <w:r>
              <w:rPr>
                <w:color w:val="000000"/>
                <w:kern w:val="0"/>
                <w:sz w:val="24"/>
                <w:szCs w:val="24"/>
              </w:rPr>
              <w:t>X</w:t>
            </w:r>
            <w:r>
              <w:rPr>
                <w:rFonts w:cs="Calibri"/>
                <w:color w:val="000000"/>
                <w:kern w:val="0"/>
                <w:sz w:val="24"/>
                <w:szCs w:val="24"/>
              </w:rPr>
              <w:t>≤</w:t>
            </w:r>
            <w:r>
              <w:rPr>
                <w:color w:val="000000"/>
                <w:kern w:val="0"/>
                <w:sz w:val="24"/>
                <w:szCs w:val="24"/>
              </w:rPr>
              <w:t>2000</w:t>
            </w:r>
          </w:p>
        </w:tc>
        <w:tc>
          <w:tcPr>
            <w:tcW w:w="3402" w:type="dxa"/>
            <w:tcBorders>
              <w:top w:val="nil"/>
              <w:left w:val="nil"/>
              <w:bottom w:val="single" w:color="auto" w:sz="8" w:space="0"/>
              <w:right w:val="single" w:color="auto" w:sz="8" w:space="0"/>
            </w:tcBorders>
            <w:noWrap/>
            <w:vAlign w:val="center"/>
          </w:tcPr>
          <w:p w14:paraId="31B1061D">
            <w:pPr>
              <w:widowControl/>
              <w:jc w:val="center"/>
              <w:rPr>
                <w:rFonts w:hint="default"/>
                <w:kern w:val="0"/>
                <w:sz w:val="24"/>
                <w:szCs w:val="24"/>
              </w:rPr>
            </w:pPr>
            <w:r>
              <w:rPr>
                <w:kern w:val="0"/>
                <w:sz w:val="24"/>
                <w:szCs w:val="24"/>
              </w:rPr>
              <w:t>0.96</w:t>
            </w:r>
          </w:p>
        </w:tc>
      </w:tr>
      <w:tr w14:paraId="6598C35B">
        <w:tblPrEx>
          <w:tblCellMar>
            <w:top w:w="0" w:type="dxa"/>
            <w:left w:w="108" w:type="dxa"/>
            <w:bottom w:w="0" w:type="dxa"/>
            <w:right w:w="108" w:type="dxa"/>
          </w:tblCellMar>
        </w:tblPrEx>
        <w:trPr>
          <w:trHeight w:val="660" w:hRule="atLeast"/>
        </w:trPr>
        <w:tc>
          <w:tcPr>
            <w:tcW w:w="1701" w:type="dxa"/>
            <w:vMerge w:val="continue"/>
            <w:tcBorders>
              <w:top w:val="nil"/>
              <w:left w:val="single" w:color="auto" w:sz="8" w:space="0"/>
              <w:bottom w:val="single" w:color="auto" w:sz="8" w:space="0"/>
              <w:right w:val="single" w:color="auto" w:sz="8" w:space="0"/>
            </w:tcBorders>
            <w:noWrap w:val="0"/>
            <w:vAlign w:val="center"/>
          </w:tcPr>
          <w:p w14:paraId="13E73164">
            <w:pPr>
              <w:widowControl/>
              <w:jc w:val="left"/>
              <w:rPr>
                <w:rFonts w:ascii="宋体" w:hAnsi="宋体" w:cs="宋体"/>
                <w:color w:val="000000"/>
                <w:kern w:val="0"/>
                <w:sz w:val="24"/>
                <w:szCs w:val="24"/>
              </w:rPr>
            </w:pPr>
          </w:p>
        </w:tc>
        <w:tc>
          <w:tcPr>
            <w:tcW w:w="2976" w:type="dxa"/>
            <w:tcBorders>
              <w:top w:val="nil"/>
              <w:left w:val="nil"/>
              <w:bottom w:val="single" w:color="auto" w:sz="8" w:space="0"/>
              <w:right w:val="single" w:color="auto" w:sz="8" w:space="0"/>
            </w:tcBorders>
            <w:noWrap w:val="0"/>
            <w:vAlign w:val="center"/>
          </w:tcPr>
          <w:p w14:paraId="02364AEE">
            <w:pPr>
              <w:widowControl/>
              <w:jc w:val="center"/>
              <w:rPr>
                <w:color w:val="000000"/>
                <w:kern w:val="0"/>
                <w:sz w:val="24"/>
                <w:szCs w:val="24"/>
              </w:rPr>
            </w:pPr>
            <w:r>
              <w:rPr>
                <w:color w:val="000000"/>
                <w:kern w:val="0"/>
                <w:sz w:val="24"/>
                <w:szCs w:val="24"/>
              </w:rPr>
              <w:t>2000</w:t>
            </w:r>
            <w:r>
              <w:rPr>
                <w:rFonts w:cs="Calibri"/>
                <w:color w:val="000000"/>
                <w:kern w:val="0"/>
                <w:sz w:val="24"/>
                <w:szCs w:val="24"/>
              </w:rPr>
              <w:t>＜</w:t>
            </w:r>
            <w:r>
              <w:rPr>
                <w:color w:val="000000"/>
                <w:kern w:val="0"/>
                <w:sz w:val="24"/>
                <w:szCs w:val="24"/>
              </w:rPr>
              <w:t>X</w:t>
            </w:r>
            <w:r>
              <w:rPr>
                <w:rFonts w:cs="Calibri"/>
                <w:color w:val="000000"/>
                <w:kern w:val="0"/>
                <w:sz w:val="24"/>
                <w:szCs w:val="24"/>
              </w:rPr>
              <w:t>≤</w:t>
            </w:r>
            <w:r>
              <w:rPr>
                <w:color w:val="000000"/>
                <w:kern w:val="0"/>
                <w:sz w:val="24"/>
                <w:szCs w:val="24"/>
              </w:rPr>
              <w:t>5000</w:t>
            </w:r>
          </w:p>
        </w:tc>
        <w:tc>
          <w:tcPr>
            <w:tcW w:w="3402" w:type="dxa"/>
            <w:tcBorders>
              <w:top w:val="nil"/>
              <w:left w:val="nil"/>
              <w:bottom w:val="single" w:color="auto" w:sz="8" w:space="0"/>
              <w:right w:val="single" w:color="auto" w:sz="8" w:space="0"/>
            </w:tcBorders>
            <w:noWrap/>
            <w:vAlign w:val="center"/>
          </w:tcPr>
          <w:p w14:paraId="10BD3F7E">
            <w:pPr>
              <w:widowControl/>
              <w:jc w:val="center"/>
              <w:rPr>
                <w:rFonts w:hint="default"/>
                <w:kern w:val="0"/>
                <w:sz w:val="24"/>
                <w:szCs w:val="24"/>
              </w:rPr>
            </w:pPr>
            <w:r>
              <w:rPr>
                <w:kern w:val="0"/>
                <w:sz w:val="24"/>
                <w:szCs w:val="24"/>
              </w:rPr>
              <w:t>0.36</w:t>
            </w:r>
          </w:p>
        </w:tc>
      </w:tr>
      <w:tr w14:paraId="08724F2D">
        <w:tblPrEx>
          <w:tblCellMar>
            <w:top w:w="0" w:type="dxa"/>
            <w:left w:w="108" w:type="dxa"/>
            <w:bottom w:w="0" w:type="dxa"/>
            <w:right w:w="108" w:type="dxa"/>
          </w:tblCellMar>
        </w:tblPrEx>
        <w:trPr>
          <w:trHeight w:val="660" w:hRule="atLeast"/>
        </w:trPr>
        <w:tc>
          <w:tcPr>
            <w:tcW w:w="1701" w:type="dxa"/>
            <w:vMerge w:val="continue"/>
            <w:tcBorders>
              <w:top w:val="nil"/>
              <w:left w:val="single" w:color="auto" w:sz="8" w:space="0"/>
              <w:bottom w:val="single" w:color="auto" w:sz="8" w:space="0"/>
              <w:right w:val="single" w:color="auto" w:sz="8" w:space="0"/>
            </w:tcBorders>
            <w:noWrap w:val="0"/>
            <w:vAlign w:val="center"/>
          </w:tcPr>
          <w:p w14:paraId="22D072FE">
            <w:pPr>
              <w:widowControl/>
              <w:jc w:val="left"/>
              <w:rPr>
                <w:rFonts w:ascii="宋体" w:hAnsi="宋体" w:cs="宋体"/>
                <w:color w:val="000000"/>
                <w:kern w:val="0"/>
                <w:sz w:val="24"/>
                <w:szCs w:val="24"/>
              </w:rPr>
            </w:pPr>
          </w:p>
        </w:tc>
        <w:tc>
          <w:tcPr>
            <w:tcW w:w="2976" w:type="dxa"/>
            <w:tcBorders>
              <w:top w:val="nil"/>
              <w:left w:val="nil"/>
              <w:bottom w:val="single" w:color="auto" w:sz="8" w:space="0"/>
              <w:right w:val="single" w:color="auto" w:sz="8" w:space="0"/>
            </w:tcBorders>
            <w:noWrap w:val="0"/>
            <w:vAlign w:val="center"/>
          </w:tcPr>
          <w:p w14:paraId="4EF4F4B8">
            <w:pPr>
              <w:widowControl/>
              <w:jc w:val="center"/>
              <w:rPr>
                <w:color w:val="000000"/>
                <w:kern w:val="0"/>
                <w:sz w:val="24"/>
                <w:szCs w:val="24"/>
              </w:rPr>
            </w:pPr>
            <w:r>
              <w:rPr>
                <w:color w:val="000000"/>
                <w:kern w:val="0"/>
                <w:sz w:val="24"/>
                <w:szCs w:val="24"/>
              </w:rPr>
              <w:t>5000</w:t>
            </w:r>
            <w:r>
              <w:rPr>
                <w:rFonts w:cs="Calibri"/>
                <w:color w:val="000000"/>
                <w:kern w:val="0"/>
                <w:sz w:val="24"/>
                <w:szCs w:val="24"/>
              </w:rPr>
              <w:t>＜</w:t>
            </w:r>
            <w:r>
              <w:rPr>
                <w:color w:val="000000"/>
                <w:kern w:val="0"/>
                <w:sz w:val="24"/>
                <w:szCs w:val="24"/>
              </w:rPr>
              <w:t>X</w:t>
            </w:r>
            <w:r>
              <w:rPr>
                <w:rFonts w:cs="Calibri"/>
                <w:color w:val="000000"/>
                <w:kern w:val="0"/>
                <w:sz w:val="24"/>
                <w:szCs w:val="24"/>
              </w:rPr>
              <w:t>≤</w:t>
            </w:r>
            <w:r>
              <w:rPr>
                <w:color w:val="000000"/>
                <w:kern w:val="0"/>
                <w:sz w:val="24"/>
                <w:szCs w:val="24"/>
              </w:rPr>
              <w:t>10000</w:t>
            </w:r>
          </w:p>
        </w:tc>
        <w:tc>
          <w:tcPr>
            <w:tcW w:w="3402" w:type="dxa"/>
            <w:tcBorders>
              <w:top w:val="nil"/>
              <w:left w:val="nil"/>
              <w:bottom w:val="single" w:color="auto" w:sz="8" w:space="0"/>
              <w:right w:val="single" w:color="auto" w:sz="8" w:space="0"/>
            </w:tcBorders>
            <w:noWrap/>
            <w:vAlign w:val="center"/>
          </w:tcPr>
          <w:p w14:paraId="6BF4E75C">
            <w:pPr>
              <w:widowControl/>
              <w:jc w:val="center"/>
              <w:rPr>
                <w:rFonts w:hint="default"/>
                <w:kern w:val="0"/>
                <w:sz w:val="24"/>
                <w:szCs w:val="24"/>
              </w:rPr>
            </w:pPr>
            <w:r>
              <w:rPr>
                <w:kern w:val="0"/>
                <w:sz w:val="24"/>
                <w:szCs w:val="24"/>
              </w:rPr>
              <w:t>0.198</w:t>
            </w:r>
          </w:p>
        </w:tc>
      </w:tr>
      <w:tr w14:paraId="6A006829">
        <w:tblPrEx>
          <w:tblCellMar>
            <w:top w:w="0" w:type="dxa"/>
            <w:left w:w="108" w:type="dxa"/>
            <w:bottom w:w="0" w:type="dxa"/>
            <w:right w:w="108" w:type="dxa"/>
          </w:tblCellMar>
        </w:tblPrEx>
        <w:trPr>
          <w:trHeight w:val="660" w:hRule="atLeast"/>
        </w:trPr>
        <w:tc>
          <w:tcPr>
            <w:tcW w:w="1701" w:type="dxa"/>
            <w:vMerge w:val="continue"/>
            <w:tcBorders>
              <w:top w:val="nil"/>
              <w:left w:val="single" w:color="auto" w:sz="8" w:space="0"/>
              <w:bottom w:val="single" w:color="auto" w:sz="8" w:space="0"/>
              <w:right w:val="single" w:color="auto" w:sz="8" w:space="0"/>
            </w:tcBorders>
            <w:noWrap w:val="0"/>
            <w:vAlign w:val="center"/>
          </w:tcPr>
          <w:p w14:paraId="3DBF644F">
            <w:pPr>
              <w:widowControl/>
              <w:jc w:val="left"/>
              <w:rPr>
                <w:rFonts w:ascii="宋体" w:hAnsi="宋体" w:cs="宋体"/>
                <w:color w:val="000000"/>
                <w:kern w:val="0"/>
                <w:sz w:val="24"/>
                <w:szCs w:val="24"/>
              </w:rPr>
            </w:pPr>
          </w:p>
        </w:tc>
        <w:tc>
          <w:tcPr>
            <w:tcW w:w="2976" w:type="dxa"/>
            <w:tcBorders>
              <w:top w:val="nil"/>
              <w:left w:val="nil"/>
              <w:bottom w:val="single" w:color="auto" w:sz="8" w:space="0"/>
              <w:right w:val="single" w:color="auto" w:sz="8" w:space="0"/>
            </w:tcBorders>
            <w:noWrap w:val="0"/>
            <w:vAlign w:val="center"/>
          </w:tcPr>
          <w:p w14:paraId="7587D563">
            <w:pPr>
              <w:widowControl/>
              <w:jc w:val="center"/>
              <w:rPr>
                <w:color w:val="000000"/>
                <w:kern w:val="0"/>
                <w:sz w:val="24"/>
                <w:szCs w:val="24"/>
              </w:rPr>
            </w:pPr>
            <w:r>
              <w:rPr>
                <w:color w:val="000000"/>
                <w:kern w:val="0"/>
                <w:sz w:val="24"/>
                <w:szCs w:val="24"/>
              </w:rPr>
              <w:t>10000</w:t>
            </w:r>
            <w:r>
              <w:rPr>
                <w:rFonts w:cs="Calibri"/>
                <w:color w:val="000000"/>
                <w:kern w:val="0"/>
                <w:sz w:val="24"/>
                <w:szCs w:val="24"/>
              </w:rPr>
              <w:t>＜</w:t>
            </w:r>
            <w:r>
              <w:rPr>
                <w:color w:val="000000"/>
                <w:kern w:val="0"/>
                <w:sz w:val="24"/>
                <w:szCs w:val="24"/>
              </w:rPr>
              <w:t>X</w:t>
            </w:r>
            <w:r>
              <w:rPr>
                <w:rFonts w:cs="Calibri"/>
                <w:color w:val="000000"/>
                <w:kern w:val="0"/>
                <w:sz w:val="24"/>
                <w:szCs w:val="24"/>
              </w:rPr>
              <w:t>≤</w:t>
            </w:r>
            <w:r>
              <w:rPr>
                <w:color w:val="000000"/>
                <w:kern w:val="0"/>
                <w:sz w:val="24"/>
                <w:szCs w:val="24"/>
              </w:rPr>
              <w:t>50000</w:t>
            </w:r>
          </w:p>
        </w:tc>
        <w:tc>
          <w:tcPr>
            <w:tcW w:w="3402" w:type="dxa"/>
            <w:tcBorders>
              <w:top w:val="nil"/>
              <w:left w:val="nil"/>
              <w:bottom w:val="single" w:color="auto" w:sz="8" w:space="0"/>
              <w:right w:val="single" w:color="auto" w:sz="8" w:space="0"/>
            </w:tcBorders>
            <w:noWrap/>
            <w:vAlign w:val="center"/>
          </w:tcPr>
          <w:p w14:paraId="2611856F">
            <w:pPr>
              <w:widowControl/>
              <w:jc w:val="center"/>
              <w:rPr>
                <w:rFonts w:hint="default"/>
                <w:kern w:val="0"/>
                <w:sz w:val="24"/>
                <w:szCs w:val="24"/>
              </w:rPr>
            </w:pPr>
            <w:r>
              <w:rPr>
                <w:kern w:val="0"/>
                <w:sz w:val="24"/>
                <w:szCs w:val="24"/>
              </w:rPr>
              <w:t>0.03</w:t>
            </w:r>
          </w:p>
        </w:tc>
      </w:tr>
      <w:tr w14:paraId="00133393">
        <w:tblPrEx>
          <w:tblCellMar>
            <w:top w:w="0" w:type="dxa"/>
            <w:left w:w="108" w:type="dxa"/>
            <w:bottom w:w="0" w:type="dxa"/>
            <w:right w:w="108" w:type="dxa"/>
          </w:tblCellMar>
        </w:tblPrEx>
        <w:trPr>
          <w:trHeight w:val="660" w:hRule="atLeast"/>
        </w:trPr>
        <w:tc>
          <w:tcPr>
            <w:tcW w:w="1701" w:type="dxa"/>
            <w:vMerge w:val="continue"/>
            <w:tcBorders>
              <w:top w:val="nil"/>
              <w:left w:val="single" w:color="auto" w:sz="8" w:space="0"/>
              <w:bottom w:val="single" w:color="auto" w:sz="8" w:space="0"/>
              <w:right w:val="single" w:color="auto" w:sz="8" w:space="0"/>
            </w:tcBorders>
            <w:noWrap w:val="0"/>
            <w:vAlign w:val="center"/>
          </w:tcPr>
          <w:p w14:paraId="07FF3F6E">
            <w:pPr>
              <w:widowControl/>
              <w:jc w:val="left"/>
              <w:rPr>
                <w:rFonts w:ascii="宋体" w:hAnsi="宋体" w:cs="宋体"/>
                <w:color w:val="000000"/>
                <w:kern w:val="0"/>
                <w:sz w:val="24"/>
                <w:szCs w:val="24"/>
              </w:rPr>
            </w:pPr>
          </w:p>
        </w:tc>
        <w:tc>
          <w:tcPr>
            <w:tcW w:w="2976" w:type="dxa"/>
            <w:tcBorders>
              <w:top w:val="nil"/>
              <w:left w:val="nil"/>
              <w:bottom w:val="single" w:color="auto" w:sz="8" w:space="0"/>
              <w:right w:val="single" w:color="auto" w:sz="8" w:space="0"/>
            </w:tcBorders>
            <w:noWrap w:val="0"/>
            <w:vAlign w:val="center"/>
          </w:tcPr>
          <w:p w14:paraId="27502B0C">
            <w:pPr>
              <w:widowControl/>
              <w:jc w:val="center"/>
              <w:rPr>
                <w:color w:val="000000"/>
                <w:kern w:val="0"/>
                <w:sz w:val="24"/>
                <w:szCs w:val="24"/>
              </w:rPr>
            </w:pPr>
            <w:r>
              <w:rPr>
                <w:color w:val="000000"/>
                <w:kern w:val="0"/>
                <w:sz w:val="24"/>
                <w:szCs w:val="24"/>
              </w:rPr>
              <w:t>50000</w:t>
            </w:r>
            <w:r>
              <w:rPr>
                <w:rFonts w:cs="Calibri"/>
                <w:color w:val="000000"/>
                <w:kern w:val="0"/>
                <w:sz w:val="24"/>
                <w:szCs w:val="24"/>
              </w:rPr>
              <w:t>＜</w:t>
            </w:r>
            <w:r>
              <w:rPr>
                <w:color w:val="000000"/>
                <w:kern w:val="0"/>
                <w:sz w:val="24"/>
                <w:szCs w:val="24"/>
              </w:rPr>
              <w:t>X</w:t>
            </w:r>
            <w:r>
              <w:rPr>
                <w:rFonts w:cs="Calibri"/>
                <w:color w:val="000000"/>
                <w:kern w:val="0"/>
                <w:sz w:val="24"/>
                <w:szCs w:val="24"/>
              </w:rPr>
              <w:t>≤</w:t>
            </w:r>
            <w:r>
              <w:rPr>
                <w:color w:val="000000"/>
                <w:kern w:val="0"/>
                <w:sz w:val="24"/>
                <w:szCs w:val="24"/>
              </w:rPr>
              <w:t>100000</w:t>
            </w:r>
          </w:p>
        </w:tc>
        <w:tc>
          <w:tcPr>
            <w:tcW w:w="3402" w:type="dxa"/>
            <w:tcBorders>
              <w:top w:val="nil"/>
              <w:left w:val="nil"/>
              <w:bottom w:val="single" w:color="auto" w:sz="8" w:space="0"/>
              <w:right w:val="single" w:color="auto" w:sz="8" w:space="0"/>
            </w:tcBorders>
            <w:noWrap/>
            <w:vAlign w:val="center"/>
          </w:tcPr>
          <w:p w14:paraId="5F344316">
            <w:pPr>
              <w:widowControl/>
              <w:jc w:val="center"/>
              <w:rPr>
                <w:rFonts w:hint="default"/>
                <w:kern w:val="0"/>
                <w:sz w:val="24"/>
                <w:szCs w:val="24"/>
              </w:rPr>
            </w:pPr>
            <w:r>
              <w:rPr>
                <w:kern w:val="0"/>
                <w:sz w:val="24"/>
                <w:szCs w:val="24"/>
              </w:rPr>
              <w:t>0.012</w:t>
            </w:r>
          </w:p>
        </w:tc>
      </w:tr>
      <w:tr w14:paraId="4E8C5D1C">
        <w:tblPrEx>
          <w:tblCellMar>
            <w:top w:w="0" w:type="dxa"/>
            <w:left w:w="108" w:type="dxa"/>
            <w:bottom w:w="0" w:type="dxa"/>
            <w:right w:w="108" w:type="dxa"/>
          </w:tblCellMar>
        </w:tblPrEx>
        <w:trPr>
          <w:trHeight w:val="660" w:hRule="atLeast"/>
        </w:trPr>
        <w:tc>
          <w:tcPr>
            <w:tcW w:w="1701" w:type="dxa"/>
            <w:vMerge w:val="continue"/>
            <w:tcBorders>
              <w:top w:val="nil"/>
              <w:left w:val="single" w:color="auto" w:sz="8" w:space="0"/>
              <w:bottom w:val="single" w:color="auto" w:sz="8" w:space="0"/>
              <w:right w:val="single" w:color="auto" w:sz="8" w:space="0"/>
            </w:tcBorders>
            <w:noWrap w:val="0"/>
            <w:vAlign w:val="center"/>
          </w:tcPr>
          <w:p w14:paraId="124A8489">
            <w:pPr>
              <w:widowControl/>
              <w:jc w:val="left"/>
              <w:rPr>
                <w:rFonts w:ascii="宋体" w:hAnsi="宋体" w:cs="宋体"/>
                <w:color w:val="000000"/>
                <w:kern w:val="0"/>
                <w:sz w:val="24"/>
                <w:szCs w:val="24"/>
              </w:rPr>
            </w:pPr>
          </w:p>
        </w:tc>
        <w:tc>
          <w:tcPr>
            <w:tcW w:w="2976" w:type="dxa"/>
            <w:tcBorders>
              <w:top w:val="nil"/>
              <w:left w:val="nil"/>
              <w:bottom w:val="single" w:color="auto" w:sz="8" w:space="0"/>
              <w:right w:val="single" w:color="auto" w:sz="8" w:space="0"/>
            </w:tcBorders>
            <w:noWrap w:val="0"/>
            <w:vAlign w:val="center"/>
          </w:tcPr>
          <w:p w14:paraId="137741B4">
            <w:pPr>
              <w:widowControl/>
              <w:jc w:val="center"/>
              <w:rPr>
                <w:color w:val="000000"/>
                <w:kern w:val="0"/>
                <w:sz w:val="24"/>
                <w:szCs w:val="24"/>
              </w:rPr>
            </w:pPr>
            <w:r>
              <w:rPr>
                <w:color w:val="000000"/>
                <w:kern w:val="0"/>
                <w:sz w:val="24"/>
                <w:szCs w:val="24"/>
              </w:rPr>
              <w:t>X</w:t>
            </w:r>
            <w:r>
              <w:rPr>
                <w:rFonts w:cs="Calibri"/>
                <w:color w:val="000000"/>
                <w:kern w:val="0"/>
                <w:sz w:val="24"/>
                <w:szCs w:val="24"/>
              </w:rPr>
              <w:t>＞</w:t>
            </w:r>
            <w:r>
              <w:rPr>
                <w:color w:val="000000"/>
                <w:kern w:val="0"/>
                <w:sz w:val="24"/>
                <w:szCs w:val="24"/>
              </w:rPr>
              <w:t>100000</w:t>
            </w:r>
          </w:p>
        </w:tc>
        <w:tc>
          <w:tcPr>
            <w:tcW w:w="3402" w:type="dxa"/>
            <w:tcBorders>
              <w:top w:val="nil"/>
              <w:left w:val="nil"/>
              <w:bottom w:val="single" w:color="auto" w:sz="8" w:space="0"/>
              <w:right w:val="single" w:color="auto" w:sz="8" w:space="0"/>
            </w:tcBorders>
            <w:noWrap/>
            <w:vAlign w:val="center"/>
          </w:tcPr>
          <w:p w14:paraId="562C3451">
            <w:pPr>
              <w:widowControl/>
              <w:jc w:val="center"/>
              <w:rPr>
                <w:rFonts w:hint="default"/>
                <w:kern w:val="0"/>
                <w:sz w:val="24"/>
                <w:szCs w:val="24"/>
              </w:rPr>
            </w:pPr>
            <w:r>
              <w:rPr>
                <w:kern w:val="0"/>
                <w:sz w:val="24"/>
                <w:szCs w:val="24"/>
              </w:rPr>
              <w:t>0.006</w:t>
            </w:r>
          </w:p>
        </w:tc>
      </w:tr>
    </w:tbl>
    <w:p w14:paraId="5238E8C7">
      <w:pPr>
        <w:pStyle w:val="30"/>
        <w:adjustRightInd w:val="0"/>
        <w:spacing w:after="0" w:line="360" w:lineRule="auto"/>
        <w:ind w:left="0" w:leftChars="0" w:firstLine="560"/>
        <w:jc w:val="left"/>
        <w:textAlignment w:val="baseline"/>
        <w:rPr>
          <w:rFonts w:hint="eastAsia" w:ascii="宋体" w:hAnsi="宋体"/>
          <w:b/>
          <w:sz w:val="24"/>
          <w:szCs w:val="24"/>
        </w:rPr>
      </w:pPr>
      <w:r>
        <w:rPr>
          <w:rFonts w:hint="eastAsia" w:ascii="宋体" w:hAnsi="宋体" w:cs="宋体"/>
          <w:b/>
          <w:sz w:val="24"/>
          <w:szCs w:val="24"/>
        </w:rPr>
        <w:t>②</w:t>
      </w:r>
      <w:r>
        <w:rPr>
          <w:rFonts w:ascii="Calibri" w:hAnsi="Calibri" w:cs="Calibri"/>
          <w:b/>
          <w:sz w:val="24"/>
          <w:szCs w:val="24"/>
        </w:rPr>
        <w:t>计时费用标准上限：</w:t>
      </w:r>
    </w:p>
    <w:tbl>
      <w:tblPr>
        <w:tblStyle w:val="16"/>
        <w:tblW w:w="8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3685"/>
        <w:gridCol w:w="3515"/>
      </w:tblGrid>
      <w:tr w14:paraId="21D3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011" w:type="dxa"/>
            <w:tcBorders>
              <w:top w:val="single" w:color="auto" w:sz="4" w:space="0"/>
              <w:left w:val="single" w:color="auto" w:sz="4" w:space="0"/>
              <w:bottom w:val="single" w:color="auto" w:sz="4" w:space="0"/>
              <w:right w:val="single" w:color="auto" w:sz="4" w:space="0"/>
            </w:tcBorders>
            <w:noWrap w:val="0"/>
            <w:vAlign w:val="center"/>
          </w:tcPr>
          <w:p w14:paraId="1FEBBCEB">
            <w:pPr>
              <w:widowControl/>
              <w:spacing w:line="560" w:lineRule="exact"/>
              <w:jc w:val="center"/>
              <w:rPr>
                <w:b/>
                <w:bCs/>
                <w:color w:val="000000"/>
                <w:kern w:val="0"/>
                <w:sz w:val="24"/>
                <w:szCs w:val="24"/>
              </w:rPr>
            </w:pPr>
            <w:bookmarkStart w:id="1" w:name="_Hlk200353591"/>
            <w:r>
              <w:rPr>
                <w:rFonts w:cs="Calibri"/>
                <w:b/>
                <w:bCs/>
                <w:color w:val="000000"/>
                <w:kern w:val="0"/>
                <w:sz w:val="24"/>
                <w:szCs w:val="24"/>
              </w:rPr>
              <w:t>序号</w:t>
            </w:r>
          </w:p>
        </w:tc>
        <w:tc>
          <w:tcPr>
            <w:tcW w:w="3685" w:type="dxa"/>
            <w:tcBorders>
              <w:top w:val="single" w:color="auto" w:sz="4" w:space="0"/>
              <w:left w:val="nil"/>
              <w:bottom w:val="single" w:color="auto" w:sz="4" w:space="0"/>
              <w:right w:val="single" w:color="auto" w:sz="4" w:space="0"/>
            </w:tcBorders>
            <w:noWrap w:val="0"/>
            <w:vAlign w:val="center"/>
          </w:tcPr>
          <w:p w14:paraId="492D0966">
            <w:pPr>
              <w:widowControl/>
              <w:spacing w:line="560" w:lineRule="exact"/>
              <w:jc w:val="center"/>
              <w:rPr>
                <w:b/>
                <w:bCs/>
                <w:color w:val="000000"/>
                <w:kern w:val="0"/>
                <w:sz w:val="24"/>
                <w:szCs w:val="24"/>
              </w:rPr>
            </w:pPr>
            <w:r>
              <w:rPr>
                <w:rFonts w:cs="Calibri"/>
                <w:b/>
                <w:bCs/>
                <w:color w:val="000000"/>
                <w:kern w:val="0"/>
                <w:sz w:val="24"/>
                <w:szCs w:val="24"/>
              </w:rPr>
              <w:t>人员类别</w:t>
            </w:r>
          </w:p>
        </w:tc>
        <w:tc>
          <w:tcPr>
            <w:tcW w:w="3515" w:type="dxa"/>
            <w:tcBorders>
              <w:top w:val="single" w:color="auto" w:sz="4" w:space="0"/>
              <w:left w:val="nil"/>
              <w:bottom w:val="single" w:color="auto" w:sz="4" w:space="0"/>
              <w:right w:val="single" w:color="auto" w:sz="4" w:space="0"/>
            </w:tcBorders>
            <w:noWrap w:val="0"/>
            <w:vAlign w:val="center"/>
          </w:tcPr>
          <w:p w14:paraId="7BBA7388">
            <w:pPr>
              <w:widowControl/>
              <w:spacing w:line="560" w:lineRule="exact"/>
              <w:jc w:val="center"/>
              <w:rPr>
                <w:b/>
                <w:bCs/>
                <w:color w:val="000000"/>
                <w:kern w:val="0"/>
                <w:sz w:val="24"/>
                <w:szCs w:val="24"/>
              </w:rPr>
            </w:pPr>
            <w:r>
              <w:rPr>
                <w:rFonts w:cs="Calibri"/>
                <w:b/>
                <w:bCs/>
                <w:color w:val="000000"/>
                <w:kern w:val="0"/>
                <w:sz w:val="24"/>
                <w:szCs w:val="24"/>
              </w:rPr>
              <w:t>最高收费限额（元</w:t>
            </w:r>
            <w:r>
              <w:rPr>
                <w:b/>
                <w:bCs/>
                <w:color w:val="000000"/>
                <w:kern w:val="0"/>
                <w:sz w:val="24"/>
                <w:szCs w:val="24"/>
              </w:rPr>
              <w:t>/</w:t>
            </w:r>
            <w:r>
              <w:rPr>
                <w:rFonts w:cs="Calibri"/>
                <w:b/>
                <w:bCs/>
                <w:color w:val="000000"/>
                <w:kern w:val="0"/>
                <w:sz w:val="24"/>
                <w:szCs w:val="24"/>
              </w:rPr>
              <w:t>天）</w:t>
            </w:r>
          </w:p>
        </w:tc>
      </w:tr>
      <w:tr w14:paraId="0CEB7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011" w:type="dxa"/>
            <w:tcBorders>
              <w:top w:val="single" w:color="auto" w:sz="4" w:space="0"/>
              <w:left w:val="single" w:color="auto" w:sz="4" w:space="0"/>
              <w:bottom w:val="single" w:color="auto" w:sz="4" w:space="0"/>
              <w:right w:val="single" w:color="auto" w:sz="4" w:space="0"/>
            </w:tcBorders>
            <w:noWrap w:val="0"/>
            <w:vAlign w:val="center"/>
          </w:tcPr>
          <w:p w14:paraId="6615F65E">
            <w:pPr>
              <w:widowControl/>
              <w:spacing w:line="560" w:lineRule="exact"/>
              <w:jc w:val="center"/>
              <w:rPr>
                <w:color w:val="000000"/>
                <w:kern w:val="0"/>
                <w:sz w:val="24"/>
                <w:szCs w:val="24"/>
              </w:rPr>
            </w:pPr>
            <w:r>
              <w:rPr>
                <w:color w:val="000000"/>
                <w:kern w:val="0"/>
                <w:sz w:val="24"/>
                <w:szCs w:val="24"/>
              </w:rPr>
              <w:t>1</w:t>
            </w:r>
          </w:p>
        </w:tc>
        <w:tc>
          <w:tcPr>
            <w:tcW w:w="3685" w:type="dxa"/>
            <w:tcBorders>
              <w:top w:val="single" w:color="auto" w:sz="4" w:space="0"/>
              <w:left w:val="nil"/>
              <w:bottom w:val="single" w:color="auto" w:sz="4" w:space="0"/>
              <w:right w:val="single" w:color="auto" w:sz="4" w:space="0"/>
            </w:tcBorders>
            <w:noWrap w:val="0"/>
            <w:vAlign w:val="center"/>
          </w:tcPr>
          <w:p w14:paraId="1A609D9C">
            <w:pPr>
              <w:widowControl/>
              <w:spacing w:line="560" w:lineRule="exact"/>
              <w:jc w:val="center"/>
              <w:rPr>
                <w:color w:val="000000"/>
                <w:kern w:val="0"/>
                <w:sz w:val="24"/>
                <w:szCs w:val="24"/>
              </w:rPr>
            </w:pPr>
            <w:r>
              <w:rPr>
                <w:rFonts w:cs="Calibri"/>
                <w:color w:val="000000"/>
                <w:kern w:val="0"/>
                <w:sz w:val="24"/>
                <w:szCs w:val="24"/>
              </w:rPr>
              <w:t>副高级及以上技术职称专业人员</w:t>
            </w:r>
          </w:p>
        </w:tc>
        <w:tc>
          <w:tcPr>
            <w:tcW w:w="3515" w:type="dxa"/>
            <w:tcBorders>
              <w:top w:val="single" w:color="auto" w:sz="4" w:space="0"/>
              <w:left w:val="nil"/>
              <w:bottom w:val="single" w:color="auto" w:sz="4" w:space="0"/>
              <w:right w:val="single" w:color="auto" w:sz="4" w:space="0"/>
            </w:tcBorders>
            <w:noWrap w:val="0"/>
            <w:vAlign w:val="center"/>
          </w:tcPr>
          <w:p w14:paraId="28D60545">
            <w:pPr>
              <w:widowControl/>
              <w:spacing w:line="560" w:lineRule="exact"/>
              <w:jc w:val="center"/>
              <w:rPr>
                <w:color w:val="000000"/>
                <w:kern w:val="0"/>
                <w:sz w:val="24"/>
                <w:szCs w:val="24"/>
              </w:rPr>
            </w:pPr>
            <w:r>
              <w:rPr>
                <w:color w:val="000000"/>
                <w:kern w:val="0"/>
                <w:sz w:val="24"/>
                <w:szCs w:val="24"/>
              </w:rPr>
              <w:t>500</w:t>
            </w:r>
          </w:p>
        </w:tc>
      </w:tr>
      <w:tr w14:paraId="79AC6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11" w:type="dxa"/>
            <w:tcBorders>
              <w:top w:val="single" w:color="auto" w:sz="4" w:space="0"/>
              <w:left w:val="single" w:color="auto" w:sz="4" w:space="0"/>
              <w:bottom w:val="single" w:color="auto" w:sz="4" w:space="0"/>
              <w:right w:val="single" w:color="auto" w:sz="4" w:space="0"/>
            </w:tcBorders>
            <w:noWrap w:val="0"/>
            <w:vAlign w:val="center"/>
          </w:tcPr>
          <w:p w14:paraId="593A936B">
            <w:pPr>
              <w:widowControl/>
              <w:spacing w:line="560" w:lineRule="exact"/>
              <w:jc w:val="center"/>
              <w:rPr>
                <w:color w:val="000000"/>
                <w:kern w:val="0"/>
                <w:sz w:val="24"/>
                <w:szCs w:val="24"/>
              </w:rPr>
            </w:pPr>
            <w:r>
              <w:rPr>
                <w:color w:val="000000"/>
                <w:kern w:val="0"/>
                <w:sz w:val="24"/>
                <w:szCs w:val="24"/>
              </w:rPr>
              <w:t>2</w:t>
            </w:r>
          </w:p>
        </w:tc>
        <w:tc>
          <w:tcPr>
            <w:tcW w:w="3685" w:type="dxa"/>
            <w:tcBorders>
              <w:top w:val="single" w:color="auto" w:sz="4" w:space="0"/>
              <w:left w:val="nil"/>
              <w:bottom w:val="single" w:color="auto" w:sz="4" w:space="0"/>
              <w:right w:val="single" w:color="auto" w:sz="4" w:space="0"/>
            </w:tcBorders>
            <w:noWrap w:val="0"/>
            <w:vAlign w:val="center"/>
          </w:tcPr>
          <w:p w14:paraId="54945998">
            <w:pPr>
              <w:widowControl/>
              <w:spacing w:line="560" w:lineRule="exact"/>
              <w:jc w:val="center"/>
              <w:rPr>
                <w:color w:val="000000"/>
                <w:kern w:val="0"/>
                <w:sz w:val="24"/>
                <w:szCs w:val="24"/>
              </w:rPr>
            </w:pPr>
            <w:r>
              <w:rPr>
                <w:rFonts w:cs="Calibri"/>
                <w:color w:val="000000"/>
                <w:kern w:val="0"/>
                <w:sz w:val="24"/>
                <w:szCs w:val="24"/>
              </w:rPr>
              <w:t>中级以上技术职称专业人员</w:t>
            </w:r>
          </w:p>
        </w:tc>
        <w:tc>
          <w:tcPr>
            <w:tcW w:w="3515" w:type="dxa"/>
            <w:tcBorders>
              <w:top w:val="single" w:color="auto" w:sz="4" w:space="0"/>
              <w:left w:val="nil"/>
              <w:bottom w:val="single" w:color="auto" w:sz="4" w:space="0"/>
              <w:right w:val="single" w:color="auto" w:sz="4" w:space="0"/>
            </w:tcBorders>
            <w:noWrap w:val="0"/>
            <w:vAlign w:val="center"/>
          </w:tcPr>
          <w:p w14:paraId="6C9B70C8">
            <w:pPr>
              <w:widowControl/>
              <w:spacing w:line="560" w:lineRule="exact"/>
              <w:jc w:val="center"/>
              <w:rPr>
                <w:color w:val="000000"/>
                <w:kern w:val="0"/>
                <w:sz w:val="24"/>
                <w:szCs w:val="24"/>
              </w:rPr>
            </w:pPr>
            <w:r>
              <w:rPr>
                <w:color w:val="000000"/>
                <w:kern w:val="0"/>
                <w:sz w:val="24"/>
                <w:szCs w:val="24"/>
              </w:rPr>
              <w:t>300</w:t>
            </w:r>
          </w:p>
        </w:tc>
      </w:tr>
      <w:tr w14:paraId="70220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011" w:type="dxa"/>
            <w:tcBorders>
              <w:top w:val="single" w:color="auto" w:sz="4" w:space="0"/>
              <w:left w:val="single" w:color="auto" w:sz="4" w:space="0"/>
              <w:bottom w:val="single" w:color="auto" w:sz="4" w:space="0"/>
              <w:right w:val="single" w:color="auto" w:sz="4" w:space="0"/>
            </w:tcBorders>
            <w:noWrap w:val="0"/>
            <w:vAlign w:val="center"/>
          </w:tcPr>
          <w:p w14:paraId="35BD2AF1">
            <w:pPr>
              <w:widowControl/>
              <w:spacing w:line="560" w:lineRule="exact"/>
              <w:jc w:val="center"/>
              <w:rPr>
                <w:color w:val="000000"/>
                <w:kern w:val="0"/>
                <w:sz w:val="24"/>
                <w:szCs w:val="24"/>
              </w:rPr>
            </w:pPr>
            <w:r>
              <w:rPr>
                <w:color w:val="000000"/>
                <w:kern w:val="0"/>
                <w:sz w:val="24"/>
                <w:szCs w:val="24"/>
              </w:rPr>
              <w:t>3</w:t>
            </w:r>
          </w:p>
        </w:tc>
        <w:tc>
          <w:tcPr>
            <w:tcW w:w="3685" w:type="dxa"/>
            <w:tcBorders>
              <w:top w:val="single" w:color="auto" w:sz="4" w:space="0"/>
              <w:left w:val="nil"/>
              <w:bottom w:val="single" w:color="auto" w:sz="4" w:space="0"/>
              <w:right w:val="single" w:color="auto" w:sz="4" w:space="0"/>
            </w:tcBorders>
            <w:noWrap w:val="0"/>
            <w:vAlign w:val="center"/>
          </w:tcPr>
          <w:p w14:paraId="3D1991CA">
            <w:pPr>
              <w:widowControl/>
              <w:spacing w:line="560" w:lineRule="exact"/>
              <w:jc w:val="center"/>
              <w:rPr>
                <w:color w:val="000000"/>
                <w:kern w:val="0"/>
                <w:sz w:val="24"/>
                <w:szCs w:val="24"/>
              </w:rPr>
            </w:pPr>
            <w:r>
              <w:rPr>
                <w:rFonts w:cs="Calibri"/>
                <w:color w:val="000000"/>
                <w:kern w:val="0"/>
                <w:sz w:val="24"/>
                <w:szCs w:val="24"/>
              </w:rPr>
              <w:t>助理人员</w:t>
            </w:r>
          </w:p>
        </w:tc>
        <w:tc>
          <w:tcPr>
            <w:tcW w:w="3515" w:type="dxa"/>
            <w:tcBorders>
              <w:top w:val="single" w:color="auto" w:sz="4" w:space="0"/>
              <w:left w:val="nil"/>
              <w:bottom w:val="single" w:color="auto" w:sz="4" w:space="0"/>
              <w:right w:val="single" w:color="auto" w:sz="4" w:space="0"/>
            </w:tcBorders>
            <w:noWrap w:val="0"/>
            <w:vAlign w:val="center"/>
          </w:tcPr>
          <w:p w14:paraId="273D4057">
            <w:pPr>
              <w:widowControl/>
              <w:spacing w:line="560" w:lineRule="exact"/>
              <w:jc w:val="center"/>
              <w:rPr>
                <w:color w:val="000000"/>
                <w:kern w:val="0"/>
                <w:sz w:val="24"/>
                <w:szCs w:val="24"/>
              </w:rPr>
            </w:pPr>
            <w:r>
              <w:rPr>
                <w:color w:val="000000"/>
                <w:kern w:val="0"/>
                <w:sz w:val="24"/>
                <w:szCs w:val="24"/>
              </w:rPr>
              <w:t>200</w:t>
            </w:r>
          </w:p>
        </w:tc>
      </w:tr>
      <w:bookmarkEnd w:id="1"/>
    </w:tbl>
    <w:p w14:paraId="6EED14C9">
      <w:pPr>
        <w:pStyle w:val="21"/>
        <w:ind w:firstLine="476" w:firstLineChars="20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备注：具体项目收取服务费须按征集人要求商定，但最高不得超过以上计费标准。</w:t>
      </w:r>
    </w:p>
    <w:p w14:paraId="6CFE3B16">
      <w:pPr>
        <w:pStyle w:val="21"/>
        <w:ind w:firstLine="476" w:firstLineChars="200"/>
        <w:rPr>
          <w:rFonts w:hint="eastAsia" w:asciiTheme="minorEastAsia" w:hAnsiTheme="minorEastAsia" w:eastAsiaTheme="minorEastAsia" w:cstheme="minorEastAsia"/>
          <w:snapToGrid w:val="0"/>
          <w:color w:val="000000"/>
          <w:spacing w:val="-1"/>
          <w:kern w:val="0"/>
          <w:sz w:val="24"/>
          <w:szCs w:val="24"/>
          <w:lang w:val="en-US" w:eastAsia="zh-CN" w:bidi="ar-SA"/>
        </w:rPr>
      </w:pPr>
    </w:p>
    <w:p w14:paraId="73E6CC02">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14:paraId="0C6F3D11">
      <w:pPr>
        <w:spacing w:line="360" w:lineRule="auto"/>
        <w:ind w:firstLine="431" w:firstLineChars="177"/>
        <w:rPr>
          <w:rFonts w:hint="eastAsia" w:asciiTheme="minorEastAsia" w:hAnsiTheme="minorEastAsia" w:eastAsiaTheme="minorEastAsia" w:cstheme="minorEastAsia"/>
          <w:snapToGrid w:val="0"/>
          <w:color w:val="auto"/>
          <w:spacing w:val="2"/>
          <w:kern w:val="0"/>
          <w:position w:val="17"/>
          <w:sz w:val="24"/>
          <w:szCs w:val="24"/>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1</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.适用框架协议的服务对象范围：</w:t>
      </w: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南阳</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市财政局。</w:t>
      </w:r>
    </w:p>
    <w:p w14:paraId="155DD091">
      <w:pPr>
        <w:spacing w:line="360" w:lineRule="auto"/>
        <w:ind w:firstLine="431" w:firstLineChars="177"/>
        <w:rPr>
          <w:rFonts w:hint="eastAsia" w:asciiTheme="minorEastAsia" w:hAnsiTheme="minorEastAsia" w:eastAsiaTheme="minorEastAsia" w:cstheme="minorEastAsia"/>
          <w:snapToGrid w:val="0"/>
          <w:color w:val="auto"/>
          <w:spacing w:val="2"/>
          <w:kern w:val="0"/>
          <w:position w:val="17"/>
          <w:sz w:val="24"/>
          <w:szCs w:val="24"/>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2</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.服务标准：符合国家、河南省、</w:t>
      </w: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南阳</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市有关文件规定及服务对象要求。</w:t>
      </w:r>
    </w:p>
    <w:p w14:paraId="14277AA3">
      <w:pPr>
        <w:spacing w:line="360" w:lineRule="auto"/>
        <w:ind w:firstLine="431" w:firstLineChars="177"/>
        <w:rPr>
          <w:rFonts w:hint="eastAsia" w:asciiTheme="minorEastAsia" w:hAnsiTheme="minorEastAsia" w:eastAsiaTheme="minorEastAsia" w:cstheme="minorEastAsia"/>
          <w:snapToGrid w:val="0"/>
          <w:color w:val="auto"/>
          <w:spacing w:val="2"/>
          <w:kern w:val="0"/>
          <w:position w:val="17"/>
          <w:sz w:val="24"/>
          <w:szCs w:val="24"/>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3</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服务时间：</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从框架协议生效之日起</w:t>
      </w: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2年</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w:t>
      </w:r>
    </w:p>
    <w:p w14:paraId="6B38D05E">
      <w:pPr>
        <w:spacing w:line="360" w:lineRule="auto"/>
        <w:ind w:firstLine="431" w:firstLineChars="177"/>
        <w:rPr>
          <w:rFonts w:hint="eastAsia" w:asciiTheme="minorEastAsia" w:hAnsiTheme="minorEastAsia" w:eastAsiaTheme="minorEastAsia" w:cstheme="minorEastAsia"/>
          <w:snapToGrid w:val="0"/>
          <w:color w:val="auto"/>
          <w:spacing w:val="2"/>
          <w:kern w:val="0"/>
          <w:position w:val="17"/>
          <w:sz w:val="24"/>
          <w:szCs w:val="24"/>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合同履行</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期限：</w:t>
      </w: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同框架协议期限</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w:t>
      </w:r>
    </w:p>
    <w:p w14:paraId="318C6A9D">
      <w:pPr>
        <w:spacing w:line="360" w:lineRule="auto"/>
        <w:ind w:firstLine="431" w:firstLineChars="177"/>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5.服务团队：每个单项合同服务时，派出团队除负责人（主评人）外，必须有至少一名具有中高级专业技术职称或注册会计师、评估师等执业资格证书的人员。</w:t>
      </w:r>
    </w:p>
    <w:p w14:paraId="65707274">
      <w:pPr>
        <w:spacing w:line="360" w:lineRule="auto"/>
        <w:ind w:firstLine="431" w:firstLineChars="177"/>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default" w:asciiTheme="minorEastAsia" w:hAnsiTheme="minorEastAsia" w:eastAsiaTheme="minorEastAsia" w:cstheme="minorEastAsia"/>
          <w:snapToGrid w:val="0"/>
          <w:color w:val="auto"/>
          <w:spacing w:val="2"/>
          <w:kern w:val="0"/>
          <w:position w:val="17"/>
          <w:sz w:val="24"/>
          <w:szCs w:val="24"/>
          <w:lang w:val="en-US" w:eastAsia="zh-CN" w:bidi="ar-SA"/>
        </w:rPr>
        <w:t>6.验收方式和程序：</w:t>
      </w:r>
    </w:p>
    <w:p w14:paraId="728D4AB5">
      <w:pPr>
        <w:spacing w:line="360" w:lineRule="auto"/>
        <w:ind w:firstLine="431" w:firstLineChars="177"/>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default" w:asciiTheme="minorEastAsia" w:hAnsiTheme="minorEastAsia" w:eastAsiaTheme="minorEastAsia" w:cstheme="minorEastAsia"/>
          <w:snapToGrid w:val="0"/>
          <w:color w:val="auto"/>
          <w:spacing w:val="2"/>
          <w:kern w:val="0"/>
          <w:position w:val="17"/>
          <w:sz w:val="24"/>
          <w:szCs w:val="24"/>
          <w:lang w:val="en-US" w:eastAsia="zh-CN" w:bidi="ar-SA"/>
        </w:rPr>
        <w:t>6.1验收方式：</w:t>
      </w:r>
    </w:p>
    <w:p w14:paraId="262880C9">
      <w:pPr>
        <w:spacing w:line="360" w:lineRule="auto"/>
        <w:ind w:firstLine="431" w:firstLineChars="177"/>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default" w:asciiTheme="minorEastAsia" w:hAnsiTheme="minorEastAsia" w:eastAsiaTheme="minorEastAsia" w:cstheme="minorEastAsia"/>
          <w:snapToGrid w:val="0"/>
          <w:color w:val="auto"/>
          <w:spacing w:val="2"/>
          <w:kern w:val="0"/>
          <w:position w:val="17"/>
          <w:sz w:val="24"/>
          <w:szCs w:val="24"/>
          <w:lang w:val="en-US" w:eastAsia="zh-CN" w:bidi="ar-SA"/>
        </w:rPr>
        <w:t xml:space="preserve">联合验收，验收工作由采购人相关职能科室牵头组成联合验收小组共同验收。 </w:t>
      </w:r>
    </w:p>
    <w:p w14:paraId="5025BF44">
      <w:pPr>
        <w:spacing w:line="360" w:lineRule="auto"/>
        <w:ind w:firstLine="431" w:firstLineChars="177"/>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default" w:asciiTheme="minorEastAsia" w:hAnsiTheme="minorEastAsia" w:eastAsiaTheme="minorEastAsia" w:cstheme="minorEastAsia"/>
          <w:snapToGrid w:val="0"/>
          <w:color w:val="auto"/>
          <w:spacing w:val="2"/>
          <w:kern w:val="0"/>
          <w:position w:val="17"/>
          <w:sz w:val="24"/>
          <w:szCs w:val="24"/>
          <w:lang w:val="en-US" w:eastAsia="zh-CN" w:bidi="ar-SA"/>
        </w:rPr>
        <w:t>6.2验收程序：</w:t>
      </w:r>
    </w:p>
    <w:p w14:paraId="18BA76B5">
      <w:pPr>
        <w:spacing w:line="360" w:lineRule="auto"/>
        <w:ind w:firstLine="431" w:firstLineChars="177"/>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default" w:asciiTheme="minorEastAsia" w:hAnsiTheme="minorEastAsia" w:eastAsiaTheme="minorEastAsia" w:cstheme="minorEastAsia"/>
          <w:snapToGrid w:val="0"/>
          <w:color w:val="auto"/>
          <w:spacing w:val="2"/>
          <w:kern w:val="0"/>
          <w:position w:val="17"/>
          <w:sz w:val="24"/>
          <w:szCs w:val="24"/>
          <w:lang w:val="en-US" w:eastAsia="zh-CN" w:bidi="ar-SA"/>
        </w:rPr>
        <w:t>成交人完成工作、实现总体目标，根据要求提交工作成果后一次性验收。</w:t>
      </w:r>
    </w:p>
    <w:p w14:paraId="52D89A45">
      <w:pPr>
        <w:spacing w:line="360" w:lineRule="auto"/>
        <w:ind w:firstLine="431" w:firstLineChars="177"/>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default" w:asciiTheme="minorEastAsia" w:hAnsiTheme="minorEastAsia" w:eastAsiaTheme="minorEastAsia" w:cstheme="minorEastAsia"/>
          <w:snapToGrid w:val="0"/>
          <w:color w:val="auto"/>
          <w:spacing w:val="2"/>
          <w:kern w:val="0"/>
          <w:position w:val="17"/>
          <w:sz w:val="24"/>
          <w:szCs w:val="24"/>
          <w:lang w:val="en-US" w:eastAsia="zh-CN" w:bidi="ar-SA"/>
        </w:rPr>
        <w:t>7.验收内容</w:t>
      </w:r>
    </w:p>
    <w:p w14:paraId="19478B77">
      <w:pPr>
        <w:spacing w:line="360" w:lineRule="auto"/>
        <w:ind w:firstLine="431" w:firstLineChars="177"/>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default" w:asciiTheme="minorEastAsia" w:hAnsiTheme="minorEastAsia" w:eastAsiaTheme="minorEastAsia" w:cstheme="minorEastAsia"/>
          <w:snapToGrid w:val="0"/>
          <w:color w:val="auto"/>
          <w:spacing w:val="2"/>
          <w:kern w:val="0"/>
          <w:position w:val="17"/>
          <w:sz w:val="24"/>
          <w:szCs w:val="24"/>
          <w:lang w:val="en-US" w:eastAsia="zh-CN" w:bidi="ar-SA"/>
        </w:rPr>
        <w:t>7.1技术履约内容：按照委托项目中的“技术要求”及成交人的响应文件进行验收。</w:t>
      </w:r>
    </w:p>
    <w:p w14:paraId="649881C0">
      <w:pPr>
        <w:spacing w:line="360" w:lineRule="auto"/>
        <w:ind w:firstLine="431" w:firstLineChars="177"/>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default" w:asciiTheme="minorEastAsia" w:hAnsiTheme="minorEastAsia" w:eastAsiaTheme="minorEastAsia" w:cstheme="minorEastAsia"/>
          <w:snapToGrid w:val="0"/>
          <w:color w:val="auto"/>
          <w:spacing w:val="2"/>
          <w:kern w:val="0"/>
          <w:position w:val="17"/>
          <w:sz w:val="24"/>
          <w:szCs w:val="24"/>
          <w:lang w:val="en-US" w:eastAsia="zh-CN" w:bidi="ar-SA"/>
        </w:rPr>
        <w:t>7.2商务履约内容：按照委托项目中的 “商务要求”及成交人的响应文件进行验收。</w:t>
      </w:r>
    </w:p>
    <w:p w14:paraId="27719D1D">
      <w:pPr>
        <w:spacing w:line="360" w:lineRule="auto"/>
        <w:ind w:firstLine="431" w:firstLineChars="177"/>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default" w:asciiTheme="minorEastAsia" w:hAnsiTheme="minorEastAsia" w:eastAsiaTheme="minorEastAsia" w:cstheme="minorEastAsia"/>
          <w:snapToGrid w:val="0"/>
          <w:color w:val="auto"/>
          <w:spacing w:val="2"/>
          <w:kern w:val="0"/>
          <w:position w:val="17"/>
          <w:sz w:val="24"/>
          <w:szCs w:val="24"/>
          <w:lang w:val="en-US" w:eastAsia="zh-CN" w:bidi="ar-SA"/>
        </w:rPr>
        <w:t>8.验收标准：</w:t>
      </w:r>
    </w:p>
    <w:p w14:paraId="68D8CE16">
      <w:pPr>
        <w:spacing w:line="360" w:lineRule="auto"/>
        <w:ind w:firstLine="431" w:firstLineChars="177"/>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default" w:asciiTheme="minorEastAsia" w:hAnsiTheme="minorEastAsia" w:eastAsiaTheme="minorEastAsia" w:cstheme="minorEastAsia"/>
          <w:snapToGrid w:val="0"/>
          <w:color w:val="auto"/>
          <w:spacing w:val="2"/>
          <w:kern w:val="0"/>
          <w:position w:val="17"/>
          <w:sz w:val="24"/>
          <w:szCs w:val="24"/>
          <w:lang w:val="en-US" w:eastAsia="zh-CN" w:bidi="ar-SA"/>
        </w:rPr>
        <w:t>严格按照政府采购相关法律法规以及《财政部关于进一步加强政府采购需求和履约验收管理的指导意见》（财库【2016】205号）的要求进行验收。成交人与采购人应按国家有关规定以及采购人采购文件的质量要求和技术指标、成交供应商的响应文件及承诺与本合同约定标准进行验收。</w:t>
      </w:r>
    </w:p>
    <w:p w14:paraId="0C5988CF">
      <w:pPr>
        <w:spacing w:line="360" w:lineRule="auto"/>
        <w:ind w:firstLine="431" w:firstLineChars="177"/>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default" w:asciiTheme="minorEastAsia" w:hAnsiTheme="minorEastAsia" w:eastAsiaTheme="minorEastAsia" w:cstheme="minorEastAsia"/>
          <w:snapToGrid w:val="0"/>
          <w:color w:val="auto"/>
          <w:spacing w:val="2"/>
          <w:kern w:val="0"/>
          <w:position w:val="17"/>
          <w:sz w:val="24"/>
          <w:szCs w:val="24"/>
          <w:lang w:val="en-US" w:eastAsia="zh-CN" w:bidi="ar-SA"/>
        </w:rPr>
        <w:t>单个项目完成后，采购人根据《南阳市市级部门委托第三方机构参与预算绩效管理工作办法》（宛财效【2025】2号）文件要求，对第三方机构的工作情况和业务质量进行综合考评验收。考核结果分为优（得分≥90分）、良（90分&gt;得分≥80分）、中（80分&gt;得分≥60分）、差（得分＜60分）四个等级，考核结果与付费比例挂钩。并且考核结果为“中“、”差”等级的第三方机构不再参与下一轮抽签，并取消框架协议后续服务期服务资格，同时将其执业质量情况通报其所在的行业协会及监管部门。考核内容见下表。</w:t>
      </w:r>
    </w:p>
    <w:p w14:paraId="4793E124">
      <w:pPr>
        <w:keepNext w:val="0"/>
        <w:keepLines w:val="0"/>
        <w:pageBreakBefore w:val="0"/>
        <w:widowControl w:val="0"/>
        <w:kinsoku/>
        <w:wordWrap/>
        <w:overflowPunct/>
        <w:topLinePunct w:val="0"/>
        <w:autoSpaceDE/>
        <w:autoSpaceDN/>
        <w:bidi w:val="0"/>
        <w:adjustRightInd w:val="0"/>
        <w:snapToGrid/>
        <w:spacing w:line="560" w:lineRule="exact"/>
        <w:ind w:firstLine="0" w:firstLineChars="0"/>
        <w:jc w:val="center"/>
        <w:textAlignment w:val="baseline"/>
        <w:rPr>
          <w:rFonts w:hint="eastAsia" w:ascii="仿宋" w:hAnsi="仿宋" w:eastAsia="仿宋"/>
          <w:bCs/>
          <w:kern w:val="0"/>
          <w:sz w:val="28"/>
          <w:szCs w:val="28"/>
        </w:rPr>
      </w:pPr>
      <w:r>
        <w:rPr>
          <w:rFonts w:hint="eastAsia" w:ascii="仿宋" w:hAnsi="仿宋" w:eastAsia="仿宋"/>
          <w:bCs/>
          <w:kern w:val="0"/>
          <w:sz w:val="28"/>
          <w:szCs w:val="28"/>
        </w:rPr>
        <w:t>第三方机构参与预算绩效管理工作</w:t>
      </w:r>
    </w:p>
    <w:p w14:paraId="1CDB8A8B">
      <w:pPr>
        <w:keepNext w:val="0"/>
        <w:keepLines w:val="0"/>
        <w:pageBreakBefore w:val="0"/>
        <w:widowControl w:val="0"/>
        <w:kinsoku/>
        <w:wordWrap/>
        <w:overflowPunct/>
        <w:topLinePunct w:val="0"/>
        <w:autoSpaceDE/>
        <w:autoSpaceDN/>
        <w:bidi w:val="0"/>
        <w:adjustRightInd w:val="0"/>
        <w:snapToGrid/>
        <w:spacing w:line="560" w:lineRule="exact"/>
        <w:ind w:firstLine="0" w:firstLineChars="0"/>
        <w:jc w:val="center"/>
        <w:textAlignment w:val="baseline"/>
        <w:rPr>
          <w:rFonts w:hint="eastAsia" w:ascii="仿宋" w:hAnsi="仿宋" w:eastAsia="仿宋"/>
          <w:bCs/>
          <w:kern w:val="0"/>
          <w:sz w:val="28"/>
          <w:szCs w:val="28"/>
        </w:rPr>
      </w:pPr>
      <w:r>
        <w:rPr>
          <w:rFonts w:hint="eastAsia" w:ascii="仿宋" w:hAnsi="仿宋" w:eastAsia="仿宋"/>
          <w:bCs/>
          <w:kern w:val="0"/>
          <w:sz w:val="28"/>
          <w:szCs w:val="28"/>
        </w:rPr>
        <w:t>综合考评表</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0"/>
        <w:gridCol w:w="583"/>
        <w:gridCol w:w="4809"/>
        <w:gridCol w:w="620"/>
        <w:gridCol w:w="651"/>
      </w:tblGrid>
      <w:tr w14:paraId="7BC1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Borders>
              <w:top w:val="nil"/>
              <w:left w:val="nil"/>
              <w:right w:val="nil"/>
            </w:tcBorders>
            <w:noWrap w:val="0"/>
            <w:vAlign w:val="center"/>
          </w:tcPr>
          <w:p w14:paraId="1C32E3CA">
            <w:pPr>
              <w:spacing w:line="360" w:lineRule="auto"/>
              <w:rPr>
                <w:rFonts w:ascii="宋体" w:hAnsi="宋体" w:eastAsia="宋体" w:cs="宋体"/>
                <w:szCs w:val="21"/>
              </w:rPr>
            </w:pPr>
            <w:r>
              <w:rPr>
                <w:rFonts w:ascii="宋体" w:hAnsi="宋体" w:eastAsia="宋体" w:cs="宋体"/>
                <w:szCs w:val="21"/>
              </w:rPr>
              <w:t xml:space="preserve">填报日期：   </w:t>
            </w:r>
            <w:r>
              <w:rPr>
                <w:rFonts w:ascii="宋体" w:hAnsi="宋体" w:eastAsia="宋体" w:cs="宋体"/>
                <w:szCs w:val="21"/>
                <w:lang w:val="en"/>
              </w:rPr>
              <w:t xml:space="preserve">  </w:t>
            </w:r>
            <w:r>
              <w:rPr>
                <w:rFonts w:ascii="宋体" w:hAnsi="宋体" w:eastAsia="宋体" w:cs="宋体"/>
                <w:szCs w:val="21"/>
              </w:rPr>
              <w:t xml:space="preserve"> 年</w:t>
            </w:r>
            <w:r>
              <w:rPr>
                <w:rFonts w:ascii="宋体" w:hAnsi="宋体" w:eastAsia="宋体" w:cs="宋体"/>
                <w:szCs w:val="21"/>
                <w:lang w:val="en"/>
              </w:rPr>
              <w:t xml:space="preserve"> </w:t>
            </w:r>
            <w:r>
              <w:rPr>
                <w:rFonts w:ascii="宋体" w:hAnsi="宋体" w:eastAsia="宋体" w:cs="宋体"/>
                <w:szCs w:val="21"/>
              </w:rPr>
              <w:t xml:space="preserve">  月   日</w:t>
            </w:r>
          </w:p>
        </w:tc>
      </w:tr>
      <w:tr w14:paraId="4F42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noWrap w:val="0"/>
            <w:vAlign w:val="center"/>
          </w:tcPr>
          <w:p w14:paraId="7222FEB8">
            <w:pPr>
              <w:spacing w:line="360" w:lineRule="auto"/>
              <w:jc w:val="left"/>
              <w:rPr>
                <w:rFonts w:ascii="宋体" w:hAnsi="宋体" w:eastAsia="宋体" w:cs="宋体"/>
                <w:szCs w:val="21"/>
              </w:rPr>
            </w:pPr>
            <w:r>
              <w:rPr>
                <w:rFonts w:ascii="宋体" w:hAnsi="宋体" w:eastAsia="宋体" w:cs="宋体"/>
                <w:szCs w:val="21"/>
              </w:rPr>
              <w:t>委托方名称（盖章）：</w:t>
            </w:r>
          </w:p>
        </w:tc>
      </w:tr>
      <w:tr w14:paraId="51E5F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noWrap w:val="0"/>
            <w:vAlign w:val="center"/>
          </w:tcPr>
          <w:p w14:paraId="7656439F">
            <w:pPr>
              <w:spacing w:line="360" w:lineRule="auto"/>
              <w:jc w:val="left"/>
              <w:rPr>
                <w:rFonts w:ascii="宋体" w:hAnsi="宋体" w:eastAsia="宋体" w:cs="宋体"/>
                <w:szCs w:val="21"/>
              </w:rPr>
            </w:pPr>
            <w:r>
              <w:rPr>
                <w:rFonts w:ascii="宋体" w:hAnsi="宋体" w:eastAsia="宋体" w:cs="宋体"/>
                <w:szCs w:val="21"/>
              </w:rPr>
              <w:t>委托业务：</w:t>
            </w:r>
          </w:p>
        </w:tc>
      </w:tr>
      <w:tr w14:paraId="74088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noWrap w:val="0"/>
            <w:vAlign w:val="center"/>
          </w:tcPr>
          <w:p w14:paraId="3BCBFC6B">
            <w:pPr>
              <w:spacing w:line="360" w:lineRule="auto"/>
              <w:jc w:val="left"/>
              <w:rPr>
                <w:rFonts w:ascii="宋体" w:hAnsi="宋体" w:eastAsia="宋体" w:cs="宋体"/>
                <w:szCs w:val="21"/>
              </w:rPr>
            </w:pPr>
            <w:r>
              <w:rPr>
                <w:rFonts w:ascii="宋体" w:hAnsi="宋体" w:eastAsia="宋体" w:cs="宋体"/>
                <w:szCs w:val="21"/>
              </w:rPr>
              <w:t>受托机构：</w:t>
            </w:r>
          </w:p>
        </w:tc>
      </w:tr>
      <w:tr w14:paraId="0ECC5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noWrap w:val="0"/>
            <w:vAlign w:val="center"/>
          </w:tcPr>
          <w:p w14:paraId="6B0D4740">
            <w:pPr>
              <w:spacing w:line="360" w:lineRule="auto"/>
              <w:jc w:val="left"/>
              <w:rPr>
                <w:rFonts w:ascii="宋体" w:hAnsi="宋体" w:eastAsia="宋体" w:cs="宋体"/>
                <w:szCs w:val="21"/>
              </w:rPr>
            </w:pPr>
            <w:r>
              <w:rPr>
                <w:rFonts w:ascii="宋体" w:hAnsi="宋体" w:eastAsia="宋体" w:cs="宋体"/>
                <w:szCs w:val="21"/>
              </w:rPr>
              <w:t>工作起讫时间：    年  月  日—     年  月  日</w:t>
            </w:r>
          </w:p>
        </w:tc>
      </w:tr>
      <w:tr w14:paraId="09C28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noWrap w:val="0"/>
            <w:vAlign w:val="center"/>
          </w:tcPr>
          <w:p w14:paraId="14B79836">
            <w:pPr>
              <w:spacing w:line="360" w:lineRule="auto"/>
              <w:jc w:val="left"/>
              <w:rPr>
                <w:rFonts w:ascii="宋体" w:hAnsi="宋体" w:eastAsia="宋体" w:cs="宋体"/>
                <w:szCs w:val="21"/>
              </w:rPr>
            </w:pPr>
            <w:r>
              <w:rPr>
                <w:rFonts w:ascii="宋体" w:hAnsi="宋体" w:eastAsia="宋体" w:cs="宋体"/>
                <w:szCs w:val="21"/>
              </w:rPr>
              <w:t>服务费用：      元</w:t>
            </w:r>
          </w:p>
        </w:tc>
      </w:tr>
      <w:tr w14:paraId="77F84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noWrap w:val="0"/>
            <w:vAlign w:val="center"/>
          </w:tcPr>
          <w:p w14:paraId="259E5BBF">
            <w:pPr>
              <w:spacing w:line="360" w:lineRule="auto"/>
              <w:jc w:val="left"/>
              <w:rPr>
                <w:rFonts w:ascii="宋体" w:hAnsi="宋体" w:eastAsia="宋体" w:cs="宋体"/>
                <w:szCs w:val="21"/>
              </w:rPr>
            </w:pPr>
            <w:r>
              <w:rPr>
                <w:rFonts w:ascii="宋体" w:hAnsi="宋体" w:eastAsia="宋体" w:cs="宋体"/>
                <w:szCs w:val="21"/>
              </w:rPr>
              <w:t>综合考评情况</w:t>
            </w:r>
          </w:p>
        </w:tc>
      </w:tr>
      <w:tr w14:paraId="7B31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pct"/>
            <w:noWrap w:val="0"/>
            <w:vAlign w:val="center"/>
          </w:tcPr>
          <w:p w14:paraId="1AD5B40B">
            <w:pPr>
              <w:spacing w:line="360" w:lineRule="auto"/>
              <w:jc w:val="center"/>
              <w:rPr>
                <w:rFonts w:ascii="宋体" w:hAnsi="宋体" w:eastAsia="宋体" w:cs="宋体"/>
                <w:szCs w:val="21"/>
              </w:rPr>
            </w:pPr>
            <w:r>
              <w:rPr>
                <w:rFonts w:ascii="宋体" w:hAnsi="宋体" w:eastAsia="宋体" w:cs="宋体"/>
                <w:szCs w:val="21"/>
              </w:rPr>
              <w:t>考评要点</w:t>
            </w:r>
          </w:p>
        </w:tc>
        <w:tc>
          <w:tcPr>
            <w:tcW w:w="342" w:type="pct"/>
            <w:noWrap w:val="0"/>
            <w:vAlign w:val="center"/>
          </w:tcPr>
          <w:p w14:paraId="3A69B7E3">
            <w:pPr>
              <w:spacing w:line="360" w:lineRule="auto"/>
              <w:jc w:val="center"/>
              <w:rPr>
                <w:rFonts w:ascii="宋体" w:hAnsi="宋体" w:eastAsia="宋体" w:cs="宋体"/>
                <w:szCs w:val="21"/>
              </w:rPr>
            </w:pPr>
            <w:r>
              <w:rPr>
                <w:rFonts w:ascii="宋体" w:hAnsi="宋体" w:eastAsia="宋体" w:cs="宋体"/>
                <w:szCs w:val="21"/>
              </w:rPr>
              <w:t>分值</w:t>
            </w:r>
          </w:p>
        </w:tc>
        <w:tc>
          <w:tcPr>
            <w:tcW w:w="2821" w:type="pct"/>
            <w:noWrap w:val="0"/>
            <w:vAlign w:val="center"/>
          </w:tcPr>
          <w:p w14:paraId="2CFA13B5">
            <w:pPr>
              <w:spacing w:line="360" w:lineRule="auto"/>
              <w:jc w:val="center"/>
              <w:rPr>
                <w:rFonts w:ascii="宋体" w:hAnsi="宋体" w:eastAsia="宋体" w:cs="宋体"/>
                <w:szCs w:val="21"/>
              </w:rPr>
            </w:pPr>
            <w:r>
              <w:rPr>
                <w:rFonts w:ascii="宋体" w:hAnsi="宋体" w:eastAsia="宋体" w:cs="宋体"/>
                <w:szCs w:val="21"/>
              </w:rPr>
              <w:t>主要考评内容和评分说明</w:t>
            </w:r>
          </w:p>
        </w:tc>
        <w:tc>
          <w:tcPr>
            <w:tcW w:w="364" w:type="pct"/>
            <w:noWrap w:val="0"/>
            <w:vAlign w:val="center"/>
          </w:tcPr>
          <w:p w14:paraId="0EB63CED">
            <w:pPr>
              <w:spacing w:line="360" w:lineRule="auto"/>
              <w:jc w:val="left"/>
              <w:rPr>
                <w:rFonts w:ascii="宋体" w:hAnsi="宋体" w:eastAsia="宋体" w:cs="宋体"/>
                <w:szCs w:val="21"/>
              </w:rPr>
            </w:pPr>
            <w:r>
              <w:rPr>
                <w:rFonts w:ascii="宋体" w:hAnsi="宋体" w:eastAsia="宋体" w:cs="宋体"/>
                <w:szCs w:val="21"/>
              </w:rPr>
              <w:t>得分</w:t>
            </w:r>
          </w:p>
        </w:tc>
        <w:tc>
          <w:tcPr>
            <w:tcW w:w="380" w:type="pct"/>
            <w:noWrap w:val="0"/>
            <w:vAlign w:val="center"/>
          </w:tcPr>
          <w:p w14:paraId="075E6C1C">
            <w:pPr>
              <w:spacing w:line="360" w:lineRule="auto"/>
              <w:jc w:val="left"/>
              <w:rPr>
                <w:rFonts w:ascii="宋体" w:hAnsi="宋体" w:eastAsia="宋体" w:cs="宋体"/>
                <w:szCs w:val="21"/>
              </w:rPr>
            </w:pPr>
            <w:r>
              <w:rPr>
                <w:rFonts w:ascii="宋体" w:hAnsi="宋体" w:eastAsia="宋体" w:cs="宋体"/>
                <w:szCs w:val="21"/>
              </w:rPr>
              <w:t>扣分</w:t>
            </w:r>
          </w:p>
          <w:p w14:paraId="1E49C256">
            <w:pPr>
              <w:spacing w:line="360" w:lineRule="auto"/>
              <w:jc w:val="left"/>
              <w:rPr>
                <w:rFonts w:ascii="宋体" w:hAnsi="宋体" w:eastAsia="宋体" w:cs="宋体"/>
                <w:szCs w:val="21"/>
              </w:rPr>
            </w:pPr>
            <w:r>
              <w:rPr>
                <w:rFonts w:ascii="宋体" w:hAnsi="宋体" w:eastAsia="宋体" w:cs="宋体"/>
                <w:szCs w:val="21"/>
              </w:rPr>
              <w:t>原因</w:t>
            </w:r>
          </w:p>
        </w:tc>
      </w:tr>
      <w:tr w14:paraId="6F270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pct"/>
            <w:noWrap w:val="0"/>
            <w:vAlign w:val="center"/>
          </w:tcPr>
          <w:p w14:paraId="5BE3C4B6">
            <w:pPr>
              <w:spacing w:line="360" w:lineRule="auto"/>
              <w:jc w:val="left"/>
              <w:rPr>
                <w:rFonts w:ascii="宋体" w:hAnsi="宋体" w:eastAsia="宋体" w:cs="宋体"/>
                <w:szCs w:val="21"/>
              </w:rPr>
            </w:pPr>
            <w:r>
              <w:rPr>
                <w:rFonts w:ascii="宋体" w:hAnsi="宋体" w:eastAsia="宋体" w:cs="宋体"/>
                <w:szCs w:val="21"/>
              </w:rPr>
              <w:t>一、组织管理</w:t>
            </w:r>
          </w:p>
        </w:tc>
        <w:tc>
          <w:tcPr>
            <w:tcW w:w="342" w:type="pct"/>
            <w:noWrap w:val="0"/>
            <w:vAlign w:val="center"/>
          </w:tcPr>
          <w:p w14:paraId="5F2C2F62">
            <w:pPr>
              <w:spacing w:line="360" w:lineRule="auto"/>
              <w:jc w:val="left"/>
              <w:rPr>
                <w:rFonts w:ascii="宋体" w:hAnsi="宋体" w:eastAsia="宋体" w:cs="宋体"/>
                <w:szCs w:val="21"/>
              </w:rPr>
            </w:pPr>
            <w:r>
              <w:rPr>
                <w:rFonts w:ascii="宋体" w:hAnsi="宋体" w:eastAsia="宋体" w:cs="宋体"/>
                <w:szCs w:val="21"/>
              </w:rPr>
              <w:t>30</w:t>
            </w:r>
          </w:p>
        </w:tc>
        <w:tc>
          <w:tcPr>
            <w:tcW w:w="2821" w:type="pct"/>
            <w:noWrap w:val="0"/>
            <w:vAlign w:val="center"/>
          </w:tcPr>
          <w:p w14:paraId="75A289FC">
            <w:pPr>
              <w:spacing w:line="360" w:lineRule="auto"/>
              <w:jc w:val="left"/>
              <w:rPr>
                <w:rFonts w:ascii="宋体" w:hAnsi="宋体" w:eastAsia="宋体" w:cs="宋体"/>
                <w:szCs w:val="21"/>
              </w:rPr>
            </w:pPr>
          </w:p>
        </w:tc>
        <w:tc>
          <w:tcPr>
            <w:tcW w:w="364" w:type="pct"/>
            <w:noWrap w:val="0"/>
            <w:vAlign w:val="top"/>
          </w:tcPr>
          <w:p w14:paraId="6BAF3379">
            <w:pPr>
              <w:spacing w:line="360" w:lineRule="auto"/>
              <w:jc w:val="left"/>
              <w:rPr>
                <w:rFonts w:ascii="宋体" w:hAnsi="宋体" w:eastAsia="宋体" w:cs="宋体"/>
                <w:szCs w:val="21"/>
              </w:rPr>
            </w:pPr>
          </w:p>
        </w:tc>
        <w:tc>
          <w:tcPr>
            <w:tcW w:w="380" w:type="pct"/>
            <w:noWrap w:val="0"/>
            <w:vAlign w:val="top"/>
          </w:tcPr>
          <w:p w14:paraId="359A994B">
            <w:pPr>
              <w:spacing w:line="360" w:lineRule="auto"/>
              <w:jc w:val="left"/>
              <w:rPr>
                <w:rFonts w:ascii="宋体" w:hAnsi="宋体" w:eastAsia="宋体" w:cs="宋体"/>
                <w:szCs w:val="21"/>
              </w:rPr>
            </w:pPr>
          </w:p>
        </w:tc>
      </w:tr>
      <w:tr w14:paraId="39B07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pct"/>
            <w:noWrap w:val="0"/>
            <w:vAlign w:val="center"/>
          </w:tcPr>
          <w:p w14:paraId="720F6D79">
            <w:pPr>
              <w:spacing w:line="360" w:lineRule="auto"/>
              <w:jc w:val="left"/>
              <w:rPr>
                <w:rFonts w:ascii="宋体" w:hAnsi="宋体" w:eastAsia="宋体" w:cs="宋体"/>
                <w:szCs w:val="21"/>
              </w:rPr>
            </w:pPr>
            <w:r>
              <w:rPr>
                <w:rFonts w:ascii="宋体" w:hAnsi="宋体" w:eastAsia="宋体" w:cs="宋体"/>
                <w:szCs w:val="21"/>
              </w:rPr>
              <w:t>（一）人员配备</w:t>
            </w:r>
          </w:p>
        </w:tc>
        <w:tc>
          <w:tcPr>
            <w:tcW w:w="342" w:type="pct"/>
            <w:noWrap w:val="0"/>
            <w:vAlign w:val="center"/>
          </w:tcPr>
          <w:p w14:paraId="22D424E0">
            <w:pPr>
              <w:spacing w:line="360" w:lineRule="auto"/>
              <w:jc w:val="left"/>
              <w:rPr>
                <w:rFonts w:ascii="宋体" w:hAnsi="宋体" w:eastAsia="宋体" w:cs="宋体"/>
                <w:szCs w:val="21"/>
              </w:rPr>
            </w:pPr>
            <w:r>
              <w:rPr>
                <w:rFonts w:ascii="宋体" w:hAnsi="宋体" w:eastAsia="宋体" w:cs="宋体"/>
                <w:szCs w:val="21"/>
              </w:rPr>
              <w:t>12</w:t>
            </w:r>
          </w:p>
        </w:tc>
        <w:tc>
          <w:tcPr>
            <w:tcW w:w="2821" w:type="pct"/>
            <w:noWrap w:val="0"/>
            <w:vAlign w:val="center"/>
          </w:tcPr>
          <w:p w14:paraId="1C4E9D6E">
            <w:pPr>
              <w:spacing w:line="360" w:lineRule="auto"/>
              <w:jc w:val="left"/>
              <w:rPr>
                <w:rFonts w:ascii="宋体" w:hAnsi="宋体" w:eastAsia="宋体" w:cs="宋体"/>
                <w:szCs w:val="21"/>
              </w:rPr>
            </w:pPr>
          </w:p>
        </w:tc>
        <w:tc>
          <w:tcPr>
            <w:tcW w:w="364" w:type="pct"/>
            <w:noWrap w:val="0"/>
            <w:vAlign w:val="top"/>
          </w:tcPr>
          <w:p w14:paraId="0A084EBE">
            <w:pPr>
              <w:spacing w:line="360" w:lineRule="auto"/>
              <w:jc w:val="left"/>
              <w:rPr>
                <w:rFonts w:ascii="宋体" w:hAnsi="宋体" w:eastAsia="宋体" w:cs="宋体"/>
                <w:szCs w:val="21"/>
              </w:rPr>
            </w:pPr>
          </w:p>
        </w:tc>
        <w:tc>
          <w:tcPr>
            <w:tcW w:w="380" w:type="pct"/>
            <w:noWrap w:val="0"/>
            <w:vAlign w:val="top"/>
          </w:tcPr>
          <w:p w14:paraId="72D16F5A">
            <w:pPr>
              <w:spacing w:line="360" w:lineRule="auto"/>
              <w:jc w:val="left"/>
              <w:rPr>
                <w:rFonts w:ascii="宋体" w:hAnsi="宋体" w:eastAsia="宋体" w:cs="宋体"/>
                <w:szCs w:val="21"/>
              </w:rPr>
            </w:pPr>
          </w:p>
        </w:tc>
      </w:tr>
      <w:tr w14:paraId="7ED3B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pct"/>
            <w:noWrap w:val="0"/>
            <w:vAlign w:val="center"/>
          </w:tcPr>
          <w:p w14:paraId="2DD4A66B">
            <w:pPr>
              <w:spacing w:line="360" w:lineRule="auto"/>
              <w:jc w:val="left"/>
              <w:rPr>
                <w:rFonts w:ascii="宋体" w:hAnsi="宋体" w:eastAsia="宋体" w:cs="宋体"/>
                <w:szCs w:val="21"/>
              </w:rPr>
            </w:pPr>
            <w:r>
              <w:rPr>
                <w:rFonts w:ascii="宋体" w:hAnsi="宋体" w:eastAsia="宋体" w:cs="宋体"/>
                <w:szCs w:val="21"/>
              </w:rPr>
              <w:t>1.人员结构合理性</w:t>
            </w:r>
          </w:p>
        </w:tc>
        <w:tc>
          <w:tcPr>
            <w:tcW w:w="342" w:type="pct"/>
            <w:noWrap w:val="0"/>
            <w:vAlign w:val="center"/>
          </w:tcPr>
          <w:p w14:paraId="4C8D9196">
            <w:pPr>
              <w:spacing w:line="360" w:lineRule="auto"/>
              <w:jc w:val="left"/>
              <w:rPr>
                <w:rFonts w:ascii="宋体" w:hAnsi="宋体" w:eastAsia="宋体" w:cs="宋体"/>
                <w:szCs w:val="21"/>
              </w:rPr>
            </w:pPr>
            <w:r>
              <w:rPr>
                <w:rFonts w:ascii="宋体" w:hAnsi="宋体" w:eastAsia="宋体" w:cs="宋体"/>
                <w:szCs w:val="21"/>
              </w:rPr>
              <w:t>6</w:t>
            </w:r>
          </w:p>
        </w:tc>
        <w:tc>
          <w:tcPr>
            <w:tcW w:w="2821" w:type="pct"/>
            <w:noWrap w:val="0"/>
            <w:vAlign w:val="center"/>
          </w:tcPr>
          <w:p w14:paraId="5C56B338">
            <w:pPr>
              <w:spacing w:line="360" w:lineRule="auto"/>
              <w:jc w:val="left"/>
              <w:rPr>
                <w:rFonts w:ascii="宋体" w:hAnsi="宋体" w:eastAsia="宋体" w:cs="宋体"/>
                <w:szCs w:val="21"/>
              </w:rPr>
            </w:pPr>
            <w:r>
              <w:rPr>
                <w:rFonts w:ascii="宋体" w:hAnsi="宋体" w:eastAsia="宋体" w:cs="宋体"/>
                <w:szCs w:val="21"/>
              </w:rPr>
              <w:t>项目组人员数量、专业结构及业务能力满足工作需要，聘请一定数量的相关领域专家，每有一项不满足扣1.5分，最多扣</w:t>
            </w:r>
            <w:r>
              <w:rPr>
                <w:rFonts w:hint="eastAsia" w:ascii="宋体" w:hAnsi="宋体" w:eastAsia="宋体" w:cs="宋体"/>
                <w:szCs w:val="21"/>
              </w:rPr>
              <w:t>6</w:t>
            </w:r>
            <w:r>
              <w:rPr>
                <w:rFonts w:ascii="宋体" w:hAnsi="宋体" w:eastAsia="宋体" w:cs="宋体"/>
                <w:szCs w:val="21"/>
              </w:rPr>
              <w:t>分。</w:t>
            </w:r>
          </w:p>
        </w:tc>
        <w:tc>
          <w:tcPr>
            <w:tcW w:w="364" w:type="pct"/>
            <w:noWrap w:val="0"/>
            <w:vAlign w:val="top"/>
          </w:tcPr>
          <w:p w14:paraId="22364C94">
            <w:pPr>
              <w:spacing w:line="360" w:lineRule="auto"/>
              <w:jc w:val="left"/>
              <w:rPr>
                <w:rFonts w:ascii="宋体" w:hAnsi="宋体" w:eastAsia="宋体" w:cs="宋体"/>
                <w:szCs w:val="21"/>
              </w:rPr>
            </w:pPr>
          </w:p>
        </w:tc>
        <w:tc>
          <w:tcPr>
            <w:tcW w:w="380" w:type="pct"/>
            <w:noWrap w:val="0"/>
            <w:vAlign w:val="top"/>
          </w:tcPr>
          <w:p w14:paraId="6DBD457E">
            <w:pPr>
              <w:spacing w:line="360" w:lineRule="auto"/>
              <w:jc w:val="left"/>
              <w:rPr>
                <w:rFonts w:ascii="宋体" w:hAnsi="宋体" w:eastAsia="宋体" w:cs="宋体"/>
                <w:szCs w:val="21"/>
              </w:rPr>
            </w:pPr>
          </w:p>
        </w:tc>
      </w:tr>
      <w:tr w14:paraId="2343B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pct"/>
            <w:noWrap w:val="0"/>
            <w:vAlign w:val="center"/>
          </w:tcPr>
          <w:p w14:paraId="34AB3322">
            <w:pPr>
              <w:spacing w:line="360" w:lineRule="auto"/>
              <w:jc w:val="left"/>
              <w:rPr>
                <w:rFonts w:ascii="宋体" w:hAnsi="宋体" w:eastAsia="宋体" w:cs="宋体"/>
                <w:szCs w:val="21"/>
              </w:rPr>
            </w:pPr>
            <w:r>
              <w:rPr>
                <w:rFonts w:ascii="宋体" w:hAnsi="宋体" w:eastAsia="宋体" w:cs="宋体"/>
                <w:szCs w:val="21"/>
              </w:rPr>
              <w:t>2.人员组织管理</w:t>
            </w:r>
          </w:p>
        </w:tc>
        <w:tc>
          <w:tcPr>
            <w:tcW w:w="342" w:type="pct"/>
            <w:noWrap w:val="0"/>
            <w:vAlign w:val="center"/>
          </w:tcPr>
          <w:p w14:paraId="59FB7F7A">
            <w:pPr>
              <w:spacing w:line="360" w:lineRule="auto"/>
              <w:jc w:val="left"/>
              <w:rPr>
                <w:rFonts w:ascii="宋体" w:hAnsi="宋体" w:eastAsia="宋体" w:cs="宋体"/>
                <w:szCs w:val="21"/>
              </w:rPr>
            </w:pPr>
            <w:r>
              <w:rPr>
                <w:rFonts w:ascii="宋体" w:hAnsi="宋体" w:eastAsia="宋体" w:cs="宋体"/>
                <w:szCs w:val="21"/>
              </w:rPr>
              <w:t>6</w:t>
            </w:r>
          </w:p>
        </w:tc>
        <w:tc>
          <w:tcPr>
            <w:tcW w:w="2821" w:type="pct"/>
            <w:noWrap w:val="0"/>
            <w:vAlign w:val="top"/>
          </w:tcPr>
          <w:p w14:paraId="2B6D1407">
            <w:pPr>
              <w:spacing w:line="360" w:lineRule="auto"/>
              <w:jc w:val="left"/>
              <w:rPr>
                <w:rFonts w:ascii="宋体" w:hAnsi="宋体" w:eastAsia="宋体" w:cs="宋体"/>
                <w:szCs w:val="21"/>
              </w:rPr>
            </w:pPr>
            <w:r>
              <w:rPr>
                <w:rFonts w:ascii="宋体" w:hAnsi="宋体" w:eastAsia="宋体" w:cs="宋体"/>
                <w:szCs w:val="21"/>
              </w:rPr>
              <w:t>（1）投标或响应文件拟投入人员实际到位的，得</w:t>
            </w:r>
            <w:r>
              <w:rPr>
                <w:rFonts w:hint="eastAsia" w:ascii="宋体" w:hAnsi="宋体" w:eastAsia="宋体" w:cs="宋体"/>
                <w:szCs w:val="21"/>
              </w:rPr>
              <w:t>3</w:t>
            </w:r>
            <w:r>
              <w:rPr>
                <w:rFonts w:ascii="宋体" w:hAnsi="宋体" w:eastAsia="宋体" w:cs="宋体"/>
                <w:szCs w:val="21"/>
              </w:rPr>
              <w:t>分，未到位1人次扣1分，最多扣3分；</w:t>
            </w:r>
          </w:p>
          <w:p w14:paraId="7AD99219">
            <w:pPr>
              <w:spacing w:line="360" w:lineRule="auto"/>
              <w:jc w:val="left"/>
              <w:rPr>
                <w:rFonts w:ascii="宋体" w:hAnsi="宋体" w:eastAsia="宋体" w:cs="宋体"/>
                <w:szCs w:val="21"/>
              </w:rPr>
            </w:pPr>
            <w:r>
              <w:rPr>
                <w:rFonts w:ascii="宋体" w:hAnsi="宋体" w:eastAsia="宋体" w:cs="宋体"/>
                <w:szCs w:val="21"/>
              </w:rPr>
              <w:t>（2）项目组成员稳定，得3分，未经委托方同意自行调换项目组成员，每调换1人次扣1分，最多扣3分。</w:t>
            </w:r>
          </w:p>
        </w:tc>
        <w:tc>
          <w:tcPr>
            <w:tcW w:w="364" w:type="pct"/>
            <w:noWrap w:val="0"/>
            <w:vAlign w:val="top"/>
          </w:tcPr>
          <w:p w14:paraId="3E9E8390">
            <w:pPr>
              <w:spacing w:line="360" w:lineRule="auto"/>
              <w:jc w:val="left"/>
              <w:rPr>
                <w:rFonts w:ascii="宋体" w:hAnsi="宋体" w:eastAsia="宋体" w:cs="宋体"/>
                <w:szCs w:val="21"/>
              </w:rPr>
            </w:pPr>
          </w:p>
        </w:tc>
        <w:tc>
          <w:tcPr>
            <w:tcW w:w="380" w:type="pct"/>
            <w:noWrap w:val="0"/>
            <w:vAlign w:val="top"/>
          </w:tcPr>
          <w:p w14:paraId="2BB2D9FC">
            <w:pPr>
              <w:spacing w:line="360" w:lineRule="auto"/>
              <w:jc w:val="left"/>
              <w:rPr>
                <w:rFonts w:ascii="宋体" w:hAnsi="宋体" w:eastAsia="宋体" w:cs="宋体"/>
                <w:szCs w:val="21"/>
              </w:rPr>
            </w:pPr>
          </w:p>
        </w:tc>
      </w:tr>
      <w:tr w14:paraId="5FAC5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pct"/>
            <w:noWrap w:val="0"/>
            <w:vAlign w:val="center"/>
          </w:tcPr>
          <w:p w14:paraId="68CEEC83">
            <w:pPr>
              <w:spacing w:line="360" w:lineRule="auto"/>
              <w:jc w:val="left"/>
              <w:rPr>
                <w:rFonts w:ascii="宋体" w:hAnsi="宋体" w:eastAsia="宋体" w:cs="宋体"/>
                <w:szCs w:val="21"/>
              </w:rPr>
            </w:pPr>
            <w:r>
              <w:rPr>
                <w:rFonts w:ascii="宋体" w:hAnsi="宋体" w:eastAsia="宋体" w:cs="宋体"/>
                <w:szCs w:val="21"/>
              </w:rPr>
              <w:t>（二）组织实施</w:t>
            </w:r>
          </w:p>
        </w:tc>
        <w:tc>
          <w:tcPr>
            <w:tcW w:w="342" w:type="pct"/>
            <w:noWrap w:val="0"/>
            <w:vAlign w:val="center"/>
          </w:tcPr>
          <w:p w14:paraId="2F42CDEC">
            <w:pPr>
              <w:spacing w:line="360" w:lineRule="auto"/>
              <w:jc w:val="left"/>
              <w:rPr>
                <w:rFonts w:ascii="宋体" w:hAnsi="宋体" w:eastAsia="宋体" w:cs="宋体"/>
                <w:szCs w:val="21"/>
              </w:rPr>
            </w:pPr>
            <w:r>
              <w:rPr>
                <w:rFonts w:ascii="宋体" w:hAnsi="宋体" w:eastAsia="宋体" w:cs="宋体"/>
                <w:szCs w:val="21"/>
              </w:rPr>
              <w:t>12</w:t>
            </w:r>
          </w:p>
        </w:tc>
        <w:tc>
          <w:tcPr>
            <w:tcW w:w="2821" w:type="pct"/>
            <w:noWrap w:val="0"/>
            <w:vAlign w:val="center"/>
          </w:tcPr>
          <w:p w14:paraId="15424402">
            <w:pPr>
              <w:spacing w:line="360" w:lineRule="auto"/>
              <w:jc w:val="left"/>
              <w:rPr>
                <w:rFonts w:ascii="宋体" w:hAnsi="宋体" w:eastAsia="宋体" w:cs="宋体"/>
                <w:szCs w:val="21"/>
              </w:rPr>
            </w:pPr>
          </w:p>
        </w:tc>
        <w:tc>
          <w:tcPr>
            <w:tcW w:w="364" w:type="pct"/>
            <w:noWrap w:val="0"/>
            <w:vAlign w:val="center"/>
          </w:tcPr>
          <w:p w14:paraId="56279B41">
            <w:pPr>
              <w:spacing w:line="360" w:lineRule="auto"/>
              <w:jc w:val="left"/>
              <w:rPr>
                <w:rFonts w:ascii="宋体" w:hAnsi="宋体" w:eastAsia="宋体" w:cs="宋体"/>
                <w:szCs w:val="21"/>
              </w:rPr>
            </w:pPr>
          </w:p>
        </w:tc>
        <w:tc>
          <w:tcPr>
            <w:tcW w:w="380" w:type="pct"/>
            <w:noWrap w:val="0"/>
            <w:vAlign w:val="center"/>
          </w:tcPr>
          <w:p w14:paraId="3F28170F">
            <w:pPr>
              <w:spacing w:line="360" w:lineRule="auto"/>
              <w:jc w:val="left"/>
              <w:rPr>
                <w:rFonts w:ascii="宋体" w:hAnsi="宋体" w:eastAsia="宋体" w:cs="宋体"/>
                <w:szCs w:val="21"/>
              </w:rPr>
            </w:pPr>
          </w:p>
        </w:tc>
      </w:tr>
      <w:tr w14:paraId="1FB38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pct"/>
            <w:noWrap w:val="0"/>
            <w:vAlign w:val="center"/>
          </w:tcPr>
          <w:p w14:paraId="4F9AA354">
            <w:pPr>
              <w:spacing w:line="360" w:lineRule="auto"/>
              <w:jc w:val="left"/>
              <w:rPr>
                <w:rFonts w:ascii="宋体" w:hAnsi="宋体" w:eastAsia="宋体" w:cs="宋体"/>
                <w:szCs w:val="21"/>
              </w:rPr>
            </w:pPr>
            <w:r>
              <w:rPr>
                <w:rFonts w:ascii="宋体" w:hAnsi="宋体" w:eastAsia="宋体" w:cs="宋体"/>
                <w:szCs w:val="21"/>
              </w:rPr>
              <w:t>1.实施程序规范情况</w:t>
            </w:r>
          </w:p>
        </w:tc>
        <w:tc>
          <w:tcPr>
            <w:tcW w:w="342" w:type="pct"/>
            <w:noWrap w:val="0"/>
            <w:vAlign w:val="center"/>
          </w:tcPr>
          <w:p w14:paraId="65B9D741">
            <w:pPr>
              <w:spacing w:line="360" w:lineRule="auto"/>
              <w:jc w:val="left"/>
              <w:rPr>
                <w:rFonts w:ascii="宋体" w:hAnsi="宋体" w:eastAsia="宋体" w:cs="宋体"/>
                <w:szCs w:val="21"/>
              </w:rPr>
            </w:pPr>
            <w:r>
              <w:rPr>
                <w:rFonts w:ascii="宋体" w:hAnsi="宋体" w:eastAsia="宋体" w:cs="宋体"/>
                <w:szCs w:val="21"/>
              </w:rPr>
              <w:t>4</w:t>
            </w:r>
          </w:p>
        </w:tc>
        <w:tc>
          <w:tcPr>
            <w:tcW w:w="2821" w:type="pct"/>
            <w:noWrap w:val="0"/>
            <w:vAlign w:val="top"/>
          </w:tcPr>
          <w:p w14:paraId="050C10DD">
            <w:pPr>
              <w:spacing w:line="360" w:lineRule="auto"/>
              <w:jc w:val="left"/>
              <w:rPr>
                <w:rFonts w:ascii="宋体" w:hAnsi="宋体" w:eastAsia="宋体" w:cs="宋体"/>
                <w:szCs w:val="21"/>
              </w:rPr>
            </w:pPr>
            <w:r>
              <w:rPr>
                <w:rFonts w:ascii="宋体" w:hAnsi="宋体" w:eastAsia="宋体" w:cs="宋体"/>
                <w:szCs w:val="21"/>
              </w:rPr>
              <w:t>（1）工作态度端正认真、遵守工作程序、规范操作，得1分；</w:t>
            </w:r>
          </w:p>
          <w:p w14:paraId="3E5FA8B7">
            <w:pPr>
              <w:spacing w:line="360" w:lineRule="auto"/>
              <w:jc w:val="left"/>
              <w:rPr>
                <w:rFonts w:ascii="宋体" w:hAnsi="宋体" w:eastAsia="宋体" w:cs="宋体"/>
                <w:szCs w:val="21"/>
              </w:rPr>
            </w:pPr>
            <w:r>
              <w:rPr>
                <w:rFonts w:ascii="宋体" w:hAnsi="宋体" w:eastAsia="宋体" w:cs="宋体"/>
                <w:szCs w:val="21"/>
              </w:rPr>
              <w:t>（2）沟通协调及时顺畅，得1分；</w:t>
            </w:r>
          </w:p>
          <w:p w14:paraId="4B942DB2">
            <w:pPr>
              <w:spacing w:line="360" w:lineRule="auto"/>
              <w:jc w:val="left"/>
              <w:rPr>
                <w:rFonts w:ascii="宋体" w:hAnsi="宋体" w:eastAsia="宋体" w:cs="宋体"/>
                <w:szCs w:val="21"/>
              </w:rPr>
            </w:pPr>
            <w:r>
              <w:rPr>
                <w:rFonts w:ascii="宋体" w:hAnsi="宋体" w:eastAsia="宋体" w:cs="宋体"/>
                <w:szCs w:val="21"/>
              </w:rPr>
              <w:t>（3）及时反馈工作进度、重大事项和重大问题的，得2分；</w:t>
            </w:r>
          </w:p>
          <w:p w14:paraId="4DD589F3">
            <w:pPr>
              <w:spacing w:line="360" w:lineRule="auto"/>
              <w:jc w:val="left"/>
              <w:rPr>
                <w:rFonts w:ascii="宋体" w:hAnsi="宋体" w:eastAsia="宋体" w:cs="宋体"/>
                <w:szCs w:val="21"/>
              </w:rPr>
            </w:pPr>
            <w:r>
              <w:rPr>
                <w:rFonts w:ascii="宋体" w:hAnsi="宋体" w:eastAsia="宋体" w:cs="宋体"/>
                <w:szCs w:val="21"/>
              </w:rPr>
              <w:t>存在有悖行业规范、职业道德及执业准则情况的，本项不得分。</w:t>
            </w:r>
          </w:p>
        </w:tc>
        <w:tc>
          <w:tcPr>
            <w:tcW w:w="364" w:type="pct"/>
            <w:noWrap w:val="0"/>
            <w:vAlign w:val="top"/>
          </w:tcPr>
          <w:p w14:paraId="2B283B2F">
            <w:pPr>
              <w:spacing w:line="360" w:lineRule="auto"/>
              <w:jc w:val="left"/>
              <w:rPr>
                <w:rFonts w:ascii="宋体" w:hAnsi="宋体" w:eastAsia="宋体" w:cs="宋体"/>
                <w:szCs w:val="21"/>
              </w:rPr>
            </w:pPr>
          </w:p>
        </w:tc>
        <w:tc>
          <w:tcPr>
            <w:tcW w:w="380" w:type="pct"/>
            <w:noWrap w:val="0"/>
            <w:vAlign w:val="top"/>
          </w:tcPr>
          <w:p w14:paraId="3446E72B">
            <w:pPr>
              <w:spacing w:line="360" w:lineRule="auto"/>
              <w:jc w:val="left"/>
              <w:rPr>
                <w:rFonts w:ascii="宋体" w:hAnsi="宋体" w:eastAsia="宋体" w:cs="宋体"/>
                <w:szCs w:val="21"/>
              </w:rPr>
            </w:pPr>
          </w:p>
        </w:tc>
      </w:tr>
      <w:tr w14:paraId="3DC64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pct"/>
            <w:noWrap w:val="0"/>
            <w:vAlign w:val="center"/>
          </w:tcPr>
          <w:p w14:paraId="2DE7CBBD">
            <w:pPr>
              <w:spacing w:line="360" w:lineRule="auto"/>
              <w:jc w:val="left"/>
              <w:rPr>
                <w:rFonts w:ascii="宋体" w:hAnsi="宋体" w:eastAsia="宋体" w:cs="宋体"/>
                <w:szCs w:val="21"/>
              </w:rPr>
            </w:pPr>
            <w:r>
              <w:rPr>
                <w:rFonts w:ascii="宋体" w:hAnsi="宋体" w:eastAsia="宋体" w:cs="宋体"/>
                <w:szCs w:val="21"/>
              </w:rPr>
              <w:t>2.工作按期完成情况</w:t>
            </w:r>
          </w:p>
        </w:tc>
        <w:tc>
          <w:tcPr>
            <w:tcW w:w="342" w:type="pct"/>
            <w:noWrap w:val="0"/>
            <w:vAlign w:val="center"/>
          </w:tcPr>
          <w:p w14:paraId="40161CAF">
            <w:pPr>
              <w:spacing w:line="360" w:lineRule="auto"/>
              <w:jc w:val="left"/>
              <w:rPr>
                <w:rFonts w:ascii="宋体" w:hAnsi="宋体" w:eastAsia="宋体" w:cs="宋体"/>
                <w:szCs w:val="21"/>
              </w:rPr>
            </w:pPr>
            <w:r>
              <w:rPr>
                <w:rFonts w:ascii="宋体" w:hAnsi="宋体" w:eastAsia="宋体" w:cs="宋体"/>
                <w:szCs w:val="21"/>
              </w:rPr>
              <w:t>4</w:t>
            </w:r>
          </w:p>
        </w:tc>
        <w:tc>
          <w:tcPr>
            <w:tcW w:w="2821" w:type="pct"/>
            <w:noWrap w:val="0"/>
            <w:vAlign w:val="center"/>
          </w:tcPr>
          <w:p w14:paraId="7E3AF00A">
            <w:pPr>
              <w:spacing w:line="360" w:lineRule="auto"/>
              <w:jc w:val="left"/>
              <w:rPr>
                <w:rFonts w:ascii="宋体" w:hAnsi="宋体" w:eastAsia="宋体" w:cs="宋体"/>
                <w:szCs w:val="21"/>
              </w:rPr>
            </w:pPr>
            <w:r>
              <w:rPr>
                <w:rFonts w:ascii="宋体" w:hAnsi="宋体" w:eastAsia="宋体" w:cs="宋体"/>
                <w:szCs w:val="21"/>
              </w:rPr>
              <w:t>按照委托协议要求按时完成工作得4分，延期一周以内扣2分，延期超过一周的，本项不得分。</w:t>
            </w:r>
          </w:p>
        </w:tc>
        <w:tc>
          <w:tcPr>
            <w:tcW w:w="364" w:type="pct"/>
            <w:noWrap w:val="0"/>
            <w:vAlign w:val="top"/>
          </w:tcPr>
          <w:p w14:paraId="6F9F5656">
            <w:pPr>
              <w:spacing w:line="360" w:lineRule="auto"/>
              <w:jc w:val="left"/>
              <w:rPr>
                <w:rFonts w:ascii="宋体" w:hAnsi="宋体" w:eastAsia="宋体" w:cs="宋体"/>
                <w:szCs w:val="21"/>
              </w:rPr>
            </w:pPr>
          </w:p>
        </w:tc>
        <w:tc>
          <w:tcPr>
            <w:tcW w:w="380" w:type="pct"/>
            <w:noWrap w:val="0"/>
            <w:vAlign w:val="top"/>
          </w:tcPr>
          <w:p w14:paraId="153FE50C">
            <w:pPr>
              <w:spacing w:line="360" w:lineRule="auto"/>
              <w:jc w:val="left"/>
              <w:rPr>
                <w:rFonts w:ascii="宋体" w:hAnsi="宋体" w:eastAsia="宋体" w:cs="宋体"/>
                <w:szCs w:val="21"/>
              </w:rPr>
            </w:pPr>
          </w:p>
        </w:tc>
      </w:tr>
      <w:tr w14:paraId="7A89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pct"/>
            <w:noWrap w:val="0"/>
            <w:vAlign w:val="center"/>
          </w:tcPr>
          <w:p w14:paraId="6A460A88">
            <w:pPr>
              <w:spacing w:line="360" w:lineRule="auto"/>
              <w:jc w:val="left"/>
              <w:rPr>
                <w:rFonts w:ascii="宋体" w:hAnsi="宋体" w:eastAsia="宋体" w:cs="宋体"/>
                <w:szCs w:val="21"/>
              </w:rPr>
            </w:pPr>
            <w:r>
              <w:rPr>
                <w:rFonts w:ascii="宋体" w:hAnsi="宋体" w:eastAsia="宋体" w:cs="宋体"/>
                <w:szCs w:val="21"/>
              </w:rPr>
              <w:t>3.内部质量管理情况</w:t>
            </w:r>
          </w:p>
        </w:tc>
        <w:tc>
          <w:tcPr>
            <w:tcW w:w="342" w:type="pct"/>
            <w:noWrap w:val="0"/>
            <w:vAlign w:val="center"/>
          </w:tcPr>
          <w:p w14:paraId="30F90C12">
            <w:pPr>
              <w:spacing w:line="360" w:lineRule="auto"/>
              <w:jc w:val="left"/>
              <w:rPr>
                <w:rFonts w:ascii="宋体" w:hAnsi="宋体" w:eastAsia="宋体" w:cs="宋体"/>
                <w:szCs w:val="21"/>
              </w:rPr>
            </w:pPr>
            <w:r>
              <w:rPr>
                <w:rFonts w:ascii="宋体" w:hAnsi="宋体" w:eastAsia="宋体" w:cs="宋体"/>
                <w:szCs w:val="21"/>
              </w:rPr>
              <w:t>4</w:t>
            </w:r>
          </w:p>
        </w:tc>
        <w:tc>
          <w:tcPr>
            <w:tcW w:w="2821" w:type="pct"/>
            <w:noWrap w:val="0"/>
            <w:vAlign w:val="top"/>
          </w:tcPr>
          <w:p w14:paraId="5189AA1A">
            <w:pPr>
              <w:spacing w:line="360" w:lineRule="auto"/>
              <w:jc w:val="left"/>
              <w:rPr>
                <w:rFonts w:ascii="宋体" w:hAnsi="宋体" w:eastAsia="宋体" w:cs="宋体"/>
                <w:szCs w:val="21"/>
              </w:rPr>
            </w:pPr>
            <w:r>
              <w:rPr>
                <w:rFonts w:ascii="宋体" w:hAnsi="宋体" w:eastAsia="宋体" w:cs="宋体"/>
                <w:szCs w:val="21"/>
              </w:rPr>
              <w:t>（1）质量控制落实到位、工作质量总体良好，得2分；</w:t>
            </w:r>
          </w:p>
          <w:p w14:paraId="72D77F43">
            <w:pPr>
              <w:spacing w:line="360" w:lineRule="auto"/>
              <w:jc w:val="left"/>
              <w:rPr>
                <w:rFonts w:ascii="宋体" w:hAnsi="宋体" w:eastAsia="宋体" w:cs="宋体"/>
                <w:szCs w:val="21"/>
              </w:rPr>
            </w:pPr>
            <w:r>
              <w:rPr>
                <w:rFonts w:ascii="宋体" w:hAnsi="宋体" w:eastAsia="宋体" w:cs="宋体"/>
                <w:szCs w:val="21"/>
              </w:rPr>
              <w:t>（2）召开方案论证会和结果论证会，得1分，论证会有相关领域专家参与的，得2分。</w:t>
            </w:r>
          </w:p>
        </w:tc>
        <w:tc>
          <w:tcPr>
            <w:tcW w:w="364" w:type="pct"/>
            <w:noWrap w:val="0"/>
            <w:vAlign w:val="top"/>
          </w:tcPr>
          <w:p w14:paraId="19129CC9">
            <w:pPr>
              <w:spacing w:line="360" w:lineRule="auto"/>
              <w:jc w:val="left"/>
              <w:rPr>
                <w:rFonts w:ascii="宋体" w:hAnsi="宋体" w:eastAsia="宋体" w:cs="宋体"/>
                <w:szCs w:val="21"/>
              </w:rPr>
            </w:pPr>
          </w:p>
        </w:tc>
        <w:tc>
          <w:tcPr>
            <w:tcW w:w="380" w:type="pct"/>
            <w:noWrap w:val="0"/>
            <w:vAlign w:val="top"/>
          </w:tcPr>
          <w:p w14:paraId="4FA89B3F">
            <w:pPr>
              <w:spacing w:line="360" w:lineRule="auto"/>
              <w:jc w:val="left"/>
              <w:rPr>
                <w:rFonts w:ascii="宋体" w:hAnsi="宋体" w:eastAsia="宋体" w:cs="宋体"/>
                <w:szCs w:val="21"/>
              </w:rPr>
            </w:pPr>
          </w:p>
        </w:tc>
      </w:tr>
      <w:tr w14:paraId="4C072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pct"/>
            <w:noWrap w:val="0"/>
            <w:vAlign w:val="center"/>
          </w:tcPr>
          <w:p w14:paraId="37F74CE1">
            <w:pPr>
              <w:spacing w:line="360" w:lineRule="auto"/>
              <w:jc w:val="left"/>
              <w:rPr>
                <w:rFonts w:ascii="宋体" w:hAnsi="宋体" w:eastAsia="宋体" w:cs="宋体"/>
                <w:szCs w:val="21"/>
              </w:rPr>
            </w:pPr>
            <w:r>
              <w:rPr>
                <w:rFonts w:ascii="宋体" w:hAnsi="宋体" w:eastAsia="宋体" w:cs="宋体"/>
                <w:szCs w:val="21"/>
              </w:rPr>
              <w:t>（三）工作纪律</w:t>
            </w:r>
          </w:p>
        </w:tc>
        <w:tc>
          <w:tcPr>
            <w:tcW w:w="342" w:type="pct"/>
            <w:noWrap w:val="0"/>
            <w:vAlign w:val="center"/>
          </w:tcPr>
          <w:p w14:paraId="64AC497A">
            <w:pPr>
              <w:spacing w:line="360" w:lineRule="auto"/>
              <w:jc w:val="left"/>
              <w:rPr>
                <w:rFonts w:ascii="宋体" w:hAnsi="宋体" w:eastAsia="宋体" w:cs="宋体"/>
                <w:szCs w:val="21"/>
              </w:rPr>
            </w:pPr>
            <w:r>
              <w:rPr>
                <w:rFonts w:ascii="宋体" w:hAnsi="宋体" w:eastAsia="宋体" w:cs="宋体"/>
                <w:szCs w:val="21"/>
              </w:rPr>
              <w:t>6</w:t>
            </w:r>
          </w:p>
        </w:tc>
        <w:tc>
          <w:tcPr>
            <w:tcW w:w="2821" w:type="pct"/>
            <w:noWrap w:val="0"/>
            <w:vAlign w:val="center"/>
          </w:tcPr>
          <w:p w14:paraId="66762139">
            <w:pPr>
              <w:spacing w:line="360" w:lineRule="auto"/>
              <w:jc w:val="left"/>
              <w:rPr>
                <w:rFonts w:ascii="宋体" w:hAnsi="宋体" w:eastAsia="宋体" w:cs="宋体"/>
                <w:szCs w:val="21"/>
              </w:rPr>
            </w:pPr>
            <w:r>
              <w:rPr>
                <w:rFonts w:ascii="宋体" w:hAnsi="宋体" w:eastAsia="宋体" w:cs="宋体"/>
                <w:szCs w:val="21"/>
              </w:rPr>
              <w:t>根据工作纪律情况核定分数。其中：违反回避制度的，本项不得分；没有遵守保密要求的，本项不得分。</w:t>
            </w:r>
          </w:p>
        </w:tc>
        <w:tc>
          <w:tcPr>
            <w:tcW w:w="364" w:type="pct"/>
            <w:noWrap w:val="0"/>
            <w:vAlign w:val="top"/>
          </w:tcPr>
          <w:p w14:paraId="2682A95D">
            <w:pPr>
              <w:spacing w:line="360" w:lineRule="auto"/>
              <w:jc w:val="left"/>
              <w:rPr>
                <w:rFonts w:ascii="宋体" w:hAnsi="宋体" w:eastAsia="宋体" w:cs="宋体"/>
                <w:szCs w:val="21"/>
              </w:rPr>
            </w:pPr>
          </w:p>
        </w:tc>
        <w:tc>
          <w:tcPr>
            <w:tcW w:w="380" w:type="pct"/>
            <w:noWrap w:val="0"/>
            <w:vAlign w:val="top"/>
          </w:tcPr>
          <w:p w14:paraId="1FF5D4B9">
            <w:pPr>
              <w:spacing w:line="360" w:lineRule="auto"/>
              <w:jc w:val="left"/>
              <w:rPr>
                <w:rFonts w:ascii="宋体" w:hAnsi="宋体" w:eastAsia="宋体" w:cs="宋体"/>
                <w:szCs w:val="21"/>
              </w:rPr>
            </w:pPr>
          </w:p>
        </w:tc>
      </w:tr>
      <w:tr w14:paraId="277B3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pct"/>
            <w:noWrap w:val="0"/>
            <w:vAlign w:val="center"/>
          </w:tcPr>
          <w:p w14:paraId="311848A4">
            <w:pPr>
              <w:spacing w:line="360" w:lineRule="auto"/>
              <w:jc w:val="left"/>
              <w:rPr>
                <w:rFonts w:ascii="宋体" w:hAnsi="宋体" w:eastAsia="宋体" w:cs="宋体"/>
                <w:szCs w:val="21"/>
              </w:rPr>
            </w:pPr>
            <w:r>
              <w:rPr>
                <w:rFonts w:ascii="宋体" w:hAnsi="宋体" w:eastAsia="宋体" w:cs="宋体"/>
                <w:szCs w:val="21"/>
              </w:rPr>
              <w:t>二、业务质量</w:t>
            </w:r>
          </w:p>
        </w:tc>
        <w:tc>
          <w:tcPr>
            <w:tcW w:w="342" w:type="pct"/>
            <w:noWrap w:val="0"/>
            <w:vAlign w:val="center"/>
          </w:tcPr>
          <w:p w14:paraId="0EBBC651">
            <w:pPr>
              <w:spacing w:line="360" w:lineRule="auto"/>
              <w:jc w:val="left"/>
              <w:rPr>
                <w:rFonts w:ascii="宋体" w:hAnsi="宋体" w:eastAsia="宋体" w:cs="宋体"/>
                <w:szCs w:val="21"/>
              </w:rPr>
            </w:pPr>
            <w:r>
              <w:rPr>
                <w:rFonts w:ascii="宋体" w:hAnsi="宋体" w:eastAsia="宋体" w:cs="宋体"/>
                <w:szCs w:val="21"/>
              </w:rPr>
              <w:t>70</w:t>
            </w:r>
          </w:p>
        </w:tc>
        <w:tc>
          <w:tcPr>
            <w:tcW w:w="2821" w:type="pct"/>
            <w:noWrap w:val="0"/>
            <w:vAlign w:val="center"/>
          </w:tcPr>
          <w:p w14:paraId="04B26B81">
            <w:pPr>
              <w:spacing w:line="360" w:lineRule="auto"/>
              <w:jc w:val="left"/>
              <w:rPr>
                <w:rFonts w:ascii="宋体" w:hAnsi="宋体" w:eastAsia="宋体" w:cs="宋体"/>
                <w:szCs w:val="21"/>
              </w:rPr>
            </w:pPr>
          </w:p>
        </w:tc>
        <w:tc>
          <w:tcPr>
            <w:tcW w:w="364" w:type="pct"/>
            <w:noWrap w:val="0"/>
            <w:vAlign w:val="top"/>
          </w:tcPr>
          <w:p w14:paraId="5C2DF23E">
            <w:pPr>
              <w:spacing w:line="360" w:lineRule="auto"/>
              <w:jc w:val="left"/>
              <w:rPr>
                <w:rFonts w:ascii="宋体" w:hAnsi="宋体" w:eastAsia="宋体" w:cs="宋体"/>
                <w:szCs w:val="21"/>
              </w:rPr>
            </w:pPr>
          </w:p>
        </w:tc>
        <w:tc>
          <w:tcPr>
            <w:tcW w:w="380" w:type="pct"/>
            <w:noWrap w:val="0"/>
            <w:vAlign w:val="top"/>
          </w:tcPr>
          <w:p w14:paraId="12A88D9A">
            <w:pPr>
              <w:spacing w:line="360" w:lineRule="auto"/>
              <w:jc w:val="left"/>
              <w:rPr>
                <w:rFonts w:ascii="宋体" w:hAnsi="宋体" w:eastAsia="宋体" w:cs="宋体"/>
                <w:szCs w:val="21"/>
              </w:rPr>
            </w:pPr>
          </w:p>
        </w:tc>
      </w:tr>
      <w:tr w14:paraId="4EB6B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pct"/>
            <w:noWrap w:val="0"/>
            <w:vAlign w:val="center"/>
          </w:tcPr>
          <w:p w14:paraId="131D9B8A">
            <w:pPr>
              <w:spacing w:line="360" w:lineRule="auto"/>
              <w:jc w:val="left"/>
              <w:rPr>
                <w:rFonts w:ascii="宋体" w:hAnsi="宋体" w:eastAsia="宋体" w:cs="宋体"/>
                <w:szCs w:val="21"/>
              </w:rPr>
            </w:pPr>
            <w:r>
              <w:rPr>
                <w:rFonts w:ascii="宋体" w:hAnsi="宋体" w:eastAsia="宋体" w:cs="宋体"/>
                <w:szCs w:val="21"/>
              </w:rPr>
              <w:t>（一）工作方案</w:t>
            </w:r>
          </w:p>
        </w:tc>
        <w:tc>
          <w:tcPr>
            <w:tcW w:w="342" w:type="pct"/>
            <w:noWrap w:val="0"/>
            <w:vAlign w:val="center"/>
          </w:tcPr>
          <w:p w14:paraId="4D71D749">
            <w:pPr>
              <w:spacing w:line="360" w:lineRule="auto"/>
              <w:jc w:val="left"/>
              <w:rPr>
                <w:rFonts w:ascii="宋体" w:hAnsi="宋体" w:eastAsia="宋体" w:cs="宋体"/>
                <w:szCs w:val="21"/>
              </w:rPr>
            </w:pPr>
            <w:r>
              <w:rPr>
                <w:rFonts w:ascii="宋体" w:hAnsi="宋体" w:eastAsia="宋体" w:cs="宋体"/>
                <w:szCs w:val="21"/>
              </w:rPr>
              <w:t>30</w:t>
            </w:r>
          </w:p>
        </w:tc>
        <w:tc>
          <w:tcPr>
            <w:tcW w:w="2821" w:type="pct"/>
            <w:noWrap w:val="0"/>
            <w:vAlign w:val="top"/>
          </w:tcPr>
          <w:p w14:paraId="616298A5">
            <w:pPr>
              <w:spacing w:line="360" w:lineRule="auto"/>
              <w:jc w:val="left"/>
              <w:rPr>
                <w:rFonts w:ascii="宋体" w:hAnsi="宋体" w:eastAsia="宋体" w:cs="宋体"/>
                <w:szCs w:val="21"/>
              </w:rPr>
            </w:pPr>
            <w:r>
              <w:rPr>
                <w:rFonts w:ascii="宋体" w:hAnsi="宋体" w:eastAsia="宋体" w:cs="宋体"/>
                <w:szCs w:val="21"/>
              </w:rPr>
              <w:t>（1）工作方案内容完整，得5分，每缺少一项扣1分，最多扣５分；</w:t>
            </w:r>
          </w:p>
          <w:p w14:paraId="215FB61B">
            <w:pPr>
              <w:spacing w:line="360" w:lineRule="auto"/>
              <w:jc w:val="left"/>
              <w:rPr>
                <w:rFonts w:ascii="宋体" w:hAnsi="宋体" w:eastAsia="宋体" w:cs="宋体"/>
                <w:szCs w:val="21"/>
              </w:rPr>
            </w:pPr>
            <w:r>
              <w:rPr>
                <w:rFonts w:ascii="宋体" w:hAnsi="宋体" w:eastAsia="宋体" w:cs="宋体"/>
                <w:szCs w:val="21"/>
              </w:rPr>
              <w:t>（2）现场调研方案合理可行的，得5分，不具体、不全面，难以获取调研数据的，酌情扣分，最多扣５分；</w:t>
            </w:r>
          </w:p>
          <w:p w14:paraId="3BA1354C">
            <w:pPr>
              <w:spacing w:line="360" w:lineRule="auto"/>
              <w:jc w:val="left"/>
              <w:rPr>
                <w:rFonts w:ascii="宋体" w:hAnsi="宋体" w:eastAsia="宋体" w:cs="宋体"/>
                <w:szCs w:val="21"/>
              </w:rPr>
            </w:pPr>
            <w:r>
              <w:rPr>
                <w:rFonts w:ascii="宋体" w:hAnsi="宋体" w:eastAsia="宋体" w:cs="宋体"/>
                <w:szCs w:val="21"/>
              </w:rPr>
              <w:t>（3）工作方式方法与对象实际情况相匹配，得3分，否则不得分；</w:t>
            </w:r>
          </w:p>
          <w:p w14:paraId="0B547BA5">
            <w:pPr>
              <w:spacing w:line="360" w:lineRule="auto"/>
              <w:jc w:val="left"/>
              <w:rPr>
                <w:rFonts w:ascii="宋体" w:hAnsi="宋体" w:eastAsia="宋体" w:cs="宋体"/>
                <w:szCs w:val="21"/>
              </w:rPr>
            </w:pPr>
            <w:r>
              <w:rPr>
                <w:rFonts w:ascii="宋体" w:hAnsi="宋体" w:eastAsia="宋体" w:cs="宋体"/>
                <w:szCs w:val="21"/>
              </w:rPr>
              <w:t>（4）工作职责分工明确，得2分，否则不得分。</w:t>
            </w:r>
          </w:p>
          <w:p w14:paraId="0058F6C3">
            <w:pPr>
              <w:spacing w:line="360" w:lineRule="auto"/>
              <w:jc w:val="left"/>
              <w:rPr>
                <w:rFonts w:ascii="宋体" w:hAnsi="宋体" w:eastAsia="宋体" w:cs="宋体"/>
                <w:szCs w:val="21"/>
              </w:rPr>
            </w:pPr>
            <w:r>
              <w:rPr>
                <w:rFonts w:ascii="宋体" w:hAnsi="宋体" w:eastAsia="宋体" w:cs="宋体"/>
                <w:szCs w:val="21"/>
              </w:rPr>
              <w:t>（5）评价基础资料、基础数据表与评价目的、评价指标体系等联系密切相关的，得5分，否则酌情扣分，最多扣５分；</w:t>
            </w:r>
          </w:p>
          <w:p w14:paraId="0EF0D7D5">
            <w:pPr>
              <w:spacing w:line="360" w:lineRule="auto"/>
              <w:jc w:val="left"/>
              <w:rPr>
                <w:rFonts w:ascii="宋体" w:hAnsi="宋体" w:eastAsia="宋体" w:cs="宋体"/>
                <w:szCs w:val="21"/>
              </w:rPr>
            </w:pPr>
            <w:r>
              <w:rPr>
                <w:rFonts w:ascii="宋体" w:hAnsi="宋体" w:eastAsia="宋体" w:cs="宋体"/>
                <w:szCs w:val="21"/>
              </w:rPr>
              <w:t>（6）指标体系设置情况10分，其中：</w:t>
            </w:r>
          </w:p>
          <w:p w14:paraId="205D14B4">
            <w:pPr>
              <w:spacing w:line="360" w:lineRule="auto"/>
              <w:jc w:val="left"/>
              <w:rPr>
                <w:rFonts w:ascii="宋体" w:hAnsi="宋体" w:eastAsia="宋体" w:cs="宋体"/>
                <w:szCs w:val="21"/>
              </w:rPr>
            </w:pPr>
            <w:r>
              <w:rPr>
                <w:rFonts w:ascii="宋体" w:hAnsi="宋体" w:eastAsia="宋体" w:cs="宋体"/>
                <w:szCs w:val="21"/>
              </w:rPr>
              <w:t>①绩效指标及权重设置科学合理，得2分，否则不得分；</w:t>
            </w:r>
          </w:p>
          <w:p w14:paraId="093D2F41">
            <w:pPr>
              <w:spacing w:line="360" w:lineRule="auto"/>
              <w:jc w:val="left"/>
              <w:rPr>
                <w:rFonts w:ascii="宋体" w:hAnsi="宋体" w:eastAsia="宋体" w:cs="宋体"/>
                <w:szCs w:val="21"/>
              </w:rPr>
            </w:pPr>
            <w:r>
              <w:rPr>
                <w:rFonts w:ascii="宋体" w:hAnsi="宋体" w:eastAsia="宋体" w:cs="宋体"/>
                <w:szCs w:val="21"/>
              </w:rPr>
              <w:t>②指标设计与项目相匹配，得2分，否则不得分；</w:t>
            </w:r>
          </w:p>
          <w:p w14:paraId="407D5C7D">
            <w:pPr>
              <w:spacing w:line="360" w:lineRule="auto"/>
              <w:jc w:val="left"/>
              <w:rPr>
                <w:rFonts w:ascii="宋体" w:hAnsi="宋体" w:eastAsia="宋体" w:cs="宋体"/>
                <w:szCs w:val="21"/>
              </w:rPr>
            </w:pPr>
            <w:r>
              <w:rPr>
                <w:rFonts w:ascii="宋体" w:hAnsi="宋体" w:eastAsia="宋体" w:cs="宋体"/>
                <w:szCs w:val="21"/>
              </w:rPr>
              <w:t>③遵循问题导向并细化核心指标，得2分，否则不得分；</w:t>
            </w:r>
          </w:p>
          <w:p w14:paraId="445FA469">
            <w:pPr>
              <w:spacing w:line="360" w:lineRule="auto"/>
              <w:jc w:val="left"/>
              <w:rPr>
                <w:rFonts w:ascii="宋体" w:hAnsi="宋体" w:eastAsia="宋体" w:cs="宋体"/>
                <w:szCs w:val="21"/>
              </w:rPr>
            </w:pPr>
            <w:r>
              <w:rPr>
                <w:rFonts w:ascii="宋体" w:hAnsi="宋体" w:eastAsia="宋体" w:cs="宋体"/>
                <w:szCs w:val="21"/>
              </w:rPr>
              <w:t>④指标解释清晰明确，得2分，否则不得分；</w:t>
            </w:r>
          </w:p>
          <w:p w14:paraId="0DB244B2">
            <w:pPr>
              <w:spacing w:line="360" w:lineRule="auto"/>
              <w:jc w:val="left"/>
              <w:rPr>
                <w:rFonts w:ascii="宋体" w:hAnsi="宋体" w:eastAsia="宋体" w:cs="宋体"/>
                <w:szCs w:val="21"/>
              </w:rPr>
            </w:pPr>
            <w:r>
              <w:rPr>
                <w:rFonts w:ascii="宋体" w:hAnsi="宋体" w:eastAsia="宋体" w:cs="宋体"/>
                <w:szCs w:val="21"/>
              </w:rPr>
              <w:t>⑤指标评分标准科学合理、依据充分，得2分，否则不得分。</w:t>
            </w:r>
          </w:p>
        </w:tc>
        <w:tc>
          <w:tcPr>
            <w:tcW w:w="364" w:type="pct"/>
            <w:noWrap w:val="0"/>
            <w:vAlign w:val="top"/>
          </w:tcPr>
          <w:p w14:paraId="0520B0C5">
            <w:pPr>
              <w:spacing w:line="360" w:lineRule="auto"/>
              <w:jc w:val="left"/>
              <w:rPr>
                <w:rFonts w:ascii="宋体" w:hAnsi="宋体" w:eastAsia="宋体" w:cs="宋体"/>
                <w:szCs w:val="21"/>
              </w:rPr>
            </w:pPr>
          </w:p>
        </w:tc>
        <w:tc>
          <w:tcPr>
            <w:tcW w:w="380" w:type="pct"/>
            <w:noWrap w:val="0"/>
            <w:vAlign w:val="top"/>
          </w:tcPr>
          <w:p w14:paraId="4524D9AD">
            <w:pPr>
              <w:spacing w:line="360" w:lineRule="auto"/>
              <w:jc w:val="left"/>
              <w:rPr>
                <w:rFonts w:ascii="宋体" w:hAnsi="宋体" w:eastAsia="宋体" w:cs="宋体"/>
                <w:szCs w:val="21"/>
              </w:rPr>
            </w:pPr>
          </w:p>
        </w:tc>
      </w:tr>
      <w:tr w14:paraId="70F89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pct"/>
            <w:noWrap w:val="0"/>
            <w:vAlign w:val="center"/>
          </w:tcPr>
          <w:p w14:paraId="004F772D">
            <w:pPr>
              <w:spacing w:line="360" w:lineRule="auto"/>
              <w:jc w:val="left"/>
              <w:rPr>
                <w:rFonts w:ascii="宋体" w:hAnsi="宋体" w:eastAsia="宋体" w:cs="宋体"/>
                <w:szCs w:val="21"/>
              </w:rPr>
            </w:pPr>
            <w:r>
              <w:rPr>
                <w:rFonts w:ascii="宋体" w:hAnsi="宋体" w:eastAsia="宋体" w:cs="宋体"/>
                <w:szCs w:val="21"/>
              </w:rPr>
              <w:t>（二）报告成果</w:t>
            </w:r>
          </w:p>
        </w:tc>
        <w:tc>
          <w:tcPr>
            <w:tcW w:w="342" w:type="pct"/>
            <w:noWrap w:val="0"/>
            <w:vAlign w:val="center"/>
          </w:tcPr>
          <w:p w14:paraId="00D0B4A8">
            <w:pPr>
              <w:spacing w:line="360" w:lineRule="auto"/>
              <w:jc w:val="left"/>
              <w:rPr>
                <w:rFonts w:ascii="宋体" w:hAnsi="宋体" w:eastAsia="宋体" w:cs="宋体"/>
                <w:szCs w:val="21"/>
              </w:rPr>
            </w:pPr>
            <w:r>
              <w:rPr>
                <w:rFonts w:ascii="宋体" w:hAnsi="宋体" w:eastAsia="宋体" w:cs="宋体"/>
                <w:szCs w:val="21"/>
              </w:rPr>
              <w:t>40</w:t>
            </w:r>
          </w:p>
        </w:tc>
        <w:tc>
          <w:tcPr>
            <w:tcW w:w="2821" w:type="pct"/>
            <w:noWrap w:val="0"/>
            <w:vAlign w:val="top"/>
          </w:tcPr>
          <w:p w14:paraId="6F46B39F">
            <w:pPr>
              <w:spacing w:line="360" w:lineRule="auto"/>
              <w:jc w:val="left"/>
              <w:rPr>
                <w:rFonts w:ascii="宋体" w:hAnsi="宋体" w:eastAsia="宋体" w:cs="宋体"/>
                <w:szCs w:val="21"/>
              </w:rPr>
            </w:pPr>
            <w:r>
              <w:rPr>
                <w:rFonts w:ascii="宋体" w:hAnsi="宋体" w:eastAsia="宋体" w:cs="宋体"/>
                <w:szCs w:val="21"/>
              </w:rPr>
              <w:t>（1）工作成果质量20分，其中：</w:t>
            </w:r>
          </w:p>
          <w:p w14:paraId="06262FF8">
            <w:pPr>
              <w:spacing w:line="360" w:lineRule="auto"/>
              <w:jc w:val="left"/>
              <w:rPr>
                <w:rFonts w:ascii="宋体" w:hAnsi="宋体" w:eastAsia="宋体" w:cs="宋体"/>
                <w:szCs w:val="21"/>
              </w:rPr>
            </w:pPr>
            <w:r>
              <w:rPr>
                <w:rFonts w:ascii="宋体" w:hAnsi="宋体" w:eastAsia="宋体" w:cs="宋体"/>
                <w:szCs w:val="21"/>
              </w:rPr>
              <w:t>①报告结构完整、要素齐备、内容详实、附件完整，得8分，每缺失一处扣2分，最多扣</w:t>
            </w:r>
            <w:r>
              <w:rPr>
                <w:rFonts w:hint="eastAsia" w:ascii="宋体" w:hAnsi="宋体" w:eastAsia="宋体" w:cs="宋体"/>
                <w:szCs w:val="21"/>
              </w:rPr>
              <w:t>8</w:t>
            </w:r>
            <w:r>
              <w:rPr>
                <w:rFonts w:ascii="宋体" w:hAnsi="宋体" w:eastAsia="宋体" w:cs="宋体"/>
                <w:szCs w:val="21"/>
              </w:rPr>
              <w:t>分；</w:t>
            </w:r>
          </w:p>
          <w:p w14:paraId="44CA0898">
            <w:pPr>
              <w:spacing w:line="360" w:lineRule="auto"/>
              <w:jc w:val="left"/>
              <w:rPr>
                <w:rFonts w:ascii="宋体" w:hAnsi="宋体" w:eastAsia="宋体" w:cs="宋体"/>
                <w:szCs w:val="21"/>
              </w:rPr>
            </w:pPr>
            <w:r>
              <w:rPr>
                <w:rFonts w:ascii="宋体" w:hAnsi="宋体" w:eastAsia="宋体" w:cs="宋体"/>
                <w:szCs w:val="21"/>
              </w:rPr>
              <w:t>②数据真实、准确，逻辑清晰，得6分，每发现一处错误扣2分，最多扣</w:t>
            </w:r>
            <w:r>
              <w:rPr>
                <w:rFonts w:hint="eastAsia" w:ascii="宋体" w:hAnsi="宋体" w:eastAsia="宋体" w:cs="宋体"/>
                <w:szCs w:val="21"/>
              </w:rPr>
              <w:t>6</w:t>
            </w:r>
            <w:r>
              <w:rPr>
                <w:rFonts w:ascii="宋体" w:hAnsi="宋体" w:eastAsia="宋体" w:cs="宋体"/>
                <w:szCs w:val="21"/>
              </w:rPr>
              <w:t>分；</w:t>
            </w:r>
          </w:p>
          <w:p w14:paraId="41A7CE75">
            <w:pPr>
              <w:spacing w:line="360" w:lineRule="auto"/>
              <w:jc w:val="left"/>
              <w:rPr>
                <w:rFonts w:ascii="宋体" w:hAnsi="宋体" w:eastAsia="宋体" w:cs="宋体"/>
                <w:szCs w:val="21"/>
              </w:rPr>
            </w:pPr>
            <w:r>
              <w:rPr>
                <w:rFonts w:ascii="宋体" w:hAnsi="宋体" w:eastAsia="宋体" w:cs="宋体"/>
                <w:szCs w:val="21"/>
              </w:rPr>
              <w:t>③分析透彻清晰，得6分，每有一处分析不透不实扣2分，最多扣</w:t>
            </w:r>
            <w:r>
              <w:rPr>
                <w:rFonts w:hint="eastAsia" w:ascii="宋体" w:hAnsi="宋体" w:eastAsia="宋体" w:cs="宋体"/>
                <w:szCs w:val="21"/>
              </w:rPr>
              <w:t>6</w:t>
            </w:r>
            <w:r>
              <w:rPr>
                <w:rFonts w:ascii="宋体" w:hAnsi="宋体" w:eastAsia="宋体" w:cs="宋体"/>
                <w:szCs w:val="21"/>
              </w:rPr>
              <w:t>分。</w:t>
            </w:r>
          </w:p>
          <w:p w14:paraId="1CFADABA">
            <w:pPr>
              <w:spacing w:line="360" w:lineRule="auto"/>
              <w:jc w:val="left"/>
              <w:rPr>
                <w:rFonts w:ascii="宋体" w:hAnsi="宋体" w:eastAsia="宋体" w:cs="宋体"/>
                <w:szCs w:val="21"/>
              </w:rPr>
            </w:pPr>
            <w:r>
              <w:rPr>
                <w:rFonts w:ascii="宋体" w:hAnsi="宋体" w:eastAsia="宋体" w:cs="宋体"/>
                <w:szCs w:val="21"/>
              </w:rPr>
              <w:t>④若委托方对工作结论不认可，该项整体不得分。</w:t>
            </w:r>
          </w:p>
          <w:p w14:paraId="1DE0B955">
            <w:pPr>
              <w:spacing w:line="360" w:lineRule="auto"/>
              <w:jc w:val="left"/>
              <w:rPr>
                <w:rFonts w:ascii="宋体" w:hAnsi="宋体" w:eastAsia="宋体" w:cs="宋体"/>
                <w:szCs w:val="21"/>
              </w:rPr>
            </w:pPr>
            <w:r>
              <w:rPr>
                <w:rFonts w:ascii="宋体" w:hAnsi="宋体" w:eastAsia="宋体" w:cs="宋体"/>
                <w:szCs w:val="21"/>
              </w:rPr>
              <w:t>（2）发现的问题及成因10分，其中：</w:t>
            </w:r>
          </w:p>
          <w:p w14:paraId="6FC9602A">
            <w:pPr>
              <w:spacing w:line="360" w:lineRule="auto"/>
              <w:jc w:val="left"/>
              <w:rPr>
                <w:rFonts w:ascii="宋体" w:hAnsi="宋体" w:eastAsia="宋体" w:cs="宋体"/>
                <w:szCs w:val="21"/>
              </w:rPr>
            </w:pPr>
            <w:r>
              <w:rPr>
                <w:rFonts w:ascii="宋体" w:hAnsi="宋体" w:eastAsia="宋体" w:cs="宋体"/>
                <w:szCs w:val="21"/>
              </w:rPr>
              <w:t>①问题表述清晰准确、归纳总结合理、依据充分，得5分，每发现一处问题扣1分，最多扣</w:t>
            </w:r>
            <w:r>
              <w:rPr>
                <w:rFonts w:hint="eastAsia" w:ascii="宋体" w:hAnsi="宋体" w:eastAsia="宋体" w:cs="宋体"/>
                <w:szCs w:val="21"/>
              </w:rPr>
              <w:t>5</w:t>
            </w:r>
            <w:r>
              <w:rPr>
                <w:rFonts w:ascii="宋体" w:hAnsi="宋体" w:eastAsia="宋体" w:cs="宋体"/>
                <w:szCs w:val="21"/>
              </w:rPr>
              <w:t>分；</w:t>
            </w:r>
          </w:p>
          <w:p w14:paraId="15AFA215">
            <w:pPr>
              <w:spacing w:line="360" w:lineRule="auto"/>
              <w:jc w:val="left"/>
              <w:rPr>
                <w:rFonts w:ascii="宋体" w:hAnsi="宋体" w:eastAsia="宋体" w:cs="宋体"/>
                <w:szCs w:val="21"/>
              </w:rPr>
            </w:pPr>
            <w:r>
              <w:rPr>
                <w:rFonts w:ascii="宋体" w:hAnsi="宋体" w:eastAsia="宋体" w:cs="宋体"/>
                <w:szCs w:val="21"/>
              </w:rPr>
              <w:t>②原因分析到位，找准问题的体制性、政策性、管理性成因且责任清晰，得5分，每发现一处问题扣1分，最多扣５分。</w:t>
            </w:r>
          </w:p>
          <w:p w14:paraId="77DD5345">
            <w:pPr>
              <w:spacing w:line="360" w:lineRule="auto"/>
              <w:jc w:val="left"/>
              <w:rPr>
                <w:rFonts w:ascii="宋体" w:hAnsi="宋体" w:eastAsia="宋体" w:cs="宋体"/>
                <w:szCs w:val="21"/>
              </w:rPr>
            </w:pPr>
            <w:r>
              <w:rPr>
                <w:rFonts w:ascii="宋体" w:hAnsi="宋体" w:eastAsia="宋体" w:cs="宋体"/>
                <w:szCs w:val="21"/>
              </w:rPr>
              <w:t>（3）相关意见建议针对性强、可行性强、操作性强，得10分，每发现一处不合理或可行性低扣2分，最多扣10分。</w:t>
            </w:r>
          </w:p>
        </w:tc>
        <w:tc>
          <w:tcPr>
            <w:tcW w:w="364" w:type="pct"/>
            <w:noWrap w:val="0"/>
            <w:vAlign w:val="top"/>
          </w:tcPr>
          <w:p w14:paraId="417D76F8">
            <w:pPr>
              <w:spacing w:line="360" w:lineRule="auto"/>
              <w:jc w:val="left"/>
              <w:rPr>
                <w:rFonts w:ascii="宋体" w:hAnsi="宋体" w:eastAsia="宋体" w:cs="宋体"/>
                <w:szCs w:val="21"/>
              </w:rPr>
            </w:pPr>
          </w:p>
        </w:tc>
        <w:tc>
          <w:tcPr>
            <w:tcW w:w="380" w:type="pct"/>
            <w:noWrap w:val="0"/>
            <w:vAlign w:val="top"/>
          </w:tcPr>
          <w:p w14:paraId="09E8980F">
            <w:pPr>
              <w:spacing w:line="360" w:lineRule="auto"/>
              <w:jc w:val="left"/>
              <w:rPr>
                <w:rFonts w:ascii="宋体" w:hAnsi="宋体" w:eastAsia="宋体" w:cs="宋体"/>
                <w:szCs w:val="21"/>
              </w:rPr>
            </w:pPr>
          </w:p>
        </w:tc>
      </w:tr>
      <w:tr w14:paraId="3C9C3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pct"/>
            <w:noWrap w:val="0"/>
            <w:vAlign w:val="center"/>
          </w:tcPr>
          <w:p w14:paraId="137D72B8">
            <w:pPr>
              <w:spacing w:line="360" w:lineRule="auto"/>
              <w:jc w:val="left"/>
              <w:rPr>
                <w:rFonts w:ascii="宋体" w:hAnsi="宋体" w:eastAsia="宋体" w:cs="宋体"/>
                <w:szCs w:val="21"/>
              </w:rPr>
            </w:pPr>
            <w:r>
              <w:rPr>
                <w:rFonts w:ascii="宋体" w:hAnsi="宋体" w:eastAsia="宋体" w:cs="宋体"/>
                <w:szCs w:val="21"/>
              </w:rPr>
              <w:t>否决指标（一经查实一票否决，直接零分）</w:t>
            </w:r>
          </w:p>
        </w:tc>
        <w:tc>
          <w:tcPr>
            <w:tcW w:w="342" w:type="pct"/>
            <w:noWrap w:val="0"/>
            <w:vAlign w:val="center"/>
          </w:tcPr>
          <w:p w14:paraId="2C59B3DC">
            <w:pPr>
              <w:spacing w:line="360" w:lineRule="auto"/>
              <w:jc w:val="left"/>
              <w:rPr>
                <w:rFonts w:ascii="宋体" w:hAnsi="宋体" w:eastAsia="宋体" w:cs="宋体"/>
                <w:szCs w:val="21"/>
              </w:rPr>
            </w:pPr>
          </w:p>
        </w:tc>
        <w:tc>
          <w:tcPr>
            <w:tcW w:w="2821" w:type="pct"/>
            <w:noWrap w:val="0"/>
            <w:vAlign w:val="top"/>
          </w:tcPr>
          <w:p w14:paraId="3B4A217A">
            <w:pPr>
              <w:spacing w:line="360" w:lineRule="auto"/>
              <w:jc w:val="left"/>
              <w:rPr>
                <w:rFonts w:ascii="宋体" w:hAnsi="宋体" w:eastAsia="宋体" w:cs="宋体"/>
                <w:szCs w:val="21"/>
              </w:rPr>
            </w:pPr>
            <w:r>
              <w:rPr>
                <w:rFonts w:ascii="宋体" w:hAnsi="宋体" w:eastAsia="宋体" w:cs="宋体"/>
                <w:szCs w:val="21"/>
              </w:rPr>
              <w:t>有不良执业记录，被有关管理部门查处吊销执照的；转包、分包委托项目（事项）的；</w:t>
            </w:r>
          </w:p>
          <w:p w14:paraId="4B9B0965">
            <w:pPr>
              <w:spacing w:line="360" w:lineRule="auto"/>
              <w:jc w:val="left"/>
              <w:rPr>
                <w:rFonts w:ascii="宋体" w:hAnsi="宋体" w:eastAsia="宋体" w:cs="宋体"/>
                <w:szCs w:val="21"/>
              </w:rPr>
            </w:pPr>
            <w:r>
              <w:rPr>
                <w:rFonts w:ascii="宋体" w:hAnsi="宋体" w:eastAsia="宋体" w:cs="宋体"/>
                <w:szCs w:val="21"/>
              </w:rPr>
              <w:t>违反相关廉政纪律要求的；</w:t>
            </w:r>
          </w:p>
          <w:p w14:paraId="0D7E0114">
            <w:pPr>
              <w:spacing w:line="360" w:lineRule="auto"/>
              <w:jc w:val="left"/>
              <w:rPr>
                <w:rFonts w:ascii="宋体" w:hAnsi="宋体" w:eastAsia="宋体" w:cs="宋体"/>
                <w:szCs w:val="21"/>
              </w:rPr>
            </w:pPr>
            <w:r>
              <w:rPr>
                <w:rFonts w:ascii="宋体" w:hAnsi="宋体" w:eastAsia="宋体" w:cs="宋体"/>
                <w:szCs w:val="21"/>
              </w:rPr>
              <w:t>被审计查出问题造成不良影响的；</w:t>
            </w:r>
          </w:p>
          <w:p w14:paraId="4258E948">
            <w:pPr>
              <w:spacing w:line="360" w:lineRule="auto"/>
              <w:jc w:val="left"/>
              <w:rPr>
                <w:rFonts w:ascii="宋体" w:hAnsi="宋体" w:eastAsia="宋体" w:cs="宋体"/>
                <w:szCs w:val="21"/>
              </w:rPr>
            </w:pPr>
            <w:r>
              <w:rPr>
                <w:rFonts w:ascii="宋体" w:hAnsi="宋体" w:eastAsia="宋体" w:cs="宋体"/>
                <w:szCs w:val="21"/>
              </w:rPr>
              <w:t>出具虚假报告的；</w:t>
            </w:r>
          </w:p>
          <w:p w14:paraId="23790BA4">
            <w:pPr>
              <w:spacing w:line="360" w:lineRule="auto"/>
              <w:jc w:val="left"/>
              <w:rPr>
                <w:rFonts w:ascii="宋体" w:hAnsi="宋体" w:eastAsia="宋体" w:cs="宋体"/>
                <w:szCs w:val="21"/>
              </w:rPr>
            </w:pPr>
            <w:r>
              <w:rPr>
                <w:rFonts w:ascii="宋体" w:hAnsi="宋体" w:eastAsia="宋体" w:cs="宋体"/>
                <w:szCs w:val="21"/>
              </w:rPr>
              <w:t>违反保密纪律引起不良后果的。</w:t>
            </w:r>
          </w:p>
        </w:tc>
        <w:tc>
          <w:tcPr>
            <w:tcW w:w="364" w:type="pct"/>
            <w:noWrap w:val="0"/>
            <w:vAlign w:val="top"/>
          </w:tcPr>
          <w:p w14:paraId="445EE92E">
            <w:pPr>
              <w:spacing w:line="360" w:lineRule="auto"/>
              <w:jc w:val="left"/>
              <w:rPr>
                <w:rFonts w:ascii="宋体" w:hAnsi="宋体" w:eastAsia="宋体" w:cs="宋体"/>
                <w:szCs w:val="21"/>
              </w:rPr>
            </w:pPr>
          </w:p>
        </w:tc>
        <w:tc>
          <w:tcPr>
            <w:tcW w:w="380" w:type="pct"/>
            <w:noWrap w:val="0"/>
            <w:vAlign w:val="top"/>
          </w:tcPr>
          <w:p w14:paraId="6BBF69D7">
            <w:pPr>
              <w:spacing w:line="360" w:lineRule="auto"/>
              <w:jc w:val="left"/>
              <w:rPr>
                <w:rFonts w:ascii="宋体" w:hAnsi="宋体" w:eastAsia="宋体" w:cs="宋体"/>
                <w:szCs w:val="21"/>
              </w:rPr>
            </w:pPr>
          </w:p>
        </w:tc>
      </w:tr>
      <w:tr w14:paraId="6ED35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pct"/>
            <w:noWrap w:val="0"/>
            <w:vAlign w:val="center"/>
          </w:tcPr>
          <w:p w14:paraId="4C8FB82D">
            <w:pPr>
              <w:spacing w:line="360" w:lineRule="auto"/>
              <w:jc w:val="left"/>
              <w:rPr>
                <w:rFonts w:ascii="宋体" w:hAnsi="宋体" w:eastAsia="宋体" w:cs="宋体"/>
                <w:szCs w:val="21"/>
              </w:rPr>
            </w:pPr>
            <w:r>
              <w:rPr>
                <w:rFonts w:ascii="宋体" w:hAnsi="宋体" w:eastAsia="宋体" w:cs="宋体"/>
                <w:szCs w:val="21"/>
              </w:rPr>
              <w:t>总分</w:t>
            </w:r>
          </w:p>
        </w:tc>
        <w:tc>
          <w:tcPr>
            <w:tcW w:w="342" w:type="pct"/>
            <w:noWrap w:val="0"/>
            <w:vAlign w:val="center"/>
          </w:tcPr>
          <w:p w14:paraId="0DDD80FD">
            <w:pPr>
              <w:spacing w:line="360" w:lineRule="auto"/>
              <w:jc w:val="left"/>
              <w:rPr>
                <w:rFonts w:ascii="宋体" w:hAnsi="宋体" w:eastAsia="宋体" w:cs="宋体"/>
                <w:szCs w:val="21"/>
              </w:rPr>
            </w:pPr>
            <w:r>
              <w:rPr>
                <w:rFonts w:ascii="宋体" w:hAnsi="宋体" w:eastAsia="宋体" w:cs="宋体"/>
                <w:szCs w:val="21"/>
              </w:rPr>
              <w:t>100</w:t>
            </w:r>
          </w:p>
        </w:tc>
        <w:tc>
          <w:tcPr>
            <w:tcW w:w="2821" w:type="pct"/>
            <w:noWrap w:val="0"/>
            <w:vAlign w:val="top"/>
          </w:tcPr>
          <w:p w14:paraId="5151B873">
            <w:pPr>
              <w:spacing w:line="360" w:lineRule="auto"/>
              <w:jc w:val="left"/>
              <w:rPr>
                <w:rFonts w:ascii="宋体" w:hAnsi="宋体" w:eastAsia="宋体" w:cs="宋体"/>
                <w:szCs w:val="21"/>
              </w:rPr>
            </w:pPr>
          </w:p>
        </w:tc>
        <w:tc>
          <w:tcPr>
            <w:tcW w:w="364" w:type="pct"/>
            <w:noWrap w:val="0"/>
            <w:vAlign w:val="top"/>
          </w:tcPr>
          <w:p w14:paraId="10E075DD">
            <w:pPr>
              <w:spacing w:line="360" w:lineRule="auto"/>
              <w:jc w:val="left"/>
              <w:rPr>
                <w:rFonts w:ascii="宋体" w:hAnsi="宋体" w:eastAsia="宋体" w:cs="宋体"/>
                <w:szCs w:val="21"/>
              </w:rPr>
            </w:pPr>
          </w:p>
        </w:tc>
        <w:tc>
          <w:tcPr>
            <w:tcW w:w="380" w:type="pct"/>
            <w:noWrap w:val="0"/>
            <w:vAlign w:val="top"/>
          </w:tcPr>
          <w:p w14:paraId="2BD34B90">
            <w:pPr>
              <w:spacing w:line="360" w:lineRule="auto"/>
              <w:jc w:val="left"/>
              <w:rPr>
                <w:rFonts w:ascii="宋体" w:hAnsi="宋体" w:eastAsia="宋体" w:cs="宋体"/>
                <w:szCs w:val="21"/>
              </w:rPr>
            </w:pPr>
          </w:p>
        </w:tc>
      </w:tr>
    </w:tbl>
    <w:p w14:paraId="32A6AC91">
      <w:pPr>
        <w:spacing w:line="360" w:lineRule="auto"/>
        <w:ind w:firstLine="431" w:firstLineChars="177"/>
        <w:rPr>
          <w:rFonts w:hint="default" w:asciiTheme="minorEastAsia" w:hAnsiTheme="minorEastAsia" w:eastAsiaTheme="minorEastAsia" w:cstheme="minorEastAsia"/>
          <w:snapToGrid w:val="0"/>
          <w:color w:val="auto"/>
          <w:spacing w:val="2"/>
          <w:kern w:val="0"/>
          <w:position w:val="17"/>
          <w:sz w:val="24"/>
          <w:szCs w:val="24"/>
          <w:lang w:val="en-US" w:eastAsia="zh-CN" w:bidi="ar-SA"/>
        </w:rPr>
      </w:pPr>
    </w:p>
    <w:p w14:paraId="7DFDA3C4">
      <w:pPr>
        <w:spacing w:line="360" w:lineRule="auto"/>
        <w:ind w:firstLine="431" w:firstLineChars="177"/>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default" w:asciiTheme="minorEastAsia" w:hAnsiTheme="minorEastAsia" w:eastAsiaTheme="minorEastAsia" w:cstheme="minorEastAsia"/>
          <w:snapToGrid w:val="0"/>
          <w:color w:val="auto"/>
          <w:spacing w:val="2"/>
          <w:kern w:val="0"/>
          <w:position w:val="17"/>
          <w:sz w:val="24"/>
          <w:szCs w:val="24"/>
          <w:lang w:val="en-US" w:eastAsia="zh-CN" w:bidi="ar-SA"/>
        </w:rPr>
        <w:t>9.采购资金的支付方式：</w:t>
      </w:r>
    </w:p>
    <w:p w14:paraId="494276BC">
      <w:pPr>
        <w:spacing w:line="360" w:lineRule="auto"/>
        <w:ind w:firstLine="431" w:firstLineChars="177"/>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default" w:asciiTheme="minorEastAsia" w:hAnsiTheme="minorEastAsia" w:eastAsiaTheme="minorEastAsia" w:cstheme="minorEastAsia"/>
          <w:snapToGrid w:val="0"/>
          <w:color w:val="auto"/>
          <w:spacing w:val="2"/>
          <w:kern w:val="0"/>
          <w:position w:val="17"/>
          <w:sz w:val="24"/>
          <w:szCs w:val="24"/>
          <w:lang w:val="en-US" w:eastAsia="zh-CN" w:bidi="ar-SA"/>
        </w:rPr>
        <w:t>单个项目完成后，根据征集人对第三方机构的工作情况和业务质量综合考评结果，支付不同比例的合同价款（业务委托协议约定服务费用）。</w:t>
      </w:r>
    </w:p>
    <w:p w14:paraId="0E885CF8">
      <w:pPr>
        <w:spacing w:line="360" w:lineRule="auto"/>
        <w:ind w:firstLine="431" w:firstLineChars="177"/>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default" w:asciiTheme="minorEastAsia" w:hAnsiTheme="minorEastAsia" w:eastAsiaTheme="minorEastAsia" w:cstheme="minorEastAsia"/>
          <w:snapToGrid w:val="0"/>
          <w:color w:val="auto"/>
          <w:spacing w:val="2"/>
          <w:kern w:val="0"/>
          <w:position w:val="17"/>
          <w:sz w:val="24"/>
          <w:szCs w:val="24"/>
          <w:lang w:val="en-US" w:eastAsia="zh-CN" w:bidi="ar-SA"/>
        </w:rPr>
        <w:t>考评结果为优（得分≥90分）的，支付协议约定服务费用的100%；考评结果为良（90分&gt;得分≥80分）的，支付协议约定服务费用的85%；考评结果为中（80分&gt;得分≥60分）的，支付协议约定服务费用的70%；考评结果为差（得分＜60分）的，支付协议约定服务费用的50%。</w:t>
      </w:r>
    </w:p>
    <w:p w14:paraId="0571D666">
      <w:pPr>
        <w:spacing w:line="360" w:lineRule="auto"/>
        <w:ind w:firstLine="431" w:firstLineChars="177"/>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default" w:asciiTheme="minorEastAsia" w:hAnsiTheme="minorEastAsia" w:eastAsiaTheme="minorEastAsia" w:cstheme="minorEastAsia"/>
          <w:snapToGrid w:val="0"/>
          <w:color w:val="auto"/>
          <w:spacing w:val="2"/>
          <w:kern w:val="0"/>
          <w:position w:val="17"/>
          <w:sz w:val="24"/>
          <w:szCs w:val="24"/>
          <w:lang w:val="en-US" w:eastAsia="zh-CN" w:bidi="ar-SA"/>
        </w:rPr>
        <w:t xml:space="preserve">10.知识产权： </w:t>
      </w:r>
    </w:p>
    <w:p w14:paraId="3EFE2A71">
      <w:pPr>
        <w:spacing w:line="360" w:lineRule="auto"/>
        <w:ind w:firstLine="431" w:firstLineChars="177"/>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default" w:asciiTheme="minorEastAsia" w:hAnsiTheme="minorEastAsia" w:eastAsiaTheme="minorEastAsia" w:cstheme="minorEastAsia"/>
          <w:snapToGrid w:val="0"/>
          <w:color w:val="auto"/>
          <w:spacing w:val="2"/>
          <w:kern w:val="0"/>
          <w:position w:val="17"/>
          <w:sz w:val="24"/>
          <w:szCs w:val="24"/>
          <w:lang w:val="en-US" w:eastAsia="zh-CN" w:bidi="ar-SA"/>
        </w:rPr>
        <w:t>供应商须保证采购人在中华人民共和国境内使用其提供的服务或其任何一部分时，享有不受限制的无偿使用权，不会产生因第三方提出侵犯其专利权、商标权或其它知识产权而引起的法律或经济纠纷。如供应商不拥有相应的知识产权，则在投标总价中必须包括合法获取该知识产权的一切相关费用，如因此导致采购人损失的，供应商须承担全部赔偿责任。供应商如欲在项目实施过程中采用自有知识成果，须在响应文件中声明，并提供相关知识产权证明文件。</w:t>
      </w:r>
    </w:p>
    <w:p w14:paraId="653518BF">
      <w:pPr>
        <w:spacing w:after="120" w:line="360" w:lineRule="auto"/>
        <w:ind w:firstLine="488" w:firstLineChars="200"/>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11.供应商需提供技术方案，</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包括对预算绩效管理服务的认识和理解、服务实施方案、服务质量保障措施、履约服务便利度保障措施、内部管理制度、进度保障措施、业务操作流程、风险管控措施、档案管理措施等。</w:t>
      </w:r>
    </w:p>
    <w:p w14:paraId="1E29BFE4">
      <w:pPr>
        <w:spacing w:after="120" w:line="360" w:lineRule="auto"/>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p>
    <w:p w14:paraId="55349BB6">
      <w:pPr>
        <w:pStyle w:val="5"/>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74041FBE">
      <w:pPr>
        <w:pStyle w:val="5"/>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3DB38D54">
      <w:pPr>
        <w:pStyle w:val="5"/>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0EE8D82D">
      <w:pPr>
        <w:pStyle w:val="5"/>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1EE29DB8">
      <w:pPr>
        <w:pStyle w:val="5"/>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6BD6BE34">
      <w:pPr>
        <w:pStyle w:val="5"/>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18F78A23">
      <w:pPr>
        <w:pStyle w:val="5"/>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4A487FA8">
      <w:pPr>
        <w:pStyle w:val="5"/>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t>第三章 供应商</w:t>
      </w:r>
      <w:r>
        <w:rPr>
          <w:rFonts w:hint="eastAsia" w:asciiTheme="minorEastAsia" w:hAnsiTheme="minorEastAsia" w:eastAsiaTheme="minorEastAsia" w:cstheme="minorEastAsia"/>
          <w:spacing w:val="-1"/>
          <w:position w:val="24"/>
          <w:sz w:val="36"/>
          <w:szCs w:val="36"/>
          <w14:textOutline w14:w="2306" w14:cap="flat" w14:cmpd="sng">
            <w14:solidFill>
              <w14:srgbClr w14:val="000000"/>
            </w14:solidFill>
            <w14:prstDash w14:val="solid"/>
            <w14:miter w14:val="0"/>
          </w14:textOutline>
        </w:rPr>
        <w:t>须知</w:t>
      </w:r>
    </w:p>
    <w:p w14:paraId="062DFD41">
      <w:pPr>
        <w:pStyle w:val="5"/>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lang w:val="en-US" w:eastAsia="zh-CN"/>
          <w14:textOutline w14:w="1800" w14:cap="flat" w14:cmpd="sng">
            <w14:solidFill>
              <w14:srgbClr w14:val="000000"/>
            </w14:solidFill>
            <w14:prstDash w14:val="solid"/>
            <w14:miter w14:val="0"/>
          </w14:textOutline>
        </w:rPr>
        <w:t>供应商</w:t>
      </w: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须知表</w:t>
      </w:r>
    </w:p>
    <w:tbl>
      <w:tblPr>
        <w:tblStyle w:val="16"/>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23050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2AC2ADD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6CCE16A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6473FE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C27A806">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65350D9">
            <w:pPr>
              <w:pStyle w:val="23"/>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tc>
      </w:tr>
      <w:tr w14:paraId="43D52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898B12A">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843686A">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3579D64C">
            <w:pPr>
              <w:pStyle w:val="23"/>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2B28A9B5">
            <w:pPr>
              <w:pStyle w:val="23"/>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0F0B46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6E1EE02E">
            <w:pPr>
              <w:pStyle w:val="23"/>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rPr>
            </w:pPr>
          </w:p>
          <w:p w14:paraId="26FD6774">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30428BB8">
            <w:pPr>
              <w:pStyle w:val="23"/>
              <w:keepNext w:val="0"/>
              <w:keepLines w:val="0"/>
              <w:pageBreakBefore w:val="0"/>
              <w:widowControl/>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p w14:paraId="755698F2">
            <w:pPr>
              <w:pStyle w:val="23"/>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□组织，考察时间：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26320231">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0E783A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FDC8214">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rPr>
              <w:t>开标前答疑会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289BF58A">
            <w:pPr>
              <w:pStyle w:val="23"/>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p w14:paraId="1A21DC8E">
            <w:pPr>
              <w:pStyle w:val="23"/>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49AD7C00">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04AC7E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285558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DBC1BEA">
            <w:pPr>
              <w:pStyle w:val="23"/>
              <w:keepNext w:val="0"/>
              <w:keepLines w:val="0"/>
              <w:pageBreakBefore w:val="0"/>
              <w:widowControl/>
              <w:numPr>
                <w:ilvl w:val="0"/>
                <w:numId w:val="2"/>
              </w:numPr>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auto"/>
                <w:spacing w:val="29"/>
                <w:kern w:val="0"/>
                <w:sz w:val="24"/>
                <w:szCs w:val="24"/>
                <w:highlight w:val="none"/>
                <w:u w:val="single"/>
                <w:lang w:val="en-US" w:eastAsia="zh-CN" w:bidi="ar-SA"/>
              </w:rPr>
              <w:t>租赁和商务服务业</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w:t>
            </w:r>
          </w:p>
          <w:p w14:paraId="5FD978F6">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29"/>
                <w:kern w:val="0"/>
                <w:sz w:val="24"/>
                <w:szCs w:val="24"/>
                <w:highlight w:val="none"/>
                <w:lang w:val="en-US" w:eastAsia="zh-CN" w:bidi="ar-SA"/>
              </w:rPr>
              <w:t>本项目小微企业价格折扣比例</w:t>
            </w:r>
            <w:r>
              <w:rPr>
                <w:rFonts w:hint="eastAsia" w:asciiTheme="minorEastAsia" w:hAnsiTheme="minorEastAsia" w:eastAsiaTheme="minorEastAsia" w:cstheme="minorEastAsia"/>
                <w:snapToGrid w:val="0"/>
                <w:color w:val="auto"/>
                <w:spacing w:val="29"/>
                <w:kern w:val="0"/>
                <w:sz w:val="24"/>
                <w:szCs w:val="24"/>
                <w:highlight w:val="none"/>
                <w:u w:val="single"/>
                <w:lang w:val="en-US" w:eastAsia="zh-CN" w:bidi="ar-SA"/>
              </w:rPr>
              <w:t>10</w:t>
            </w:r>
            <w:r>
              <w:rPr>
                <w:rFonts w:hint="eastAsia" w:asciiTheme="minorEastAsia" w:hAnsiTheme="minorEastAsia" w:eastAsiaTheme="minorEastAsia" w:cstheme="minorEastAsia"/>
                <w:snapToGrid w:val="0"/>
                <w:color w:val="auto"/>
                <w:spacing w:val="29"/>
                <w:kern w:val="0"/>
                <w:sz w:val="24"/>
                <w:szCs w:val="24"/>
                <w:highlight w:val="none"/>
                <w:lang w:val="en-US" w:eastAsia="zh-CN" w:bidi="ar-SA"/>
              </w:rPr>
              <w:t>%</w:t>
            </w:r>
            <w:r>
              <w:rPr>
                <w:rFonts w:hint="eastAsia" w:asciiTheme="minorEastAsia" w:hAnsiTheme="minorEastAsia" w:eastAsiaTheme="minorEastAsia" w:cstheme="minorEastAsia"/>
                <w:snapToGrid w:val="0"/>
                <w:color w:val="000000"/>
                <w:spacing w:val="29"/>
                <w:kern w:val="0"/>
                <w:sz w:val="24"/>
                <w:szCs w:val="24"/>
                <w:lang w:val="en-US" w:eastAsia="zh-CN" w:bidi="ar-SA"/>
              </w:rPr>
              <w:t>。</w:t>
            </w:r>
          </w:p>
          <w:p w14:paraId="7952E3B1">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2、入围供应商享受《政府采购促进中小企业发展管理办法》规定的中小企业扶持政策的，征集人、采购代理机构将随中标结果公开入围供应商的《中小企业声明函》。</w:t>
            </w:r>
          </w:p>
        </w:tc>
      </w:tr>
      <w:tr w14:paraId="2FBCBF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369F46EC">
            <w:pPr>
              <w:pStyle w:val="23"/>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39C7DA1D">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响应</w:t>
            </w:r>
            <w:r>
              <w:rPr>
                <w:rFonts w:hint="eastAsia" w:asciiTheme="minorEastAsia" w:hAnsiTheme="minorEastAsia" w:eastAsiaTheme="minorEastAsia" w:cstheme="minorEastAsia"/>
                <w:spacing w:val="-3"/>
                <w:sz w:val="24"/>
                <w:szCs w:val="24"/>
              </w:rPr>
              <w:t>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3A7BCAC3">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eastAsia="zh-CN"/>
              </w:rPr>
              <w:t>响应</w:t>
            </w:r>
            <w:r>
              <w:rPr>
                <w:rFonts w:hint="eastAsia" w:asciiTheme="minorEastAsia" w:hAnsiTheme="minorEastAsia" w:eastAsiaTheme="minorEastAsia" w:cstheme="minorEastAsia"/>
                <w:spacing w:val="-7"/>
                <w:sz w:val="24"/>
                <w:szCs w:val="24"/>
              </w:rPr>
              <w:t>报价的特殊规定：</w:t>
            </w:r>
          </w:p>
          <w:p w14:paraId="17081074">
            <w:pPr>
              <w:pStyle w:val="23"/>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14:paraId="56C45F08">
            <w:pPr>
              <w:pStyle w:val="23"/>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14:paraId="5A09EC69">
            <w:pPr>
              <w:pStyle w:val="23"/>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566E26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70FE6F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0B8C59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260 </w:t>
            </w:r>
            <w:r>
              <w:rPr>
                <w:rFonts w:hint="eastAsia" w:asciiTheme="minorEastAsia" w:hAnsiTheme="minorEastAsia" w:eastAsiaTheme="minorEastAsia" w:cstheme="minorEastAsia"/>
                <w:snapToGrid w:val="0"/>
                <w:color w:val="000000"/>
                <w:spacing w:val="29"/>
                <w:kern w:val="0"/>
                <w:sz w:val="24"/>
                <w:szCs w:val="24"/>
                <w:lang w:val="en-US" w:eastAsia="zh-CN" w:bidi="ar-SA"/>
              </w:rPr>
              <w:t>万元（仅供参考）</w:t>
            </w:r>
          </w:p>
        </w:tc>
      </w:tr>
      <w:tr w14:paraId="2632A2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BD05F4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BE1C5B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14:paraId="64900D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1C216C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响应文件数量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2C9CCA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电子响应文件：1份</w:t>
            </w:r>
          </w:p>
        </w:tc>
      </w:tr>
      <w:tr w14:paraId="7AB68A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311547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F82462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yellow"/>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7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30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00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22284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11837B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开标时间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605EFF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yellow"/>
                <w:u w:val="singl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7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30</w:t>
            </w:r>
            <w:bookmarkStart w:id="9" w:name="_GoBack"/>
            <w:bookmarkEnd w:id="9"/>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00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color w:val="auto"/>
                <w:spacing w:val="-15"/>
                <w:sz w:val="24"/>
                <w:szCs w:val="24"/>
                <w:highlight w:val="none"/>
              </w:rPr>
              <w:t>（北京时间）</w:t>
            </w:r>
          </w:p>
        </w:tc>
      </w:tr>
      <w:tr w14:paraId="1A0F92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2E5029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评审</w:t>
            </w:r>
            <w:r>
              <w:rPr>
                <w:rFonts w:hint="eastAsia" w:asciiTheme="minorEastAsia" w:hAnsiTheme="minorEastAsia" w:eastAsiaTheme="minorEastAsia" w:cstheme="minorEastAsia"/>
                <w:sz w:val="24"/>
                <w:szCs w:val="24"/>
              </w:rPr>
              <w:t>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8560825">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i w:val="0"/>
                <w:iCs/>
                <w:sz w:val="24"/>
                <w:szCs w:val="24"/>
                <w:lang w:val="en-US" w:eastAsia="zh-CN"/>
              </w:rPr>
            </w:pPr>
            <w:r>
              <w:rPr>
                <w:rFonts w:hint="eastAsia" w:asciiTheme="minorEastAsia" w:hAnsiTheme="minorEastAsia" w:eastAsiaTheme="minorEastAsia" w:cstheme="minorEastAsia"/>
                <w:b w:val="0"/>
                <w:bCs w:val="0"/>
                <w:i w:val="0"/>
                <w:iCs/>
                <w:color w:val="auto"/>
                <w:sz w:val="24"/>
                <w:szCs w:val="24"/>
                <w:highlight w:val="none"/>
                <w:lang w:val="en-US" w:eastAsia="zh-CN"/>
              </w:rPr>
              <w:t>质量优先法</w:t>
            </w:r>
          </w:p>
        </w:tc>
      </w:tr>
      <w:tr w14:paraId="7549EC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shd w:val="clear" w:color="auto" w:fill="auto"/>
            <w:noWrap w:val="0"/>
            <w:vAlign w:val="center"/>
          </w:tcPr>
          <w:p w14:paraId="5D133F9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z w:val="24"/>
                <w:szCs w:val="24"/>
                <w:lang w:val="en-US" w:eastAsia="zh-CN"/>
              </w:rPr>
              <w:t>是否采用“暗标”评审</w:t>
            </w:r>
          </w:p>
        </w:tc>
        <w:tc>
          <w:tcPr>
            <w:tcW w:w="7305"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54514FB1">
            <w:pPr>
              <w:pStyle w:val="23"/>
              <w:keepNext w:val="0"/>
              <w:keepLines w:val="0"/>
              <w:pageBreakBefore w:val="0"/>
              <w:kinsoku/>
              <w:wordWrap w:val="0"/>
              <w:overflowPunct/>
              <w:topLinePunct w:val="0"/>
              <w:bidi w:val="0"/>
              <w:spacing w:line="223" w:lineRule="auto"/>
              <w:ind w:left="126" w:leftChars="0"/>
              <w:jc w:val="both"/>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29"/>
                <w:sz w:val="24"/>
                <w:szCs w:val="24"/>
                <w:lang w:val="en-US" w:eastAsia="zh-CN"/>
              </w:rPr>
              <w:t xml:space="preserve">否 </w:t>
            </w: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lang w:val="en-US" w:eastAsia="zh-CN"/>
              </w:rPr>
              <w:t>是，具体要求详见投标人须知</w:t>
            </w:r>
          </w:p>
        </w:tc>
      </w:tr>
      <w:tr w14:paraId="60771C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DCE7794">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入围供应商数量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8FF42DD">
            <w:pPr>
              <w:pStyle w:val="5"/>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本项目入围供应商数量为15家。评审小组</w:t>
            </w:r>
            <w:r>
              <w:rPr>
                <w:rFonts w:hint="eastAsia" w:asciiTheme="minorEastAsia" w:hAnsiTheme="minorEastAsia" w:eastAsiaTheme="minorEastAsia" w:cstheme="minorEastAsia"/>
                <w:snapToGrid w:val="0"/>
                <w:color w:val="auto"/>
                <w:spacing w:val="14"/>
                <w:kern w:val="0"/>
                <w:sz w:val="24"/>
                <w:szCs w:val="24"/>
                <w:highlight w:val="none"/>
                <w:lang w:val="en-US" w:eastAsia="en-US" w:bidi="ar-SA"/>
              </w:rPr>
              <w:t>将根据各</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供应商</w:t>
            </w:r>
            <w:r>
              <w:rPr>
                <w:rFonts w:hint="eastAsia" w:asciiTheme="minorEastAsia" w:hAnsiTheme="minorEastAsia" w:eastAsiaTheme="minorEastAsia" w:cstheme="minorEastAsia"/>
                <w:snapToGrid w:val="0"/>
                <w:color w:val="auto"/>
                <w:spacing w:val="14"/>
                <w:kern w:val="0"/>
                <w:sz w:val="24"/>
                <w:szCs w:val="24"/>
                <w:highlight w:val="none"/>
                <w:lang w:val="en-US" w:eastAsia="en-US" w:bidi="ar-SA"/>
              </w:rPr>
              <w:t>的</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综合评分结果进行评审</w:t>
            </w:r>
            <w:r>
              <w:rPr>
                <w:rFonts w:hint="eastAsia" w:asciiTheme="minorEastAsia" w:hAnsiTheme="minorEastAsia" w:eastAsiaTheme="minorEastAsia" w:cstheme="minorEastAsia"/>
                <w:snapToGrid w:val="0"/>
                <w:color w:val="auto"/>
                <w:spacing w:val="14"/>
                <w:kern w:val="0"/>
                <w:sz w:val="24"/>
                <w:szCs w:val="24"/>
                <w:highlight w:val="none"/>
                <w:lang w:val="en-US" w:eastAsia="en-US" w:bidi="ar-SA"/>
              </w:rPr>
              <w:t>排序，依次推荐本项目的</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入围</w:t>
            </w:r>
            <w:r>
              <w:rPr>
                <w:rFonts w:hint="eastAsia" w:asciiTheme="minorEastAsia" w:hAnsiTheme="minorEastAsia" w:eastAsiaTheme="minorEastAsia" w:cstheme="minorEastAsia"/>
                <w:snapToGrid w:val="0"/>
                <w:color w:val="auto"/>
                <w:spacing w:val="14"/>
                <w:kern w:val="0"/>
                <w:sz w:val="24"/>
                <w:szCs w:val="24"/>
                <w:highlight w:val="none"/>
                <w:lang w:val="en-US" w:eastAsia="en-US" w:bidi="ar-SA"/>
              </w:rPr>
              <w:t>候选人，起草并签署</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评审</w:t>
            </w:r>
            <w:r>
              <w:rPr>
                <w:rFonts w:hint="eastAsia" w:asciiTheme="minorEastAsia" w:hAnsiTheme="minorEastAsia" w:eastAsiaTheme="minorEastAsia" w:cstheme="minorEastAsia"/>
                <w:snapToGrid w:val="0"/>
                <w:color w:val="auto"/>
                <w:spacing w:val="14"/>
                <w:kern w:val="0"/>
                <w:sz w:val="24"/>
                <w:szCs w:val="24"/>
                <w:highlight w:val="none"/>
                <w:lang w:val="en-US" w:eastAsia="en-US" w:bidi="ar-SA"/>
              </w:rPr>
              <w:t>报告。</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评审</w:t>
            </w:r>
            <w:r>
              <w:rPr>
                <w:rFonts w:hint="eastAsia" w:asciiTheme="minorEastAsia" w:hAnsiTheme="minorEastAsia" w:eastAsiaTheme="minorEastAsia" w:cstheme="minorEastAsia"/>
                <w:snapToGrid w:val="0"/>
                <w:color w:val="auto"/>
                <w:spacing w:val="14"/>
                <w:kern w:val="0"/>
                <w:sz w:val="24"/>
                <w:szCs w:val="24"/>
                <w:highlight w:val="none"/>
                <w:lang w:val="en-US" w:eastAsia="en-US" w:bidi="ar-SA"/>
              </w:rPr>
              <w:t>报告</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入围</w:t>
            </w:r>
            <w:r>
              <w:rPr>
                <w:rFonts w:hint="eastAsia" w:asciiTheme="minorEastAsia" w:hAnsiTheme="minorEastAsia" w:eastAsiaTheme="minorEastAsia" w:cstheme="minorEastAsia"/>
                <w:snapToGrid w:val="0"/>
                <w:color w:val="auto"/>
                <w:spacing w:val="14"/>
                <w:kern w:val="0"/>
                <w:sz w:val="24"/>
                <w:szCs w:val="24"/>
                <w:highlight w:val="none"/>
                <w:lang w:val="en-US" w:eastAsia="en-US" w:bidi="ar-SA"/>
              </w:rPr>
              <w:t>候选人排名顺序交南阳市</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财政局</w:t>
            </w:r>
            <w:r>
              <w:rPr>
                <w:rFonts w:hint="eastAsia" w:asciiTheme="minorEastAsia" w:hAnsiTheme="minorEastAsia" w:eastAsiaTheme="minorEastAsia" w:cstheme="minorEastAsia"/>
                <w:snapToGrid w:val="0"/>
                <w:color w:val="auto"/>
                <w:spacing w:val="14"/>
                <w:kern w:val="0"/>
                <w:sz w:val="24"/>
                <w:szCs w:val="24"/>
                <w:highlight w:val="none"/>
                <w:lang w:val="en-US" w:eastAsia="en-US" w:bidi="ar-SA"/>
              </w:rPr>
              <w:t>审定后公布入围服务单位名单。</w:t>
            </w:r>
          </w:p>
        </w:tc>
      </w:tr>
      <w:tr w14:paraId="6A4AE8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6755FA6">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淘汰率及入围供应商数量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623ED45">
            <w:pPr>
              <w:pStyle w:val="5"/>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pacing w:val="14"/>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en-US" w:bidi="ar-SA"/>
              </w:rPr>
              <w:t>淘汰比例不得低于20%，且至少淘汰一家供应商。根据《政府采购框架协议采购方式管理暂行办法》的规定，提交响应文件和符合资格条件、实质性要求的供应商应当均不少于2家。</w:t>
            </w:r>
          </w:p>
          <w:p w14:paraId="0D3B0D3B">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268" w:firstLineChars="100"/>
              <w:jc w:val="both"/>
              <w:textAlignment w:val="baseline"/>
              <w:rPr>
                <w:rFonts w:hint="eastAsia" w:asciiTheme="minorEastAsia" w:hAnsiTheme="minorEastAsia" w:eastAsiaTheme="minorEastAsia" w:cstheme="minorEastAsia"/>
                <w:snapToGrid w:val="0"/>
                <w:color w:val="000000"/>
                <w:spacing w:val="14"/>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en-US" w:bidi="ar-SA"/>
              </w:rPr>
              <w:t>①如提交响应文件和符合资格条件、实质性要求的供应商应≥</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19</w:t>
            </w:r>
            <w:r>
              <w:rPr>
                <w:rFonts w:hint="eastAsia" w:asciiTheme="minorEastAsia" w:hAnsiTheme="minorEastAsia" w:eastAsiaTheme="minorEastAsia" w:cstheme="minorEastAsia"/>
                <w:snapToGrid w:val="0"/>
                <w:color w:val="000000"/>
                <w:spacing w:val="14"/>
                <w:kern w:val="0"/>
                <w:sz w:val="24"/>
                <w:szCs w:val="24"/>
                <w:highlight w:val="none"/>
                <w:lang w:val="en-US" w:eastAsia="en-US" w:bidi="ar-SA"/>
              </w:rPr>
              <w:t>家时，取</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15</w:t>
            </w:r>
            <w:r>
              <w:rPr>
                <w:rFonts w:hint="eastAsia" w:asciiTheme="minorEastAsia" w:hAnsiTheme="minorEastAsia" w:eastAsiaTheme="minorEastAsia" w:cstheme="minorEastAsia"/>
                <w:snapToGrid w:val="0"/>
                <w:color w:val="000000"/>
                <w:spacing w:val="14"/>
                <w:kern w:val="0"/>
                <w:sz w:val="24"/>
                <w:szCs w:val="24"/>
                <w:highlight w:val="none"/>
                <w:lang w:val="en-US" w:eastAsia="en-US" w:bidi="ar-SA"/>
              </w:rPr>
              <w:t>名；</w:t>
            </w:r>
          </w:p>
          <w:p w14:paraId="29F88E7B">
            <w:pPr>
              <w:pStyle w:val="23"/>
              <w:keepNext w:val="0"/>
              <w:keepLines w:val="0"/>
              <w:pageBreakBefore w:val="0"/>
              <w:kinsoku/>
              <w:wordWrap w:val="0"/>
              <w:overflowPunct/>
              <w:topLinePunct w:val="0"/>
              <w:bidi w:val="0"/>
              <w:spacing w:before="1" w:line="220" w:lineRule="auto"/>
              <w:ind w:left="126" w:firstLine="268" w:firstLineChars="100"/>
              <w:jc w:val="both"/>
              <w:rPr>
                <w:rFonts w:hint="default"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napToGrid w:val="0"/>
                <w:color w:val="000000"/>
                <w:spacing w:val="14"/>
                <w:kern w:val="0"/>
                <w:sz w:val="24"/>
                <w:szCs w:val="24"/>
                <w:highlight w:val="none"/>
                <w:lang w:val="en-US" w:eastAsia="en-US" w:bidi="ar-SA"/>
              </w:rPr>
              <w:t>②提交响应文件和符合资格条件、实质性要求的供应商＜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19</w:t>
            </w:r>
            <w:r>
              <w:rPr>
                <w:rFonts w:hint="eastAsia" w:asciiTheme="minorEastAsia" w:hAnsiTheme="minorEastAsia" w:eastAsiaTheme="minorEastAsia" w:cstheme="minorEastAsia"/>
                <w:snapToGrid w:val="0"/>
                <w:color w:val="000000"/>
                <w:spacing w:val="14"/>
                <w:kern w:val="0"/>
                <w:sz w:val="24"/>
                <w:szCs w:val="24"/>
                <w:highlight w:val="none"/>
                <w:lang w:val="en-US" w:eastAsia="en-US" w:bidi="ar-SA"/>
              </w:rPr>
              <w:t>家时，实际选定数量以淘汰20%（四舍五入取整）后剩余的数量为准，且至少淘汰 1 家供应商。</w:t>
            </w:r>
          </w:p>
        </w:tc>
      </w:tr>
      <w:tr w14:paraId="06A2A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634D58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第二阶段</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预算绩效管理</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业务的委托方式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2540948">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w:t>
            </w:r>
            <w:r>
              <w:rPr>
                <w:rFonts w:hint="eastAsia" w:asciiTheme="minorEastAsia" w:hAnsiTheme="minorEastAsia" w:eastAsiaTheme="minorEastAsia" w:cstheme="minorEastAsia"/>
                <w:snapToGrid w:val="0"/>
                <w:color w:val="000000"/>
                <w:spacing w:val="14"/>
                <w:kern w:val="0"/>
                <w:sz w:val="24"/>
                <w:szCs w:val="24"/>
                <w:highlight w:val="none"/>
                <w:lang w:val="en-US" w:eastAsia="en-US" w:bidi="ar-SA"/>
              </w:rPr>
              <w:t>1</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w:t>
            </w:r>
            <w:r>
              <w:rPr>
                <w:rFonts w:hint="eastAsia" w:asciiTheme="minorEastAsia" w:hAnsiTheme="minorEastAsia" w:eastAsiaTheme="minorEastAsia" w:cstheme="minorEastAsia"/>
                <w:snapToGrid w:val="0"/>
                <w:color w:val="000000"/>
                <w:spacing w:val="14"/>
                <w:kern w:val="0"/>
                <w:sz w:val="24"/>
                <w:szCs w:val="24"/>
                <w:highlight w:val="none"/>
                <w:lang w:val="en-US" w:eastAsia="en-US" w:bidi="ar-SA"/>
              </w:rPr>
              <w:t>购买服务的项目采用抽签</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加</w:t>
            </w:r>
            <w:r>
              <w:rPr>
                <w:rFonts w:hint="eastAsia" w:asciiTheme="minorEastAsia" w:hAnsiTheme="minorEastAsia" w:eastAsiaTheme="minorEastAsia" w:cstheme="minorEastAsia"/>
                <w:snapToGrid w:val="0"/>
                <w:color w:val="000000"/>
                <w:spacing w:val="14"/>
                <w:kern w:val="0"/>
                <w:sz w:val="24"/>
                <w:szCs w:val="24"/>
                <w:highlight w:val="none"/>
                <w:lang w:val="en-US" w:eastAsia="en-US" w:bidi="ar-SA"/>
              </w:rPr>
              <w:t>轮</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候</w:t>
            </w:r>
            <w:r>
              <w:rPr>
                <w:rFonts w:hint="eastAsia" w:asciiTheme="minorEastAsia" w:hAnsiTheme="minorEastAsia" w:eastAsiaTheme="minorEastAsia" w:cstheme="minorEastAsia"/>
                <w:snapToGrid w:val="0"/>
                <w:color w:val="000000"/>
                <w:spacing w:val="14"/>
                <w:kern w:val="0"/>
                <w:sz w:val="24"/>
                <w:szCs w:val="24"/>
                <w:highlight w:val="none"/>
                <w:lang w:val="en-US" w:eastAsia="en-US" w:bidi="ar-SA"/>
              </w:rPr>
              <w:t>方式确定中介机构及服务项目，所有中介机构轮流一遍为一轮。</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考核结果为“中“、”差”等级的第三方机构不再参与下一轮抽签，并取消框架协议后续服务期服务资格，同时将其执业质量情况通报其所在的行业协会及监管部门。</w:t>
            </w:r>
          </w:p>
          <w:p w14:paraId="5F51B1A2">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pacing w:val="-13"/>
                <w:sz w:val="24"/>
                <w:szCs w:val="24"/>
                <w:highlight w:val="none"/>
                <w:lang w:val="en-US" w:eastAsia="zh-CN"/>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(2)原则上</w:t>
            </w:r>
            <w:r>
              <w:rPr>
                <w:rFonts w:hint="eastAsia" w:asciiTheme="minorEastAsia" w:hAnsiTheme="minorEastAsia" w:eastAsiaTheme="minorEastAsia" w:cstheme="minorEastAsia"/>
                <w:snapToGrid w:val="0"/>
                <w:color w:val="000000"/>
                <w:spacing w:val="14"/>
                <w:kern w:val="0"/>
                <w:sz w:val="24"/>
                <w:szCs w:val="24"/>
                <w:highlight w:val="none"/>
                <w:lang w:val="en-US" w:eastAsia="en-US" w:bidi="ar-SA"/>
              </w:rPr>
              <w:t>中介机构不得拒绝或推脱委托单位委托的项目。</w:t>
            </w:r>
          </w:p>
        </w:tc>
      </w:tr>
      <w:tr w14:paraId="34DC87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FFEB270">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入围供应商清退和补充规则</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B230ABD">
            <w:pPr>
              <w:keepNext w:val="0"/>
              <w:keepLines w:val="0"/>
              <w:pageBreakBefore w:val="0"/>
              <w:widowControl/>
              <w:numPr>
                <w:ilvl w:val="0"/>
                <w:numId w:val="3"/>
              </w:numPr>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入围供应商无正当理由，不得主动放弃入围资格或者退出框架协议。入围供应商有下列情形之一，尚未签订框架协议的，取消其入围资格；已经签订框架协议的，解除与其签订的框架协议：</w:t>
            </w:r>
          </w:p>
          <w:p w14:paraId="73532882">
            <w:pPr>
              <w:keepNext w:val="0"/>
              <w:keepLines w:val="0"/>
              <w:pageBreakBefore w:val="0"/>
              <w:widowControl/>
              <w:numPr>
                <w:ilvl w:val="0"/>
                <w:numId w:val="0"/>
              </w:numPr>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default" w:asciiTheme="minorEastAsia" w:hAnsiTheme="minorEastAsia" w:eastAsiaTheme="minorEastAsia" w:cstheme="minorEastAsia"/>
                <w:snapToGrid w:val="0"/>
                <w:color w:val="000000"/>
                <w:spacing w:val="14"/>
                <w:kern w:val="0"/>
                <w:sz w:val="24"/>
                <w:szCs w:val="24"/>
                <w:lang w:val="en-US" w:eastAsia="zh-CN" w:bidi="ar-SA"/>
              </w:rPr>
              <w:t>①</w:t>
            </w:r>
            <w:r>
              <w:rPr>
                <w:rFonts w:hint="eastAsia" w:asciiTheme="minorEastAsia" w:hAnsiTheme="minorEastAsia" w:eastAsiaTheme="minorEastAsia" w:cstheme="minorEastAsia"/>
                <w:snapToGrid w:val="0"/>
                <w:color w:val="000000"/>
                <w:spacing w:val="14"/>
                <w:kern w:val="0"/>
                <w:sz w:val="24"/>
                <w:szCs w:val="24"/>
                <w:lang w:val="en-US" w:eastAsia="zh-CN" w:bidi="ar-SA"/>
              </w:rPr>
              <w:t>恶意串通谋取入围或者合同成交的；</w:t>
            </w:r>
          </w:p>
          <w:p w14:paraId="0A15E41E">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default" w:asciiTheme="minorEastAsia" w:hAnsiTheme="minorEastAsia" w:eastAsiaTheme="minorEastAsia" w:cstheme="minorEastAsia"/>
                <w:snapToGrid w:val="0"/>
                <w:color w:val="000000"/>
                <w:spacing w:val="14"/>
                <w:kern w:val="0"/>
                <w:sz w:val="24"/>
                <w:szCs w:val="24"/>
                <w:lang w:val="en-US" w:eastAsia="zh-CN" w:bidi="ar-SA"/>
              </w:rPr>
              <w:t>②</w:t>
            </w:r>
            <w:r>
              <w:rPr>
                <w:rFonts w:hint="eastAsia" w:asciiTheme="minorEastAsia" w:hAnsiTheme="minorEastAsia" w:eastAsiaTheme="minorEastAsia" w:cstheme="minorEastAsia"/>
                <w:snapToGrid w:val="0"/>
                <w:color w:val="000000"/>
                <w:spacing w:val="14"/>
                <w:kern w:val="0"/>
                <w:sz w:val="24"/>
                <w:szCs w:val="24"/>
                <w:lang w:val="en-US" w:eastAsia="zh-CN" w:bidi="ar-SA"/>
              </w:rPr>
              <w:t>提供虚假材料谋取入围或者合同成交的；</w:t>
            </w:r>
          </w:p>
          <w:p w14:paraId="7F489608">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default" w:asciiTheme="minorEastAsia" w:hAnsiTheme="minorEastAsia" w:eastAsiaTheme="minorEastAsia" w:cstheme="minorEastAsia"/>
                <w:snapToGrid w:val="0"/>
                <w:color w:val="000000"/>
                <w:spacing w:val="14"/>
                <w:kern w:val="0"/>
                <w:sz w:val="24"/>
                <w:szCs w:val="24"/>
                <w:lang w:val="en-US" w:eastAsia="zh-CN" w:bidi="ar-SA"/>
              </w:rPr>
              <w:t>③</w:t>
            </w:r>
            <w:r>
              <w:rPr>
                <w:rFonts w:hint="eastAsia" w:asciiTheme="minorEastAsia" w:hAnsiTheme="minorEastAsia" w:eastAsiaTheme="minorEastAsia" w:cstheme="minorEastAsia"/>
                <w:snapToGrid w:val="0"/>
                <w:color w:val="000000"/>
                <w:spacing w:val="14"/>
                <w:kern w:val="0"/>
                <w:sz w:val="24"/>
                <w:szCs w:val="24"/>
                <w:lang w:val="en-US" w:eastAsia="zh-CN" w:bidi="ar-SA"/>
              </w:rPr>
              <w:t>无正当理由拒不接受合同授予的；</w:t>
            </w:r>
          </w:p>
          <w:p w14:paraId="4EE03189">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④不履行合同义务或者履行合同义务不符合约定，经征集人请求履行后仍不履行或者仍未按约定履行的；</w:t>
            </w:r>
          </w:p>
          <w:p w14:paraId="2BC22D2A">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⑤框架协议有效期内，因违法行为被禁止或限制参加政府采购活动的；</w:t>
            </w:r>
          </w:p>
          <w:p w14:paraId="4ACDA303">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⑥入围供应商实质性违反本合同约定的；</w:t>
            </w:r>
          </w:p>
          <w:p w14:paraId="32BF686E">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⑦入围供应商有违反合同约定或其职责、义务的行为，在征集人指定期限内未予以纠正或补救的；</w:t>
            </w:r>
          </w:p>
          <w:p w14:paraId="1D1E399F">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⑧入围供应商泄漏委托方的秘密或与第三方串通损害征集人利益的；由此造成的经济损失，入围供应商应予赔偿；存在违法违规行为的,由相关部门进行处理；</w:t>
            </w:r>
          </w:p>
          <w:p w14:paraId="7A35BB06">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⑨征集人针对项目完成时限、质量有权提出要求,由于入围供应商原因,项目完成时限超出委托时限或质量不合格的；</w:t>
            </w:r>
          </w:p>
          <w:p w14:paraId="639CA753">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⑩入围供应商将征集人提供的相关资料丢失的；由此造成的经济损失，入围供应商应予赔偿；存在违法违规行为的，由相关部门进行处理；</w:t>
            </w:r>
          </w:p>
          <w:p w14:paraId="727E9684">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⑪入围供应商提供服务时，需按委托人要求时限完成,无正当理由，未按时完成的将解除合同。</w:t>
            </w:r>
          </w:p>
          <w:p w14:paraId="6CDC2F43">
            <w:pPr>
              <w:keepNext w:val="0"/>
              <w:keepLines w:val="0"/>
              <w:pageBreakBefore w:val="0"/>
              <w:widowControl/>
              <w:numPr>
                <w:ilvl w:val="0"/>
                <w:numId w:val="3"/>
              </w:numPr>
              <w:kinsoku/>
              <w:wordWrap w:val="0"/>
              <w:overflowPunct/>
              <w:topLinePunct w:val="0"/>
              <w:autoSpaceDE/>
              <w:autoSpaceDN/>
              <w:bidi w:val="0"/>
              <w:adjustRightInd/>
              <w:snapToGrid/>
              <w:ind w:left="0" w:leftChars="0" w:firstLine="0" w:firstLineChars="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补充规则</w:t>
            </w:r>
          </w:p>
          <w:p w14:paraId="70869BB8">
            <w:pPr>
              <w:keepNext w:val="0"/>
              <w:keepLines w:val="0"/>
              <w:pageBreakBefore w:val="0"/>
              <w:widowControl/>
              <w:numPr>
                <w:ilvl w:val="0"/>
                <w:numId w:val="0"/>
              </w:numPr>
              <w:kinsoku/>
              <w:wordWrap w:val="0"/>
              <w:overflowPunct/>
              <w:topLinePunct w:val="0"/>
              <w:autoSpaceDE/>
              <w:autoSpaceDN/>
              <w:bidi w:val="0"/>
              <w:adjustRightInd/>
              <w:snapToGrid/>
              <w:ind w:leftChars="0" w:firstLine="536" w:firstLineChars="200"/>
              <w:jc w:val="both"/>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入围供应商</w:t>
            </w:r>
            <w:r>
              <w:rPr>
                <w:rFonts w:hint="default" w:asciiTheme="minorEastAsia" w:hAnsiTheme="minorEastAsia" w:eastAsiaTheme="minorEastAsia" w:cstheme="minorEastAsia"/>
                <w:snapToGrid w:val="0"/>
                <w:color w:val="000000"/>
                <w:spacing w:val="14"/>
                <w:kern w:val="0"/>
                <w:sz w:val="24"/>
                <w:szCs w:val="24"/>
                <w:lang w:val="en-US" w:eastAsia="zh-CN" w:bidi="ar-SA"/>
              </w:rPr>
              <w:t>被取消入围资格或者被解除框架协议的，不得参加同一封闭式框架协议补充征集活动,不得重新申请加入同一开放式框架协议。</w:t>
            </w:r>
          </w:p>
          <w:p w14:paraId="4CFD92B2">
            <w:pPr>
              <w:keepNext w:val="0"/>
              <w:keepLines w:val="0"/>
              <w:pageBreakBefore w:val="0"/>
              <w:widowControl/>
              <w:numPr>
                <w:ilvl w:val="0"/>
                <w:numId w:val="0"/>
              </w:numPr>
              <w:kinsoku/>
              <w:wordWrap w:val="0"/>
              <w:overflowPunct/>
              <w:topLinePunct w:val="0"/>
              <w:autoSpaceDE/>
              <w:autoSpaceDN/>
              <w:bidi w:val="0"/>
              <w:adjustRightInd/>
              <w:snapToGrid/>
              <w:ind w:leftChars="0" w:firstLine="536" w:firstLineChars="200"/>
              <w:jc w:val="both"/>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default" w:asciiTheme="minorEastAsia" w:hAnsiTheme="minorEastAsia" w:eastAsiaTheme="minorEastAsia" w:cstheme="minorEastAsia"/>
                <w:snapToGrid w:val="0"/>
                <w:color w:val="000000"/>
                <w:spacing w:val="14"/>
                <w:kern w:val="0"/>
                <w:sz w:val="24"/>
                <w:szCs w:val="24"/>
                <w:lang w:val="en-US" w:eastAsia="zh-CN" w:bidi="ar-SA"/>
              </w:rPr>
              <w:t>剩余入围供应商不足入围供应商总数70%且影响框架协议执行的，框架协议有效期内征集人有权视情况进行补充。</w:t>
            </w:r>
          </w:p>
          <w:p w14:paraId="5C615A7E">
            <w:pPr>
              <w:keepNext w:val="0"/>
              <w:keepLines w:val="0"/>
              <w:pageBreakBefore w:val="0"/>
              <w:widowControl/>
              <w:numPr>
                <w:ilvl w:val="0"/>
                <w:numId w:val="0"/>
              </w:numPr>
              <w:kinsoku/>
              <w:wordWrap w:val="0"/>
              <w:overflowPunct/>
              <w:topLinePunct w:val="0"/>
              <w:autoSpaceDE/>
              <w:autoSpaceDN/>
              <w:bidi w:val="0"/>
              <w:adjustRightInd/>
              <w:snapToGrid/>
              <w:ind w:leftChars="0"/>
              <w:jc w:val="both"/>
              <w:textAlignment w:val="auto"/>
              <w:rPr>
                <w:rFonts w:hint="eastAsia" w:asciiTheme="minorEastAsia" w:hAnsiTheme="minorEastAsia" w:eastAsiaTheme="minorEastAsia" w:cstheme="minorEastAsia"/>
                <w:spacing w:val="-13"/>
                <w:sz w:val="24"/>
                <w:szCs w:val="24"/>
                <w:lang w:val="en-US" w:eastAsia="zh-CN"/>
              </w:rPr>
            </w:pPr>
            <w:r>
              <w:rPr>
                <w:rFonts w:hint="default" w:asciiTheme="minorEastAsia" w:hAnsiTheme="minorEastAsia" w:eastAsiaTheme="minorEastAsia" w:cstheme="minorEastAsia"/>
                <w:snapToGrid w:val="0"/>
                <w:color w:val="000000"/>
                <w:spacing w:val="14"/>
                <w:kern w:val="0"/>
                <w:sz w:val="24"/>
                <w:szCs w:val="24"/>
                <w:lang w:val="en-US" w:eastAsia="zh-CN" w:bidi="ar-SA"/>
              </w:rPr>
              <w:t>补充征集的条件、程序、评审方法和淘汰比例与初次征集相同。补充征集遵守原框架协议的有效期。补充征集期间，原框架协议继续履行。</w:t>
            </w:r>
          </w:p>
        </w:tc>
      </w:tr>
      <w:tr w14:paraId="46BE9C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3A44DA2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代理费</w:t>
            </w:r>
          </w:p>
        </w:tc>
        <w:tc>
          <w:tcPr>
            <w:tcW w:w="7305" w:type="dxa"/>
            <w:tcBorders>
              <w:top w:val="single" w:color="auto" w:sz="6" w:space="0"/>
              <w:left w:val="single" w:color="auto" w:sz="6" w:space="0"/>
              <w:bottom w:val="single" w:color="auto" w:sz="12" w:space="0"/>
              <w:right w:val="single" w:color="auto" w:sz="12" w:space="0"/>
            </w:tcBorders>
            <w:noWrap w:val="0"/>
            <w:vAlign w:val="center"/>
          </w:tcPr>
          <w:p w14:paraId="3AD10AAC">
            <w:pPr>
              <w:pStyle w:val="23"/>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val="en-US" w:eastAsia="zh-CN"/>
              </w:rPr>
              <w:t>集中采购机构不收费</w:t>
            </w:r>
          </w:p>
        </w:tc>
      </w:tr>
    </w:tbl>
    <w:p w14:paraId="0100A5AD">
      <w:pP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6A72B914">
      <w:pPr>
        <w:pStyle w:val="5"/>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pacing w:val="-2"/>
          <w:sz w:val="28"/>
          <w:szCs w:val="28"/>
          <w:lang w:val="en-US" w:eastAsia="zh-CN"/>
          <w14:textOutline w14:w="1800" w14:cap="flat" w14:cmpd="sng">
            <w14:solidFill>
              <w14:srgbClr w14:val="000000"/>
            </w14:solidFill>
            <w14:prstDash w14:val="solid"/>
            <w14:miter w14:val="0"/>
          </w14:textOutline>
        </w:rPr>
      </w:pPr>
    </w:p>
    <w:p w14:paraId="2011A594">
      <w:pPr>
        <w:pStyle w:val="5"/>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lang w:val="en-US" w:eastAsia="zh-CN"/>
          <w14:textOutline w14:w="1800" w14:cap="flat" w14:cmpd="sng">
            <w14:solidFill>
              <w14:srgbClr w14:val="000000"/>
            </w14:solidFill>
            <w14:prstDash w14:val="solid"/>
            <w14:miter w14:val="0"/>
          </w14:textOutline>
        </w:rPr>
        <w:t>供应商</w:t>
      </w:r>
      <w: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t>须知</w:t>
      </w:r>
    </w:p>
    <w:p w14:paraId="5C78943C">
      <w:pPr>
        <w:pStyle w:val="5"/>
        <w:keepNext w:val="0"/>
        <w:keepLines w:val="0"/>
        <w:pageBreakBefore w:val="0"/>
        <w:numPr>
          <w:ilvl w:val="0"/>
          <w:numId w:val="4"/>
        </w:numPr>
        <w:kinsoku/>
        <w:wordWrap w:val="0"/>
        <w:overflowPunct/>
        <w:topLinePunct w:val="0"/>
        <w:bidi w:val="0"/>
        <w:spacing w:before="268" w:line="360" w:lineRule="auto"/>
        <w:jc w:val="both"/>
        <w:rPr>
          <w:rFonts w:hint="eastAsia"/>
        </w:rPr>
      </w:pP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说明</w:t>
      </w:r>
    </w:p>
    <w:p w14:paraId="3D1841D2">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.征集人</w:t>
      </w:r>
      <w:r>
        <w:rPr>
          <w:rFonts w:hint="eastAsia" w:asciiTheme="minorEastAsia" w:hAnsiTheme="minorEastAsia" w:eastAsiaTheme="minorEastAsia" w:cstheme="minorEastAsia"/>
          <w:b/>
          <w:bCs/>
          <w:spacing w:val="-1"/>
          <w:sz w:val="24"/>
          <w:szCs w:val="24"/>
        </w:rPr>
        <w:t>、采购代理机构、</w:t>
      </w:r>
      <w:r>
        <w:rPr>
          <w:rFonts w:hint="eastAsia" w:asciiTheme="minorEastAsia" w:hAnsiTheme="minorEastAsia" w:eastAsiaTheme="minorEastAsia" w:cstheme="minorEastAsia"/>
          <w:b/>
          <w:bCs/>
          <w:spacing w:val="-1"/>
          <w:sz w:val="24"/>
          <w:szCs w:val="24"/>
          <w:lang w:eastAsia="zh-CN"/>
        </w:rPr>
        <w:t>供应商</w:t>
      </w:r>
      <w:r>
        <w:rPr>
          <w:rFonts w:hint="eastAsia" w:asciiTheme="minorEastAsia" w:hAnsiTheme="minorEastAsia" w:eastAsiaTheme="minorEastAsia" w:cstheme="minorEastAsia"/>
          <w:b/>
          <w:bCs/>
          <w:spacing w:val="-1"/>
          <w:sz w:val="24"/>
          <w:szCs w:val="24"/>
        </w:rPr>
        <w:t>、联合体</w:t>
      </w:r>
    </w:p>
    <w:p w14:paraId="73B575B9">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征集人</w:t>
      </w:r>
      <w:r>
        <w:rPr>
          <w:rFonts w:hint="eastAsia" w:asciiTheme="minorEastAsia" w:hAnsiTheme="minorEastAsia" w:eastAsiaTheme="minorEastAsia" w:cstheme="minorEastAsia"/>
          <w:spacing w:val="2"/>
          <w:sz w:val="24"/>
          <w:szCs w:val="24"/>
        </w:rPr>
        <w:t>、采购代理机构：指依法进行政府采购的国家机关、事业单位、团体组织及其委托的采购代理机构。本项目</w:t>
      </w:r>
      <w:r>
        <w:rPr>
          <w:rFonts w:hint="eastAsia" w:asciiTheme="minorEastAsia" w:hAnsiTheme="minorEastAsia" w:eastAsiaTheme="minorEastAsia" w:cstheme="minorEastAsia"/>
          <w:spacing w:val="2"/>
          <w:sz w:val="24"/>
          <w:szCs w:val="24"/>
          <w:lang w:val="en-US" w:eastAsia="zh-CN"/>
        </w:rPr>
        <w:t>征集人</w:t>
      </w:r>
      <w:r>
        <w:rPr>
          <w:rFonts w:hint="eastAsia" w:asciiTheme="minorEastAsia" w:hAnsiTheme="minorEastAsia" w:eastAsiaTheme="minorEastAsia" w:cstheme="minorEastAsia"/>
          <w:spacing w:val="2"/>
          <w:sz w:val="24"/>
          <w:szCs w:val="24"/>
        </w:rPr>
        <w:t>、采购代理机构见第一章《</w:t>
      </w:r>
      <w:r>
        <w:rPr>
          <w:rFonts w:hint="eastAsia" w:asciiTheme="minorEastAsia" w:hAnsiTheme="minorEastAsia" w:eastAsiaTheme="minorEastAsia" w:cstheme="minorEastAsia"/>
          <w:spacing w:val="2"/>
          <w:sz w:val="24"/>
          <w:szCs w:val="24"/>
          <w:lang w:val="en-US" w:eastAsia="zh-CN"/>
        </w:rPr>
        <w:t>征集</w:t>
      </w:r>
      <w:r>
        <w:rPr>
          <w:rFonts w:hint="eastAsia" w:asciiTheme="minorEastAsia" w:hAnsiTheme="minorEastAsia" w:eastAsiaTheme="minorEastAsia" w:cstheme="minorEastAsia"/>
          <w:spacing w:val="2"/>
          <w:sz w:val="24"/>
          <w:szCs w:val="24"/>
          <w:lang w:eastAsia="zh-CN"/>
        </w:rPr>
        <w:t>公告</w:t>
      </w:r>
      <w:r>
        <w:rPr>
          <w:rFonts w:hint="eastAsia" w:asciiTheme="minorEastAsia" w:hAnsiTheme="minorEastAsia" w:eastAsiaTheme="minorEastAsia" w:cstheme="minorEastAsia"/>
          <w:spacing w:val="2"/>
          <w:sz w:val="24"/>
          <w:szCs w:val="24"/>
        </w:rPr>
        <w:t>》。</w:t>
      </w:r>
    </w:p>
    <w:p w14:paraId="127689A1">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供应商（也称</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pacing w:val="2"/>
          <w:sz w:val="24"/>
          <w:szCs w:val="24"/>
        </w:rPr>
        <w:t>、申请人）：指向</w:t>
      </w:r>
      <w:r>
        <w:rPr>
          <w:rFonts w:hint="eastAsia" w:asciiTheme="minorEastAsia" w:hAnsiTheme="minorEastAsia" w:eastAsiaTheme="minorEastAsia" w:cstheme="minorEastAsia"/>
          <w:spacing w:val="2"/>
          <w:sz w:val="24"/>
          <w:szCs w:val="24"/>
          <w:lang w:eastAsia="zh-CN"/>
        </w:rPr>
        <w:t>征集人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14:paraId="5626FC97">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14:paraId="59751C0D">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2</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资金来源、项目属性</w:t>
      </w:r>
    </w:p>
    <w:p w14:paraId="2061CDC6">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pacing w:val="7"/>
          <w:sz w:val="24"/>
          <w:szCs w:val="24"/>
          <w:u w:val="none"/>
          <w:lang w:val="en-US" w:eastAsia="zh-CN"/>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资金来源为财政性资金</w:t>
      </w:r>
      <w:r>
        <w:rPr>
          <w:rFonts w:hint="eastAsia" w:asciiTheme="minorEastAsia" w:hAnsiTheme="minorEastAsia" w:eastAsiaTheme="minorEastAsia" w:cstheme="minorEastAsia"/>
          <w:spacing w:val="7"/>
          <w:sz w:val="24"/>
          <w:szCs w:val="24"/>
          <w:u w:val="single"/>
          <w:lang w:val="en-US" w:eastAsia="zh-CN"/>
        </w:rPr>
        <w:t xml:space="preserve"> 260 </w:t>
      </w:r>
      <w:r>
        <w:rPr>
          <w:rFonts w:hint="eastAsia" w:asciiTheme="minorEastAsia" w:hAnsiTheme="minorEastAsia" w:eastAsiaTheme="minorEastAsia" w:cstheme="minorEastAsia"/>
          <w:spacing w:val="7"/>
          <w:sz w:val="24"/>
          <w:szCs w:val="24"/>
          <w:u w:val="none"/>
          <w:lang w:val="en-US" w:eastAsia="zh-CN"/>
        </w:rPr>
        <w:t>万元</w:t>
      </w:r>
    </w:p>
    <w:p w14:paraId="3C1D0414">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2.2</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项目属性见《</w:t>
      </w:r>
      <w:r>
        <w:rPr>
          <w:rFonts w:hint="eastAsia" w:asciiTheme="minorEastAsia" w:hAnsiTheme="minorEastAsia" w:eastAsiaTheme="minorEastAsia" w:cstheme="minorEastAsia"/>
          <w:spacing w:val="7"/>
          <w:sz w:val="24"/>
          <w:szCs w:val="24"/>
          <w:lang w:eastAsia="zh-CN"/>
        </w:rPr>
        <w:t>供应商须知表</w:t>
      </w:r>
      <w:r>
        <w:rPr>
          <w:rFonts w:hint="eastAsia" w:asciiTheme="minorEastAsia" w:hAnsiTheme="minorEastAsia" w:eastAsiaTheme="minorEastAsia" w:cstheme="minorEastAsia"/>
          <w:spacing w:val="7"/>
          <w:sz w:val="24"/>
          <w:szCs w:val="24"/>
        </w:rPr>
        <w:t>》。</w:t>
      </w:r>
    </w:p>
    <w:p w14:paraId="4CB6052A">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现场考察、开标前答疑会</w:t>
      </w:r>
    </w:p>
    <w:p w14:paraId="695552EC">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eastAsia="zh-CN"/>
        </w:rPr>
        <w:t>供应商须知表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织现场考察、召开开标前答疑会，则</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pacing w:val="-3"/>
          <w:sz w:val="24"/>
          <w:szCs w:val="24"/>
        </w:rPr>
        <w:t>应按要求在规定的时间和地点参加。</w:t>
      </w:r>
    </w:p>
    <w:p w14:paraId="0B09EEF7">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由于未参加现场考察或开标前答疑会而导致对项目实际情况不了解，影响</w:t>
      </w:r>
      <w:r>
        <w:rPr>
          <w:rFonts w:hint="eastAsia" w:asciiTheme="minorEastAsia" w:hAnsiTheme="minorEastAsia" w:eastAsiaTheme="minorEastAsia" w:cstheme="minorEastAsia"/>
          <w:spacing w:val="2"/>
          <w:sz w:val="24"/>
          <w:szCs w:val="24"/>
          <w:lang w:eastAsia="zh-CN"/>
        </w:rPr>
        <w:t>响应文件</w:t>
      </w:r>
      <w:r>
        <w:rPr>
          <w:rFonts w:hint="eastAsia" w:asciiTheme="minorEastAsia" w:hAnsiTheme="minorEastAsia" w:eastAsiaTheme="minorEastAsia" w:cstheme="minorEastAsia"/>
          <w:spacing w:val="2"/>
          <w:sz w:val="24"/>
          <w:szCs w:val="24"/>
        </w:rPr>
        <w:t>编制、</w:t>
      </w:r>
      <w:r>
        <w:rPr>
          <w:rFonts w:hint="eastAsia" w:asciiTheme="minorEastAsia" w:hAnsiTheme="minorEastAsia" w:eastAsiaTheme="minorEastAsia" w:cstheme="minorEastAsia"/>
          <w:spacing w:val="2"/>
          <w:sz w:val="24"/>
          <w:szCs w:val="24"/>
          <w:lang w:eastAsia="zh-CN"/>
        </w:rPr>
        <w:t>响应</w:t>
      </w:r>
      <w:r>
        <w:rPr>
          <w:rFonts w:hint="eastAsia" w:asciiTheme="minorEastAsia" w:hAnsiTheme="minorEastAsia" w:eastAsiaTheme="minorEastAsia" w:cstheme="minorEastAsia"/>
          <w:spacing w:val="2"/>
          <w:sz w:val="24"/>
          <w:szCs w:val="24"/>
        </w:rPr>
        <w:t>报价准确性、综合因素响应不全面等问题的，由</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pacing w:val="2"/>
          <w:sz w:val="24"/>
          <w:szCs w:val="24"/>
        </w:rPr>
        <w:t>自行承担不利评审后果。</w:t>
      </w:r>
    </w:p>
    <w:p w14:paraId="5E4EA16A">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val="en-US"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14:paraId="779CB7FA">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14:paraId="77696AFA">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14:paraId="5C06A0E7">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物、工程、服务参与投标，则具体要求见第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14:paraId="75AAC765">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14:paraId="57FB469F">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14:paraId="61F65468">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14:paraId="49992BEE">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14:paraId="729BC815">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pacing w:val="-4"/>
          <w:sz w:val="24"/>
          <w:szCs w:val="24"/>
          <w:lang w:val="en-US" w:eastAsia="zh-CN"/>
        </w:rPr>
        <w:t>1</w:t>
      </w:r>
      <w:r>
        <w:rPr>
          <w:rFonts w:hint="eastAsia" w:asciiTheme="minorEastAsia" w:hAnsiTheme="minorEastAsia" w:eastAsiaTheme="minorEastAsia" w:cstheme="minorEastAsia"/>
          <w:spacing w:val="-4"/>
          <w:sz w:val="24"/>
          <w:szCs w:val="24"/>
        </w:rPr>
        <w:t>）在服务采购项目中，服务由中小企业承接，即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14:paraId="0A1EDC9F">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14:paraId="2848BD5C">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14:paraId="264FB11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14:paraId="4F80E49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14:paraId="64A01B0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14:paraId="0308818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14:paraId="7FA193F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14:paraId="2FD3A54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488625C5">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val="en-US" w:eastAsia="zh-CN"/>
        </w:rPr>
        <w:t>征集</w:t>
      </w:r>
      <w:r>
        <w:rPr>
          <w:rFonts w:hint="eastAsia" w:asciiTheme="minorEastAsia" w:hAnsiTheme="minorEastAsia" w:eastAsiaTheme="minorEastAsia" w:cstheme="minorEastAsia"/>
          <w:spacing w:val="-8"/>
          <w:sz w:val="24"/>
          <w:szCs w:val="24"/>
          <w:lang w:eastAsia="zh-CN"/>
        </w:rPr>
        <w:t>公告</w:t>
      </w:r>
      <w:r>
        <w:rPr>
          <w:rFonts w:hint="eastAsia" w:asciiTheme="minorEastAsia" w:hAnsiTheme="minorEastAsia" w:eastAsiaTheme="minorEastAsia" w:cstheme="minorEastAsia"/>
          <w:spacing w:val="-8"/>
          <w:sz w:val="24"/>
          <w:szCs w:val="24"/>
        </w:rPr>
        <w:t>》。</w:t>
      </w:r>
    </w:p>
    <w:p w14:paraId="7F9DC2EC">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eastAsia="zh-CN"/>
        </w:rPr>
        <w:t>供应商须知表</w:t>
      </w:r>
      <w:r>
        <w:rPr>
          <w:rFonts w:hint="eastAsia" w:asciiTheme="minorEastAsia" w:hAnsiTheme="minorEastAsia" w:eastAsiaTheme="minorEastAsia" w:cstheme="minorEastAsia"/>
          <w:spacing w:val="-8"/>
          <w:sz w:val="24"/>
          <w:szCs w:val="24"/>
        </w:rPr>
        <w:t>》。</w:t>
      </w:r>
    </w:p>
    <w:p w14:paraId="3B230C81">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lang w:eastAsia="zh-CN"/>
        </w:rPr>
        <w:t>评审</w:t>
      </w:r>
      <w:r>
        <w:rPr>
          <w:rFonts w:hint="eastAsia" w:asciiTheme="minorEastAsia" w:hAnsiTheme="minorEastAsia" w:eastAsiaTheme="minorEastAsia" w:cstheme="minorEastAsia"/>
          <w:spacing w:val="-8"/>
          <w:sz w:val="24"/>
          <w:szCs w:val="24"/>
        </w:rPr>
        <w:t>程序、</w:t>
      </w:r>
      <w:r>
        <w:rPr>
          <w:rFonts w:hint="eastAsia" w:asciiTheme="minorEastAsia" w:hAnsiTheme="minorEastAsia" w:eastAsiaTheme="minorEastAsia" w:cstheme="minorEastAsia"/>
          <w:spacing w:val="-8"/>
          <w:sz w:val="24"/>
          <w:szCs w:val="24"/>
          <w:lang w:eastAsia="zh-CN"/>
        </w:rPr>
        <w:t>评审</w:t>
      </w:r>
      <w:r>
        <w:rPr>
          <w:rFonts w:hint="eastAsia" w:asciiTheme="minorEastAsia" w:hAnsiTheme="minorEastAsia" w:eastAsiaTheme="minorEastAsia" w:cstheme="minorEastAsia"/>
          <w:spacing w:val="-8"/>
          <w:sz w:val="24"/>
          <w:szCs w:val="24"/>
        </w:rPr>
        <w:t>方法和</w:t>
      </w:r>
      <w:r>
        <w:rPr>
          <w:rFonts w:hint="eastAsia" w:asciiTheme="minorEastAsia" w:hAnsiTheme="minorEastAsia" w:eastAsiaTheme="minorEastAsia" w:cstheme="minorEastAsia"/>
          <w:spacing w:val="-8"/>
          <w:sz w:val="24"/>
          <w:szCs w:val="24"/>
          <w:lang w:eastAsia="zh-CN"/>
        </w:rPr>
        <w:t>评审</w:t>
      </w:r>
      <w:r>
        <w:rPr>
          <w:rFonts w:hint="eastAsia" w:asciiTheme="minorEastAsia" w:hAnsiTheme="minorEastAsia" w:eastAsiaTheme="minorEastAsia" w:cstheme="minorEastAsia"/>
          <w:spacing w:val="-8"/>
          <w:sz w:val="24"/>
          <w:szCs w:val="24"/>
        </w:rPr>
        <w:t>标准》。</w:t>
      </w:r>
    </w:p>
    <w:p w14:paraId="056912FA">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 xml:space="preserve">3 </w:t>
      </w:r>
      <w:r>
        <w:rPr>
          <w:rFonts w:hint="eastAsia" w:asciiTheme="minorEastAsia" w:hAnsiTheme="minorEastAsia" w:eastAsiaTheme="minorEastAsia" w:cstheme="minorEastAsia"/>
          <w:spacing w:val="2"/>
          <w:sz w:val="24"/>
          <w:szCs w:val="24"/>
        </w:rPr>
        <w:t>采购需求标准</w:t>
      </w:r>
    </w:p>
    <w:p w14:paraId="2908CE30">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14:paraId="32253372">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val="en-US" w:eastAsia="zh-CN"/>
        </w:rPr>
        <w:t>二</w:t>
      </w:r>
      <w:r>
        <w:rPr>
          <w:rFonts w:hint="eastAsia" w:asciiTheme="minorEastAsia" w:hAnsiTheme="minorEastAsia" w:eastAsiaTheme="minorEastAsia" w:cstheme="minorEastAsia"/>
          <w:spacing w:val="-12"/>
          <w:sz w:val="24"/>
          <w:szCs w:val="24"/>
        </w:rPr>
        <w:t>章《采购需求》。</w:t>
      </w:r>
    </w:p>
    <w:p w14:paraId="4004ED76">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lang w:val="en-US" w:eastAsia="zh-CN"/>
        </w:rPr>
        <w:t>5.投标</w:t>
      </w:r>
      <w:r>
        <w:rPr>
          <w:rFonts w:hint="eastAsia" w:asciiTheme="minorEastAsia" w:hAnsiTheme="minorEastAsia" w:eastAsiaTheme="minorEastAsia" w:cstheme="minorEastAsia"/>
          <w:b/>
          <w:bCs/>
          <w:spacing w:val="-2"/>
          <w:sz w:val="24"/>
          <w:szCs w:val="24"/>
        </w:rPr>
        <w:t>费用</w:t>
      </w:r>
    </w:p>
    <w:p w14:paraId="09D233C5">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供应商</w:t>
      </w:r>
      <w:r>
        <w:rPr>
          <w:rFonts w:hint="eastAsia" w:asciiTheme="minorEastAsia" w:hAnsiTheme="minorEastAsia" w:eastAsiaTheme="minorEastAsia" w:cstheme="minorEastAsia"/>
          <w:spacing w:val="-4"/>
          <w:sz w:val="24"/>
          <w:szCs w:val="24"/>
        </w:rPr>
        <w:t>应自行承担所有与准备和</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招标</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lang w:eastAsia="zh-CN"/>
        </w:rPr>
        <w:t>征集人</w:t>
      </w:r>
      <w:r>
        <w:rPr>
          <w:rFonts w:hint="eastAsia" w:asciiTheme="minorEastAsia" w:hAnsiTheme="minorEastAsia" w:eastAsiaTheme="minorEastAsia" w:cstheme="minorEastAsia"/>
          <w:spacing w:val="-1"/>
          <w:sz w:val="24"/>
          <w:szCs w:val="24"/>
        </w:rPr>
        <w:t>或采购代理机构在任何情况下均无承担</w:t>
      </w:r>
      <w:r>
        <w:rPr>
          <w:rFonts w:hint="eastAsia" w:asciiTheme="minorEastAsia" w:hAnsiTheme="minorEastAsia" w:eastAsiaTheme="minorEastAsia" w:cstheme="minorEastAsia"/>
          <w:spacing w:val="-2"/>
          <w:sz w:val="24"/>
          <w:szCs w:val="24"/>
        </w:rPr>
        <w:t>这些费用的义务和责任。</w:t>
      </w:r>
    </w:p>
    <w:p w14:paraId="02086B94">
      <w:pPr>
        <w:keepNext w:val="0"/>
        <w:keepLines w:val="0"/>
        <w:pageBreakBefore w:val="0"/>
        <w:kinsoku/>
        <w:wordWrap w:val="0"/>
        <w:overflowPunct/>
        <w:topLinePunct w:val="0"/>
        <w:bidi w:val="0"/>
        <w:spacing w:line="360" w:lineRule="auto"/>
        <w:ind w:firstLine="466" w:firstLineChars="200"/>
        <w:jc w:val="both"/>
        <w:rPr>
          <w:rFonts w:hint="eastAsia" w:asciiTheme="minorEastAsia" w:hAnsiTheme="minorEastAsia" w:eastAsiaTheme="minorEastAsia" w:cstheme="minorEastAsia"/>
          <w:b/>
          <w:bCs/>
          <w:snapToGrid w:val="0"/>
          <w:color w:val="auto"/>
          <w:spacing w:val="-4"/>
          <w:kern w:val="0"/>
          <w:sz w:val="24"/>
          <w:szCs w:val="24"/>
          <w:lang w:val="en-US" w:eastAsia="zh-CN" w:bidi="ar-SA"/>
        </w:rPr>
      </w:pPr>
      <w:r>
        <w:rPr>
          <w:rFonts w:hint="eastAsia" w:asciiTheme="minorEastAsia" w:hAnsiTheme="minorEastAsia" w:eastAsiaTheme="minorEastAsia" w:cstheme="minorEastAsia"/>
          <w:b/>
          <w:bCs/>
          <w:snapToGrid w:val="0"/>
          <w:color w:val="auto"/>
          <w:spacing w:val="-4"/>
          <w:kern w:val="0"/>
          <w:sz w:val="24"/>
          <w:szCs w:val="24"/>
          <w:lang w:val="en-US" w:eastAsia="zh-CN" w:bidi="ar-SA"/>
        </w:rPr>
        <w:t>6.采购范围及适用法律</w:t>
      </w:r>
    </w:p>
    <w:p w14:paraId="5EEC2C4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6.1 本项目适用的法律、法规为《中华人民共和国政府采购法》《中华人民共和国政府采购法实施条例》《政府采购框架协议采购方式管理暂行办法》《政府采购货物和服务招标投标管理办法》《中华人民共和国民法典》以及其他相关政府采购法律法规。</w:t>
      </w:r>
    </w:p>
    <w:p w14:paraId="68A7896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南阳市财政局     </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14:paraId="21187EF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6.3“服务”指征集文件规定供应商应承担的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预算绩效管理综合 </w:t>
      </w:r>
      <w:r>
        <w:rPr>
          <w:rFonts w:hint="eastAsia" w:asciiTheme="minorEastAsia" w:hAnsiTheme="minorEastAsia" w:eastAsiaTheme="minorEastAsia" w:cstheme="minorEastAsia"/>
          <w:snapToGrid w:val="0"/>
          <w:color w:val="000000"/>
          <w:spacing w:val="-4"/>
          <w:kern w:val="0"/>
          <w:sz w:val="24"/>
          <w:szCs w:val="24"/>
          <w:lang w:val="en-US" w:eastAsia="zh-CN" w:bidi="ar-SA"/>
        </w:rPr>
        <w:t>服务。</w:t>
      </w:r>
    </w:p>
    <w:p w14:paraId="51C889FC">
      <w:pPr>
        <w:pStyle w:val="5"/>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69EF3465">
      <w:pPr>
        <w:pStyle w:val="5"/>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5"/>
          <w:sz w:val="28"/>
          <w:szCs w:val="28"/>
          <w:lang w:val="en-US" w:eastAsia="zh-CN"/>
          <w14:textOutline w14:w="1800" w14:cap="flat" w14:cmpd="sng">
            <w14:solidFill>
              <w14:srgbClr w14:val="000000"/>
            </w14:solidFill>
            <w14:prstDash w14:val="solid"/>
            <w14:miter w14:val="0"/>
          </w14:textOutline>
        </w:rPr>
        <w:t>征集</w:t>
      </w: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文件</w:t>
      </w:r>
    </w:p>
    <w:p w14:paraId="2FAB54E7">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74" w:firstLineChars="200"/>
        <w:jc w:val="both"/>
        <w:textAlignment w:val="baseline"/>
        <w:rPr>
          <w:rFonts w:hint="eastAsia" w:asciiTheme="minorEastAsia" w:hAnsiTheme="minorEastAsia" w:eastAsiaTheme="minorEastAsia" w:cstheme="minorEastAsia"/>
          <w:b/>
          <w:bCs/>
          <w:snapToGrid w:val="0"/>
          <w:color w:val="000000"/>
          <w:spacing w:val="-2"/>
          <w:kern w:val="0"/>
          <w:sz w:val="24"/>
          <w:szCs w:val="24"/>
          <w:lang w:val="en-US" w:eastAsia="zh-CN" w:bidi="ar-SA"/>
        </w:rPr>
      </w:pPr>
      <w:r>
        <w:rPr>
          <w:rFonts w:hint="eastAsia" w:asciiTheme="minorEastAsia" w:hAnsiTheme="minorEastAsia" w:eastAsiaTheme="minorEastAsia" w:cstheme="minorEastAsia"/>
          <w:b/>
          <w:bCs/>
          <w:snapToGrid w:val="0"/>
          <w:color w:val="000000"/>
          <w:spacing w:val="-2"/>
          <w:kern w:val="0"/>
          <w:sz w:val="24"/>
          <w:szCs w:val="24"/>
          <w:lang w:val="en-US" w:eastAsia="zh-CN" w:bidi="ar-SA"/>
        </w:rPr>
        <w:t>7.征集文件构成</w:t>
      </w:r>
    </w:p>
    <w:p w14:paraId="553E916B">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7.1 征集文件包括以下部分：</w:t>
      </w:r>
    </w:p>
    <w:p w14:paraId="0E47C1B1">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第一章 征集公告</w:t>
      </w:r>
    </w:p>
    <w:p w14:paraId="25AF3180">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第二章 采购需求</w:t>
      </w:r>
    </w:p>
    <w:p w14:paraId="5DDBA7CB">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第三章 供应商须知</w:t>
      </w:r>
    </w:p>
    <w:p w14:paraId="68ED5D72">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第四章 开、评审程序、评审方法和评审标准</w:t>
      </w:r>
    </w:p>
    <w:p w14:paraId="4EBC70E6">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第五章 政府采购框架协议文本和采购合同文本（草案）</w:t>
      </w:r>
    </w:p>
    <w:p w14:paraId="43BE5689">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第六章 响应文件格式</w:t>
      </w:r>
    </w:p>
    <w:p w14:paraId="1C55B662">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7.2 供应商应认真阅读</w:t>
      </w:r>
      <w:r>
        <w:rPr>
          <w:rFonts w:hint="eastAsia" w:asciiTheme="minorEastAsia" w:hAnsiTheme="minorEastAsia" w:eastAsiaTheme="minorEastAsia" w:cstheme="minorEastAsia"/>
          <w:snapToGrid w:val="0"/>
          <w:color w:val="000000"/>
          <w:spacing w:val="-2"/>
          <w:kern w:val="0"/>
          <w:sz w:val="24"/>
          <w:szCs w:val="24"/>
          <w:lang w:val="en-US" w:eastAsia="zh-CN" w:bidi="ar-SA"/>
        </w:rPr>
        <w:t>征集</w:t>
      </w:r>
      <w:r>
        <w:rPr>
          <w:rFonts w:hint="eastAsia" w:asciiTheme="minorEastAsia" w:hAnsiTheme="minorEastAsia" w:eastAsiaTheme="minorEastAsia" w:cstheme="minorEastAsia"/>
          <w:spacing w:val="-8"/>
          <w:sz w:val="24"/>
          <w:szCs w:val="24"/>
          <w:lang w:val="en-US" w:eastAsia="zh-CN"/>
        </w:rPr>
        <w:t>文件的全部内容。供应商应按照</w:t>
      </w:r>
      <w:r>
        <w:rPr>
          <w:rFonts w:hint="eastAsia" w:asciiTheme="minorEastAsia" w:hAnsiTheme="minorEastAsia" w:eastAsiaTheme="minorEastAsia" w:cstheme="minorEastAsia"/>
          <w:snapToGrid w:val="0"/>
          <w:color w:val="000000"/>
          <w:spacing w:val="-2"/>
          <w:kern w:val="0"/>
          <w:sz w:val="24"/>
          <w:szCs w:val="24"/>
          <w:lang w:val="en-US" w:eastAsia="zh-CN" w:bidi="ar-SA"/>
        </w:rPr>
        <w:t>征集</w:t>
      </w:r>
      <w:r>
        <w:rPr>
          <w:rFonts w:hint="eastAsia" w:asciiTheme="minorEastAsia" w:hAnsiTheme="minorEastAsia" w:eastAsiaTheme="minorEastAsia" w:cstheme="minorEastAsia"/>
          <w:spacing w:val="-8"/>
          <w:sz w:val="24"/>
          <w:szCs w:val="24"/>
          <w:lang w:val="en-US" w:eastAsia="zh-CN"/>
        </w:rPr>
        <w:t>文件要求提交响应文件并保证所提供的全部资料的真实性，并对征集文件做出实质性响应，否则响应无效。</w:t>
      </w:r>
    </w:p>
    <w:p w14:paraId="6F91C85A">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50"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8.对征集文件的澄清或修改</w:t>
      </w:r>
    </w:p>
    <w:p w14:paraId="0D750BF8">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8.1 征集人或采购代理机构对已发出的征集文件进行必要澄清或者修改的，将在原公告发布媒体上发布更正公告，不得改变采购标的和资格条件。</w:t>
      </w:r>
    </w:p>
    <w:p w14:paraId="3C59171C">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8.2 澄清或者修改的内容为</w:t>
      </w:r>
      <w:r>
        <w:rPr>
          <w:rFonts w:hint="eastAsia" w:asciiTheme="minorEastAsia" w:hAnsiTheme="minorEastAsia" w:eastAsiaTheme="minorEastAsia" w:cstheme="minorEastAsia"/>
          <w:snapToGrid w:val="0"/>
          <w:color w:val="000000"/>
          <w:spacing w:val="-2"/>
          <w:kern w:val="0"/>
          <w:sz w:val="24"/>
          <w:szCs w:val="24"/>
          <w:lang w:val="en-US" w:eastAsia="zh-CN" w:bidi="ar-SA"/>
        </w:rPr>
        <w:t>征集</w:t>
      </w:r>
      <w:r>
        <w:rPr>
          <w:rFonts w:hint="eastAsia" w:asciiTheme="minorEastAsia" w:hAnsiTheme="minorEastAsia" w:eastAsiaTheme="minorEastAsia" w:cstheme="minorEastAsia"/>
          <w:spacing w:val="-8"/>
          <w:sz w:val="24"/>
          <w:szCs w:val="24"/>
          <w:lang w:val="en-US" w:eastAsia="zh-CN"/>
        </w:rPr>
        <w:t>文件的组成部分，并对所有获取征集文件的潜在供应商具有约束力。澄清或者修改的内容可能影响响应文件编制的，将在响应截止时间至少15日前，以书面形式（必须在原公告发布媒体上发布公告）通知所有获取征集文件的潜在供应商；不足15日的，将顺延提交响应文件的截止时间和开标时间。</w:t>
      </w:r>
    </w:p>
    <w:p w14:paraId="791EB9F2">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eastAsia"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8.3 政府采购项目实行网上受理，开标前所有信息保密。因此，发布的一切公告信息（包括征集公告、更正公告、澄清公告、延期公告等）均在“河南省政府采购网”“</w:t>
      </w:r>
      <w:r>
        <w:rPr>
          <w:rFonts w:hint="eastAsia" w:asciiTheme="minorEastAsia" w:hAnsiTheme="minorEastAsia" w:eastAsiaTheme="minorEastAsia" w:cstheme="minorEastAsia"/>
          <w:b/>
          <w:bCs/>
          <w:snapToGrid w:val="0"/>
          <w:color w:val="000000"/>
          <w:spacing w:val="-8"/>
          <w:kern w:val="0"/>
          <w:sz w:val="24"/>
          <w:szCs w:val="24"/>
          <w:lang w:val="en-US" w:eastAsia="zh-CN" w:bidi="ar-SA"/>
        </w:rPr>
        <w:t>全国公共资源交易平台(河南省·南阳市)</w:t>
      </w:r>
      <w:r>
        <w:rPr>
          <w:rFonts w:hint="eastAsia" w:asciiTheme="minorEastAsia" w:hAnsiTheme="minorEastAsia" w:eastAsiaTheme="minorEastAsia" w:cstheme="minorEastAsia"/>
          <w:b/>
          <w:bCs/>
          <w:spacing w:val="-8"/>
          <w:sz w:val="24"/>
          <w:szCs w:val="24"/>
          <w:lang w:val="en-US" w:eastAsia="zh-CN"/>
        </w:rPr>
        <w:t>”发布，请潜在供应商随时查询有关公告信息。若因潜在供应商没有及时查看到公告信息而造成的投标失误，责任自负。</w:t>
      </w:r>
    </w:p>
    <w:p w14:paraId="6DCAA4D0">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8.4 供应商应关注是否有发布最新的澄清更正公告和更正的最新征集文件（电子答疑文件），如有则需下载最新的征集文件，并在此基础上制作最新的征集文件并上传。</w:t>
      </w:r>
    </w:p>
    <w:p w14:paraId="7EA4A693">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p>
    <w:p w14:paraId="68BFFF49">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8"/>
          <w:szCs w:val="28"/>
          <w:lang w:eastAsia="zh-CN"/>
        </w:rPr>
        <w:t>、</w:t>
      </w:r>
      <w:r>
        <w:rPr>
          <w:rFonts w:hint="eastAsia" w:asciiTheme="minorEastAsia" w:hAnsiTheme="minorEastAsia" w:eastAsiaTheme="minorEastAsia" w:cstheme="minorEastAsia"/>
          <w:spacing w:val="-1"/>
          <w:sz w:val="28"/>
          <w:szCs w:val="28"/>
          <w:lang w:val="en-US" w:eastAsia="zh-CN"/>
          <w14:textOutline w14:w="1800" w14:cap="flat" w14:cmpd="sng">
            <w14:solidFill>
              <w14:srgbClr w14:val="000000"/>
            </w14:solidFill>
            <w14:prstDash w14:val="solid"/>
            <w14:miter w14:val="0"/>
          </w14:textOutline>
        </w:rPr>
        <w:t>响应</w:t>
      </w: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文件的编制</w:t>
      </w:r>
    </w:p>
    <w:p w14:paraId="3B83201C">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lang w:eastAsia="zh-CN"/>
        </w:rPr>
        <w:t>响应</w:t>
      </w:r>
      <w:r>
        <w:rPr>
          <w:rFonts w:hint="eastAsia" w:asciiTheme="minorEastAsia" w:hAnsiTheme="minorEastAsia" w:eastAsiaTheme="minorEastAsia" w:cstheme="minorEastAsia"/>
          <w:b/>
          <w:bCs/>
          <w:sz w:val="24"/>
          <w:szCs w:val="24"/>
        </w:rPr>
        <w:t>范围、</w:t>
      </w:r>
      <w:r>
        <w:rPr>
          <w:rFonts w:hint="eastAsia" w:asciiTheme="minorEastAsia" w:hAnsiTheme="minorEastAsia" w:eastAsiaTheme="minorEastAsia" w:cstheme="minorEastAsia"/>
          <w:b/>
          <w:bCs/>
          <w:sz w:val="24"/>
          <w:szCs w:val="24"/>
          <w:lang w:eastAsia="zh-CN"/>
        </w:rPr>
        <w:t>响应文件</w:t>
      </w:r>
      <w:r>
        <w:rPr>
          <w:rFonts w:hint="eastAsia" w:asciiTheme="minorEastAsia" w:hAnsiTheme="minorEastAsia" w:eastAsiaTheme="minorEastAsia" w:cstheme="minorEastAsia"/>
          <w:b/>
          <w:bCs/>
          <w:sz w:val="24"/>
          <w:szCs w:val="24"/>
        </w:rPr>
        <w:t>中计量单位的使用及</w:t>
      </w:r>
      <w:r>
        <w:rPr>
          <w:rFonts w:hint="eastAsia" w:asciiTheme="minorEastAsia" w:hAnsiTheme="minorEastAsia" w:eastAsiaTheme="minorEastAsia" w:cstheme="minorEastAsia"/>
          <w:b/>
          <w:bCs/>
          <w:sz w:val="24"/>
          <w:szCs w:val="24"/>
          <w:lang w:eastAsia="zh-CN"/>
        </w:rPr>
        <w:t>响应</w:t>
      </w:r>
      <w:r>
        <w:rPr>
          <w:rFonts w:hint="eastAsia" w:asciiTheme="minorEastAsia" w:hAnsiTheme="minorEastAsia" w:eastAsiaTheme="minorEastAsia" w:cstheme="minorEastAsia"/>
          <w:b/>
          <w:bCs/>
          <w:sz w:val="24"/>
          <w:szCs w:val="24"/>
        </w:rPr>
        <w:t>语言</w:t>
      </w:r>
    </w:p>
    <w:p w14:paraId="5130726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w:t>
      </w:r>
      <w:r>
        <w:rPr>
          <w:rFonts w:hint="eastAsia" w:asciiTheme="minorEastAsia" w:hAnsiTheme="minorEastAsia" w:eastAsiaTheme="minorEastAsia" w:cstheme="minorEastAsia"/>
          <w:sz w:val="24"/>
          <w:szCs w:val="24"/>
          <w:lang w:val="en-US" w:eastAsia="zh-CN"/>
        </w:rPr>
        <w:t xml:space="preserve"> 供应商</w:t>
      </w:r>
      <w:r>
        <w:rPr>
          <w:rFonts w:hint="eastAsia" w:asciiTheme="minorEastAsia" w:hAnsiTheme="minorEastAsia" w:eastAsiaTheme="minorEastAsia" w:cstheme="minorEastAsia"/>
          <w:sz w:val="24"/>
          <w:szCs w:val="24"/>
        </w:rPr>
        <w:t>应当对所投采购包对应第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章《采购需求》所列的全部内容进行</w:t>
      </w: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，不得将一个采购包中的内容拆分</w:t>
      </w: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，否则其对该采购包的</w:t>
      </w: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将被认定为无效</w:t>
      </w: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w:t>
      </w:r>
    </w:p>
    <w:p w14:paraId="34047C8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w:t>
      </w:r>
      <w:r>
        <w:rPr>
          <w:rFonts w:hint="eastAsia" w:asciiTheme="minorEastAsia" w:hAnsiTheme="minorEastAsia" w:eastAsiaTheme="minorEastAsia" w:cstheme="minorEastAsia"/>
          <w:snapToGrid w:val="0"/>
          <w:color w:val="000000"/>
          <w:spacing w:val="-2"/>
          <w:kern w:val="0"/>
          <w:sz w:val="24"/>
          <w:szCs w:val="24"/>
          <w:lang w:val="en-US" w:eastAsia="zh-CN" w:bidi="ar-SA"/>
        </w:rPr>
        <w:t>征集</w:t>
      </w:r>
      <w:r>
        <w:rPr>
          <w:rFonts w:hint="eastAsia" w:asciiTheme="minorEastAsia" w:hAnsiTheme="minorEastAsia" w:eastAsiaTheme="minorEastAsia" w:cstheme="minorEastAsia"/>
          <w:sz w:val="24"/>
          <w:szCs w:val="24"/>
        </w:rPr>
        <w:t>文件有特殊要求外，本项目</w:t>
      </w: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所使用的计量单位，应采用中华人民共和国法定计量单位。</w:t>
      </w:r>
    </w:p>
    <w:p w14:paraId="76A166A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除专用术语外，</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文件及来往函电均应使用中文书写。必要时专用术语应附有中文解释。</w:t>
      </w:r>
      <w:r>
        <w:rPr>
          <w:rFonts w:hint="eastAsia" w:asciiTheme="minorEastAsia" w:hAnsiTheme="minorEastAsia" w:eastAsiaTheme="minorEastAsia" w:cstheme="minorEastAsia"/>
          <w:sz w:val="24"/>
          <w:szCs w:val="24"/>
          <w:lang w:val="en-US" w:eastAsia="zh-CN"/>
        </w:rPr>
        <w:t>供应商提</w:t>
      </w:r>
      <w:r>
        <w:rPr>
          <w:rFonts w:hint="eastAsia" w:asciiTheme="minorEastAsia" w:hAnsiTheme="minorEastAsia" w:eastAsiaTheme="minorEastAsia" w:cstheme="minorEastAsia"/>
          <w:sz w:val="24"/>
          <w:szCs w:val="24"/>
        </w:rPr>
        <w:t>交的支持资料和已印制的文献可以用外文，但相应内容应附有中文翻译本，在解释</w:t>
      </w:r>
      <w:r>
        <w:rPr>
          <w:rFonts w:hint="eastAsia" w:asciiTheme="minorEastAsia" w:hAnsiTheme="minorEastAsia" w:eastAsiaTheme="minorEastAsia" w:cstheme="minorEastAsia"/>
          <w:sz w:val="24"/>
          <w:szCs w:val="24"/>
          <w:lang w:eastAsia="zh-CN"/>
        </w:rPr>
        <w:t>响应文件</w:t>
      </w:r>
      <w:r>
        <w:rPr>
          <w:rFonts w:hint="eastAsia" w:asciiTheme="minorEastAsia" w:hAnsiTheme="minorEastAsia" w:eastAsiaTheme="minorEastAsia" w:cstheme="minorEastAsia"/>
          <w:sz w:val="24"/>
          <w:szCs w:val="24"/>
        </w:rPr>
        <w:t>时以中文翻译本为准。未附中文翻译本或翻译本中文内容明显与外文内容不一致的，其不利后果由</w:t>
      </w: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自行承担。</w:t>
      </w:r>
    </w:p>
    <w:p w14:paraId="5360DC24">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w:t>
      </w:r>
      <w:r>
        <w:rPr>
          <w:rFonts w:hint="eastAsia" w:asciiTheme="minorEastAsia" w:hAnsiTheme="minorEastAsia" w:eastAsiaTheme="minorEastAsia" w:cstheme="minorEastAsia"/>
          <w:b/>
          <w:bCs/>
          <w:sz w:val="24"/>
          <w:szCs w:val="24"/>
          <w:lang w:val="en-US" w:eastAsia="zh-CN"/>
        </w:rPr>
        <w:t>.响应</w:t>
      </w:r>
      <w:r>
        <w:rPr>
          <w:rFonts w:hint="eastAsia" w:asciiTheme="minorEastAsia" w:hAnsiTheme="minorEastAsia" w:eastAsiaTheme="minorEastAsia" w:cstheme="minorEastAsia"/>
          <w:b/>
          <w:bCs/>
          <w:sz w:val="24"/>
          <w:szCs w:val="24"/>
        </w:rPr>
        <w:t>文件构成</w:t>
      </w:r>
    </w:p>
    <w:p w14:paraId="268FCE25">
      <w:pPr>
        <w:keepNext w:val="0"/>
        <w:keepLines w:val="0"/>
        <w:pageBreakBefore w:val="0"/>
        <w:widowControl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10.1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应当按照</w:t>
      </w:r>
      <w:r>
        <w:rPr>
          <w:rFonts w:hint="eastAsia" w:asciiTheme="minorEastAsia" w:hAnsiTheme="minorEastAsia" w:eastAsiaTheme="minorEastAsia" w:cstheme="minorEastAsia"/>
          <w:snapToGrid w:val="0"/>
          <w:color w:val="000000"/>
          <w:spacing w:val="-2"/>
          <w:kern w:val="0"/>
          <w:sz w:val="24"/>
          <w:szCs w:val="24"/>
          <w:lang w:val="en-US" w:eastAsia="zh-CN" w:bidi="ar-SA"/>
        </w:rPr>
        <w:t>征集</w:t>
      </w:r>
      <w:r>
        <w:rPr>
          <w:rFonts w:hint="eastAsia" w:asciiTheme="minorEastAsia" w:hAnsiTheme="minorEastAsia" w:eastAsiaTheme="minorEastAsia" w:cstheme="minorEastAsia"/>
          <w:sz w:val="24"/>
          <w:szCs w:val="24"/>
        </w:rPr>
        <w:t>文件的要求编制</w:t>
      </w:r>
      <w:r>
        <w:rPr>
          <w:rFonts w:hint="eastAsia" w:asciiTheme="minorEastAsia" w:hAnsiTheme="minorEastAsia" w:eastAsiaTheme="minorEastAsia" w:cstheme="minorEastAsia"/>
          <w:sz w:val="24"/>
          <w:szCs w:val="24"/>
          <w:lang w:eastAsia="zh-CN"/>
        </w:rPr>
        <w:t>响应文件</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文件应由《</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一览表及资格证明文件</w:t>
      </w:r>
      <w:r>
        <w:rPr>
          <w:rFonts w:hint="eastAsia" w:asciiTheme="minorEastAsia" w:hAnsiTheme="minorEastAsia" w:eastAsiaTheme="minorEastAsia" w:cstheme="minorEastAsia"/>
          <w:sz w:val="24"/>
          <w:szCs w:val="24"/>
        </w:rPr>
        <w:t>》、《商务技术文件》两部分构成。</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文件的部分格式要求，见第</w:t>
      </w: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章《</w:t>
      </w:r>
      <w:r>
        <w:rPr>
          <w:rFonts w:hint="eastAsia" w:asciiTheme="minorEastAsia" w:hAnsiTheme="minorEastAsia" w:eastAsiaTheme="minorEastAsia" w:cstheme="minorEastAsia"/>
          <w:sz w:val="24"/>
          <w:szCs w:val="24"/>
          <w:lang w:eastAsia="zh-CN"/>
        </w:rPr>
        <w:t>响应文件</w:t>
      </w:r>
      <w:r>
        <w:rPr>
          <w:rFonts w:hint="eastAsia" w:asciiTheme="minorEastAsia" w:hAnsiTheme="minorEastAsia" w:eastAsiaTheme="minorEastAsia" w:cstheme="minorEastAsia"/>
          <w:sz w:val="24"/>
          <w:szCs w:val="24"/>
        </w:rPr>
        <w:t>格式》。</w:t>
      </w:r>
      <w:r>
        <w:rPr>
          <w:rFonts w:hint="eastAsia" w:asciiTheme="minorEastAsia" w:hAnsiTheme="minorEastAsia" w:eastAsiaTheme="minorEastAsia" w:cstheme="minorEastAsia"/>
          <w:sz w:val="24"/>
          <w:szCs w:val="24"/>
          <w:lang w:eastAsia="zh-CN"/>
        </w:rPr>
        <w:t>如有漏项或</w:t>
      </w:r>
      <w:r>
        <w:rPr>
          <w:rFonts w:hint="eastAsia" w:asciiTheme="minorEastAsia" w:hAnsiTheme="minorEastAsia" w:eastAsiaTheme="minorEastAsia" w:cstheme="minorEastAsia"/>
          <w:sz w:val="24"/>
          <w:szCs w:val="24"/>
          <w:lang w:val="en-US" w:eastAsia="zh-CN"/>
        </w:rPr>
        <w:t>评审小组</w:t>
      </w:r>
      <w:r>
        <w:rPr>
          <w:rFonts w:hint="eastAsia" w:asciiTheme="minorEastAsia" w:hAnsiTheme="minorEastAsia" w:eastAsiaTheme="minorEastAsia" w:cstheme="minorEastAsia"/>
          <w:sz w:val="24"/>
          <w:szCs w:val="24"/>
          <w:lang w:eastAsia="zh-CN"/>
        </w:rPr>
        <w:t>认为其响应文件有明显缺陷的，造成的后果由供应商自己承担。</w:t>
      </w:r>
    </w:p>
    <w:p w14:paraId="5AB6027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对于</w:t>
      </w:r>
      <w:r>
        <w:rPr>
          <w:rFonts w:hint="eastAsia" w:asciiTheme="minorEastAsia" w:hAnsiTheme="minorEastAsia" w:eastAsiaTheme="minorEastAsia" w:cstheme="minorEastAsia"/>
          <w:sz w:val="24"/>
          <w:szCs w:val="24"/>
          <w:lang w:val="en-US" w:eastAsia="zh-CN"/>
        </w:rPr>
        <w:t>征集</w:t>
      </w:r>
      <w:r>
        <w:rPr>
          <w:rFonts w:hint="eastAsia" w:asciiTheme="minorEastAsia" w:hAnsiTheme="minorEastAsia" w:eastAsiaTheme="minorEastAsia" w:cstheme="minorEastAsia"/>
          <w:sz w:val="24"/>
          <w:szCs w:val="24"/>
        </w:rPr>
        <w:t>文件中标记了实质性格式文件的，</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不得改变格式中给定的文字所表达的含义，不得删减格式中的实质性内容，不得对应当填写的空格不填写或不实质性响应，否则</w:t>
      </w: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无效。未标记实质性格式的文件和</w:t>
      </w:r>
      <w:r>
        <w:rPr>
          <w:rFonts w:hint="eastAsia" w:asciiTheme="minorEastAsia" w:hAnsiTheme="minorEastAsia" w:eastAsiaTheme="minorEastAsia" w:cstheme="minorEastAsia"/>
          <w:sz w:val="24"/>
          <w:szCs w:val="24"/>
          <w:lang w:eastAsia="zh-CN"/>
        </w:rPr>
        <w:t>征集文件</w:t>
      </w:r>
      <w:r>
        <w:rPr>
          <w:rFonts w:hint="eastAsia" w:asciiTheme="minorEastAsia" w:hAnsiTheme="minorEastAsia" w:eastAsiaTheme="minorEastAsia" w:cstheme="minorEastAsia"/>
          <w:sz w:val="24"/>
          <w:szCs w:val="24"/>
        </w:rPr>
        <w:t>未</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供格式的内容，可由</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自行编写。</w:t>
      </w:r>
    </w:p>
    <w:p w14:paraId="1FAFE08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10.3 响应</w:t>
      </w:r>
      <w:r>
        <w:rPr>
          <w:rFonts w:hint="eastAsia" w:hAnsi="宋体" w:cs="宋体"/>
          <w:sz w:val="24"/>
          <w:szCs w:val="24"/>
        </w:rPr>
        <w:t>文件应严格按照政府采购法律法规和</w:t>
      </w:r>
      <w:r>
        <w:rPr>
          <w:rFonts w:hint="eastAsia" w:hAnsi="宋体" w:eastAsia="宋体" w:cs="宋体"/>
          <w:sz w:val="24"/>
          <w:szCs w:val="24"/>
          <w:lang w:val="en-US" w:eastAsia="zh-CN"/>
        </w:rPr>
        <w:t>征集</w:t>
      </w:r>
      <w:r>
        <w:rPr>
          <w:rFonts w:hint="eastAsia" w:hAnsi="宋体" w:cs="宋体"/>
          <w:sz w:val="24"/>
          <w:szCs w:val="24"/>
        </w:rPr>
        <w:t>文件要求，分开编制商务标和技术标，对能明显区分投标供应商的内容，应放入商务标；技术标中不能出现涉及供应商名称及相关提示内容的任何信息。</w:t>
      </w:r>
    </w:p>
    <w:p w14:paraId="0C8B0C64">
      <w:pPr>
        <w:pStyle w:val="32"/>
        <w:snapToGrid w:val="0"/>
        <w:spacing w:line="360" w:lineRule="auto"/>
        <w:ind w:firstLine="480"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10.4技术标文件制作要求：</w:t>
      </w:r>
    </w:p>
    <w:p w14:paraId="79F0DF4F">
      <w:pPr>
        <w:pStyle w:val="32"/>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.1</w:t>
      </w:r>
      <w:r>
        <w:rPr>
          <w:rFonts w:hint="eastAsia" w:hAnsi="宋体" w:eastAsia="宋体" w:cs="宋体"/>
          <w:b/>
          <w:bCs/>
          <w:sz w:val="24"/>
          <w:szCs w:val="24"/>
          <w:lang w:val="en-US" w:eastAsia="zh-CN"/>
        </w:rPr>
        <w:t xml:space="preserve"> </w:t>
      </w:r>
      <w:r>
        <w:rPr>
          <w:rFonts w:hint="eastAsia" w:hAnsi="宋体" w:cs="宋体"/>
          <w:b/>
          <w:bCs/>
          <w:sz w:val="24"/>
          <w:szCs w:val="24"/>
        </w:rPr>
        <w:t>版面要求：A4纸张大小</w:t>
      </w:r>
      <w:r>
        <w:rPr>
          <w:rFonts w:hint="default" w:hAnsi="宋体" w:cs="宋体"/>
          <w:b/>
          <w:bCs/>
          <w:sz w:val="24"/>
          <w:szCs w:val="24"/>
        </w:rPr>
        <w:t>，纵向排版</w:t>
      </w:r>
      <w:r>
        <w:rPr>
          <w:rFonts w:hint="eastAsia" w:hAnsi="宋体" w:cs="宋体"/>
          <w:b/>
          <w:bCs/>
          <w:sz w:val="24"/>
          <w:szCs w:val="24"/>
        </w:rPr>
        <w:t xml:space="preserve">。 </w:t>
      </w:r>
    </w:p>
    <w:p w14:paraId="5E0CA83A">
      <w:pPr>
        <w:pStyle w:val="32"/>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.2</w:t>
      </w:r>
      <w:r>
        <w:rPr>
          <w:rFonts w:hint="eastAsia" w:hAnsi="宋体" w:eastAsia="宋体" w:cs="宋体"/>
          <w:b/>
          <w:bCs/>
          <w:sz w:val="24"/>
          <w:szCs w:val="24"/>
          <w:lang w:val="en-US" w:eastAsia="zh-CN"/>
        </w:rPr>
        <w:t xml:space="preserve"> </w:t>
      </w:r>
      <w:r>
        <w:rPr>
          <w:rFonts w:hint="eastAsia" w:hAnsi="宋体" w:cs="宋体"/>
          <w:b/>
          <w:bCs/>
          <w:sz w:val="24"/>
          <w:szCs w:val="24"/>
        </w:rPr>
        <w:t xml:space="preserve">颜色要求：所有文字、图表均为黑色。 </w:t>
      </w:r>
    </w:p>
    <w:p w14:paraId="23735A71">
      <w:pPr>
        <w:pStyle w:val="32"/>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.3</w:t>
      </w:r>
      <w:r>
        <w:rPr>
          <w:rFonts w:hint="eastAsia" w:hAnsi="宋体" w:eastAsia="宋体" w:cs="宋体"/>
          <w:b/>
          <w:bCs/>
          <w:sz w:val="24"/>
          <w:szCs w:val="24"/>
          <w:lang w:val="en-US" w:eastAsia="zh-CN"/>
        </w:rPr>
        <w:t xml:space="preserve"> </w:t>
      </w:r>
      <w:r>
        <w:rPr>
          <w:rFonts w:hint="eastAsia" w:hAnsi="宋体" w:cs="宋体"/>
          <w:b/>
          <w:bCs/>
          <w:sz w:val="24"/>
          <w:szCs w:val="24"/>
        </w:rPr>
        <w:t xml:space="preserve">字体要求：标题及正文部分所用文字均采用“宋体”四号“常规”字；图、表内的字体及字号不作要求；全部使用中文标点；所有字体均不得出现加粗、加色、倾斜、下划线等标记。 </w:t>
      </w:r>
    </w:p>
    <w:p w14:paraId="7C61725E">
      <w:pPr>
        <w:pStyle w:val="32"/>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.4</w:t>
      </w:r>
      <w:r>
        <w:rPr>
          <w:rFonts w:hint="eastAsia" w:hAnsi="宋体" w:eastAsia="宋体" w:cs="宋体"/>
          <w:b/>
          <w:bCs/>
          <w:sz w:val="24"/>
          <w:szCs w:val="24"/>
          <w:lang w:val="en-US" w:eastAsia="zh-CN"/>
        </w:rPr>
        <w:t xml:space="preserve"> </w:t>
      </w:r>
      <w:r>
        <w:rPr>
          <w:rFonts w:hint="eastAsia" w:hAnsi="宋体" w:cs="宋体"/>
          <w:b/>
          <w:bCs/>
          <w:sz w:val="24"/>
          <w:szCs w:val="24"/>
        </w:rPr>
        <w:t>排版要求：页边距要求上</w:t>
      </w:r>
      <w:r>
        <w:rPr>
          <w:rFonts w:hint="eastAsia" w:hAnsi="宋体" w:eastAsia="宋体" w:cs="宋体"/>
          <w:b/>
          <w:bCs/>
          <w:sz w:val="24"/>
          <w:szCs w:val="24"/>
          <w:lang w:eastAsia="zh-CN"/>
        </w:rPr>
        <w:t>、</w:t>
      </w:r>
      <w:r>
        <w:rPr>
          <w:rFonts w:hint="eastAsia" w:hAnsi="宋体" w:eastAsia="宋体" w:cs="宋体"/>
          <w:b/>
          <w:bCs/>
          <w:sz w:val="24"/>
          <w:szCs w:val="24"/>
          <w:lang w:val="en-US" w:eastAsia="zh-CN"/>
        </w:rPr>
        <w:t>下</w:t>
      </w:r>
      <w:r>
        <w:rPr>
          <w:rFonts w:hint="eastAsia" w:hAnsi="宋体" w:cs="宋体"/>
          <w:b/>
          <w:bCs/>
          <w:sz w:val="24"/>
          <w:szCs w:val="24"/>
        </w:rPr>
        <w:t>边距</w:t>
      </w:r>
      <w:r>
        <w:rPr>
          <w:rFonts w:hint="eastAsia" w:hAnsi="宋体" w:eastAsia="宋体" w:cs="宋体"/>
          <w:b/>
          <w:bCs/>
          <w:sz w:val="24"/>
          <w:szCs w:val="24"/>
          <w:lang w:val="en-US" w:eastAsia="zh-CN"/>
        </w:rPr>
        <w:t>3</w:t>
      </w:r>
      <w:r>
        <w:rPr>
          <w:rFonts w:hint="eastAsia" w:hAnsi="宋体" w:cs="宋体"/>
          <w:b/>
          <w:bCs/>
          <w:sz w:val="24"/>
          <w:szCs w:val="24"/>
        </w:rPr>
        <w:t>厘米，</w:t>
      </w:r>
      <w:r>
        <w:rPr>
          <w:rFonts w:hint="eastAsia" w:hAnsi="宋体" w:eastAsia="宋体" w:cs="宋体"/>
          <w:b/>
          <w:bCs/>
          <w:sz w:val="24"/>
          <w:szCs w:val="24"/>
          <w:lang w:val="en-US" w:eastAsia="zh-CN"/>
        </w:rPr>
        <w:t>左、右页边距2厘米</w:t>
      </w:r>
      <w:r>
        <w:rPr>
          <w:rFonts w:hint="eastAsia" w:hAnsi="宋体" w:cs="宋体"/>
          <w:b/>
          <w:bCs/>
          <w:sz w:val="24"/>
          <w:szCs w:val="24"/>
        </w:rPr>
        <w:t>；不得设置目录；正文行间距为固定值</w:t>
      </w:r>
      <w:r>
        <w:rPr>
          <w:rFonts w:hint="eastAsia" w:hAnsi="宋体" w:eastAsia="宋体" w:cs="宋体"/>
          <w:b/>
          <w:bCs/>
          <w:sz w:val="24"/>
          <w:szCs w:val="24"/>
          <w:lang w:val="en-US" w:eastAsia="zh-CN"/>
        </w:rPr>
        <w:t>25</w:t>
      </w:r>
      <w:r>
        <w:rPr>
          <w:rFonts w:hint="eastAsia" w:hAnsi="宋体" w:cs="宋体"/>
          <w:b/>
          <w:bCs/>
          <w:sz w:val="24"/>
          <w:szCs w:val="24"/>
        </w:rPr>
        <w:t>磅；文字内容（含正文标题、正文及表格标题）统一设为左对齐；首行缩进2字符，不得有空格；段落前后不设置空行；不得设置页眉、页脚和页码；图、表部分对齐形式统一设为居中对齐。</w:t>
      </w:r>
    </w:p>
    <w:p w14:paraId="351C1EBD">
      <w:pPr>
        <w:pStyle w:val="32"/>
        <w:snapToGrid w:val="0"/>
        <w:spacing w:line="360" w:lineRule="auto"/>
        <w:ind w:firstLine="490" w:firstLineChars="200"/>
        <w:textAlignment w:val="auto"/>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10.4.5 除满足上述各项要求外，技术“暗标”中不得出现任何行间插字或删除痕迹，构成响应文件的“技术暗标”的正文中不得出现供应商的名称和其它可识别供应商身份的字符、徽标、人员名称以及其他特殊标记等。</w:t>
      </w:r>
    </w:p>
    <w:p w14:paraId="68BFF8C0">
      <w:pPr>
        <w:pStyle w:val="32"/>
        <w:snapToGrid w:val="0"/>
        <w:spacing w:line="360" w:lineRule="auto"/>
        <w:ind w:firstLine="490" w:firstLineChars="200"/>
        <w:textAlignment w:val="auto"/>
        <w:rPr>
          <w:rFonts w:hint="default" w:hAnsi="宋体" w:cs="宋体"/>
          <w:b/>
          <w:bCs/>
          <w:sz w:val="24"/>
          <w:szCs w:val="24"/>
          <w:lang w:val="en-US"/>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10.4.6编写软件及版本要求:MicrosoftWord2007或以上。</w:t>
      </w:r>
    </w:p>
    <w:p w14:paraId="078BA14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响应文件</w:t>
      </w:r>
      <w:r>
        <w:rPr>
          <w:rFonts w:hint="eastAsia" w:asciiTheme="minorEastAsia" w:hAnsiTheme="minorEastAsia" w:eastAsiaTheme="minorEastAsia" w:cstheme="minorEastAsia"/>
          <w:sz w:val="24"/>
          <w:szCs w:val="24"/>
          <w:lang w:eastAsia="zh-CN"/>
        </w:rPr>
        <w:t>应使用CA数字证书</w:t>
      </w:r>
      <w:r>
        <w:rPr>
          <w:rFonts w:hint="eastAsia" w:asciiTheme="minorEastAsia" w:hAnsiTheme="minorEastAsia" w:eastAsiaTheme="minorEastAsia" w:cstheme="minorEastAsia"/>
          <w:sz w:val="24"/>
          <w:szCs w:val="24"/>
          <w:lang w:val="en-US" w:eastAsia="zh-CN"/>
        </w:rPr>
        <w:t>生成并</w:t>
      </w:r>
      <w:r>
        <w:rPr>
          <w:rFonts w:hint="eastAsia" w:asciiTheme="minorEastAsia" w:hAnsiTheme="minorEastAsia" w:eastAsiaTheme="minorEastAsia" w:cstheme="minorEastAsia"/>
          <w:sz w:val="24"/>
          <w:szCs w:val="24"/>
          <w:lang w:eastAsia="zh-CN"/>
        </w:rPr>
        <w:t>在截止时间前上传其加密版本，</w:t>
      </w:r>
      <w:r>
        <w:rPr>
          <w:rFonts w:hint="eastAsia" w:asciiTheme="minorEastAsia" w:hAnsiTheme="minorEastAsia" w:eastAsiaTheme="minorEastAsia" w:cstheme="minorEastAsia"/>
          <w:sz w:val="24"/>
          <w:szCs w:val="24"/>
          <w:lang w:val="en-US" w:eastAsia="zh-CN"/>
        </w:rPr>
        <w:t>根据征集文件中规定的下载平台要求，</w:t>
      </w:r>
      <w:r>
        <w:rPr>
          <w:rFonts w:hint="eastAsia" w:asciiTheme="minorEastAsia" w:hAnsiTheme="minorEastAsia" w:eastAsiaTheme="minorEastAsia" w:cstheme="minorEastAsia"/>
          <w:sz w:val="24"/>
          <w:szCs w:val="24"/>
          <w:lang w:eastAsia="zh-CN"/>
        </w:rPr>
        <w:t>具体详见《响应文件制作工具操作手册》。</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响应文件</w:t>
      </w:r>
      <w:r>
        <w:rPr>
          <w:rFonts w:hint="eastAsia" w:asciiTheme="minorEastAsia" w:hAnsiTheme="minorEastAsia" w:eastAsiaTheme="minorEastAsia" w:cstheme="minorEastAsia"/>
          <w:b/>
          <w:bCs/>
          <w:sz w:val="24"/>
          <w:szCs w:val="24"/>
          <w:lang w:eastAsia="zh-CN"/>
        </w:rPr>
        <w:t>，将被平台系统拒绝。</w:t>
      </w:r>
    </w:p>
    <w:p w14:paraId="2405ECF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10.6 </w:t>
      </w:r>
      <w:r>
        <w:rPr>
          <w:rFonts w:hint="eastAsia" w:asciiTheme="minorEastAsia" w:hAnsiTheme="minorEastAsia" w:eastAsiaTheme="minorEastAsia" w:cstheme="minorEastAsia"/>
          <w:sz w:val="24"/>
          <w:szCs w:val="24"/>
        </w:rPr>
        <w:t>第四章《</w:t>
      </w:r>
      <w:r>
        <w:rPr>
          <w:rFonts w:hint="eastAsia" w:asciiTheme="minorEastAsia" w:hAnsiTheme="minorEastAsia" w:eastAsiaTheme="minorEastAsia" w:cstheme="minorEastAsia"/>
          <w:sz w:val="24"/>
          <w:szCs w:val="24"/>
          <w:lang w:val="en-US" w:eastAsia="zh-CN"/>
        </w:rPr>
        <w:t>开</w:t>
      </w:r>
      <w:r>
        <w:rPr>
          <w:rFonts w:hint="eastAsia" w:asciiTheme="minorEastAsia" w:hAnsiTheme="minorEastAsia" w:eastAsiaTheme="minorEastAsia" w:cstheme="minorEastAsia"/>
          <w:sz w:val="24"/>
          <w:szCs w:val="24"/>
          <w:lang w:eastAsia="zh-CN"/>
        </w:rPr>
        <w:t>评审</w:t>
      </w:r>
      <w:r>
        <w:rPr>
          <w:rFonts w:hint="eastAsia" w:asciiTheme="minorEastAsia" w:hAnsiTheme="minorEastAsia" w:eastAsiaTheme="minorEastAsia" w:cstheme="minorEastAsia"/>
          <w:sz w:val="24"/>
          <w:szCs w:val="24"/>
        </w:rPr>
        <w:t>程序、</w:t>
      </w:r>
      <w:r>
        <w:rPr>
          <w:rFonts w:hint="eastAsia" w:asciiTheme="minorEastAsia" w:hAnsiTheme="minorEastAsia" w:eastAsiaTheme="minorEastAsia" w:cstheme="minorEastAsia"/>
          <w:sz w:val="24"/>
          <w:szCs w:val="24"/>
          <w:lang w:eastAsia="zh-CN"/>
        </w:rPr>
        <w:t>评审</w:t>
      </w:r>
      <w:r>
        <w:rPr>
          <w:rFonts w:hint="eastAsia" w:asciiTheme="minorEastAsia" w:hAnsiTheme="minorEastAsia" w:eastAsiaTheme="minorEastAsia" w:cstheme="minorEastAsia"/>
          <w:sz w:val="24"/>
          <w:szCs w:val="24"/>
        </w:rPr>
        <w:t>方法和</w:t>
      </w:r>
      <w:r>
        <w:rPr>
          <w:rFonts w:hint="eastAsia" w:asciiTheme="minorEastAsia" w:hAnsiTheme="minorEastAsia" w:eastAsiaTheme="minorEastAsia" w:cstheme="minorEastAsia"/>
          <w:sz w:val="24"/>
          <w:szCs w:val="24"/>
          <w:lang w:eastAsia="zh-CN"/>
        </w:rPr>
        <w:t>评审</w:t>
      </w:r>
      <w:r>
        <w:rPr>
          <w:rFonts w:hint="eastAsia" w:asciiTheme="minorEastAsia" w:hAnsiTheme="minorEastAsia" w:eastAsiaTheme="minorEastAsia" w:cstheme="minorEastAsia"/>
          <w:sz w:val="24"/>
          <w:szCs w:val="24"/>
        </w:rPr>
        <w:t>标准》中涉及的证明文件。</w:t>
      </w:r>
    </w:p>
    <w:p w14:paraId="59BE599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7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供货物和服务已对第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14:paraId="3CE3B82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b/>
          <w:color w:val="auto"/>
          <w:sz w:val="28"/>
          <w:szCs w:val="28"/>
          <w:lang w:eastAsia="zh-CN"/>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8 </w:t>
      </w:r>
      <w:r>
        <w:rPr>
          <w:rFonts w:hint="eastAsia" w:asciiTheme="minorEastAsia" w:hAnsiTheme="minorEastAsia" w:eastAsiaTheme="minorEastAsia" w:cstheme="minorEastAsia"/>
          <w:sz w:val="24"/>
          <w:szCs w:val="24"/>
          <w:lang w:eastAsia="zh-CN"/>
        </w:rPr>
        <w:t>供应商编制响应文件时，涉及营业执照、资质、业绩、财务、社保、纳税及各类证书、报告等内容，必须是原件的扫描件。</w:t>
      </w:r>
    </w:p>
    <w:p w14:paraId="56C5E6C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10.9 </w:t>
      </w:r>
      <w:r>
        <w:rPr>
          <w:rFonts w:hint="eastAsia" w:asciiTheme="minorEastAsia" w:hAnsiTheme="minorEastAsia" w:eastAsiaTheme="minorEastAsia" w:cstheme="minorEastAsia"/>
          <w:sz w:val="24"/>
          <w:szCs w:val="24"/>
          <w:lang w:eastAsia="zh-CN"/>
        </w:rPr>
        <w:t>供应商认为应附的其他材料。</w:t>
      </w:r>
    </w:p>
    <w:p w14:paraId="3E7A7DBE">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w:t>
      </w:r>
      <w:r>
        <w:rPr>
          <w:rFonts w:hint="eastAsia" w:asciiTheme="minorEastAsia" w:hAnsiTheme="minorEastAsia" w:eastAsiaTheme="minorEastAsia" w:cstheme="minorEastAsia"/>
          <w:b/>
          <w:bCs/>
          <w:sz w:val="24"/>
          <w:szCs w:val="24"/>
          <w:lang w:val="en-US" w:eastAsia="zh-CN"/>
        </w:rPr>
        <w:t>.响应</w:t>
      </w:r>
      <w:r>
        <w:rPr>
          <w:rFonts w:hint="eastAsia" w:asciiTheme="minorEastAsia" w:hAnsiTheme="minorEastAsia" w:eastAsiaTheme="minorEastAsia" w:cstheme="minorEastAsia"/>
          <w:b/>
          <w:bCs/>
          <w:sz w:val="24"/>
          <w:szCs w:val="24"/>
        </w:rPr>
        <w:t>报价</w:t>
      </w:r>
    </w:p>
    <w:p w14:paraId="6333C81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供应商应按照征集文件提供的响应报价一览表格式填写响应总报价。</w:t>
      </w:r>
    </w:p>
    <w:p w14:paraId="11BD363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响应总报价应是包括征集文件规定完成采购范围及其伴随的服务价格总和，征集人不再另行支付费用。</w:t>
      </w:r>
    </w:p>
    <w:p w14:paraId="23F8B17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.3 供应商只允许有一个报价，征集人和采购代理机构不接受有任何选择报价的</w:t>
      </w: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w:t>
      </w:r>
    </w:p>
    <w:p w14:paraId="5F0F437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.4 供应商不得以任何理由在开标后对响应报价予以修改，报价在响应有效期内是固定的，不因任何原因而改变。</w:t>
      </w:r>
    </w:p>
    <w:p w14:paraId="0E87123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本项目响应报价为</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b/>
          <w:bCs/>
          <w:sz w:val="24"/>
          <w:szCs w:val="24"/>
          <w:u w:val="single"/>
        </w:rPr>
        <w:t>费率报价</w:t>
      </w:r>
      <w:r>
        <w:rPr>
          <w:rFonts w:hint="eastAsia" w:asciiTheme="minorEastAsia" w:hAnsiTheme="minorEastAsia" w:eastAsiaTheme="minorEastAsia" w:cstheme="minorEastAsia"/>
          <w:sz w:val="24"/>
          <w:szCs w:val="24"/>
        </w:rPr>
        <w:t xml:space="preserve"> 。例如：按照计费标准的 90% 收取，则：响应报价即为 90% ；如供应商响应文件或响应一览表中填写错误，其承担一切不利责任。</w:t>
      </w:r>
    </w:p>
    <w:p w14:paraId="32FA8B6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征集人或者服务对象根据具体项目，按照供应商须知规定</w:t>
      </w:r>
      <w:r>
        <w:rPr>
          <w:rFonts w:hint="eastAsia" w:asciiTheme="minorEastAsia" w:hAnsiTheme="minorEastAsia" w:eastAsiaTheme="minorEastAsia" w:cstheme="minorEastAsia"/>
          <w:sz w:val="24"/>
          <w:szCs w:val="24"/>
          <w:lang w:val="zh-CN"/>
        </w:rPr>
        <w:t>计费标准</w:t>
      </w:r>
      <w:r>
        <w:rPr>
          <w:rFonts w:hint="eastAsia" w:asciiTheme="minorEastAsia" w:hAnsiTheme="minorEastAsia" w:eastAsiaTheme="minorEastAsia" w:cstheme="minorEastAsia"/>
          <w:sz w:val="24"/>
          <w:szCs w:val="24"/>
        </w:rPr>
        <w:t>*费率报价计取服务费。</w:t>
      </w:r>
    </w:p>
    <w:p w14:paraId="3D2F7E6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合同价包括完成征集人或者服务对象所委托的项目工作内容的所有费用，且实施过程中合同价不予调整，征集人或者服务对象不再支付其他任何费用。</w:t>
      </w:r>
    </w:p>
    <w:p w14:paraId="3300579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供应商在提交响应文件截止时间前修改响应函及响应一览表中的响应总报价，应同时修改响应文件中的相应报价。</w:t>
      </w:r>
    </w:p>
    <w:p w14:paraId="54AF8C1F">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2.响应文件</w:t>
      </w:r>
      <w:r>
        <w:rPr>
          <w:rFonts w:hint="eastAsia" w:asciiTheme="minorEastAsia" w:hAnsiTheme="minorEastAsia" w:eastAsiaTheme="minorEastAsia" w:cstheme="minorEastAsia"/>
          <w:b/>
          <w:bCs/>
          <w:sz w:val="24"/>
          <w:szCs w:val="24"/>
        </w:rPr>
        <w:t>有效期</w:t>
      </w:r>
    </w:p>
    <w:p w14:paraId="4CB1A79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.1 响应文件有效期见供应商须知，从提交响应文件的截止之日起算。响应文件有效期内供应商不得撤销响应文件。</w:t>
      </w:r>
    </w:p>
    <w:p w14:paraId="31C5CB2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.2 响应文件应自提交响应文件的截止之日起，在规定的时间内保持有效。响应文件有效期不足的将被视为未响应而予以拒绝。</w:t>
      </w:r>
    </w:p>
    <w:p w14:paraId="5AF87E8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.3 在特殊情况下，在原响应文件有效期截止之前，征集人和采购代理机构可征求供应商同意延长响应文件有效期。这种要求与答复均应以书面形式提交。供应商可以拒绝这种要求。同意延期的供应商将不会被要求也不允许修改其响应文件。</w:t>
      </w:r>
    </w:p>
    <w:p w14:paraId="2D0ACE44">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w:t>
      </w:r>
      <w:r>
        <w:rPr>
          <w:rFonts w:hint="eastAsia" w:asciiTheme="minorEastAsia" w:hAnsiTheme="minorEastAsia" w:eastAsiaTheme="minorEastAsia" w:cstheme="minorEastAsia"/>
          <w:b/>
          <w:bCs/>
          <w:sz w:val="24"/>
          <w:szCs w:val="24"/>
          <w:lang w:eastAsia="zh-CN"/>
        </w:rPr>
        <w:t>响应文件</w:t>
      </w:r>
      <w:r>
        <w:rPr>
          <w:rFonts w:hint="eastAsia" w:asciiTheme="minorEastAsia" w:hAnsiTheme="minorEastAsia" w:eastAsiaTheme="minorEastAsia" w:cstheme="minorEastAsia"/>
          <w:b/>
          <w:bCs/>
          <w:sz w:val="24"/>
          <w:szCs w:val="24"/>
        </w:rPr>
        <w:t>的签署、盖章</w:t>
      </w:r>
    </w:p>
    <w:p w14:paraId="7012E8C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响应文件</w:t>
      </w:r>
      <w:r>
        <w:rPr>
          <w:rFonts w:hint="eastAsia" w:asciiTheme="minorEastAsia" w:hAnsiTheme="minorEastAsia" w:eastAsiaTheme="minorEastAsia" w:cstheme="minorEastAsia"/>
          <w:sz w:val="24"/>
          <w:szCs w:val="24"/>
          <w:lang w:eastAsia="zh-CN"/>
        </w:rPr>
        <w:t>必须在规定签章处</w:t>
      </w:r>
      <w:r>
        <w:rPr>
          <w:rFonts w:hint="eastAsia" w:asciiTheme="minorEastAsia" w:hAnsiTheme="minorEastAsia" w:eastAsiaTheme="minorEastAsia" w:cstheme="minorEastAsia"/>
          <w:sz w:val="24"/>
          <w:szCs w:val="24"/>
          <w:lang w:val="en-US" w:eastAsia="zh-CN"/>
        </w:rPr>
        <w:t>电子签章或</w:t>
      </w:r>
      <w:r>
        <w:rPr>
          <w:rFonts w:hint="eastAsia" w:asciiTheme="minorEastAsia" w:hAnsiTheme="minorEastAsia" w:eastAsiaTheme="minorEastAsia" w:cstheme="minorEastAsia"/>
          <w:sz w:val="24"/>
          <w:szCs w:val="24"/>
          <w:lang w:eastAsia="zh-CN"/>
        </w:rPr>
        <w:t>手写签字后扫描上传进响应文件。</w:t>
      </w:r>
    </w:p>
    <w:p w14:paraId="08715A2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征集文件</w:t>
      </w:r>
      <w:r>
        <w:rPr>
          <w:rFonts w:hint="eastAsia" w:asciiTheme="minorEastAsia" w:hAnsiTheme="minorEastAsia" w:eastAsiaTheme="minorEastAsia" w:cstheme="minorEastAsia"/>
          <w:sz w:val="24"/>
          <w:szCs w:val="24"/>
        </w:rPr>
        <w:t>要求盖章的内容，一般通过</w:t>
      </w:r>
      <w:r>
        <w:rPr>
          <w:rFonts w:hint="eastAsia" w:asciiTheme="minorEastAsia" w:hAnsiTheme="minorEastAsia" w:eastAsiaTheme="minorEastAsia" w:cstheme="minorEastAsia"/>
          <w:sz w:val="24"/>
          <w:szCs w:val="24"/>
          <w:lang w:val="en-US" w:eastAsia="zh-CN"/>
        </w:rPr>
        <w:t>CA</w:t>
      </w:r>
      <w:r>
        <w:rPr>
          <w:rFonts w:hint="eastAsia" w:asciiTheme="minorEastAsia" w:hAnsiTheme="minorEastAsia" w:eastAsiaTheme="minorEastAsia" w:cstheme="minorEastAsia"/>
          <w:sz w:val="24"/>
          <w:szCs w:val="24"/>
        </w:rPr>
        <w:t>加盖电子签章。</w:t>
      </w:r>
    </w:p>
    <w:p w14:paraId="2D2794B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149A496B">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14:textOutline w14:w="1800" w14:cap="flat" w14:cmpd="sng">
            <w14:solidFill>
              <w14:srgbClr w14:val="000000"/>
            </w14:solidFill>
            <w14:prstDash w14:val="solid"/>
            <w14:miter w14:val="0"/>
          </w14:textOutline>
        </w:rPr>
        <w:t>响应</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文件的</w:t>
      </w:r>
      <w:r>
        <w:rPr>
          <w:rFonts w:hint="eastAsia" w:asciiTheme="minorEastAsia" w:hAnsiTheme="minorEastAsia" w:eastAsiaTheme="minorEastAsia" w:cstheme="minorEastAsia"/>
          <w:sz w:val="28"/>
          <w:szCs w:val="28"/>
          <w:lang w:val="en-US" w:eastAsia="zh-CN"/>
          <w14:textOutline w14:w="1800"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交</w:t>
      </w:r>
    </w:p>
    <w:p w14:paraId="0B072F10">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86"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4.</w:t>
      </w:r>
      <w:r>
        <w:rPr>
          <w:rFonts w:hint="eastAsia" w:asciiTheme="minorEastAsia" w:hAnsiTheme="minorEastAsia" w:eastAsiaTheme="minorEastAsia" w:cstheme="minorEastAsia"/>
          <w:b/>
          <w:bCs/>
          <w:spacing w:val="1"/>
          <w:sz w:val="24"/>
          <w:szCs w:val="24"/>
          <w:lang w:eastAsia="zh-CN"/>
        </w:rPr>
        <w:t>响应文件</w:t>
      </w:r>
      <w:r>
        <w:rPr>
          <w:rFonts w:hint="eastAsia" w:asciiTheme="minorEastAsia" w:hAnsiTheme="minorEastAsia" w:eastAsiaTheme="minorEastAsia" w:cstheme="minorEastAsia"/>
          <w:b/>
          <w:bCs/>
          <w:spacing w:val="1"/>
          <w:sz w:val="24"/>
          <w:szCs w:val="24"/>
        </w:rPr>
        <w:t>的</w:t>
      </w:r>
      <w:r>
        <w:rPr>
          <w:rFonts w:hint="eastAsia" w:asciiTheme="minorEastAsia" w:hAnsiTheme="minorEastAsia" w:eastAsiaTheme="minorEastAsia" w:cstheme="minorEastAsia"/>
          <w:b/>
          <w:bCs/>
          <w:spacing w:val="1"/>
          <w:sz w:val="24"/>
          <w:szCs w:val="24"/>
          <w:lang w:val="en-US" w:eastAsia="zh-CN"/>
        </w:rPr>
        <w:t>提</w:t>
      </w:r>
      <w:r>
        <w:rPr>
          <w:rFonts w:hint="eastAsia" w:asciiTheme="minorEastAsia" w:hAnsiTheme="minorEastAsia" w:eastAsiaTheme="minorEastAsia" w:cstheme="minorEastAsia"/>
          <w:b/>
          <w:bCs/>
          <w:spacing w:val="1"/>
          <w:sz w:val="24"/>
          <w:szCs w:val="24"/>
        </w:rPr>
        <w:t>交</w:t>
      </w:r>
    </w:p>
    <w:p w14:paraId="406594B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响应文件的提交是指使用南阳市公共资源交易中心网上交易系统在响应截止时间前完成制作软件生成的加密电子响应文件的上传。未在响应截止时间前完成上传的，视为逾期提交。逾期提交的响应文件，电子交易系统将予以拒收。</w:t>
      </w:r>
    </w:p>
    <w:p w14:paraId="58015F9F">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14.2 征集人及采购代理机构拒绝接受通过电子交易平台以外任何形式提交的响应文件。</w:t>
      </w:r>
    </w:p>
    <w:p w14:paraId="28B0C501">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15.</w:t>
      </w:r>
      <w:r>
        <w:rPr>
          <w:rFonts w:hint="eastAsia" w:asciiTheme="minorEastAsia" w:hAnsiTheme="minorEastAsia" w:eastAsiaTheme="minorEastAsia" w:cstheme="minorEastAsia"/>
          <w:b/>
          <w:bCs/>
          <w:spacing w:val="-1"/>
          <w:sz w:val="24"/>
          <w:szCs w:val="24"/>
          <w:lang w:eastAsia="zh-CN"/>
        </w:rPr>
        <w:t>响应文件</w:t>
      </w:r>
      <w:r>
        <w:rPr>
          <w:rFonts w:hint="eastAsia" w:asciiTheme="minorEastAsia" w:hAnsiTheme="minorEastAsia" w:eastAsiaTheme="minorEastAsia" w:cstheme="minorEastAsia"/>
          <w:b/>
          <w:bCs/>
          <w:spacing w:val="-1"/>
          <w:sz w:val="24"/>
          <w:szCs w:val="24"/>
        </w:rPr>
        <w:t>的修改与撤回</w:t>
      </w:r>
    </w:p>
    <w:p w14:paraId="1684BA7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在征集文件规定的截止时间前，供应商可以修改或撤回已上传的电子响应文件，最终电子响应文件以截止时间前完成上传至南阳市电子交易平台系统最后一份解密响应文件为准。截止时间之后，供应商不得修改或撤回电子响应文件。</w:t>
      </w:r>
    </w:p>
    <w:p w14:paraId="11900637">
      <w:pPr>
        <w:pStyle w:val="5"/>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574E7C65">
      <w:pPr>
        <w:pStyle w:val="5"/>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1BCE1593">
      <w:pPr>
        <w:pStyle w:val="5"/>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99E9C37">
      <w:pPr>
        <w:pStyle w:val="5"/>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0DC2C2E7">
      <w:pPr>
        <w:pStyle w:val="5"/>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7D0B01F">
      <w:pPr>
        <w:pStyle w:val="5"/>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41E23F6">
      <w:pPr>
        <w:pStyle w:val="5"/>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6863F5D0">
      <w:pPr>
        <w:pStyle w:val="5"/>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3B3C00DB">
      <w:pPr>
        <w:pStyle w:val="5"/>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662B8B51">
      <w:pPr>
        <w:pStyle w:val="5"/>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0D8AECA0">
      <w:pPr>
        <w:pStyle w:val="5"/>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3668EBCF">
      <w:pPr>
        <w:pStyle w:val="5"/>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6A1A8079">
      <w:pPr>
        <w:pStyle w:val="5"/>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0B804DB8">
      <w:pPr>
        <w:pStyle w:val="5"/>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0F1880F1">
      <w:pPr>
        <w:pStyle w:val="5"/>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5D58D941">
      <w:pPr>
        <w:pStyle w:val="5"/>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79DD7F45">
      <w:pPr>
        <w:pStyle w:val="5"/>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6CA3DB42">
      <w:pPr>
        <w:pStyle w:val="5"/>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756BFE9E">
      <w:pPr>
        <w:pStyle w:val="5"/>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1231BA3E">
      <w:pPr>
        <w:pStyle w:val="5"/>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18655EB8">
      <w:pPr>
        <w:pStyle w:val="5"/>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33A598D1">
      <w:pPr>
        <w:pStyle w:val="5"/>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6F1F3178">
      <w:pPr>
        <w:pStyle w:val="5"/>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 xml:space="preserve"> 开、</w:t>
      </w:r>
      <w:r>
        <w:rPr>
          <w:rFonts w:hint="eastAsia" w:asciiTheme="minorEastAsia" w:hAnsiTheme="minorEastAsia" w:eastAsiaTheme="minorEastAsia" w:cstheme="minorEastAsia"/>
          <w:sz w:val="36"/>
          <w:szCs w:val="36"/>
          <w:lang w:eastAsia="zh-CN"/>
          <w14:textOutline w14:w="2306" w14:cap="flat" w14:cmpd="sng">
            <w14:solidFill>
              <w14:srgbClr w14:val="000000"/>
            </w14:solidFill>
            <w14:prstDash w14:val="solid"/>
            <w14:miter w14:val="0"/>
          </w14:textOutline>
        </w:rPr>
        <w:t>评审</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程序、</w:t>
      </w:r>
      <w:r>
        <w:rPr>
          <w:rFonts w:hint="eastAsia" w:asciiTheme="minorEastAsia" w:hAnsiTheme="minorEastAsia" w:eastAsiaTheme="minorEastAsia" w:cstheme="minorEastAsia"/>
          <w:sz w:val="36"/>
          <w:szCs w:val="36"/>
          <w:lang w:eastAsia="zh-CN"/>
          <w14:textOutline w14:w="2306" w14:cap="flat" w14:cmpd="sng">
            <w14:solidFill>
              <w14:srgbClr w14:val="000000"/>
            </w14:solidFill>
            <w14:prstDash w14:val="solid"/>
            <w14:miter w14:val="0"/>
          </w14:textOutline>
        </w:rPr>
        <w:t>评审</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方法和</w:t>
      </w:r>
      <w:r>
        <w:rPr>
          <w:rFonts w:hint="eastAsia" w:asciiTheme="minorEastAsia" w:hAnsiTheme="minorEastAsia" w:eastAsiaTheme="minorEastAsia" w:cstheme="minorEastAsia"/>
          <w:sz w:val="36"/>
          <w:szCs w:val="36"/>
          <w:lang w:eastAsia="zh-CN"/>
          <w14:textOutline w14:w="2306" w14:cap="flat" w14:cmpd="sng">
            <w14:solidFill>
              <w14:srgbClr w14:val="000000"/>
            </w14:solidFill>
            <w14:prstDash w14:val="solid"/>
            <w14:miter w14:val="0"/>
          </w14:textOutline>
        </w:rPr>
        <w:t>评审</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标准</w:t>
      </w:r>
    </w:p>
    <w:p w14:paraId="29E5CD73">
      <w:pPr>
        <w:pStyle w:val="5"/>
        <w:keepNext w:val="0"/>
        <w:keepLines w:val="0"/>
        <w:pageBreakBefore w:val="0"/>
        <w:kinsoku/>
        <w:wordWrap w:val="0"/>
        <w:overflowPunct/>
        <w:topLinePunct w:val="0"/>
        <w:bidi w:val="0"/>
        <w:spacing w:before="255" w:line="221" w:lineRule="auto"/>
        <w:ind w:left="3942"/>
        <w:jc w:val="both"/>
        <w:outlineLvl w:val="2"/>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pPr>
    </w:p>
    <w:p w14:paraId="00F9267B">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一、开标</w:t>
      </w:r>
    </w:p>
    <w:p w14:paraId="76045FBD">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1.征集人或采购代理机构按征集公告中规定的时间开标，本项目使用不见面开标，供应商无需到开标现场。</w:t>
      </w:r>
    </w:p>
    <w:p w14:paraId="1C8CE7BB">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2.开标：</w:t>
      </w:r>
    </w:p>
    <w:p w14:paraId="3633495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2.1 供应商解密：供应商制作电子响应文件时，必须使用本单位企业数字证书进行加密，供应商在开标前须自行检查数字证书的有效性。在解密时间到达后，系统做出解密提示，请各供应商自行解密即可。开标解密时未在规定时间（30分钟）内进行解密的视为撤销其响应文件（因电子开标系统原因除外）。</w:t>
      </w:r>
    </w:p>
    <w:p w14:paraId="0B08170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2.2 唱标。查看唱标信息（系统不提供语音在线播放，该页面停留1分钟供供应商查看，如无异议视为同意）。招标（采购）人、监督人员需要关注开标过程中，供应商随时在线提出的异议、问题沟通等信息，并及时做好答复工作。</w:t>
      </w:r>
    </w:p>
    <w:p w14:paraId="3A2EA73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2.3 宣布开标结束。</w:t>
      </w:r>
    </w:p>
    <w:p w14:paraId="14DAB51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p>
    <w:p w14:paraId="61C2CBE1">
      <w:pPr>
        <w:pStyle w:val="5"/>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2"/>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二、资格审查</w:t>
      </w:r>
    </w:p>
    <w:p w14:paraId="3EF35578">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1.开标结束后，征集人或采购代理机构将根据资格审查要求中的规定，对供应商进行资格审查，并形成资格审查结果。</w:t>
      </w:r>
    </w:p>
    <w:p w14:paraId="725BBA84">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2.供应商《资格证明文件》有任何一项不符合《资格审查要求》的，资格审查不合格，其响应无效。</w:t>
      </w:r>
    </w:p>
    <w:p w14:paraId="6F20D979">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3.资格审查合格的供应商不足2家的，不进行评审。</w:t>
      </w:r>
    </w:p>
    <w:p w14:paraId="4CB55AAF">
      <w:pPr>
        <w:pStyle w:val="21"/>
        <w:rPr>
          <w:rFonts w:hint="eastAsia"/>
          <w:lang w:val="en-US" w:eastAsia="zh-CN"/>
        </w:rPr>
      </w:pPr>
    </w:p>
    <w:p w14:paraId="159B02F3">
      <w:pPr>
        <w:pStyle w:val="21"/>
        <w:rPr>
          <w:rFonts w:hint="eastAsia"/>
          <w:lang w:val="en-US" w:eastAsia="zh-CN"/>
        </w:rPr>
      </w:pPr>
    </w:p>
    <w:p w14:paraId="230074CA">
      <w:pPr>
        <w:pStyle w:val="21"/>
        <w:rPr>
          <w:rFonts w:hint="eastAsia"/>
          <w:lang w:val="en-US" w:eastAsia="zh-CN"/>
        </w:rPr>
      </w:pPr>
    </w:p>
    <w:p w14:paraId="0CBE506E">
      <w:pPr>
        <w:pStyle w:val="21"/>
        <w:rPr>
          <w:rFonts w:hint="eastAsia"/>
          <w:lang w:val="en-US" w:eastAsia="zh-CN"/>
        </w:rPr>
      </w:pPr>
    </w:p>
    <w:p w14:paraId="523183EB">
      <w:pPr>
        <w:pStyle w:val="21"/>
        <w:rPr>
          <w:rFonts w:hint="eastAsia"/>
          <w:lang w:val="en-US" w:eastAsia="zh-CN"/>
        </w:rPr>
      </w:pPr>
    </w:p>
    <w:p w14:paraId="130440C3">
      <w:pPr>
        <w:pStyle w:val="21"/>
        <w:rPr>
          <w:rFonts w:hint="eastAsia"/>
          <w:lang w:val="en-US" w:eastAsia="zh-CN"/>
        </w:rPr>
      </w:pPr>
    </w:p>
    <w:p w14:paraId="20E5E910">
      <w:pPr>
        <w:pStyle w:val="21"/>
        <w:rPr>
          <w:rFonts w:hint="eastAsia"/>
          <w:lang w:val="en-US" w:eastAsia="zh-CN"/>
        </w:rPr>
      </w:pPr>
    </w:p>
    <w:p w14:paraId="5DA5729B">
      <w:pPr>
        <w:pStyle w:val="21"/>
        <w:rPr>
          <w:rFonts w:hint="eastAsia"/>
          <w:lang w:val="en-US" w:eastAsia="zh-CN"/>
        </w:rPr>
      </w:pPr>
    </w:p>
    <w:p w14:paraId="1FA22A2F">
      <w:pPr>
        <w:pStyle w:val="21"/>
        <w:rPr>
          <w:rFonts w:hint="eastAsia"/>
          <w:lang w:val="en-US" w:eastAsia="zh-CN"/>
        </w:rPr>
      </w:pPr>
    </w:p>
    <w:p w14:paraId="408BC883">
      <w:pPr>
        <w:pStyle w:val="21"/>
        <w:rPr>
          <w:rFonts w:hint="eastAsia"/>
          <w:lang w:val="en-US" w:eastAsia="zh-CN"/>
        </w:rPr>
      </w:pPr>
    </w:p>
    <w:p w14:paraId="529C3AB8">
      <w:pPr>
        <w:pStyle w:val="21"/>
        <w:rPr>
          <w:rFonts w:hint="eastAsia"/>
          <w:lang w:val="en-US" w:eastAsia="zh-CN"/>
        </w:rPr>
      </w:pPr>
    </w:p>
    <w:p w14:paraId="526C05C0">
      <w:pPr>
        <w:pStyle w:val="5"/>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资格审查要求</w:t>
      </w:r>
    </w:p>
    <w:p w14:paraId="196D3AA5">
      <w:pPr>
        <w:keepNext w:val="0"/>
        <w:keepLines w:val="0"/>
        <w:pageBreakBefore w:val="0"/>
        <w:kinsoku/>
        <w:wordWrap w:val="0"/>
        <w:overflowPunct/>
        <w:topLinePunct w:val="0"/>
        <w:bidi w:val="0"/>
        <w:spacing w:line="146" w:lineRule="exact"/>
        <w:jc w:val="both"/>
        <w:rPr>
          <w:rFonts w:hint="eastAsia" w:asciiTheme="minorEastAsia" w:hAnsiTheme="minorEastAsia" w:eastAsiaTheme="minorEastAsia" w:cstheme="minorEastAsia"/>
        </w:rPr>
      </w:pPr>
    </w:p>
    <w:tbl>
      <w:tblPr>
        <w:tblStyle w:val="22"/>
        <w:tblW w:w="87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0"/>
        <w:gridCol w:w="1065"/>
        <w:gridCol w:w="4080"/>
        <w:gridCol w:w="3030"/>
      </w:tblGrid>
      <w:tr w14:paraId="695CC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560" w:type="dxa"/>
            <w:vAlign w:val="top"/>
          </w:tcPr>
          <w:p w14:paraId="6E0684B3">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65" w:type="dxa"/>
            <w:vAlign w:val="top"/>
          </w:tcPr>
          <w:p w14:paraId="00BE15F3">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4080" w:type="dxa"/>
            <w:vAlign w:val="top"/>
          </w:tcPr>
          <w:p w14:paraId="6ECA80C3">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3030" w:type="dxa"/>
            <w:vAlign w:val="top"/>
          </w:tcPr>
          <w:p w14:paraId="566F3F0F">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14:paraId="6E908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5" w:hRule="atLeast"/>
        </w:trPr>
        <w:tc>
          <w:tcPr>
            <w:tcW w:w="560" w:type="dxa"/>
            <w:vAlign w:val="center"/>
          </w:tcPr>
          <w:p w14:paraId="73A32069">
            <w:pPr>
              <w:pStyle w:val="23"/>
              <w:keepNext w:val="0"/>
              <w:keepLines w:val="0"/>
              <w:pageBreakBefore w:val="0"/>
              <w:kinsoku/>
              <w:wordWrap w:val="0"/>
              <w:overflowPunct/>
              <w:topLinePunct w:val="0"/>
              <w:bidi w:val="0"/>
              <w:spacing w:line="454" w:lineRule="auto"/>
              <w:jc w:val="center"/>
              <w:rPr>
                <w:rFonts w:hint="eastAsia" w:asciiTheme="minorEastAsia" w:hAnsiTheme="minorEastAsia" w:eastAsiaTheme="minorEastAsia" w:cstheme="minorEastAsia"/>
              </w:rPr>
            </w:pPr>
          </w:p>
          <w:p w14:paraId="0C9C7482">
            <w:pPr>
              <w:pStyle w:val="23"/>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65" w:type="dxa"/>
            <w:vAlign w:val="center"/>
          </w:tcPr>
          <w:p w14:paraId="6EC0A5D5">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val="en-US" w:eastAsia="zh-CN"/>
              </w:rPr>
              <w:t>征集</w:t>
            </w:r>
            <w:r>
              <w:rPr>
                <w:rFonts w:hint="eastAsia" w:asciiTheme="minorEastAsia" w:hAnsiTheme="minorEastAsia" w:eastAsiaTheme="minorEastAsia" w:cstheme="minorEastAsia"/>
                <w:spacing w:val="-2"/>
                <w:sz w:val="24"/>
                <w:szCs w:val="24"/>
                <w:lang w:eastAsia="zh-CN"/>
              </w:rPr>
              <w:t>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供应商具备的</w:t>
            </w:r>
            <w:r>
              <w:rPr>
                <w:rFonts w:hint="eastAsia" w:asciiTheme="minorEastAsia" w:hAnsiTheme="minorEastAsia" w:eastAsiaTheme="minorEastAsia" w:cstheme="minorEastAsia"/>
                <w:spacing w:val="-2"/>
                <w:sz w:val="24"/>
                <w:szCs w:val="24"/>
              </w:rPr>
              <w:t>资格要求</w:t>
            </w:r>
          </w:p>
        </w:tc>
        <w:tc>
          <w:tcPr>
            <w:tcW w:w="4080" w:type="dxa"/>
            <w:vAlign w:val="top"/>
          </w:tcPr>
          <w:p w14:paraId="6595DFEB">
            <w:pPr>
              <w:keepNext w:val="0"/>
              <w:keepLines w:val="0"/>
              <w:pageBreakBefore w:val="0"/>
              <w:kinsoku/>
              <w:wordWrap w:val="0"/>
              <w:overflowPunct/>
              <w:topLinePunct w:val="0"/>
              <w:bidi w:val="0"/>
              <w:spacing w:before="32" w:line="232" w:lineRule="auto"/>
              <w:ind w:left="112" w:right="105" w:firstLine="424" w:firstLineChars="200"/>
              <w:jc w:val="both"/>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1、注册于中华人民共和国境内，具有独立承担民事责任能力；</w:t>
            </w:r>
          </w:p>
          <w:p w14:paraId="58CA5815">
            <w:pPr>
              <w:keepNext w:val="0"/>
              <w:keepLines w:val="0"/>
              <w:pageBreakBefore w:val="0"/>
              <w:kinsoku/>
              <w:wordWrap w:val="0"/>
              <w:overflowPunct/>
              <w:topLinePunct w:val="0"/>
              <w:bidi w:val="0"/>
              <w:spacing w:before="32" w:line="232" w:lineRule="auto"/>
              <w:ind w:left="112" w:right="105" w:firstLine="424" w:firstLineChars="200"/>
              <w:jc w:val="both"/>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2、具有良好的商业信誉和健全的财务会计制度；</w:t>
            </w:r>
          </w:p>
          <w:p w14:paraId="6145CE94">
            <w:pPr>
              <w:keepNext w:val="0"/>
              <w:keepLines w:val="0"/>
              <w:pageBreakBefore w:val="0"/>
              <w:kinsoku/>
              <w:wordWrap w:val="0"/>
              <w:overflowPunct/>
              <w:topLinePunct w:val="0"/>
              <w:bidi w:val="0"/>
              <w:spacing w:before="32" w:line="232" w:lineRule="auto"/>
              <w:ind w:left="112" w:right="105" w:firstLine="424" w:firstLineChars="200"/>
              <w:jc w:val="both"/>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3、具有履行合同所必需的设备和专业技术能力；</w:t>
            </w:r>
          </w:p>
          <w:p w14:paraId="77985BC7">
            <w:pPr>
              <w:keepNext w:val="0"/>
              <w:keepLines w:val="0"/>
              <w:pageBreakBefore w:val="0"/>
              <w:kinsoku/>
              <w:wordWrap w:val="0"/>
              <w:overflowPunct/>
              <w:topLinePunct w:val="0"/>
              <w:bidi w:val="0"/>
              <w:spacing w:before="32" w:line="232" w:lineRule="auto"/>
              <w:ind w:left="112" w:right="105" w:firstLine="424" w:firstLineChars="200"/>
              <w:jc w:val="both"/>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4、有依法缴纳税收和社会保障资金的良好记录；</w:t>
            </w:r>
          </w:p>
          <w:p w14:paraId="20C3DBE1">
            <w:pPr>
              <w:keepNext w:val="0"/>
              <w:keepLines w:val="0"/>
              <w:pageBreakBefore w:val="0"/>
              <w:kinsoku/>
              <w:wordWrap w:val="0"/>
              <w:overflowPunct/>
              <w:topLinePunct w:val="0"/>
              <w:bidi w:val="0"/>
              <w:spacing w:before="32" w:line="232" w:lineRule="auto"/>
              <w:ind w:left="112" w:right="105" w:firstLine="424" w:firstLineChars="200"/>
              <w:jc w:val="both"/>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5、参加政府采购活动前三年内，在经营活动中没有重大违法记录；</w:t>
            </w:r>
          </w:p>
          <w:p w14:paraId="5DC24ED1">
            <w:pPr>
              <w:keepNext w:val="0"/>
              <w:keepLines w:val="0"/>
              <w:pageBreakBefore w:val="0"/>
              <w:kinsoku/>
              <w:wordWrap w:val="0"/>
              <w:overflowPunct/>
              <w:topLinePunct w:val="0"/>
              <w:bidi w:val="0"/>
              <w:spacing w:before="32" w:line="232" w:lineRule="auto"/>
              <w:ind w:left="112" w:right="105" w:firstLine="424" w:firstLineChars="200"/>
              <w:jc w:val="both"/>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6、单位负责人为同一人或者存在直接控股、管理关系的不同供应商，不得参加同一合同项下的政府采购活动。提供承诺函，格式自拟；</w:t>
            </w:r>
          </w:p>
          <w:p w14:paraId="64E206EE">
            <w:pPr>
              <w:keepNext w:val="0"/>
              <w:keepLines w:val="0"/>
              <w:pageBreakBefore w:val="0"/>
              <w:kinsoku/>
              <w:wordWrap w:val="0"/>
              <w:overflowPunct/>
              <w:topLinePunct w:val="0"/>
              <w:bidi w:val="0"/>
              <w:spacing w:before="32" w:line="232" w:lineRule="auto"/>
              <w:ind w:left="112" w:right="105" w:firstLine="424" w:firstLineChars="200"/>
              <w:jc w:val="both"/>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7、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01314E60">
            <w:pPr>
              <w:keepNext w:val="0"/>
              <w:keepLines w:val="0"/>
              <w:pageBreakBefore w:val="0"/>
              <w:kinsoku/>
              <w:wordWrap w:val="0"/>
              <w:overflowPunct/>
              <w:topLinePunct w:val="0"/>
              <w:bidi w:val="0"/>
              <w:spacing w:before="32" w:line="232" w:lineRule="auto"/>
              <w:ind w:left="112" w:right="105" w:firstLine="424" w:firstLineChars="200"/>
              <w:jc w:val="both"/>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8、遵守国家有关法律、法规、规章。</w:t>
            </w:r>
          </w:p>
          <w:p w14:paraId="3B1787B7">
            <w:pPr>
              <w:keepNext w:val="0"/>
              <w:keepLines w:val="0"/>
              <w:pageBreakBefore w:val="0"/>
              <w:kinsoku/>
              <w:wordWrap w:val="0"/>
              <w:overflowPunct/>
              <w:topLinePunct w:val="0"/>
              <w:bidi w:val="0"/>
              <w:spacing w:before="32" w:line="232" w:lineRule="auto"/>
              <w:ind w:left="112" w:right="105" w:firstLine="424" w:firstLineChars="200"/>
              <w:jc w:val="both"/>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9、符合《第三方机构预算绩效评价业务监督管理暂行办法》（财监[2021]4号）第二条、第七条规定，提供相应的资格证明材料及承诺函，格式自拟；</w:t>
            </w:r>
          </w:p>
          <w:p w14:paraId="687F0EAE">
            <w:pPr>
              <w:keepNext w:val="0"/>
              <w:keepLines w:val="0"/>
              <w:pageBreakBefore w:val="0"/>
              <w:kinsoku/>
              <w:wordWrap w:val="0"/>
              <w:overflowPunct/>
              <w:topLinePunct w:val="0"/>
              <w:bidi w:val="0"/>
              <w:spacing w:before="32" w:line="232" w:lineRule="auto"/>
              <w:ind w:left="112" w:right="105" w:firstLine="424" w:firstLineChars="200"/>
              <w:jc w:val="both"/>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9.1 第三方机构是指依法设立并向各级财政部门、预算部门和单位等管理、使用财政资金的主体（以下简称委托方）提供预算绩效评价服务，独立于委托方和预算绩效评价对象的组织，主要包括专业咨询机构、会计师事务所、资产评估机构、律师事务所、科研院所、高等院校等。</w:t>
            </w:r>
          </w:p>
          <w:p w14:paraId="18AE3BFC">
            <w:pPr>
              <w:keepNext w:val="0"/>
              <w:keepLines w:val="0"/>
              <w:pageBreakBefore w:val="0"/>
              <w:kinsoku/>
              <w:wordWrap w:val="0"/>
              <w:overflowPunct/>
              <w:topLinePunct w:val="0"/>
              <w:bidi w:val="0"/>
              <w:spacing w:before="32" w:line="232" w:lineRule="auto"/>
              <w:ind w:left="112" w:right="105" w:firstLine="424" w:firstLineChars="200"/>
              <w:jc w:val="both"/>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9.2 供应商拟派项目负责人（主评人）应符合《第三方机构预算绩效评价业务监督管理暂行办法》第七条规定：</w:t>
            </w:r>
          </w:p>
          <w:p w14:paraId="0FDB677F">
            <w:pPr>
              <w:keepNext w:val="0"/>
              <w:keepLines w:val="0"/>
              <w:pageBreakBefore w:val="0"/>
              <w:kinsoku/>
              <w:wordWrap w:val="0"/>
              <w:overflowPunct/>
              <w:topLinePunct w:val="0"/>
              <w:bidi w:val="0"/>
              <w:spacing w:before="32" w:line="232" w:lineRule="auto"/>
              <w:ind w:left="112" w:right="105" w:firstLine="424" w:firstLineChars="200"/>
              <w:jc w:val="both"/>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（1）遵守法律、行政法规和本办法的规定，具有良好的职业道德；</w:t>
            </w:r>
          </w:p>
          <w:p w14:paraId="66DDD06F">
            <w:pPr>
              <w:keepNext w:val="0"/>
              <w:keepLines w:val="0"/>
              <w:pageBreakBefore w:val="0"/>
              <w:kinsoku/>
              <w:wordWrap w:val="0"/>
              <w:overflowPunct/>
              <w:topLinePunct w:val="0"/>
              <w:bidi w:val="0"/>
              <w:spacing w:before="32" w:line="232" w:lineRule="auto"/>
              <w:ind w:left="112" w:right="105" w:firstLine="424" w:firstLineChars="200"/>
              <w:jc w:val="both"/>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（2）具有与预算绩效评价业务相适应的学历、能力；</w:t>
            </w:r>
          </w:p>
          <w:p w14:paraId="4CF3C99A">
            <w:pPr>
              <w:keepNext w:val="0"/>
              <w:keepLines w:val="0"/>
              <w:pageBreakBefore w:val="0"/>
              <w:kinsoku/>
              <w:wordWrap w:val="0"/>
              <w:overflowPunct/>
              <w:topLinePunct w:val="0"/>
              <w:bidi w:val="0"/>
              <w:spacing w:before="32" w:line="232" w:lineRule="auto"/>
              <w:ind w:left="112" w:right="105" w:firstLine="424" w:firstLineChars="200"/>
              <w:jc w:val="both"/>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（3）具备中高级职称或注册会计师、评估师、律师、内审师、注册造价工程师、注册咨询工程师等相关行业管理部门认可的专业资质；</w:t>
            </w:r>
          </w:p>
          <w:p w14:paraId="210C3AA2">
            <w:pPr>
              <w:keepNext w:val="0"/>
              <w:keepLines w:val="0"/>
              <w:pageBreakBefore w:val="0"/>
              <w:kinsoku/>
              <w:wordWrap w:val="0"/>
              <w:overflowPunct/>
              <w:topLinePunct w:val="0"/>
              <w:bidi w:val="0"/>
              <w:spacing w:before="32" w:line="232" w:lineRule="auto"/>
              <w:ind w:left="112" w:right="105" w:firstLine="424" w:firstLineChars="200"/>
              <w:jc w:val="both"/>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（4）具有5年以上工作经验，其中从事预算绩效评价工作3年以上；</w:t>
            </w:r>
          </w:p>
          <w:p w14:paraId="1DCB36A7">
            <w:pPr>
              <w:keepNext w:val="0"/>
              <w:keepLines w:val="0"/>
              <w:pageBreakBefore w:val="0"/>
              <w:kinsoku/>
              <w:wordWrap w:val="0"/>
              <w:overflowPunct/>
              <w:topLinePunct w:val="0"/>
              <w:bidi w:val="0"/>
              <w:spacing w:before="32" w:line="232" w:lineRule="auto"/>
              <w:ind w:left="112" w:right="105" w:firstLine="424" w:firstLineChars="200"/>
              <w:jc w:val="both"/>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（5）具有较强的政策理解、项目管理和沟通协调能力；</w:t>
            </w:r>
          </w:p>
          <w:p w14:paraId="5D2B700C">
            <w:pPr>
              <w:keepNext w:val="0"/>
              <w:keepLines w:val="0"/>
              <w:pageBreakBefore w:val="0"/>
              <w:kinsoku/>
              <w:wordWrap w:val="0"/>
              <w:overflowPunct/>
              <w:topLinePunct w:val="0"/>
              <w:bidi w:val="0"/>
              <w:spacing w:before="32" w:line="232" w:lineRule="auto"/>
              <w:ind w:left="112" w:right="105" w:firstLine="424"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spacing w:val="-14"/>
                <w:kern w:val="0"/>
                <w:sz w:val="24"/>
                <w:szCs w:val="24"/>
                <w:lang w:val="en-US" w:eastAsia="zh-CN" w:bidi="ar-SA"/>
              </w:rPr>
              <w:t>（6）未被追究过刑事责任，或者从事评估、财务、会计、审计活动中因过失犯罪而受刑事处罚，刑罚执行期满逾5年。</w:t>
            </w:r>
          </w:p>
        </w:tc>
        <w:tc>
          <w:tcPr>
            <w:tcW w:w="3030" w:type="dxa"/>
            <w:vAlign w:val="top"/>
          </w:tcPr>
          <w:p w14:paraId="0E39FE40">
            <w:pPr>
              <w:keepNext w:val="0"/>
              <w:keepLines w:val="0"/>
              <w:pageBreakBefore w:val="0"/>
              <w:kinsoku/>
              <w:wordWrap w:val="0"/>
              <w:overflowPunct/>
              <w:topLinePunct w:val="0"/>
              <w:bidi w:val="0"/>
              <w:spacing w:before="32" w:line="232" w:lineRule="auto"/>
              <w:ind w:right="105" w:firstLine="472" w:firstLineChars="20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供应商为企业（包括合伙企业、个体工商户）的，应提供有效的营业执照；</w:t>
            </w:r>
          </w:p>
          <w:p w14:paraId="18C71AEB">
            <w:pPr>
              <w:keepNext w:val="0"/>
              <w:keepLines w:val="0"/>
              <w:pageBreakBefore w:val="0"/>
              <w:kinsoku/>
              <w:wordWrap w:val="0"/>
              <w:overflowPunct/>
              <w:topLinePunct w:val="0"/>
              <w:bidi w:val="0"/>
              <w:spacing w:before="32" w:line="232" w:lineRule="auto"/>
              <w:ind w:right="105" w:firstLine="472" w:firstLineChars="20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供应商为事业单位的，应提供有效的事业单位法人证书；</w:t>
            </w:r>
          </w:p>
          <w:p w14:paraId="0D8C479E">
            <w:pPr>
              <w:keepNext w:val="0"/>
              <w:keepLines w:val="0"/>
              <w:pageBreakBefore w:val="0"/>
              <w:kinsoku/>
              <w:wordWrap w:val="0"/>
              <w:overflowPunct/>
              <w:topLinePunct w:val="0"/>
              <w:bidi w:val="0"/>
              <w:spacing w:before="32" w:line="232" w:lineRule="auto"/>
              <w:ind w:right="105" w:firstLine="472" w:firstLineChars="20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供应商是非企业机构的，应提供有效的执业许可证、登记证书等证明文件；</w:t>
            </w:r>
          </w:p>
          <w:p w14:paraId="060B6D77">
            <w:pPr>
              <w:keepNext w:val="0"/>
              <w:keepLines w:val="0"/>
              <w:pageBreakBefore w:val="0"/>
              <w:kinsoku/>
              <w:wordWrap w:val="0"/>
              <w:overflowPunct/>
              <w:topLinePunct w:val="0"/>
              <w:bidi w:val="0"/>
              <w:spacing w:before="32" w:line="232" w:lineRule="auto"/>
              <w:ind w:right="105" w:firstLine="472" w:firstLineChars="20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供应商是自然人的，应提供有效的自然人身份证明。</w:t>
            </w:r>
          </w:p>
          <w:p w14:paraId="3F7342B7">
            <w:pPr>
              <w:keepNext w:val="0"/>
              <w:keepLines w:val="0"/>
              <w:pageBreakBefore w:val="0"/>
              <w:kinsoku/>
              <w:wordWrap w:val="0"/>
              <w:overflowPunct/>
              <w:topLinePunct w:val="0"/>
              <w:bidi w:val="0"/>
              <w:spacing w:before="32" w:line="232" w:lineRule="auto"/>
              <w:ind w:right="105" w:firstLine="472"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bl>
    <w:p w14:paraId="218C8550">
      <w:pPr>
        <w:keepNext w:val="0"/>
        <w:keepLines w:val="0"/>
        <w:pageBreakBefore w:val="0"/>
        <w:widowControl w:val="0"/>
        <w:kinsoku/>
        <w:wordWrap w:val="0"/>
        <w:overflowPunct/>
        <w:topLinePunct w:val="0"/>
        <w:autoSpaceDE w:val="0"/>
        <w:autoSpaceDN w:val="0"/>
        <w:bidi w:val="0"/>
        <w:adjustRightInd w:val="0"/>
        <w:snapToGrid/>
        <w:spacing w:line="360" w:lineRule="auto"/>
        <w:ind w:firstLine="482" w:firstLineChars="200"/>
        <w:jc w:val="both"/>
        <w:textAlignment w:val="auto"/>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z w:val="24"/>
          <w:szCs w:val="24"/>
          <w:lang w:val="en-US" w:eastAsia="zh-CN"/>
        </w:rPr>
        <w:t>说明：按照南阳市财政局《关于在政府采购活动中施行供应商资格信用承诺制的通知》宛财购〔2023〕4号的要求，对于市本级政府采购项目，全部实施供应商资格信用承诺，供应商在响应时，按照规定提供“南阳市政府采购供应商信用承诺函”（详见附件）的，无需再提交序号1中1-5项证明材料”。供应商</w:t>
      </w:r>
      <w:r>
        <w:rPr>
          <w:rFonts w:hint="eastAsia" w:asciiTheme="minorEastAsia" w:hAnsiTheme="minorEastAsia" w:eastAsiaTheme="minorEastAsia" w:cstheme="minorEastAsia"/>
          <w:b/>
          <w:bCs/>
          <w:sz w:val="24"/>
          <w:szCs w:val="24"/>
          <w:lang w:val="zh-CN" w:eastAsia="zh-CN"/>
        </w:rPr>
        <w:t>在</w:t>
      </w:r>
      <w:r>
        <w:rPr>
          <w:rFonts w:hint="eastAsia" w:asciiTheme="minorEastAsia" w:hAnsiTheme="minorEastAsia" w:eastAsiaTheme="minorEastAsia" w:cstheme="minorEastAsia"/>
          <w:b/>
          <w:bCs/>
          <w:sz w:val="24"/>
          <w:szCs w:val="24"/>
          <w:lang w:val="en-US" w:eastAsia="zh-CN"/>
        </w:rPr>
        <w:t>确定入围</w:t>
      </w:r>
      <w:r>
        <w:rPr>
          <w:rFonts w:hint="eastAsia" w:asciiTheme="minorEastAsia" w:hAnsiTheme="minorEastAsia" w:eastAsiaTheme="minorEastAsia" w:cstheme="minorEastAsia"/>
          <w:b/>
          <w:bCs/>
          <w:sz w:val="24"/>
          <w:szCs w:val="24"/>
          <w:lang w:val="zh-CN" w:eastAsia="zh-CN"/>
        </w:rPr>
        <w:t>后，应将上述由信用承诺书替代的证明材料提交征集人或采购代理机构，证明材料将随公告一并公示。</w:t>
      </w:r>
    </w:p>
    <w:p w14:paraId="47784F12">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p>
    <w:p w14:paraId="014AEEC0">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三、评审小组</w:t>
      </w:r>
    </w:p>
    <w:p w14:paraId="063DFEB3">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highlight w:val="yellow"/>
          <w:lang w:val="en-US" w:eastAsia="zh-CN"/>
        </w:rPr>
      </w:pPr>
      <w:r>
        <w:rPr>
          <w:rFonts w:hint="eastAsia" w:asciiTheme="minorEastAsia" w:hAnsiTheme="minorEastAsia" w:eastAsiaTheme="minorEastAsia" w:cstheme="minorEastAsia"/>
          <w:spacing w:val="3"/>
          <w:sz w:val="24"/>
          <w:szCs w:val="24"/>
          <w:lang w:val="en-US" w:eastAsia="zh-CN"/>
        </w:rPr>
        <w:t>1.征集人、采购代理机构将根据《中华人民共和国政府采购法》的规定和采购项目的特点组建评审小组，本项目评审小组全部由评审专家组成，成员人数为5人。征集人应当从省级以上财政部门设立的政府采购评审专家库，通过随机方式抽取专家。</w:t>
      </w:r>
    </w:p>
    <w:p w14:paraId="5EC12F5C">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2.评审小组应当严格遵守评审纪律，现场签订评审委员会评审承诺书，并按照客观、公正、审慎的原则，根据采购文件规定的评审程序、评审方法和评审标准进行独立评审。</w:t>
      </w:r>
    </w:p>
    <w:p w14:paraId="492F8AE3">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3.评审小组应当在评审报告上签字，对自己评审意见承担法律责任。</w:t>
      </w:r>
    </w:p>
    <w:p w14:paraId="0F5ADF24">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4.评审专家未完成评审工作擅自离开评审现场，或者在评审活动中有违法违规行为的，不得获取劳务报酬和报销异地评审差旅费。评审专家以外的其他人员不得获取评审劳务报酬。</w:t>
      </w:r>
    </w:p>
    <w:p w14:paraId="0E21C9D6">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5.评审小组发现征集文件存在歧义、重大缺陷导致评审工作无法进行，或者征集文件内容违反国家有关强制性规定的，应当停止评审工作，与征集人或者采购代理机构沟通并作书面记录。征集人或者采购代理机构确认后，应当修改征集文件，重新组织采购活动。</w:t>
      </w:r>
    </w:p>
    <w:p w14:paraId="4FB7F512">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6.评审小组或者其成员存在下列情形导致评审结果无效的，征集人、采购代理机构可以重新组建评审小组进行评审，并书面报告本级财政部门，但采购合同已经履行的除外：</w:t>
      </w:r>
    </w:p>
    <w:p w14:paraId="6CE8A4D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（1）评审小组组成不符合本办法规定的;</w:t>
      </w:r>
    </w:p>
    <w:p w14:paraId="07DE3ED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（2）政府采购货物和服务招标投标管理办法（87号令）第六十二条第一至五项情形的;</w:t>
      </w:r>
    </w:p>
    <w:p w14:paraId="6353F25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（3）评审小组及其成员独立评审受到非法干预的;</w:t>
      </w:r>
    </w:p>
    <w:p w14:paraId="3B577F1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（4）有政府采购法实施条例第七十五条规定的违法行为的。</w:t>
      </w:r>
    </w:p>
    <w:p w14:paraId="22CEB3E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有违法违规行为的原评审小组成员不得参加重新组建的评审小组。</w:t>
      </w:r>
    </w:p>
    <w:p w14:paraId="1B816401">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napToGrid w:val="0"/>
          <w:color w:val="000000"/>
          <w:spacing w:val="3"/>
          <w:kern w:val="0"/>
          <w:sz w:val="24"/>
          <w:szCs w:val="24"/>
          <w:lang w:val="en-US" w:eastAsia="zh-CN" w:bidi="ar-SA"/>
        </w:rPr>
        <w:t>7.</w:t>
      </w:r>
      <w:r>
        <w:rPr>
          <w:rFonts w:hint="eastAsia" w:asciiTheme="minorEastAsia" w:hAnsiTheme="minorEastAsia" w:eastAsiaTheme="minorEastAsia" w:cstheme="minorEastAsia"/>
          <w:spacing w:val="3"/>
          <w:sz w:val="24"/>
          <w:szCs w:val="24"/>
          <w:lang w:val="en-US" w:eastAsia="zh-CN"/>
        </w:rPr>
        <w:t>评审活动结束，按照《河南省政府采购评审专家劳务报酬支付标准》的通知(豫财购〔2017〕9号)的规定，发放劳务报酬。</w:t>
      </w:r>
    </w:p>
    <w:p w14:paraId="37114E5D">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rPr>
          <w:rFonts w:hint="eastAsia" w:asciiTheme="minorEastAsia" w:hAnsiTheme="minorEastAsia" w:eastAsiaTheme="minorEastAsia" w:cstheme="minorEastAsia"/>
          <w:spacing w:val="3"/>
          <w:sz w:val="24"/>
          <w:szCs w:val="24"/>
          <w:lang w:val="en-US" w:eastAsia="zh-CN"/>
        </w:rPr>
      </w:pPr>
    </w:p>
    <w:p w14:paraId="07F88658">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rPr>
          <w:rFonts w:hint="eastAsia" w:asciiTheme="minorEastAsia" w:hAnsiTheme="minorEastAsia" w:eastAsiaTheme="minorEastAsia" w:cstheme="minorEastAsia"/>
          <w:spacing w:val="3"/>
          <w:sz w:val="24"/>
          <w:szCs w:val="24"/>
          <w:lang w:val="en-US" w:eastAsia="zh-CN"/>
        </w:rPr>
      </w:pPr>
    </w:p>
    <w:p w14:paraId="3F8ADC1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rPr>
          <w:rFonts w:hint="eastAsia" w:asciiTheme="minorEastAsia" w:hAnsiTheme="minorEastAsia" w:eastAsiaTheme="minorEastAsia" w:cstheme="minorEastAsia"/>
          <w:spacing w:val="3"/>
          <w:sz w:val="24"/>
          <w:szCs w:val="24"/>
          <w:lang w:val="en-US" w:eastAsia="zh-CN"/>
        </w:rPr>
      </w:pPr>
    </w:p>
    <w:p w14:paraId="1817057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rPr>
          <w:rFonts w:hint="eastAsia" w:asciiTheme="minorEastAsia" w:hAnsiTheme="minorEastAsia" w:eastAsiaTheme="minorEastAsia" w:cstheme="minorEastAsia"/>
          <w:spacing w:val="3"/>
          <w:sz w:val="24"/>
          <w:szCs w:val="24"/>
          <w:lang w:val="en-US" w:eastAsia="zh-CN"/>
        </w:rPr>
      </w:pPr>
    </w:p>
    <w:p w14:paraId="1FAE8BD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4" w:firstLineChars="200"/>
        <w:jc w:val="both"/>
        <w:textAlignment w:val="baseline"/>
        <w:rPr>
          <w:rFonts w:hint="eastAsia" w:asciiTheme="minorEastAsia" w:hAnsiTheme="minorEastAsia" w:eastAsiaTheme="minorEastAsia" w:cstheme="minorEastAsia"/>
          <w:b/>
          <w:bCs/>
          <w:spacing w:val="3"/>
          <w:sz w:val="24"/>
          <w:szCs w:val="24"/>
          <w:lang w:val="en-US" w:eastAsia="zh-CN"/>
        </w:rPr>
      </w:pPr>
    </w:p>
    <w:p w14:paraId="4B037D1B">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四、响应文件的审查</w:t>
      </w:r>
    </w:p>
    <w:p w14:paraId="48C91D9C">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响应文件</w:t>
      </w:r>
      <w:r>
        <w:rPr>
          <w:rFonts w:hint="eastAsia" w:asciiTheme="minorEastAsia" w:hAnsiTheme="minorEastAsia" w:eastAsiaTheme="minorEastAsia" w:cstheme="minorEastAsia"/>
          <w:sz w:val="24"/>
          <w:szCs w:val="24"/>
        </w:rPr>
        <w:t>的符合性审查</w:t>
      </w:r>
    </w:p>
    <w:p w14:paraId="2AC04AB1">
      <w:pPr>
        <w:ind w:firstLine="488" w:firstLineChars="200"/>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rPr>
        <w:t>1.1</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lang w:eastAsia="zh-CN"/>
        </w:rPr>
        <w:t>评审小组</w:t>
      </w:r>
      <w:r>
        <w:rPr>
          <w:rFonts w:hint="eastAsia" w:asciiTheme="minorEastAsia" w:hAnsiTheme="minorEastAsia" w:eastAsiaTheme="minorEastAsia" w:cstheme="minorEastAsia"/>
          <w:spacing w:val="2"/>
          <w:position w:val="17"/>
          <w:sz w:val="24"/>
          <w:szCs w:val="24"/>
        </w:rPr>
        <w:t>对资格审查合格的</w:t>
      </w:r>
      <w:r>
        <w:rPr>
          <w:rFonts w:hint="eastAsia" w:asciiTheme="minorEastAsia" w:hAnsiTheme="minorEastAsia" w:eastAsiaTheme="minorEastAsia" w:cstheme="minorEastAsia"/>
          <w:spacing w:val="2"/>
          <w:position w:val="17"/>
          <w:sz w:val="24"/>
          <w:szCs w:val="24"/>
          <w:lang w:eastAsia="zh-CN"/>
        </w:rPr>
        <w:t>供应商</w:t>
      </w:r>
      <w:r>
        <w:rPr>
          <w:rFonts w:hint="eastAsia" w:asciiTheme="minorEastAsia" w:hAnsiTheme="minorEastAsia" w:eastAsiaTheme="minorEastAsia" w:cstheme="minorEastAsia"/>
          <w:spacing w:val="2"/>
          <w:position w:val="17"/>
          <w:sz w:val="24"/>
          <w:szCs w:val="24"/>
        </w:rPr>
        <w:t>的</w:t>
      </w:r>
      <w:r>
        <w:rPr>
          <w:rFonts w:hint="eastAsia" w:asciiTheme="minorEastAsia" w:hAnsiTheme="minorEastAsia" w:eastAsiaTheme="minorEastAsia" w:cstheme="minorEastAsia"/>
          <w:spacing w:val="2"/>
          <w:position w:val="17"/>
          <w:sz w:val="24"/>
          <w:szCs w:val="24"/>
          <w:lang w:eastAsia="zh-CN"/>
        </w:rPr>
        <w:t>响应文件</w:t>
      </w:r>
      <w:r>
        <w:rPr>
          <w:rFonts w:hint="eastAsia" w:asciiTheme="minorEastAsia" w:hAnsiTheme="minorEastAsia" w:eastAsiaTheme="minorEastAsia" w:cstheme="minorEastAsia"/>
          <w:spacing w:val="2"/>
          <w:position w:val="17"/>
          <w:sz w:val="24"/>
          <w:szCs w:val="24"/>
        </w:rPr>
        <w:t>进行符合性审查，以确</w:t>
      </w:r>
      <w:r>
        <w:rPr>
          <w:rFonts w:hint="eastAsia" w:asciiTheme="minorEastAsia" w:hAnsiTheme="minorEastAsia" w:eastAsiaTheme="minorEastAsia" w:cstheme="minorEastAsia"/>
          <w:spacing w:val="2"/>
          <w:position w:val="17"/>
          <w:sz w:val="24"/>
          <w:szCs w:val="24"/>
          <w:lang w:val="en-US" w:eastAsia="zh-CN"/>
        </w:rPr>
        <w:t>定其是否满足征集文件的实质性要求。</w:t>
      </w:r>
    </w:p>
    <w:p w14:paraId="67CCAC5F">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1.2</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lang w:eastAsia="zh-CN"/>
        </w:rPr>
        <w:t>评审小组</w:t>
      </w:r>
      <w:r>
        <w:rPr>
          <w:rFonts w:hint="eastAsia" w:asciiTheme="minorEastAsia" w:hAnsiTheme="minorEastAsia" w:eastAsiaTheme="minorEastAsia" w:cstheme="minorEastAsia"/>
          <w:spacing w:val="2"/>
          <w:position w:val="17"/>
          <w:sz w:val="24"/>
          <w:szCs w:val="24"/>
        </w:rPr>
        <w:t>根据《符合性审查要求》中规定的审查因素和审查内容，对</w:t>
      </w:r>
      <w:r>
        <w:rPr>
          <w:rFonts w:hint="eastAsia" w:asciiTheme="minorEastAsia" w:hAnsiTheme="minorEastAsia" w:eastAsiaTheme="minorEastAsia" w:cstheme="minorEastAsia"/>
          <w:spacing w:val="2"/>
          <w:position w:val="17"/>
          <w:sz w:val="24"/>
          <w:szCs w:val="24"/>
          <w:lang w:eastAsia="zh-CN"/>
        </w:rPr>
        <w:t>供应商</w:t>
      </w:r>
      <w:r>
        <w:rPr>
          <w:rFonts w:hint="eastAsia" w:asciiTheme="minorEastAsia" w:hAnsiTheme="minorEastAsia" w:eastAsiaTheme="minorEastAsia" w:cstheme="minorEastAsia"/>
          <w:spacing w:val="2"/>
          <w:position w:val="17"/>
          <w:sz w:val="24"/>
          <w:szCs w:val="24"/>
        </w:rPr>
        <w:t>的</w:t>
      </w:r>
      <w:r>
        <w:rPr>
          <w:rFonts w:hint="eastAsia" w:asciiTheme="minorEastAsia" w:hAnsiTheme="minorEastAsia" w:eastAsiaTheme="minorEastAsia" w:cstheme="minorEastAsia"/>
          <w:spacing w:val="2"/>
          <w:position w:val="17"/>
          <w:sz w:val="24"/>
          <w:szCs w:val="24"/>
          <w:lang w:eastAsia="zh-CN"/>
        </w:rPr>
        <w:t>响应文件</w:t>
      </w:r>
      <w:r>
        <w:rPr>
          <w:rFonts w:hint="eastAsia" w:asciiTheme="minorEastAsia" w:hAnsiTheme="minorEastAsia" w:eastAsiaTheme="minorEastAsia" w:cstheme="minorEastAsia"/>
          <w:spacing w:val="2"/>
          <w:position w:val="17"/>
          <w:sz w:val="24"/>
          <w:szCs w:val="24"/>
        </w:rPr>
        <w:t>是否实质上响应</w:t>
      </w:r>
      <w:r>
        <w:rPr>
          <w:rFonts w:hint="eastAsia" w:asciiTheme="minorEastAsia" w:hAnsiTheme="minorEastAsia" w:eastAsiaTheme="minorEastAsia" w:cstheme="minorEastAsia"/>
          <w:spacing w:val="2"/>
          <w:position w:val="17"/>
          <w:sz w:val="24"/>
          <w:szCs w:val="24"/>
          <w:lang w:eastAsia="zh-CN"/>
        </w:rPr>
        <w:t>征集文件</w:t>
      </w:r>
      <w:r>
        <w:rPr>
          <w:rFonts w:hint="eastAsia" w:asciiTheme="minorEastAsia" w:hAnsiTheme="minorEastAsia" w:eastAsiaTheme="minorEastAsia" w:cstheme="minorEastAsia"/>
          <w:spacing w:val="2"/>
          <w:position w:val="17"/>
          <w:sz w:val="24"/>
          <w:szCs w:val="24"/>
        </w:rPr>
        <w:t>进行符合性审查，并形成符合性审查评审结果。</w:t>
      </w:r>
      <w:r>
        <w:rPr>
          <w:rFonts w:hint="eastAsia" w:asciiTheme="minorEastAsia" w:hAnsiTheme="minorEastAsia" w:eastAsiaTheme="minorEastAsia" w:cstheme="minorEastAsia"/>
          <w:spacing w:val="2"/>
          <w:position w:val="17"/>
          <w:sz w:val="24"/>
          <w:szCs w:val="24"/>
          <w:lang w:eastAsia="zh-CN"/>
        </w:rPr>
        <w:t>供应商</w:t>
      </w:r>
      <w:r>
        <w:rPr>
          <w:rFonts w:hint="eastAsia" w:asciiTheme="minorEastAsia" w:hAnsiTheme="minorEastAsia" w:eastAsiaTheme="minorEastAsia" w:cstheme="minorEastAsia"/>
          <w:spacing w:val="2"/>
          <w:position w:val="17"/>
          <w:sz w:val="24"/>
          <w:szCs w:val="24"/>
        </w:rPr>
        <w:t>《商务技术文件》有任何一项不符合《符合性审查要求》要求的，</w:t>
      </w:r>
      <w:r>
        <w:rPr>
          <w:rFonts w:hint="eastAsia" w:asciiTheme="minorEastAsia" w:hAnsiTheme="minorEastAsia" w:eastAsiaTheme="minorEastAsia" w:cstheme="minorEastAsia"/>
          <w:spacing w:val="2"/>
          <w:position w:val="17"/>
          <w:sz w:val="24"/>
          <w:szCs w:val="24"/>
          <w:lang w:eastAsia="zh-CN"/>
        </w:rPr>
        <w:t>响应</w:t>
      </w:r>
      <w:r>
        <w:rPr>
          <w:rFonts w:hint="eastAsia" w:asciiTheme="minorEastAsia" w:hAnsiTheme="minorEastAsia" w:eastAsiaTheme="minorEastAsia" w:cstheme="minorEastAsia"/>
          <w:spacing w:val="2"/>
          <w:position w:val="17"/>
          <w:sz w:val="24"/>
          <w:szCs w:val="24"/>
        </w:rPr>
        <w:t>无效。</w:t>
      </w:r>
    </w:p>
    <w:p w14:paraId="2ED68F6A">
      <w:pPr>
        <w:pStyle w:val="5"/>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符合性审查要求</w:t>
      </w:r>
    </w:p>
    <w:p w14:paraId="4D2E8379">
      <w:pPr>
        <w:keepNext w:val="0"/>
        <w:keepLines w:val="0"/>
        <w:pageBreakBefore w:val="0"/>
        <w:kinsoku/>
        <w:wordWrap w:val="0"/>
        <w:overflowPunct/>
        <w:topLinePunct w:val="0"/>
        <w:bidi w:val="0"/>
        <w:spacing w:line="145" w:lineRule="exact"/>
        <w:jc w:val="both"/>
        <w:rPr>
          <w:rFonts w:hint="eastAsia" w:asciiTheme="minorEastAsia" w:hAnsiTheme="minorEastAsia" w:eastAsiaTheme="minorEastAsia" w:cstheme="minorEastAsia"/>
        </w:rPr>
      </w:pPr>
    </w:p>
    <w:tbl>
      <w:tblPr>
        <w:tblStyle w:val="22"/>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50A56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vAlign w:val="top"/>
          </w:tcPr>
          <w:p w14:paraId="57418DC0">
            <w:pPr>
              <w:keepNext w:val="0"/>
              <w:keepLines w:val="0"/>
              <w:pageBreakBefore w:val="0"/>
              <w:kinsoku/>
              <w:wordWrap w:val="0"/>
              <w:overflowPunct/>
              <w:topLinePunct w:val="0"/>
              <w:bidi w:val="0"/>
              <w:spacing w:before="41" w:line="207" w:lineRule="auto"/>
              <w:ind w:left="14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812" w:type="dxa"/>
            <w:vAlign w:val="top"/>
          </w:tcPr>
          <w:p w14:paraId="2E5B4A57">
            <w:pPr>
              <w:keepNext w:val="0"/>
              <w:keepLines w:val="0"/>
              <w:pageBreakBefore w:val="0"/>
              <w:kinsoku/>
              <w:wordWrap w:val="0"/>
              <w:overflowPunct/>
              <w:topLinePunct w:val="0"/>
              <w:bidi w:val="0"/>
              <w:spacing w:before="41" w:line="207" w:lineRule="auto"/>
              <w:ind w:left="43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5791" w:type="dxa"/>
            <w:vAlign w:val="top"/>
          </w:tcPr>
          <w:p w14:paraId="28A31CA6">
            <w:pPr>
              <w:keepNext w:val="0"/>
              <w:keepLines w:val="0"/>
              <w:pageBreakBefore w:val="0"/>
              <w:kinsoku/>
              <w:wordWrap w:val="0"/>
              <w:overflowPunct/>
              <w:topLinePunct w:val="0"/>
              <w:bidi w:val="0"/>
              <w:spacing w:before="41" w:line="207" w:lineRule="auto"/>
              <w:ind w:left="289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r>
      <w:tr w14:paraId="24F36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769A69B6">
            <w:pPr>
              <w:pStyle w:val="23"/>
              <w:keepNext w:val="0"/>
              <w:keepLines w:val="0"/>
              <w:pageBreakBefore w:val="0"/>
              <w:kinsoku/>
              <w:wordWrap w:val="0"/>
              <w:overflowPunct/>
              <w:topLinePunct w:val="0"/>
              <w:bidi w:val="0"/>
              <w:spacing w:before="245" w:line="199" w:lineRule="auto"/>
              <w:ind w:left="32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2" w:type="dxa"/>
            <w:vAlign w:val="center"/>
          </w:tcPr>
          <w:p w14:paraId="57CA786F">
            <w:pPr>
              <w:keepNext w:val="0"/>
              <w:keepLines w:val="0"/>
              <w:pageBreakBefore w:val="0"/>
              <w:kinsoku/>
              <w:wordWrap w:val="0"/>
              <w:overflowPunct/>
              <w:topLinePunct w:val="0"/>
              <w:bidi w:val="0"/>
              <w:spacing w:before="222" w:line="219" w:lineRule="auto"/>
              <w:ind w:left="111"/>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授权委托书</w:t>
            </w:r>
          </w:p>
        </w:tc>
        <w:tc>
          <w:tcPr>
            <w:tcW w:w="5791" w:type="dxa"/>
            <w:vAlign w:val="top"/>
          </w:tcPr>
          <w:p w14:paraId="78C672F6">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按</w:t>
            </w:r>
            <w:r>
              <w:rPr>
                <w:rFonts w:hint="eastAsia" w:asciiTheme="minorEastAsia" w:hAnsiTheme="minorEastAsia" w:eastAsiaTheme="minorEastAsia" w:cstheme="minorEastAsia"/>
                <w:spacing w:val="-3"/>
                <w:sz w:val="24"/>
                <w:szCs w:val="24"/>
                <w:lang w:eastAsia="zh-CN"/>
              </w:rPr>
              <w:t>征集文件</w:t>
            </w:r>
            <w:r>
              <w:rPr>
                <w:rFonts w:hint="eastAsia" w:asciiTheme="minorEastAsia" w:hAnsiTheme="minorEastAsia" w:eastAsiaTheme="minorEastAsia" w:cstheme="minorEastAsia"/>
                <w:spacing w:val="-3"/>
                <w:sz w:val="24"/>
                <w:szCs w:val="24"/>
              </w:rPr>
              <w:t>要求</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供授权委托书</w:t>
            </w:r>
            <w:r>
              <w:rPr>
                <w:rFonts w:hint="eastAsia" w:asciiTheme="minorEastAsia" w:hAnsiTheme="minorEastAsia" w:eastAsiaTheme="minorEastAsia" w:cstheme="minorEastAsia"/>
                <w:spacing w:val="-3"/>
                <w:sz w:val="24"/>
                <w:szCs w:val="24"/>
                <w:lang w:eastAsia="zh-CN"/>
              </w:rPr>
              <w:t>。</w:t>
            </w:r>
          </w:p>
        </w:tc>
      </w:tr>
      <w:tr w14:paraId="2683E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0D7B64F3">
            <w:pPr>
              <w:pStyle w:val="23"/>
              <w:keepNext w:val="0"/>
              <w:keepLines w:val="0"/>
              <w:pageBreakBefore w:val="0"/>
              <w:kinsoku/>
              <w:wordWrap w:val="0"/>
              <w:overflowPunct/>
              <w:topLinePunct w:val="0"/>
              <w:bidi w:val="0"/>
              <w:spacing w:before="244" w:line="201" w:lineRule="auto"/>
              <w:ind w:left="3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1812" w:type="dxa"/>
            <w:vAlign w:val="center"/>
          </w:tcPr>
          <w:p w14:paraId="50A5F0CE">
            <w:pPr>
              <w:keepNext w:val="0"/>
              <w:keepLines w:val="0"/>
              <w:pageBreakBefore w:val="0"/>
              <w:kinsoku/>
              <w:wordWrap w:val="0"/>
              <w:overflowPunct/>
              <w:topLinePunct w:val="0"/>
              <w:bidi w:val="0"/>
              <w:spacing w:before="223" w:line="220" w:lineRule="auto"/>
              <w:ind w:left="1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响应</w:t>
            </w:r>
            <w:r>
              <w:rPr>
                <w:rFonts w:hint="eastAsia" w:asciiTheme="minorEastAsia" w:hAnsiTheme="minorEastAsia" w:eastAsiaTheme="minorEastAsia" w:cstheme="minorEastAsia"/>
                <w:spacing w:val="-2"/>
                <w:sz w:val="24"/>
                <w:szCs w:val="24"/>
              </w:rPr>
              <w:t>完整性</w:t>
            </w:r>
          </w:p>
        </w:tc>
        <w:tc>
          <w:tcPr>
            <w:tcW w:w="5791" w:type="dxa"/>
            <w:vAlign w:val="center"/>
          </w:tcPr>
          <w:p w14:paraId="066AEEBD">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未将一个采购包中的内容拆分</w:t>
            </w:r>
            <w:r>
              <w:rPr>
                <w:rFonts w:hint="eastAsia" w:asciiTheme="minorEastAsia" w:hAnsiTheme="minorEastAsia" w:eastAsiaTheme="minorEastAsia" w:cstheme="minorEastAsia"/>
                <w:spacing w:val="-3"/>
                <w:sz w:val="24"/>
                <w:szCs w:val="24"/>
                <w:lang w:eastAsia="zh-CN"/>
              </w:rPr>
              <w:t>响应</w:t>
            </w:r>
            <w:r>
              <w:rPr>
                <w:rFonts w:hint="eastAsia" w:asciiTheme="minorEastAsia" w:hAnsiTheme="minorEastAsia" w:eastAsiaTheme="minorEastAsia" w:cstheme="minorEastAsia"/>
                <w:spacing w:val="-3"/>
                <w:sz w:val="24"/>
                <w:szCs w:val="24"/>
              </w:rPr>
              <w:t>；</w:t>
            </w:r>
          </w:p>
          <w:p w14:paraId="46392122">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供应商对所投征集文件中所列的所有内容进行响应。</w:t>
            </w:r>
          </w:p>
        </w:tc>
      </w:tr>
      <w:tr w14:paraId="7D525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75679D9C">
            <w:pPr>
              <w:pStyle w:val="23"/>
              <w:keepNext w:val="0"/>
              <w:keepLines w:val="0"/>
              <w:pageBreakBefore w:val="0"/>
              <w:kinsoku/>
              <w:wordWrap w:val="0"/>
              <w:overflowPunct/>
              <w:topLinePunct w:val="0"/>
              <w:bidi w:val="0"/>
              <w:spacing w:before="245" w:line="201"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2" w:type="dxa"/>
            <w:vAlign w:val="center"/>
          </w:tcPr>
          <w:p w14:paraId="31073A30">
            <w:pPr>
              <w:keepNext w:val="0"/>
              <w:keepLines w:val="0"/>
              <w:pageBreakBefore w:val="0"/>
              <w:kinsoku/>
              <w:wordWrap w:val="0"/>
              <w:overflowPunct/>
              <w:topLinePunct w:val="0"/>
              <w:bidi w:val="0"/>
              <w:spacing w:before="221" w:line="219" w:lineRule="auto"/>
              <w:ind w:left="1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响应</w:t>
            </w:r>
            <w:r>
              <w:rPr>
                <w:rFonts w:hint="eastAsia" w:asciiTheme="minorEastAsia" w:hAnsiTheme="minorEastAsia" w:eastAsiaTheme="minorEastAsia" w:cstheme="minorEastAsia"/>
                <w:spacing w:val="-3"/>
                <w:sz w:val="24"/>
                <w:szCs w:val="24"/>
              </w:rPr>
              <w:t>报价</w:t>
            </w:r>
          </w:p>
        </w:tc>
        <w:tc>
          <w:tcPr>
            <w:tcW w:w="5791" w:type="dxa"/>
            <w:vAlign w:val="top"/>
          </w:tcPr>
          <w:p w14:paraId="7B99B554">
            <w:pPr>
              <w:pStyle w:val="23"/>
              <w:keepNext w:val="0"/>
              <w:keepLines w:val="0"/>
              <w:pageBreakBefore w:val="0"/>
              <w:kinsoku/>
              <w:wordWrap w:val="0"/>
              <w:overflowPunct/>
              <w:topLinePunct w:val="0"/>
              <w:bidi w:val="0"/>
              <w:spacing w:before="69" w:line="228" w:lineRule="auto"/>
              <w:ind w:left="117" w:right="29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报价未超过</w:t>
            </w:r>
            <w:r>
              <w:rPr>
                <w:rFonts w:hint="eastAsia" w:asciiTheme="minorEastAsia" w:hAnsiTheme="minorEastAsia" w:eastAsiaTheme="minorEastAsia" w:cstheme="minorEastAsia"/>
                <w:sz w:val="24"/>
                <w:szCs w:val="24"/>
                <w:lang w:eastAsia="zh-CN"/>
              </w:rPr>
              <w:t>征集文件</w:t>
            </w:r>
            <w:r>
              <w:rPr>
                <w:rFonts w:hint="eastAsia" w:asciiTheme="minorEastAsia" w:hAnsiTheme="minorEastAsia" w:eastAsiaTheme="minorEastAsia" w:cstheme="minorEastAsia"/>
                <w:sz w:val="24"/>
                <w:szCs w:val="24"/>
              </w:rPr>
              <w:t>中规定的项目/采购包预算金额或者</w:t>
            </w:r>
            <w:r>
              <w:rPr>
                <w:rFonts w:hint="eastAsia" w:asciiTheme="minorEastAsia" w:hAnsiTheme="minorEastAsia" w:eastAsiaTheme="minorEastAsia" w:cstheme="minorEastAsia"/>
                <w:spacing w:val="-5"/>
                <w:sz w:val="24"/>
                <w:szCs w:val="24"/>
              </w:rPr>
              <w:t>项目/采购包最高限价</w:t>
            </w:r>
            <w:r>
              <w:rPr>
                <w:rFonts w:hint="eastAsia" w:asciiTheme="minorEastAsia" w:hAnsiTheme="minorEastAsia" w:eastAsiaTheme="minorEastAsia" w:cstheme="minorEastAsia"/>
                <w:spacing w:val="-5"/>
                <w:sz w:val="24"/>
                <w:szCs w:val="24"/>
                <w:lang w:eastAsia="zh-CN"/>
              </w:rPr>
              <w:t>。</w:t>
            </w:r>
          </w:p>
        </w:tc>
      </w:tr>
      <w:tr w14:paraId="5909B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43C2087B">
            <w:pPr>
              <w:pStyle w:val="23"/>
              <w:keepNext w:val="0"/>
              <w:keepLines w:val="0"/>
              <w:pageBreakBefore w:val="0"/>
              <w:kinsoku/>
              <w:wordWrap w:val="0"/>
              <w:overflowPunct/>
              <w:topLinePunct w:val="0"/>
              <w:bidi w:val="0"/>
              <w:spacing w:before="247" w:line="199" w:lineRule="auto"/>
              <w:ind w:left="30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w:t>
            </w:r>
          </w:p>
        </w:tc>
        <w:tc>
          <w:tcPr>
            <w:tcW w:w="1812" w:type="dxa"/>
            <w:vAlign w:val="center"/>
          </w:tcPr>
          <w:p w14:paraId="38A55F71">
            <w:pPr>
              <w:keepNext w:val="0"/>
              <w:keepLines w:val="0"/>
              <w:pageBreakBefore w:val="0"/>
              <w:kinsoku/>
              <w:wordWrap w:val="0"/>
              <w:overflowPunct/>
              <w:topLinePunct w:val="0"/>
              <w:bidi w:val="0"/>
              <w:spacing w:before="223" w:line="219" w:lineRule="auto"/>
              <w:ind w:left="11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报价唯一性</w:t>
            </w:r>
          </w:p>
        </w:tc>
        <w:tc>
          <w:tcPr>
            <w:tcW w:w="5791" w:type="dxa"/>
            <w:vAlign w:val="top"/>
          </w:tcPr>
          <w:p w14:paraId="5F212800">
            <w:pPr>
              <w:keepNext w:val="0"/>
              <w:keepLines w:val="0"/>
              <w:pageBreakBefore w:val="0"/>
              <w:kinsoku/>
              <w:wordWrap w:val="0"/>
              <w:overflowPunct/>
              <w:topLinePunct w:val="0"/>
              <w:bidi w:val="0"/>
              <w:spacing w:before="68" w:line="230" w:lineRule="auto"/>
              <w:ind w:left="133" w:right="136" w:hanging="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响应文件</w:t>
            </w:r>
            <w:r>
              <w:rPr>
                <w:rFonts w:hint="eastAsia" w:asciiTheme="minorEastAsia" w:hAnsiTheme="minorEastAsia" w:eastAsiaTheme="minorEastAsia" w:cstheme="minorEastAsia"/>
                <w:spacing w:val="-1"/>
                <w:sz w:val="24"/>
                <w:szCs w:val="24"/>
              </w:rPr>
              <w:t>未出现可选择性或可调整的报价（</w:t>
            </w:r>
            <w:r>
              <w:rPr>
                <w:rFonts w:hint="eastAsia" w:asciiTheme="minorEastAsia" w:hAnsiTheme="minorEastAsia" w:eastAsiaTheme="minorEastAsia" w:cstheme="minorEastAsia"/>
                <w:spacing w:val="-1"/>
                <w:sz w:val="24"/>
                <w:szCs w:val="24"/>
                <w:lang w:eastAsia="zh-CN"/>
              </w:rPr>
              <w:t>征集文件</w:t>
            </w:r>
            <w:r>
              <w:rPr>
                <w:rFonts w:hint="eastAsia" w:asciiTheme="minorEastAsia" w:hAnsiTheme="minorEastAsia" w:eastAsiaTheme="minorEastAsia" w:cstheme="minorEastAsia"/>
                <w:spacing w:val="-1"/>
                <w:sz w:val="24"/>
                <w:szCs w:val="24"/>
              </w:rPr>
              <w:t>另有规定</w:t>
            </w:r>
            <w:r>
              <w:rPr>
                <w:rFonts w:hint="eastAsia" w:asciiTheme="minorEastAsia" w:hAnsiTheme="minorEastAsia" w:eastAsiaTheme="minorEastAsia" w:cstheme="minorEastAsia"/>
                <w:spacing w:val="-17"/>
                <w:sz w:val="24"/>
                <w:szCs w:val="24"/>
              </w:rPr>
              <w:t>的除外</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9"/>
                <w:sz w:val="24"/>
                <w:szCs w:val="24"/>
                <w:lang w:eastAsia="zh-CN"/>
              </w:rPr>
              <w:t>。</w:t>
            </w:r>
          </w:p>
        </w:tc>
      </w:tr>
      <w:tr w14:paraId="0C52B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56BF1876">
            <w:pPr>
              <w:pStyle w:val="23"/>
              <w:keepNext w:val="0"/>
              <w:keepLines w:val="0"/>
              <w:pageBreakBefore w:val="0"/>
              <w:kinsoku/>
              <w:wordWrap w:val="0"/>
              <w:overflowPunct/>
              <w:topLinePunct w:val="0"/>
              <w:bidi w:val="0"/>
              <w:spacing w:before="248" w:line="199"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2" w:type="dxa"/>
            <w:vAlign w:val="center"/>
          </w:tcPr>
          <w:p w14:paraId="65E47FE6">
            <w:pPr>
              <w:keepNext w:val="0"/>
              <w:keepLines w:val="0"/>
              <w:pageBreakBefore w:val="0"/>
              <w:kinsoku/>
              <w:wordWrap w:val="0"/>
              <w:overflowPunct/>
              <w:topLinePunct w:val="0"/>
              <w:bidi w:val="0"/>
              <w:spacing w:before="222" w:line="221" w:lineRule="auto"/>
              <w:ind w:left="1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响应</w:t>
            </w:r>
            <w:r>
              <w:rPr>
                <w:rFonts w:hint="eastAsia" w:asciiTheme="minorEastAsia" w:hAnsiTheme="minorEastAsia" w:eastAsiaTheme="minorEastAsia" w:cstheme="minorEastAsia"/>
                <w:spacing w:val="-2"/>
                <w:sz w:val="24"/>
                <w:szCs w:val="24"/>
              </w:rPr>
              <w:t>有效期</w:t>
            </w:r>
          </w:p>
        </w:tc>
        <w:tc>
          <w:tcPr>
            <w:tcW w:w="5791" w:type="dxa"/>
            <w:vAlign w:val="top"/>
          </w:tcPr>
          <w:p w14:paraId="140107F2">
            <w:pPr>
              <w:keepNext w:val="0"/>
              <w:keepLines w:val="0"/>
              <w:pageBreakBefore w:val="0"/>
              <w:kinsoku/>
              <w:wordWrap w:val="0"/>
              <w:overflowPunct/>
              <w:topLinePunct w:val="0"/>
              <w:bidi w:val="0"/>
              <w:spacing w:before="70" w:line="229" w:lineRule="auto"/>
              <w:ind w:left="117"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响应文件</w:t>
            </w:r>
            <w:r>
              <w:rPr>
                <w:rFonts w:hint="eastAsia" w:asciiTheme="minorEastAsia" w:hAnsiTheme="minorEastAsia" w:eastAsiaTheme="minorEastAsia" w:cstheme="minorEastAsia"/>
                <w:spacing w:val="-1"/>
                <w:sz w:val="24"/>
                <w:szCs w:val="24"/>
              </w:rPr>
              <w:t>中承诺的</w:t>
            </w:r>
            <w:r>
              <w:rPr>
                <w:rFonts w:hint="eastAsia" w:asciiTheme="minorEastAsia" w:hAnsiTheme="minorEastAsia" w:eastAsiaTheme="minorEastAsia" w:cstheme="minorEastAsia"/>
                <w:spacing w:val="-1"/>
                <w:sz w:val="24"/>
                <w:szCs w:val="24"/>
                <w:lang w:eastAsia="zh-CN"/>
              </w:rPr>
              <w:t>响应</w:t>
            </w:r>
            <w:r>
              <w:rPr>
                <w:rFonts w:hint="eastAsia" w:asciiTheme="minorEastAsia" w:hAnsiTheme="minorEastAsia" w:eastAsiaTheme="minorEastAsia" w:cstheme="minorEastAsia"/>
                <w:spacing w:val="-1"/>
                <w:sz w:val="24"/>
                <w:szCs w:val="24"/>
              </w:rPr>
              <w:t>有效期满足</w:t>
            </w:r>
            <w:r>
              <w:rPr>
                <w:rFonts w:hint="eastAsia" w:asciiTheme="minorEastAsia" w:hAnsiTheme="minorEastAsia" w:eastAsiaTheme="minorEastAsia" w:cstheme="minorEastAsia"/>
                <w:spacing w:val="-1"/>
                <w:sz w:val="24"/>
                <w:szCs w:val="24"/>
                <w:lang w:eastAsia="zh-CN"/>
              </w:rPr>
              <w:t>征集文件</w:t>
            </w:r>
            <w:r>
              <w:rPr>
                <w:rFonts w:hint="eastAsia" w:asciiTheme="minorEastAsia" w:hAnsiTheme="minorEastAsia" w:eastAsiaTheme="minorEastAsia" w:cstheme="minorEastAsia"/>
                <w:spacing w:val="-1"/>
                <w:sz w:val="24"/>
                <w:szCs w:val="24"/>
              </w:rPr>
              <w:t>中载明的</w:t>
            </w:r>
            <w:r>
              <w:rPr>
                <w:rFonts w:hint="eastAsia" w:asciiTheme="minorEastAsia" w:hAnsiTheme="minorEastAsia" w:eastAsiaTheme="minorEastAsia" w:cstheme="minorEastAsia"/>
                <w:spacing w:val="-1"/>
                <w:sz w:val="24"/>
                <w:szCs w:val="24"/>
                <w:lang w:eastAsia="zh-CN"/>
              </w:rPr>
              <w:t>响应</w:t>
            </w:r>
            <w:r>
              <w:rPr>
                <w:rFonts w:hint="eastAsia" w:asciiTheme="minorEastAsia" w:hAnsiTheme="minorEastAsia" w:eastAsiaTheme="minorEastAsia" w:cstheme="minorEastAsia"/>
                <w:spacing w:val="-1"/>
                <w:sz w:val="24"/>
                <w:szCs w:val="24"/>
              </w:rPr>
              <w:t>有效</w:t>
            </w:r>
            <w:r>
              <w:rPr>
                <w:rFonts w:hint="eastAsia" w:asciiTheme="minorEastAsia" w:hAnsiTheme="minorEastAsia" w:eastAsiaTheme="minorEastAsia" w:cstheme="minorEastAsia"/>
                <w:spacing w:val="-15"/>
                <w:sz w:val="24"/>
                <w:szCs w:val="24"/>
              </w:rPr>
              <w:t>期的</w:t>
            </w:r>
            <w:r>
              <w:rPr>
                <w:rFonts w:hint="eastAsia" w:asciiTheme="minorEastAsia" w:hAnsiTheme="minorEastAsia" w:eastAsiaTheme="minorEastAsia" w:cstheme="minorEastAsia"/>
                <w:spacing w:val="-15"/>
                <w:sz w:val="24"/>
                <w:szCs w:val="24"/>
                <w:lang w:eastAsia="zh-CN"/>
              </w:rPr>
              <w:t>。</w:t>
            </w:r>
          </w:p>
        </w:tc>
      </w:tr>
      <w:tr w14:paraId="78435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76589EA9">
            <w:pPr>
              <w:pStyle w:val="23"/>
              <w:keepNext w:val="0"/>
              <w:keepLines w:val="0"/>
              <w:pageBreakBefore w:val="0"/>
              <w:kinsoku/>
              <w:wordWrap w:val="0"/>
              <w:overflowPunct/>
              <w:topLinePunct w:val="0"/>
              <w:bidi w:val="0"/>
              <w:spacing w:before="244" w:line="202" w:lineRule="auto"/>
              <w:ind w:left="3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w:t>
            </w:r>
          </w:p>
        </w:tc>
        <w:tc>
          <w:tcPr>
            <w:tcW w:w="1812" w:type="dxa"/>
            <w:vAlign w:val="center"/>
          </w:tcPr>
          <w:p w14:paraId="4A7091F2">
            <w:pPr>
              <w:keepNext w:val="0"/>
              <w:keepLines w:val="0"/>
              <w:pageBreakBefore w:val="0"/>
              <w:kinsoku/>
              <w:wordWrap w:val="0"/>
              <w:overflowPunct/>
              <w:topLinePunct w:val="0"/>
              <w:bidi w:val="0"/>
              <w:spacing w:before="224" w:line="220" w:lineRule="auto"/>
              <w:ind w:left="11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实质性格式</w:t>
            </w:r>
          </w:p>
        </w:tc>
        <w:tc>
          <w:tcPr>
            <w:tcW w:w="5791" w:type="dxa"/>
            <w:vAlign w:val="top"/>
          </w:tcPr>
          <w:p w14:paraId="7451965A">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标记为</w:t>
            </w:r>
            <w:r>
              <w:rPr>
                <w:rFonts w:hint="eastAsia" w:asciiTheme="minorEastAsia" w:hAnsiTheme="minorEastAsia" w:eastAsiaTheme="minorEastAsia" w:cstheme="minorEastAsia"/>
                <w:spacing w:val="-1"/>
                <w:sz w:val="24"/>
                <w:szCs w:val="24"/>
              </w:rPr>
              <w:t>实质性格式的文件均按</w:t>
            </w:r>
            <w:r>
              <w:rPr>
                <w:rFonts w:hint="eastAsia" w:asciiTheme="minorEastAsia" w:hAnsiTheme="minorEastAsia" w:eastAsiaTheme="minorEastAsia" w:cstheme="minorEastAsia"/>
                <w:spacing w:val="-1"/>
                <w:sz w:val="24"/>
                <w:szCs w:val="24"/>
                <w:lang w:eastAsia="zh-CN"/>
              </w:rPr>
              <w:t>征集文件</w:t>
            </w:r>
            <w:r>
              <w:rPr>
                <w:rFonts w:hint="eastAsia" w:asciiTheme="minorEastAsia" w:hAnsiTheme="minorEastAsia" w:eastAsiaTheme="minorEastAsia" w:cstheme="minorEastAsia"/>
                <w:spacing w:val="-1"/>
                <w:sz w:val="24"/>
                <w:szCs w:val="24"/>
              </w:rPr>
              <w:t>要求</w:t>
            </w:r>
            <w:r>
              <w:rPr>
                <w:rFonts w:hint="eastAsia" w:asciiTheme="minorEastAsia" w:hAnsiTheme="minorEastAsia" w:eastAsiaTheme="minorEastAsia" w:cstheme="minorEastAsia"/>
                <w:spacing w:val="-1"/>
                <w:sz w:val="24"/>
                <w:szCs w:val="24"/>
                <w:lang w:val="en-US" w:eastAsia="zh-CN"/>
              </w:rPr>
              <w:t>提</w:t>
            </w:r>
            <w:r>
              <w:rPr>
                <w:rFonts w:hint="eastAsia" w:asciiTheme="minorEastAsia" w:hAnsiTheme="minorEastAsia" w:eastAsiaTheme="minorEastAsia" w:cstheme="minorEastAsia"/>
                <w:spacing w:val="-1"/>
                <w:sz w:val="24"/>
                <w:szCs w:val="24"/>
              </w:rPr>
              <w:t>供且签署、盖</w:t>
            </w:r>
            <w:r>
              <w:rPr>
                <w:rFonts w:hint="eastAsia" w:asciiTheme="minorEastAsia" w:hAnsiTheme="minorEastAsia" w:eastAsiaTheme="minorEastAsia" w:cstheme="minorEastAsia"/>
                <w:spacing w:val="-17"/>
                <w:sz w:val="24"/>
                <w:szCs w:val="24"/>
              </w:rPr>
              <w:t>章的</w:t>
            </w:r>
            <w:r>
              <w:rPr>
                <w:rFonts w:hint="eastAsia" w:asciiTheme="minorEastAsia" w:hAnsiTheme="minorEastAsia" w:eastAsiaTheme="minorEastAsia" w:cstheme="minorEastAsia"/>
                <w:spacing w:val="-17"/>
                <w:sz w:val="24"/>
                <w:szCs w:val="24"/>
                <w:lang w:eastAsia="zh-CN"/>
              </w:rPr>
              <w:t>。</w:t>
            </w:r>
          </w:p>
        </w:tc>
      </w:tr>
      <w:tr w14:paraId="28986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408F77E5">
            <w:pPr>
              <w:pStyle w:val="23"/>
              <w:keepNext w:val="0"/>
              <w:keepLines w:val="0"/>
              <w:pageBreakBefore w:val="0"/>
              <w:kinsoku/>
              <w:wordWrap w:val="0"/>
              <w:overflowPunct/>
              <w:topLinePunct w:val="0"/>
              <w:bidi w:val="0"/>
              <w:spacing w:before="247"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7</w:t>
            </w:r>
          </w:p>
        </w:tc>
        <w:tc>
          <w:tcPr>
            <w:tcW w:w="1812" w:type="dxa"/>
            <w:vAlign w:val="center"/>
          </w:tcPr>
          <w:p w14:paraId="7446F6C3">
            <w:pPr>
              <w:keepNext w:val="0"/>
              <w:keepLines w:val="0"/>
              <w:pageBreakBefore w:val="0"/>
              <w:kinsoku/>
              <w:wordWrap w:val="0"/>
              <w:overflowPunct/>
              <w:topLinePunct w:val="0"/>
              <w:bidi w:val="0"/>
              <w:spacing w:before="72" w:line="230" w:lineRule="auto"/>
              <w:ind w:left="112" w:right="123" w:hanging="2"/>
              <w:jc w:val="center"/>
              <w:rPr>
                <w:rFonts w:hint="eastAsia" w:asciiTheme="minorEastAsia" w:hAnsiTheme="minorEastAsia" w:eastAsiaTheme="minorEastAsia" w:cstheme="minorEastAsia"/>
                <w:spacing w:val="-16"/>
                <w:sz w:val="24"/>
                <w:szCs w:val="24"/>
              </w:rPr>
            </w:pPr>
            <w:r>
              <w:rPr>
                <w:rFonts w:hint="eastAsia" w:asciiTheme="minorEastAsia" w:hAnsiTheme="minorEastAsia" w:eastAsiaTheme="minorEastAsia" w:cstheme="minorEastAsia"/>
                <w:spacing w:val="-16"/>
                <w:sz w:val="24"/>
                <w:szCs w:val="24"/>
              </w:rPr>
              <w:t>报价的修正</w:t>
            </w:r>
          </w:p>
          <w:p w14:paraId="621CEAD3">
            <w:pPr>
              <w:keepNext w:val="0"/>
              <w:keepLines w:val="0"/>
              <w:pageBreakBefore w:val="0"/>
              <w:kinsoku/>
              <w:wordWrap w:val="0"/>
              <w:overflowPunct/>
              <w:topLinePunct w:val="0"/>
              <w:bidi w:val="0"/>
              <w:spacing w:before="72" w:line="230" w:lineRule="auto"/>
              <w:ind w:left="112" w:right="123" w:hanging="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（如</w:t>
            </w:r>
            <w:r>
              <w:rPr>
                <w:rFonts w:hint="eastAsia" w:asciiTheme="minorEastAsia" w:hAnsiTheme="minorEastAsia" w:eastAsiaTheme="minorEastAsia" w:cstheme="minorEastAsia"/>
                <w:spacing w:val="-7"/>
                <w:sz w:val="24"/>
                <w:szCs w:val="24"/>
              </w:rPr>
              <w:t>有）</w:t>
            </w:r>
          </w:p>
        </w:tc>
        <w:tc>
          <w:tcPr>
            <w:tcW w:w="5791" w:type="dxa"/>
            <w:vAlign w:val="top"/>
          </w:tcPr>
          <w:p w14:paraId="4FF91E0A">
            <w:pPr>
              <w:keepNext w:val="0"/>
              <w:keepLines w:val="0"/>
              <w:pageBreakBefore w:val="0"/>
              <w:kinsoku/>
              <w:wordWrap w:val="0"/>
              <w:overflowPunct/>
              <w:topLinePunct w:val="0"/>
              <w:bidi w:val="0"/>
              <w:spacing w:before="72" w:line="229" w:lineRule="auto"/>
              <w:ind w:left="114" w:right="136" w:firstLine="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不涉及报价修正，或</w:t>
            </w:r>
            <w:r>
              <w:rPr>
                <w:rFonts w:hint="eastAsia" w:asciiTheme="minorEastAsia" w:hAnsiTheme="minorEastAsia" w:eastAsiaTheme="minorEastAsia" w:cstheme="minorEastAsia"/>
                <w:spacing w:val="-1"/>
                <w:sz w:val="24"/>
                <w:szCs w:val="24"/>
                <w:lang w:eastAsia="zh-CN"/>
              </w:rPr>
              <w:t>响应文件</w:t>
            </w:r>
            <w:r>
              <w:rPr>
                <w:rFonts w:hint="eastAsia" w:asciiTheme="minorEastAsia" w:hAnsiTheme="minorEastAsia" w:eastAsiaTheme="minorEastAsia" w:cstheme="minorEastAsia"/>
                <w:spacing w:val="-1"/>
                <w:sz w:val="24"/>
                <w:szCs w:val="24"/>
              </w:rPr>
              <w:t>报价出现前后不一致时，</w:t>
            </w:r>
            <w:r>
              <w:rPr>
                <w:rFonts w:hint="eastAsia" w:asciiTheme="minorEastAsia" w:hAnsiTheme="minorEastAsia" w:eastAsiaTheme="minorEastAsia" w:cstheme="minorEastAsia"/>
                <w:spacing w:val="-1"/>
                <w:sz w:val="24"/>
                <w:szCs w:val="24"/>
                <w:lang w:eastAsia="zh-CN"/>
              </w:rPr>
              <w:t>供应商</w:t>
            </w:r>
            <w:r>
              <w:rPr>
                <w:rFonts w:hint="eastAsia" w:asciiTheme="minorEastAsia" w:hAnsiTheme="minorEastAsia" w:eastAsiaTheme="minorEastAsia" w:cstheme="minorEastAsia"/>
                <w:spacing w:val="-2"/>
                <w:sz w:val="24"/>
                <w:szCs w:val="24"/>
              </w:rPr>
              <w:t>对修正后的报价予以确认</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如有）</w:t>
            </w:r>
          </w:p>
        </w:tc>
      </w:tr>
      <w:tr w14:paraId="29639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top"/>
          </w:tcPr>
          <w:p w14:paraId="54D95B71">
            <w:pPr>
              <w:pStyle w:val="23"/>
              <w:keepNext w:val="0"/>
              <w:keepLines w:val="0"/>
              <w:pageBreakBefore w:val="0"/>
              <w:kinsoku/>
              <w:wordWrap w:val="0"/>
              <w:overflowPunct/>
              <w:topLinePunct w:val="0"/>
              <w:bidi w:val="0"/>
              <w:spacing w:line="304" w:lineRule="auto"/>
              <w:jc w:val="center"/>
              <w:rPr>
                <w:rFonts w:hint="eastAsia" w:asciiTheme="minorEastAsia" w:hAnsiTheme="minorEastAsia" w:eastAsiaTheme="minorEastAsia" w:cstheme="minorEastAsia"/>
              </w:rPr>
            </w:pPr>
          </w:p>
          <w:p w14:paraId="3E304872">
            <w:pPr>
              <w:pStyle w:val="23"/>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8</w:t>
            </w:r>
          </w:p>
        </w:tc>
        <w:tc>
          <w:tcPr>
            <w:tcW w:w="1812" w:type="dxa"/>
            <w:vAlign w:val="center"/>
          </w:tcPr>
          <w:p w14:paraId="325AA718">
            <w:pPr>
              <w:keepNext w:val="0"/>
              <w:keepLines w:val="0"/>
              <w:pageBreakBefore w:val="0"/>
              <w:kinsoku/>
              <w:wordWrap w:val="0"/>
              <w:overflowPunct/>
              <w:topLinePunct w:val="0"/>
              <w:bidi w:val="0"/>
              <w:spacing w:before="78" w:line="219" w:lineRule="auto"/>
              <w:ind w:left="11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报价合理性</w:t>
            </w:r>
          </w:p>
        </w:tc>
        <w:tc>
          <w:tcPr>
            <w:tcW w:w="5791" w:type="dxa"/>
            <w:vAlign w:val="top"/>
          </w:tcPr>
          <w:p w14:paraId="52E750C4">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报价合理，或</w:t>
            </w:r>
            <w:r>
              <w:rPr>
                <w:rFonts w:hint="eastAsia" w:asciiTheme="minorEastAsia" w:hAnsiTheme="minorEastAsia" w:eastAsiaTheme="minorEastAsia" w:cstheme="minorEastAsia"/>
                <w:spacing w:val="-1"/>
                <w:sz w:val="24"/>
                <w:szCs w:val="24"/>
                <w:lang w:eastAsia="zh-CN"/>
              </w:rPr>
              <w:t>供应商</w:t>
            </w:r>
            <w:r>
              <w:rPr>
                <w:rFonts w:hint="eastAsia" w:asciiTheme="minorEastAsia" w:hAnsiTheme="minorEastAsia" w:eastAsiaTheme="minorEastAsia" w:cstheme="minorEastAsia"/>
                <w:spacing w:val="-1"/>
                <w:sz w:val="24"/>
                <w:szCs w:val="24"/>
              </w:rPr>
              <w:t>的报价明显低于其他通过符合性审查</w:t>
            </w:r>
            <w:r>
              <w:rPr>
                <w:rFonts w:hint="eastAsia" w:asciiTheme="minorEastAsia" w:hAnsiTheme="minorEastAsia" w:eastAsiaTheme="minorEastAsia" w:cstheme="minorEastAsia"/>
                <w:spacing w:val="-1"/>
                <w:sz w:val="24"/>
                <w:szCs w:val="24"/>
                <w:lang w:eastAsia="zh-CN"/>
              </w:rPr>
              <w:t>供应商</w:t>
            </w:r>
            <w:r>
              <w:rPr>
                <w:rFonts w:hint="eastAsia" w:asciiTheme="minorEastAsia" w:hAnsiTheme="minorEastAsia" w:eastAsiaTheme="minorEastAsia" w:cstheme="minorEastAsia"/>
                <w:spacing w:val="-1"/>
                <w:sz w:val="24"/>
                <w:szCs w:val="24"/>
              </w:rPr>
              <w:t>的报价，有可能影响产品质量或者不能诚信履约的，能够应</w:t>
            </w:r>
            <w:r>
              <w:rPr>
                <w:rFonts w:hint="eastAsia" w:asciiTheme="minorEastAsia" w:hAnsiTheme="minorEastAsia" w:eastAsiaTheme="minorEastAsia" w:cstheme="minorEastAsia"/>
                <w:spacing w:val="-3"/>
                <w:sz w:val="24"/>
                <w:szCs w:val="24"/>
                <w:lang w:eastAsia="zh-CN"/>
              </w:rPr>
              <w:t>评审小组</w:t>
            </w:r>
            <w:r>
              <w:rPr>
                <w:rFonts w:hint="eastAsia" w:asciiTheme="minorEastAsia" w:hAnsiTheme="minorEastAsia" w:eastAsiaTheme="minorEastAsia" w:cstheme="minorEastAsia"/>
                <w:spacing w:val="-3"/>
                <w:sz w:val="24"/>
                <w:szCs w:val="24"/>
              </w:rPr>
              <w:t>要求在规定时间内证明其报价合理性的</w:t>
            </w:r>
            <w:r>
              <w:rPr>
                <w:rFonts w:hint="eastAsia" w:asciiTheme="minorEastAsia" w:hAnsiTheme="minorEastAsia" w:eastAsiaTheme="minorEastAsia" w:cstheme="minorEastAsia"/>
                <w:spacing w:val="-3"/>
                <w:sz w:val="24"/>
                <w:szCs w:val="24"/>
                <w:lang w:eastAsia="zh-CN"/>
              </w:rPr>
              <w:t>。</w:t>
            </w:r>
          </w:p>
        </w:tc>
      </w:tr>
      <w:tr w14:paraId="542E1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top"/>
          </w:tcPr>
          <w:p w14:paraId="3C17F73E">
            <w:pPr>
              <w:pStyle w:val="23"/>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9</w:t>
            </w:r>
          </w:p>
        </w:tc>
        <w:tc>
          <w:tcPr>
            <w:tcW w:w="1812" w:type="dxa"/>
            <w:vAlign w:val="center"/>
          </w:tcPr>
          <w:p w14:paraId="129A0D08">
            <w:pPr>
              <w:keepNext w:val="0"/>
              <w:keepLines w:val="0"/>
              <w:pageBreakBefore w:val="0"/>
              <w:kinsoku/>
              <w:wordWrap w:val="0"/>
              <w:overflowPunct/>
              <w:topLinePunct w:val="0"/>
              <w:bidi w:val="0"/>
              <w:spacing w:before="69" w:line="196" w:lineRule="auto"/>
              <w:ind w:right="129"/>
              <w:jc w:val="center"/>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服务期限</w:t>
            </w:r>
          </w:p>
        </w:tc>
        <w:tc>
          <w:tcPr>
            <w:tcW w:w="5791" w:type="dxa"/>
            <w:vAlign w:val="center"/>
          </w:tcPr>
          <w:p w14:paraId="4FA2200E">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2035C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3BBFFC1D">
            <w:pPr>
              <w:pStyle w:val="23"/>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10</w:t>
            </w:r>
          </w:p>
        </w:tc>
        <w:tc>
          <w:tcPr>
            <w:tcW w:w="1812" w:type="dxa"/>
            <w:vAlign w:val="center"/>
          </w:tcPr>
          <w:p w14:paraId="57B1D2E3">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lang w:val="en-US" w:eastAsia="zh-CN"/>
              </w:rPr>
              <w:t>服务质量</w:t>
            </w:r>
          </w:p>
        </w:tc>
        <w:tc>
          <w:tcPr>
            <w:tcW w:w="5791" w:type="dxa"/>
            <w:vAlign w:val="center"/>
          </w:tcPr>
          <w:p w14:paraId="2608FD3B">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78A8C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top"/>
          </w:tcPr>
          <w:p w14:paraId="57A5D075">
            <w:pPr>
              <w:pStyle w:val="23"/>
              <w:keepNext w:val="0"/>
              <w:keepLines w:val="0"/>
              <w:pageBreakBefore w:val="0"/>
              <w:kinsoku/>
              <w:wordWrap w:val="0"/>
              <w:overflowPunct/>
              <w:topLinePunct w:val="0"/>
              <w:bidi w:val="0"/>
              <w:spacing w:line="301" w:lineRule="auto"/>
              <w:jc w:val="center"/>
              <w:rPr>
                <w:rFonts w:hint="eastAsia" w:asciiTheme="minorEastAsia" w:hAnsiTheme="minorEastAsia" w:eastAsiaTheme="minorEastAsia" w:cstheme="minorEastAsia"/>
              </w:rPr>
            </w:pPr>
          </w:p>
          <w:p w14:paraId="2EF47EE3">
            <w:pPr>
              <w:pStyle w:val="23"/>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11</w:t>
            </w:r>
          </w:p>
        </w:tc>
        <w:tc>
          <w:tcPr>
            <w:tcW w:w="1812" w:type="dxa"/>
            <w:vAlign w:val="center"/>
          </w:tcPr>
          <w:p w14:paraId="3E2766E4">
            <w:pPr>
              <w:keepNext w:val="0"/>
              <w:keepLines w:val="0"/>
              <w:pageBreakBefore w:val="0"/>
              <w:kinsoku/>
              <w:wordWrap w:val="0"/>
              <w:overflowPunct/>
              <w:topLinePunct w:val="0"/>
              <w:bidi w:val="0"/>
              <w:spacing w:before="78" w:line="220" w:lineRule="auto"/>
              <w:ind w:left="1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公平竞争</w:t>
            </w:r>
          </w:p>
        </w:tc>
        <w:tc>
          <w:tcPr>
            <w:tcW w:w="5791" w:type="dxa"/>
            <w:vAlign w:val="top"/>
          </w:tcPr>
          <w:p w14:paraId="00E244E3">
            <w:pPr>
              <w:keepNext w:val="0"/>
              <w:keepLines w:val="0"/>
              <w:pageBreakBefore w:val="0"/>
              <w:kinsoku/>
              <w:wordWrap w:val="0"/>
              <w:overflowPunct/>
              <w:topLinePunct w:val="0"/>
              <w:bidi w:val="0"/>
              <w:spacing w:before="38" w:line="228" w:lineRule="auto"/>
              <w:ind w:left="113" w:right="136" w:firstLine="4"/>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供应商</w:t>
            </w:r>
            <w:r>
              <w:rPr>
                <w:rFonts w:hint="eastAsia" w:asciiTheme="minorEastAsia" w:hAnsiTheme="minorEastAsia" w:eastAsiaTheme="minorEastAsia" w:cstheme="minorEastAsia"/>
                <w:spacing w:val="-1"/>
                <w:sz w:val="24"/>
                <w:szCs w:val="24"/>
              </w:rPr>
              <w:t>遵循公平竞争的原则，不存在恶意串通，妨碍其他</w:t>
            </w:r>
            <w:r>
              <w:rPr>
                <w:rFonts w:hint="eastAsia" w:asciiTheme="minorEastAsia" w:hAnsiTheme="minorEastAsia" w:eastAsiaTheme="minorEastAsia" w:cstheme="minorEastAsia"/>
                <w:spacing w:val="-1"/>
                <w:sz w:val="24"/>
                <w:szCs w:val="24"/>
                <w:lang w:eastAsia="zh-CN"/>
              </w:rPr>
              <w:t>供应商</w:t>
            </w:r>
            <w:r>
              <w:rPr>
                <w:rFonts w:hint="eastAsia" w:asciiTheme="minorEastAsia" w:hAnsiTheme="minorEastAsia" w:eastAsiaTheme="minorEastAsia" w:cstheme="minorEastAsia"/>
                <w:spacing w:val="-1"/>
                <w:sz w:val="24"/>
                <w:szCs w:val="24"/>
              </w:rPr>
              <w:t>的竞争行为，不存在损害</w:t>
            </w:r>
            <w:r>
              <w:rPr>
                <w:rFonts w:hint="eastAsia" w:asciiTheme="minorEastAsia" w:hAnsiTheme="minorEastAsia" w:eastAsiaTheme="minorEastAsia" w:cstheme="minorEastAsia"/>
                <w:spacing w:val="-1"/>
                <w:sz w:val="24"/>
                <w:szCs w:val="24"/>
                <w:lang w:eastAsia="zh-CN"/>
              </w:rPr>
              <w:t>征集人</w:t>
            </w:r>
            <w:r>
              <w:rPr>
                <w:rFonts w:hint="eastAsia" w:asciiTheme="minorEastAsia" w:hAnsiTheme="minorEastAsia" w:eastAsiaTheme="minorEastAsia" w:cstheme="minorEastAsia"/>
                <w:spacing w:val="-1"/>
                <w:sz w:val="24"/>
                <w:szCs w:val="24"/>
              </w:rPr>
              <w:t>或者其他</w:t>
            </w:r>
            <w:r>
              <w:rPr>
                <w:rFonts w:hint="eastAsia" w:asciiTheme="minorEastAsia" w:hAnsiTheme="minorEastAsia" w:eastAsiaTheme="minorEastAsia" w:cstheme="minorEastAsia"/>
                <w:spacing w:val="-1"/>
                <w:sz w:val="24"/>
                <w:szCs w:val="24"/>
                <w:lang w:eastAsia="zh-CN"/>
              </w:rPr>
              <w:t>供应商</w:t>
            </w:r>
            <w:r>
              <w:rPr>
                <w:rFonts w:hint="eastAsia" w:asciiTheme="minorEastAsia" w:hAnsiTheme="minorEastAsia" w:eastAsiaTheme="minorEastAsia" w:cstheme="minorEastAsia"/>
                <w:spacing w:val="-1"/>
                <w:sz w:val="24"/>
                <w:szCs w:val="24"/>
              </w:rPr>
              <w:t>的合法权益</w:t>
            </w:r>
            <w:r>
              <w:rPr>
                <w:rFonts w:hint="eastAsia" w:asciiTheme="minorEastAsia" w:hAnsiTheme="minorEastAsia" w:eastAsiaTheme="minorEastAsia" w:cstheme="minorEastAsia"/>
                <w:spacing w:val="-12"/>
                <w:sz w:val="24"/>
                <w:szCs w:val="24"/>
              </w:rPr>
              <w:t>情形的</w:t>
            </w:r>
            <w:r>
              <w:rPr>
                <w:rFonts w:hint="eastAsia" w:asciiTheme="minorEastAsia" w:hAnsiTheme="minorEastAsia" w:eastAsiaTheme="minorEastAsia" w:cstheme="minorEastAsia"/>
                <w:spacing w:val="-12"/>
                <w:sz w:val="24"/>
                <w:szCs w:val="24"/>
                <w:lang w:eastAsia="zh-CN"/>
              </w:rPr>
              <w:t>。</w:t>
            </w:r>
          </w:p>
        </w:tc>
      </w:tr>
      <w:tr w14:paraId="04DC2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8" w:hRule="atLeast"/>
        </w:trPr>
        <w:tc>
          <w:tcPr>
            <w:tcW w:w="685" w:type="dxa"/>
            <w:vAlign w:val="center"/>
          </w:tcPr>
          <w:p w14:paraId="6F5DF515">
            <w:pPr>
              <w:pStyle w:val="23"/>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60AAA9CA">
            <w:pPr>
              <w:pStyle w:val="23"/>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6476372F">
            <w:pPr>
              <w:pStyle w:val="23"/>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1E51C6C4">
            <w:pPr>
              <w:pStyle w:val="23"/>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12</w:t>
            </w:r>
          </w:p>
        </w:tc>
        <w:tc>
          <w:tcPr>
            <w:tcW w:w="1812" w:type="dxa"/>
            <w:vAlign w:val="center"/>
          </w:tcPr>
          <w:p w14:paraId="7F8FE067">
            <w:pPr>
              <w:pStyle w:val="23"/>
              <w:keepNext w:val="0"/>
              <w:keepLines w:val="0"/>
              <w:pageBreakBefore w:val="0"/>
              <w:kinsoku/>
              <w:wordWrap w:val="0"/>
              <w:overflowPunct/>
              <w:topLinePunct w:val="0"/>
              <w:bidi w:val="0"/>
              <w:spacing w:line="296" w:lineRule="auto"/>
              <w:jc w:val="center"/>
              <w:rPr>
                <w:rFonts w:hint="eastAsia" w:asciiTheme="minorEastAsia" w:hAnsiTheme="minorEastAsia" w:eastAsiaTheme="minorEastAsia" w:cstheme="minorEastAsia"/>
              </w:rPr>
            </w:pPr>
          </w:p>
          <w:p w14:paraId="41312FBC">
            <w:pPr>
              <w:pStyle w:val="23"/>
              <w:keepNext w:val="0"/>
              <w:keepLines w:val="0"/>
              <w:pageBreakBefore w:val="0"/>
              <w:kinsoku/>
              <w:wordWrap w:val="0"/>
              <w:overflowPunct/>
              <w:topLinePunct w:val="0"/>
              <w:bidi w:val="0"/>
              <w:spacing w:line="296" w:lineRule="auto"/>
              <w:jc w:val="center"/>
              <w:rPr>
                <w:rFonts w:hint="eastAsia" w:asciiTheme="minorEastAsia" w:hAnsiTheme="minorEastAsia" w:eastAsiaTheme="minorEastAsia" w:cstheme="minorEastAsia"/>
              </w:rPr>
            </w:pPr>
          </w:p>
          <w:p w14:paraId="6BF1F877">
            <w:pPr>
              <w:pStyle w:val="23"/>
              <w:keepNext w:val="0"/>
              <w:keepLines w:val="0"/>
              <w:pageBreakBefore w:val="0"/>
              <w:kinsoku/>
              <w:wordWrap w:val="0"/>
              <w:overflowPunct/>
              <w:topLinePunct w:val="0"/>
              <w:bidi w:val="0"/>
              <w:spacing w:line="297" w:lineRule="auto"/>
              <w:jc w:val="center"/>
              <w:rPr>
                <w:rFonts w:hint="eastAsia" w:asciiTheme="minorEastAsia" w:hAnsiTheme="minorEastAsia" w:eastAsiaTheme="minorEastAsia" w:cstheme="minorEastAsia"/>
              </w:rPr>
            </w:pPr>
          </w:p>
          <w:p w14:paraId="07BDB062">
            <w:pPr>
              <w:keepNext w:val="0"/>
              <w:keepLines w:val="0"/>
              <w:pageBreakBefore w:val="0"/>
              <w:kinsoku/>
              <w:wordWrap w:val="0"/>
              <w:overflowPunct/>
              <w:topLinePunct w:val="0"/>
              <w:bidi w:val="0"/>
              <w:spacing w:before="78" w:line="221" w:lineRule="auto"/>
              <w:ind w:left="13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串通投标</w:t>
            </w:r>
          </w:p>
        </w:tc>
        <w:tc>
          <w:tcPr>
            <w:tcW w:w="5791" w:type="dxa"/>
            <w:vAlign w:val="top"/>
          </w:tcPr>
          <w:p w14:paraId="79A4ECA7">
            <w:pPr>
              <w:keepNext w:val="0"/>
              <w:keepLines w:val="0"/>
              <w:pageBreakBefore w:val="0"/>
              <w:kinsoku/>
              <w:wordWrap w:val="0"/>
              <w:overflowPunct/>
              <w:topLinePunct w:val="0"/>
              <w:bidi w:val="0"/>
              <w:spacing w:before="42" w:line="234" w:lineRule="auto"/>
              <w:ind w:left="113" w:right="2" w:firstLine="5"/>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
                <w:sz w:val="24"/>
                <w:szCs w:val="24"/>
              </w:rPr>
              <w:t>不存在《政府采购货物和服务招标投标管理办法》视为</w:t>
            </w:r>
            <w:r>
              <w:rPr>
                <w:rFonts w:hint="eastAsia" w:asciiTheme="minorEastAsia" w:hAnsiTheme="minorEastAsia" w:eastAsiaTheme="minorEastAsia" w:cstheme="minorEastAsia"/>
                <w:spacing w:val="-1"/>
                <w:sz w:val="24"/>
                <w:szCs w:val="24"/>
                <w:lang w:eastAsia="zh-CN"/>
              </w:rPr>
              <w:t>供应商</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7"/>
                <w:sz w:val="24"/>
                <w:szCs w:val="24"/>
              </w:rPr>
              <w:t>一）不同</w:t>
            </w:r>
            <w:r>
              <w:rPr>
                <w:rFonts w:hint="eastAsia" w:asciiTheme="minorEastAsia" w:hAnsiTheme="minorEastAsia" w:eastAsiaTheme="minorEastAsia" w:cstheme="minorEastAsia"/>
                <w:spacing w:val="-7"/>
                <w:sz w:val="24"/>
                <w:szCs w:val="24"/>
                <w:lang w:eastAsia="zh-CN"/>
              </w:rPr>
              <w:t>供应商</w:t>
            </w:r>
            <w:r>
              <w:rPr>
                <w:rFonts w:hint="eastAsia" w:asciiTheme="minorEastAsia" w:hAnsiTheme="minorEastAsia" w:eastAsiaTheme="minorEastAsia" w:cstheme="minorEastAsia"/>
                <w:spacing w:val="-7"/>
                <w:sz w:val="24"/>
                <w:szCs w:val="24"/>
              </w:rPr>
              <w:t>的</w:t>
            </w:r>
            <w:r>
              <w:rPr>
                <w:rFonts w:hint="eastAsia" w:asciiTheme="minorEastAsia" w:hAnsiTheme="minorEastAsia" w:eastAsiaTheme="minorEastAsia" w:cstheme="minorEastAsia"/>
                <w:spacing w:val="-7"/>
                <w:sz w:val="24"/>
                <w:szCs w:val="24"/>
                <w:lang w:eastAsia="zh-CN"/>
              </w:rPr>
              <w:t>响应文件</w:t>
            </w:r>
            <w:r>
              <w:rPr>
                <w:rFonts w:hint="eastAsia" w:asciiTheme="minorEastAsia" w:hAnsiTheme="minorEastAsia" w:eastAsiaTheme="minorEastAsia" w:cstheme="minorEastAsia"/>
                <w:spacing w:val="-7"/>
                <w:sz w:val="24"/>
                <w:szCs w:val="24"/>
              </w:rPr>
              <w:t>由同一单位或者</w:t>
            </w:r>
            <w:r>
              <w:rPr>
                <w:rFonts w:hint="eastAsia" w:asciiTheme="minorEastAsia" w:hAnsiTheme="minorEastAsia" w:eastAsiaTheme="minorEastAsia" w:cstheme="minorEastAsia"/>
                <w:spacing w:val="-8"/>
                <w:sz w:val="24"/>
                <w:szCs w:val="24"/>
              </w:rPr>
              <w:t>个人编制</w:t>
            </w:r>
            <w:r>
              <w:rPr>
                <w:rFonts w:hint="eastAsia" w:asciiTheme="minorEastAsia" w:hAnsiTheme="minorEastAsia" w:eastAsiaTheme="minorEastAsia" w:cstheme="minorEastAsia"/>
                <w:spacing w:val="-31"/>
                <w:sz w:val="24"/>
                <w:szCs w:val="24"/>
              </w:rPr>
              <w:t>；（</w:t>
            </w:r>
            <w:r>
              <w:rPr>
                <w:rFonts w:hint="eastAsia" w:asciiTheme="minorEastAsia" w:hAnsiTheme="minorEastAsia" w:eastAsiaTheme="minorEastAsia" w:cstheme="minorEastAsia"/>
                <w:spacing w:val="-8"/>
                <w:sz w:val="24"/>
                <w:szCs w:val="24"/>
              </w:rPr>
              <w:t>二）不同</w:t>
            </w:r>
            <w:r>
              <w:rPr>
                <w:rFonts w:hint="eastAsia" w:asciiTheme="minorEastAsia" w:hAnsiTheme="minorEastAsia" w:eastAsiaTheme="minorEastAsia" w:cstheme="minorEastAsia"/>
                <w:spacing w:val="-8"/>
                <w:sz w:val="24"/>
                <w:szCs w:val="24"/>
                <w:lang w:eastAsia="zh-CN"/>
              </w:rPr>
              <w:t>供应商</w:t>
            </w:r>
            <w:r>
              <w:rPr>
                <w:rFonts w:hint="eastAsia" w:asciiTheme="minorEastAsia" w:hAnsiTheme="minorEastAsia" w:eastAsiaTheme="minorEastAsia" w:cstheme="minorEastAsia"/>
                <w:spacing w:val="-8"/>
                <w:sz w:val="24"/>
                <w:szCs w:val="24"/>
              </w:rPr>
              <w:t>委托同一单位或者个人办</w:t>
            </w:r>
            <w:r>
              <w:rPr>
                <w:rFonts w:hint="eastAsia" w:asciiTheme="minorEastAsia" w:hAnsiTheme="minorEastAsia" w:eastAsiaTheme="minorEastAsia" w:cstheme="minorEastAsia"/>
                <w:spacing w:val="-9"/>
                <w:sz w:val="24"/>
                <w:szCs w:val="24"/>
              </w:rPr>
              <w:t>理投标事</w:t>
            </w:r>
            <w:r>
              <w:rPr>
                <w:rFonts w:hint="eastAsia" w:asciiTheme="minorEastAsia" w:hAnsiTheme="minorEastAsia" w:eastAsiaTheme="minorEastAsia" w:cstheme="minorEastAsia"/>
                <w:spacing w:val="-6"/>
                <w:sz w:val="24"/>
                <w:szCs w:val="24"/>
              </w:rPr>
              <w:t>宜</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pacing w:val="-6"/>
                <w:sz w:val="24"/>
                <w:szCs w:val="24"/>
              </w:rPr>
              <w:t>三）不同</w:t>
            </w:r>
            <w:r>
              <w:rPr>
                <w:rFonts w:hint="eastAsia" w:asciiTheme="minorEastAsia" w:hAnsiTheme="minorEastAsia" w:eastAsiaTheme="minorEastAsia" w:cstheme="minorEastAsia"/>
                <w:spacing w:val="-6"/>
                <w:sz w:val="24"/>
                <w:szCs w:val="24"/>
                <w:lang w:eastAsia="zh-CN"/>
              </w:rPr>
              <w:t>供应商</w:t>
            </w:r>
            <w:r>
              <w:rPr>
                <w:rFonts w:hint="eastAsia" w:asciiTheme="minorEastAsia" w:hAnsiTheme="minorEastAsia" w:eastAsiaTheme="minorEastAsia" w:cstheme="minorEastAsia"/>
                <w:spacing w:val="-6"/>
                <w:sz w:val="24"/>
                <w:szCs w:val="24"/>
              </w:rPr>
              <w:t>的</w:t>
            </w:r>
            <w:r>
              <w:rPr>
                <w:rFonts w:hint="eastAsia" w:asciiTheme="minorEastAsia" w:hAnsiTheme="minorEastAsia" w:eastAsiaTheme="minorEastAsia" w:cstheme="minorEastAsia"/>
                <w:spacing w:val="-6"/>
                <w:sz w:val="24"/>
                <w:szCs w:val="24"/>
                <w:lang w:eastAsia="zh-CN"/>
              </w:rPr>
              <w:t>响应文件</w:t>
            </w:r>
            <w:r>
              <w:rPr>
                <w:rFonts w:hint="eastAsia" w:asciiTheme="minorEastAsia" w:hAnsiTheme="minorEastAsia" w:eastAsiaTheme="minorEastAsia" w:cstheme="minorEastAsia"/>
                <w:spacing w:val="-6"/>
                <w:sz w:val="24"/>
                <w:szCs w:val="24"/>
              </w:rPr>
              <w:t>载明的项目管理成员或者联系人员为同一人</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pacing w:val="-6"/>
                <w:sz w:val="24"/>
                <w:szCs w:val="24"/>
              </w:rPr>
              <w:t>四）不同</w:t>
            </w:r>
            <w:r>
              <w:rPr>
                <w:rFonts w:hint="eastAsia" w:asciiTheme="minorEastAsia" w:hAnsiTheme="minorEastAsia" w:eastAsiaTheme="minorEastAsia" w:cstheme="minorEastAsia"/>
                <w:spacing w:val="-6"/>
                <w:sz w:val="24"/>
                <w:szCs w:val="24"/>
                <w:lang w:eastAsia="zh-CN"/>
              </w:rPr>
              <w:t>供应商</w:t>
            </w:r>
            <w:r>
              <w:rPr>
                <w:rFonts w:hint="eastAsia" w:asciiTheme="minorEastAsia" w:hAnsiTheme="minorEastAsia" w:eastAsiaTheme="minorEastAsia" w:cstheme="minorEastAsia"/>
                <w:spacing w:val="-6"/>
                <w:sz w:val="24"/>
                <w:szCs w:val="24"/>
              </w:rPr>
              <w:t>的</w:t>
            </w:r>
            <w:r>
              <w:rPr>
                <w:rFonts w:hint="eastAsia" w:asciiTheme="minorEastAsia" w:hAnsiTheme="minorEastAsia" w:eastAsiaTheme="minorEastAsia" w:cstheme="minorEastAsia"/>
                <w:spacing w:val="-6"/>
                <w:sz w:val="24"/>
                <w:szCs w:val="24"/>
                <w:lang w:eastAsia="zh-CN"/>
              </w:rPr>
              <w:t>响应文件</w:t>
            </w:r>
            <w:r>
              <w:rPr>
                <w:rFonts w:hint="eastAsia" w:asciiTheme="minorEastAsia" w:hAnsiTheme="minorEastAsia" w:eastAsiaTheme="minorEastAsia" w:cstheme="minorEastAsia"/>
                <w:spacing w:val="-6"/>
                <w:sz w:val="24"/>
                <w:szCs w:val="24"/>
              </w:rPr>
              <w:t>异常一</w:t>
            </w:r>
            <w:r>
              <w:rPr>
                <w:rFonts w:hint="eastAsia" w:asciiTheme="minorEastAsia" w:hAnsiTheme="minorEastAsia" w:eastAsiaTheme="minorEastAsia" w:cstheme="minorEastAsia"/>
                <w:spacing w:val="-7"/>
                <w:sz w:val="24"/>
                <w:szCs w:val="24"/>
              </w:rPr>
              <w:t>致或者</w:t>
            </w:r>
            <w:r>
              <w:rPr>
                <w:rFonts w:hint="eastAsia" w:asciiTheme="minorEastAsia" w:hAnsiTheme="minorEastAsia" w:eastAsiaTheme="minorEastAsia" w:cstheme="minorEastAsia"/>
                <w:spacing w:val="-7"/>
                <w:sz w:val="24"/>
                <w:szCs w:val="24"/>
                <w:lang w:eastAsia="zh-CN"/>
              </w:rPr>
              <w:t>响应</w:t>
            </w:r>
            <w:r>
              <w:rPr>
                <w:rFonts w:hint="eastAsia" w:asciiTheme="minorEastAsia" w:hAnsiTheme="minorEastAsia" w:eastAsiaTheme="minorEastAsia" w:cstheme="minorEastAsia"/>
                <w:spacing w:val="-18"/>
                <w:sz w:val="24"/>
                <w:szCs w:val="24"/>
              </w:rPr>
              <w:t>报价呈规律性差异</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五）不同</w:t>
            </w:r>
            <w:r>
              <w:rPr>
                <w:rFonts w:hint="eastAsia" w:asciiTheme="minorEastAsia" w:hAnsiTheme="minorEastAsia" w:eastAsiaTheme="minorEastAsia" w:cstheme="minorEastAsia"/>
                <w:spacing w:val="-18"/>
                <w:sz w:val="24"/>
                <w:szCs w:val="24"/>
                <w:lang w:eastAsia="zh-CN"/>
              </w:rPr>
              <w:t>供应商</w:t>
            </w:r>
            <w:r>
              <w:rPr>
                <w:rFonts w:hint="eastAsia" w:asciiTheme="minorEastAsia" w:hAnsiTheme="minorEastAsia" w:eastAsiaTheme="minorEastAsia" w:cstheme="minorEastAsia"/>
                <w:spacing w:val="-18"/>
                <w:sz w:val="24"/>
                <w:szCs w:val="24"/>
              </w:rPr>
              <w:t>的</w:t>
            </w:r>
            <w:r>
              <w:rPr>
                <w:rFonts w:hint="eastAsia" w:asciiTheme="minorEastAsia" w:hAnsiTheme="minorEastAsia" w:eastAsiaTheme="minorEastAsia" w:cstheme="minorEastAsia"/>
                <w:spacing w:val="-18"/>
                <w:sz w:val="24"/>
                <w:szCs w:val="24"/>
                <w:lang w:eastAsia="zh-CN"/>
              </w:rPr>
              <w:t>响应文件</w:t>
            </w:r>
            <w:r>
              <w:rPr>
                <w:rFonts w:hint="eastAsia" w:asciiTheme="minorEastAsia" w:hAnsiTheme="minorEastAsia" w:eastAsiaTheme="minorEastAsia" w:cstheme="minorEastAsia"/>
                <w:spacing w:val="-18"/>
                <w:sz w:val="24"/>
                <w:szCs w:val="24"/>
              </w:rPr>
              <w:t>相互混装</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六）</w:t>
            </w:r>
            <w:r>
              <w:rPr>
                <w:rFonts w:hint="eastAsia" w:asciiTheme="minorEastAsia" w:hAnsiTheme="minorEastAsia" w:eastAsiaTheme="minorEastAsia" w:cstheme="minorEastAsia"/>
                <w:spacing w:val="-1"/>
                <w:sz w:val="24"/>
                <w:szCs w:val="24"/>
              </w:rPr>
              <w:t>不同</w:t>
            </w:r>
            <w:r>
              <w:rPr>
                <w:rFonts w:hint="eastAsia" w:asciiTheme="minorEastAsia" w:hAnsiTheme="minorEastAsia" w:eastAsiaTheme="minorEastAsia" w:cstheme="minorEastAsia"/>
                <w:spacing w:val="-1"/>
                <w:sz w:val="24"/>
                <w:szCs w:val="24"/>
                <w:lang w:eastAsia="zh-CN"/>
              </w:rPr>
              <w:t>供应商</w:t>
            </w:r>
            <w:r>
              <w:rPr>
                <w:rFonts w:hint="eastAsia" w:asciiTheme="minorEastAsia" w:hAnsiTheme="minorEastAsia" w:eastAsiaTheme="minorEastAsia" w:cstheme="minorEastAsia"/>
                <w:spacing w:val="-1"/>
                <w:sz w:val="24"/>
                <w:szCs w:val="24"/>
              </w:rPr>
              <w:t>的投标保证金从同一单位或者个人的账户转出；</w:t>
            </w:r>
            <w:r>
              <w:rPr>
                <w:rFonts w:hint="eastAsia" w:asciiTheme="minorEastAsia" w:hAnsiTheme="minorEastAsia" w:eastAsiaTheme="minorEastAsia" w:cstheme="minorEastAsia"/>
                <w:snapToGrid w:val="0"/>
                <w:color w:val="000000"/>
                <w:spacing w:val="-1"/>
                <w:kern w:val="0"/>
                <w:sz w:val="24"/>
                <w:szCs w:val="24"/>
                <w:lang w:val="en-US" w:eastAsia="zh-CN" w:bidi="ar-SA"/>
              </w:rPr>
              <w:t>不存在</w:t>
            </w:r>
            <w:r>
              <w:rPr>
                <w:rFonts w:hint="eastAsia" w:asciiTheme="minorEastAsia" w:hAnsiTheme="minorEastAsia" w:eastAsiaTheme="minorEastAsia" w:cstheme="minorEastAsia"/>
                <w:snapToGrid w:val="0"/>
                <w:color w:val="000000"/>
                <w:spacing w:val="-1"/>
                <w:kern w:val="0"/>
                <w:sz w:val="24"/>
                <w:szCs w:val="24"/>
                <w:lang w:val="en-US" w:eastAsia="en-US" w:bidi="ar-SA"/>
              </w:rPr>
              <w:t>南阳市财政局关于防范供应商串通投标促进政府采购公平竞争的通知（宛财购〔2022〕3号）</w:t>
            </w:r>
            <w:r>
              <w:rPr>
                <w:rFonts w:hint="eastAsia" w:asciiTheme="minorEastAsia" w:hAnsiTheme="minorEastAsia" w:eastAsiaTheme="minorEastAsia" w:cstheme="minorEastAsia"/>
                <w:spacing w:val="-1"/>
                <w:sz w:val="24"/>
                <w:szCs w:val="24"/>
                <w:lang w:eastAsia="zh-CN"/>
              </w:rPr>
              <w:t>供应商</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p>
          <w:p w14:paraId="665B3743">
            <w:pPr>
              <w:keepNext w:val="0"/>
              <w:keepLines w:val="0"/>
              <w:pageBreakBefore w:val="0"/>
              <w:widowControl/>
              <w:kinsoku/>
              <w:wordWrap w:val="0"/>
              <w:overflowPunct/>
              <w:topLinePunct w:val="0"/>
              <w:autoSpaceDE w:val="0"/>
              <w:autoSpaceDN w:val="0"/>
              <w:bidi w:val="0"/>
              <w:adjustRightInd w:val="0"/>
              <w:snapToGrid w:val="0"/>
              <w:spacing w:line="234" w:lineRule="auto"/>
              <w:ind w:left="0" w:right="0" w:firstLine="5"/>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一</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）不同供应商的电子</w:t>
            </w:r>
            <w:r>
              <w:rPr>
                <w:rFonts w:hint="eastAsia" w:asciiTheme="minorEastAsia" w:hAnsiTheme="minorEastAsia" w:eastAsiaTheme="minorEastAsia" w:cstheme="minorEastAsia"/>
                <w:snapToGrid w:val="0"/>
                <w:color w:val="000000"/>
                <w:spacing w:val="-1"/>
                <w:kern w:val="0"/>
                <w:sz w:val="24"/>
                <w:szCs w:val="24"/>
                <w:lang w:val="en-US" w:eastAsia="zh-CN" w:bidi="ar-SA"/>
              </w:rPr>
              <w:t>响应</w:t>
            </w:r>
            <w:r>
              <w:rPr>
                <w:rFonts w:hint="eastAsia" w:asciiTheme="minorEastAsia" w:hAnsiTheme="minorEastAsia" w:eastAsiaTheme="minorEastAsia" w:cstheme="minorEastAsia"/>
                <w:snapToGrid w:val="0"/>
                <w:color w:val="000000"/>
                <w:spacing w:val="-1"/>
                <w:kern w:val="0"/>
                <w:sz w:val="24"/>
                <w:szCs w:val="24"/>
                <w:lang w:val="en-US" w:eastAsia="en-US" w:bidi="ar-SA"/>
              </w:rPr>
              <w:t>（响应）文件上传的计算机网卡MAC地址、CPU序列号和硬盘序列号等硬件信息相同</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二</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w:t>
            </w:r>
            <w:r>
              <w:rPr>
                <w:rFonts w:hint="eastAsia" w:asciiTheme="minorEastAsia" w:hAnsiTheme="minorEastAsia" w:eastAsiaTheme="minorEastAsia" w:cstheme="minorEastAsia"/>
                <w:snapToGrid w:val="0"/>
                <w:color w:val="000000"/>
                <w:spacing w:val="-1"/>
                <w:kern w:val="0"/>
                <w:sz w:val="24"/>
                <w:szCs w:val="24"/>
                <w:lang w:val="en-US" w:eastAsia="zh-CN" w:bidi="ar-SA"/>
              </w:rPr>
              <w:t>响应</w:t>
            </w:r>
            <w:r>
              <w:rPr>
                <w:rFonts w:hint="eastAsia" w:asciiTheme="minorEastAsia" w:hAnsiTheme="minorEastAsia" w:eastAsiaTheme="minorEastAsia" w:cstheme="minorEastAsia"/>
                <w:snapToGrid w:val="0"/>
                <w:color w:val="000000"/>
                <w:spacing w:val="-1"/>
                <w:kern w:val="0"/>
                <w:sz w:val="24"/>
                <w:szCs w:val="24"/>
                <w:lang w:val="en-US" w:eastAsia="en-US" w:bidi="ar-SA"/>
              </w:rPr>
              <w:t>（响应）文件由同一电子设备编制、打印、加密或上传；（</w:t>
            </w:r>
            <w:r>
              <w:rPr>
                <w:rFonts w:hint="eastAsia" w:asciiTheme="minorEastAsia" w:hAnsiTheme="minorEastAsia" w:eastAsiaTheme="minorEastAsia" w:cstheme="minorEastAsia"/>
                <w:snapToGrid w:val="0"/>
                <w:color w:val="000000"/>
                <w:spacing w:val="-1"/>
                <w:kern w:val="0"/>
                <w:sz w:val="24"/>
                <w:szCs w:val="24"/>
                <w:lang w:val="en-US" w:eastAsia="zh-CN" w:bidi="ar-SA"/>
              </w:rPr>
              <w:t>三</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w:t>
            </w:r>
            <w:r>
              <w:rPr>
                <w:rFonts w:hint="eastAsia" w:asciiTheme="minorEastAsia" w:hAnsiTheme="minorEastAsia" w:eastAsiaTheme="minorEastAsia" w:cstheme="minorEastAsia"/>
                <w:snapToGrid w:val="0"/>
                <w:color w:val="000000"/>
                <w:spacing w:val="-1"/>
                <w:kern w:val="0"/>
                <w:sz w:val="24"/>
                <w:szCs w:val="24"/>
                <w:lang w:val="en-US" w:eastAsia="zh-CN" w:bidi="ar-SA"/>
              </w:rPr>
              <w:t>响应</w:t>
            </w:r>
            <w:r>
              <w:rPr>
                <w:rFonts w:hint="eastAsia" w:asciiTheme="minorEastAsia" w:hAnsiTheme="minorEastAsia" w:eastAsiaTheme="minorEastAsia" w:cstheme="minorEastAsia"/>
                <w:snapToGrid w:val="0"/>
                <w:color w:val="000000"/>
                <w:spacing w:val="-1"/>
                <w:kern w:val="0"/>
                <w:sz w:val="24"/>
                <w:szCs w:val="24"/>
                <w:lang w:val="en-US" w:eastAsia="en-US" w:bidi="ar-SA"/>
              </w:rPr>
              <w:t>（响应）文件由同一电子设备打印、复印；（</w:t>
            </w:r>
            <w:r>
              <w:rPr>
                <w:rFonts w:hint="eastAsia" w:asciiTheme="minorEastAsia" w:hAnsiTheme="minorEastAsia" w:eastAsiaTheme="minorEastAsia" w:cstheme="minorEastAsia"/>
                <w:snapToGrid w:val="0"/>
                <w:color w:val="000000"/>
                <w:spacing w:val="-1"/>
                <w:kern w:val="0"/>
                <w:sz w:val="24"/>
                <w:szCs w:val="24"/>
                <w:lang w:val="en-US" w:eastAsia="zh-CN" w:bidi="ar-SA"/>
              </w:rPr>
              <w:t>四</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w:t>
            </w:r>
            <w:r>
              <w:rPr>
                <w:rFonts w:hint="eastAsia" w:asciiTheme="minorEastAsia" w:hAnsiTheme="minorEastAsia" w:eastAsiaTheme="minorEastAsia" w:cstheme="minorEastAsia"/>
                <w:snapToGrid w:val="0"/>
                <w:color w:val="000000"/>
                <w:spacing w:val="-1"/>
                <w:kern w:val="0"/>
                <w:sz w:val="24"/>
                <w:szCs w:val="24"/>
                <w:lang w:val="en-US" w:eastAsia="zh-CN" w:bidi="ar-SA"/>
              </w:rPr>
              <w:t>响应</w:t>
            </w:r>
            <w:r>
              <w:rPr>
                <w:rFonts w:hint="eastAsia" w:asciiTheme="minorEastAsia" w:hAnsiTheme="minorEastAsia" w:eastAsiaTheme="minorEastAsia" w:cstheme="minorEastAsia"/>
                <w:snapToGrid w:val="0"/>
                <w:color w:val="000000"/>
                <w:spacing w:val="-1"/>
                <w:kern w:val="0"/>
                <w:sz w:val="24"/>
                <w:szCs w:val="24"/>
                <w:lang w:val="en-US" w:eastAsia="en-US" w:bidi="ar-SA"/>
              </w:rPr>
              <w:t>（响应）文件由同一人送达或分发，或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w:t>
            </w:r>
            <w:r>
              <w:rPr>
                <w:rFonts w:hint="eastAsia" w:asciiTheme="minorEastAsia" w:hAnsiTheme="minorEastAsia" w:eastAsiaTheme="minorEastAsia" w:cstheme="minorEastAsia"/>
                <w:snapToGrid w:val="0"/>
                <w:color w:val="000000"/>
                <w:spacing w:val="-1"/>
                <w:kern w:val="0"/>
                <w:sz w:val="24"/>
                <w:szCs w:val="24"/>
                <w:lang w:val="en-US" w:eastAsia="zh-CN" w:bidi="ar-SA"/>
              </w:rPr>
              <w:t>联系人</w:t>
            </w:r>
            <w:r>
              <w:rPr>
                <w:rFonts w:hint="eastAsia" w:asciiTheme="minorEastAsia" w:hAnsiTheme="minorEastAsia" w:eastAsiaTheme="minorEastAsia" w:cstheme="minorEastAsia"/>
                <w:snapToGrid w:val="0"/>
                <w:color w:val="000000"/>
                <w:spacing w:val="-1"/>
                <w:kern w:val="0"/>
                <w:sz w:val="24"/>
                <w:szCs w:val="24"/>
                <w:lang w:val="en-US" w:eastAsia="en-US" w:bidi="ar-SA"/>
              </w:rPr>
              <w:t>为同一人或不同联系人</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联系电话一致</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五</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w:t>
            </w:r>
            <w:r>
              <w:rPr>
                <w:rFonts w:hint="eastAsia" w:asciiTheme="minorEastAsia" w:hAnsiTheme="minorEastAsia" w:eastAsiaTheme="minorEastAsia" w:cstheme="minorEastAsia"/>
                <w:snapToGrid w:val="0"/>
                <w:color w:val="000000"/>
                <w:spacing w:val="-1"/>
                <w:kern w:val="0"/>
                <w:sz w:val="24"/>
                <w:szCs w:val="24"/>
                <w:lang w:val="en-US" w:eastAsia="zh-CN" w:bidi="ar-SA"/>
              </w:rPr>
              <w:t>响应</w:t>
            </w:r>
            <w:r>
              <w:rPr>
                <w:rFonts w:hint="eastAsia" w:asciiTheme="minorEastAsia" w:hAnsiTheme="minorEastAsia" w:eastAsiaTheme="minorEastAsia" w:cstheme="minorEastAsia"/>
                <w:snapToGrid w:val="0"/>
                <w:color w:val="000000"/>
                <w:spacing w:val="-1"/>
                <w:kern w:val="0"/>
                <w:sz w:val="24"/>
                <w:szCs w:val="24"/>
                <w:lang w:val="en-US" w:eastAsia="en-US" w:bidi="ar-SA"/>
              </w:rPr>
              <w:t>（响应）文件内容</w:t>
            </w:r>
            <w:r>
              <w:rPr>
                <w:rFonts w:hint="eastAsia" w:asciiTheme="minorEastAsia" w:hAnsiTheme="minorEastAsia" w:eastAsiaTheme="minorEastAsia" w:cstheme="minorEastAsia"/>
                <w:snapToGrid w:val="0"/>
                <w:color w:val="000000"/>
                <w:spacing w:val="-1"/>
                <w:kern w:val="0"/>
                <w:sz w:val="24"/>
                <w:szCs w:val="24"/>
                <w:lang w:val="en-US" w:eastAsia="zh-CN" w:bidi="ar-SA"/>
              </w:rPr>
              <w:t>存在</w:t>
            </w:r>
            <w:r>
              <w:rPr>
                <w:rFonts w:hint="eastAsia" w:asciiTheme="minorEastAsia" w:hAnsiTheme="minorEastAsia" w:eastAsiaTheme="minorEastAsia" w:cstheme="minorEastAsia"/>
                <w:snapToGrid w:val="0"/>
                <w:color w:val="000000"/>
                <w:spacing w:val="-1"/>
                <w:kern w:val="0"/>
                <w:sz w:val="24"/>
                <w:szCs w:val="24"/>
                <w:lang w:val="en-US" w:eastAsia="en-US" w:bidi="ar-SA"/>
              </w:rPr>
              <w:t>两处以上</w:t>
            </w:r>
            <w:r>
              <w:rPr>
                <w:rFonts w:hint="eastAsia" w:asciiTheme="minorEastAsia" w:hAnsiTheme="minorEastAsia" w:eastAsiaTheme="minorEastAsia" w:cstheme="minorEastAsia"/>
                <w:snapToGrid w:val="0"/>
                <w:color w:val="000000"/>
                <w:spacing w:val="-1"/>
                <w:kern w:val="0"/>
                <w:sz w:val="24"/>
                <w:szCs w:val="24"/>
                <w:lang w:val="en-US" w:eastAsia="zh-CN" w:bidi="ar-SA"/>
              </w:rPr>
              <w:t>细节错误</w:t>
            </w:r>
            <w:r>
              <w:rPr>
                <w:rFonts w:hint="eastAsia" w:asciiTheme="minorEastAsia" w:hAnsiTheme="minorEastAsia" w:eastAsiaTheme="minorEastAsia" w:cstheme="minorEastAsia"/>
                <w:snapToGrid w:val="0"/>
                <w:color w:val="000000"/>
                <w:spacing w:val="-1"/>
                <w:kern w:val="0"/>
                <w:sz w:val="24"/>
                <w:szCs w:val="24"/>
                <w:lang w:val="en-US" w:eastAsia="en-US" w:bidi="ar-SA"/>
              </w:rPr>
              <w:t>一致；（</w:t>
            </w:r>
            <w:r>
              <w:rPr>
                <w:rFonts w:hint="eastAsia" w:asciiTheme="minorEastAsia" w:hAnsiTheme="minorEastAsia" w:eastAsiaTheme="minorEastAsia" w:cstheme="minorEastAsia"/>
                <w:snapToGrid w:val="0"/>
                <w:color w:val="000000"/>
                <w:spacing w:val="-1"/>
                <w:kern w:val="0"/>
                <w:sz w:val="24"/>
                <w:szCs w:val="24"/>
                <w:lang w:val="en-US" w:eastAsia="zh-CN" w:bidi="ar-SA"/>
              </w:rPr>
              <w:t>六</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）不同供应商的法定代表人、委托代理人、项目经理、项目负责人</w:t>
            </w:r>
            <w:r>
              <w:rPr>
                <w:rFonts w:hint="eastAsia" w:asciiTheme="minorEastAsia" w:hAnsiTheme="minorEastAsia" w:eastAsiaTheme="minorEastAsia" w:cstheme="minorEastAsia"/>
                <w:snapToGrid w:val="0"/>
                <w:color w:val="000000"/>
                <w:spacing w:val="-1"/>
                <w:kern w:val="0"/>
                <w:sz w:val="24"/>
                <w:szCs w:val="24"/>
                <w:lang w:val="en-US" w:eastAsia="zh-CN" w:bidi="ar-SA"/>
              </w:rPr>
              <w:t>等由</w:t>
            </w:r>
            <w:r>
              <w:rPr>
                <w:rFonts w:hint="eastAsia" w:asciiTheme="minorEastAsia" w:hAnsiTheme="minorEastAsia" w:eastAsiaTheme="minorEastAsia" w:cstheme="minorEastAsia"/>
                <w:snapToGrid w:val="0"/>
                <w:color w:val="000000"/>
                <w:spacing w:val="-1"/>
                <w:kern w:val="0"/>
                <w:sz w:val="24"/>
                <w:szCs w:val="24"/>
                <w:lang w:val="en-US" w:eastAsia="en-US" w:bidi="ar-SA"/>
              </w:rPr>
              <w:t>同一单位缴纳社会保险或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领取报酬</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七</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w:t>
            </w:r>
            <w:r>
              <w:rPr>
                <w:rFonts w:hint="eastAsia" w:asciiTheme="minorEastAsia" w:hAnsiTheme="minorEastAsia" w:eastAsiaTheme="minorEastAsia" w:cstheme="minorEastAsia"/>
                <w:snapToGrid w:val="0"/>
                <w:color w:val="000000"/>
                <w:spacing w:val="-1"/>
                <w:kern w:val="0"/>
                <w:sz w:val="24"/>
                <w:szCs w:val="24"/>
                <w:lang w:val="en-US" w:eastAsia="zh-CN" w:bidi="ar-SA"/>
              </w:rPr>
              <w:t>响应（响应）</w:t>
            </w:r>
            <w:r>
              <w:rPr>
                <w:rFonts w:hint="eastAsia" w:asciiTheme="minorEastAsia" w:hAnsiTheme="minorEastAsia" w:eastAsiaTheme="minorEastAsia" w:cstheme="minorEastAsia"/>
                <w:snapToGrid w:val="0"/>
                <w:color w:val="000000"/>
                <w:spacing w:val="-1"/>
                <w:kern w:val="0"/>
                <w:sz w:val="24"/>
                <w:szCs w:val="24"/>
                <w:lang w:val="en-US" w:eastAsia="en-US" w:bidi="ar-SA"/>
              </w:rPr>
              <w:t>文件中的法定代表人或负责人签名出自同一人</w:t>
            </w:r>
            <w:r>
              <w:rPr>
                <w:rFonts w:hint="eastAsia" w:asciiTheme="minorEastAsia" w:hAnsiTheme="minorEastAsia" w:eastAsiaTheme="minorEastAsia" w:cstheme="minorEastAsia"/>
                <w:snapToGrid w:val="0"/>
                <w:color w:val="000000"/>
                <w:spacing w:val="-1"/>
                <w:kern w:val="0"/>
                <w:sz w:val="24"/>
                <w:szCs w:val="24"/>
                <w:lang w:val="en-US" w:eastAsia="zh-CN" w:bidi="ar-SA"/>
              </w:rPr>
              <w:t>之手</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八</w:t>
            </w:r>
            <w:r>
              <w:rPr>
                <w:rFonts w:hint="eastAsia" w:asciiTheme="minorEastAsia" w:hAnsiTheme="minorEastAsia" w:eastAsiaTheme="minorEastAsia" w:cstheme="minorEastAsia"/>
                <w:snapToGrid w:val="0"/>
                <w:color w:val="000000"/>
                <w:spacing w:val="-1"/>
                <w:kern w:val="0"/>
                <w:sz w:val="24"/>
                <w:szCs w:val="24"/>
                <w:lang w:val="en-US" w:eastAsia="en-US" w:bidi="ar-SA"/>
              </w:rPr>
              <w:t>）其他涉嫌串通的情形。</w:t>
            </w:r>
          </w:p>
        </w:tc>
      </w:tr>
      <w:tr w14:paraId="523CD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center"/>
          </w:tcPr>
          <w:p w14:paraId="28BD51BB">
            <w:pPr>
              <w:pStyle w:val="23"/>
              <w:keepNext w:val="0"/>
              <w:keepLines w:val="0"/>
              <w:pageBreakBefore w:val="0"/>
              <w:kinsoku/>
              <w:wordWrap w:val="0"/>
              <w:overflowPunct/>
              <w:topLinePunct w:val="0"/>
              <w:bidi w:val="0"/>
              <w:spacing w:before="248"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3</w:t>
            </w:r>
          </w:p>
        </w:tc>
        <w:tc>
          <w:tcPr>
            <w:tcW w:w="1812" w:type="dxa"/>
            <w:vAlign w:val="center"/>
          </w:tcPr>
          <w:p w14:paraId="6CF909EE">
            <w:pPr>
              <w:keepNext w:val="0"/>
              <w:keepLines w:val="0"/>
              <w:pageBreakBefore w:val="0"/>
              <w:kinsoku/>
              <w:wordWrap w:val="0"/>
              <w:overflowPunct/>
              <w:topLinePunct w:val="0"/>
              <w:bidi w:val="0"/>
              <w:spacing w:before="228" w:line="219" w:lineRule="auto"/>
              <w:ind w:left="131"/>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附加条件</w:t>
            </w:r>
          </w:p>
        </w:tc>
        <w:tc>
          <w:tcPr>
            <w:tcW w:w="5791" w:type="dxa"/>
            <w:vAlign w:val="top"/>
          </w:tcPr>
          <w:p w14:paraId="43990CAB">
            <w:pPr>
              <w:keepNext w:val="0"/>
              <w:keepLines w:val="0"/>
              <w:pageBreakBefore w:val="0"/>
              <w:kinsoku/>
              <w:wordWrap w:val="0"/>
              <w:overflowPunct/>
              <w:topLinePunct w:val="0"/>
              <w:bidi w:val="0"/>
              <w:spacing w:before="228" w:line="219" w:lineRule="auto"/>
              <w:ind w:left="11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响应文件</w:t>
            </w:r>
            <w:r>
              <w:rPr>
                <w:rFonts w:hint="eastAsia" w:asciiTheme="minorEastAsia" w:hAnsiTheme="minorEastAsia" w:eastAsiaTheme="minorEastAsia" w:cstheme="minorEastAsia"/>
                <w:spacing w:val="-3"/>
                <w:sz w:val="24"/>
                <w:szCs w:val="24"/>
              </w:rPr>
              <w:t>未含有</w:t>
            </w:r>
            <w:r>
              <w:rPr>
                <w:rFonts w:hint="eastAsia" w:asciiTheme="minorEastAsia" w:hAnsiTheme="minorEastAsia" w:eastAsiaTheme="minorEastAsia" w:cstheme="minorEastAsia"/>
                <w:spacing w:val="-3"/>
                <w:sz w:val="24"/>
                <w:szCs w:val="24"/>
                <w:lang w:eastAsia="zh-CN"/>
              </w:rPr>
              <w:t>征集人</w:t>
            </w:r>
            <w:r>
              <w:rPr>
                <w:rFonts w:hint="eastAsia" w:asciiTheme="minorEastAsia" w:hAnsiTheme="minorEastAsia" w:eastAsiaTheme="minorEastAsia" w:cstheme="minorEastAsia"/>
                <w:spacing w:val="-3"/>
                <w:sz w:val="24"/>
                <w:szCs w:val="24"/>
              </w:rPr>
              <w:t>不能接受的附加条件</w:t>
            </w:r>
            <w:r>
              <w:rPr>
                <w:rFonts w:hint="eastAsia" w:asciiTheme="minorEastAsia" w:hAnsiTheme="minorEastAsia" w:eastAsiaTheme="minorEastAsia" w:cstheme="minorEastAsia"/>
                <w:spacing w:val="-4"/>
                <w:sz w:val="24"/>
                <w:szCs w:val="24"/>
              </w:rPr>
              <w:t>的</w:t>
            </w:r>
            <w:r>
              <w:rPr>
                <w:rFonts w:hint="eastAsia" w:asciiTheme="minorEastAsia" w:hAnsiTheme="minorEastAsia" w:eastAsiaTheme="minorEastAsia" w:cstheme="minorEastAsia"/>
                <w:spacing w:val="-4"/>
                <w:sz w:val="24"/>
                <w:szCs w:val="24"/>
                <w:lang w:eastAsia="zh-CN"/>
              </w:rPr>
              <w:t>。</w:t>
            </w:r>
          </w:p>
        </w:tc>
      </w:tr>
      <w:tr w14:paraId="59B9D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vAlign w:val="top"/>
          </w:tcPr>
          <w:p w14:paraId="16B01791">
            <w:pPr>
              <w:pStyle w:val="23"/>
              <w:keepNext w:val="0"/>
              <w:keepLines w:val="0"/>
              <w:pageBreakBefore w:val="0"/>
              <w:kinsoku/>
              <w:wordWrap w:val="0"/>
              <w:overflowPunct/>
              <w:topLinePunct w:val="0"/>
              <w:bidi w:val="0"/>
              <w:spacing w:before="252"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4</w:t>
            </w:r>
          </w:p>
        </w:tc>
        <w:tc>
          <w:tcPr>
            <w:tcW w:w="1812" w:type="dxa"/>
            <w:vAlign w:val="top"/>
          </w:tcPr>
          <w:p w14:paraId="1F91A2B8">
            <w:pPr>
              <w:keepNext w:val="0"/>
              <w:keepLines w:val="0"/>
              <w:pageBreakBefore w:val="0"/>
              <w:kinsoku/>
              <w:wordWrap w:val="0"/>
              <w:overflowPunct/>
              <w:topLinePunct w:val="0"/>
              <w:bidi w:val="0"/>
              <w:spacing w:before="226" w:line="221" w:lineRule="auto"/>
              <w:ind w:left="11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其他无效情形</w:t>
            </w:r>
          </w:p>
        </w:tc>
        <w:tc>
          <w:tcPr>
            <w:tcW w:w="5791" w:type="dxa"/>
            <w:vAlign w:val="top"/>
          </w:tcPr>
          <w:p w14:paraId="439AF815">
            <w:pPr>
              <w:keepNext w:val="0"/>
              <w:keepLines w:val="0"/>
              <w:pageBreakBefore w:val="0"/>
              <w:kinsoku/>
              <w:wordWrap w:val="0"/>
              <w:overflowPunct/>
              <w:topLinePunct w:val="0"/>
              <w:bidi w:val="0"/>
              <w:spacing w:before="74" w:line="229" w:lineRule="auto"/>
              <w:ind w:left="115" w:right="136" w:firstLine="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供应商</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eastAsia="zh-CN"/>
              </w:rPr>
              <w:t>响应文件</w:t>
            </w:r>
            <w:r>
              <w:rPr>
                <w:rFonts w:hint="eastAsia" w:asciiTheme="minorEastAsia" w:hAnsiTheme="minorEastAsia" w:eastAsiaTheme="minorEastAsia" w:cstheme="minorEastAsia"/>
                <w:spacing w:val="-1"/>
                <w:sz w:val="24"/>
                <w:szCs w:val="24"/>
              </w:rPr>
              <w:t>不存在不符合法律、法规和</w:t>
            </w:r>
            <w:r>
              <w:rPr>
                <w:rFonts w:hint="eastAsia" w:asciiTheme="minorEastAsia" w:hAnsiTheme="minorEastAsia" w:eastAsiaTheme="minorEastAsia" w:cstheme="minorEastAsia"/>
                <w:spacing w:val="-1"/>
                <w:sz w:val="24"/>
                <w:szCs w:val="24"/>
                <w:lang w:eastAsia="zh-CN"/>
              </w:rPr>
              <w:t>征集文件</w:t>
            </w:r>
            <w:r>
              <w:rPr>
                <w:rFonts w:hint="eastAsia" w:asciiTheme="minorEastAsia" w:hAnsiTheme="minorEastAsia" w:eastAsiaTheme="minorEastAsia" w:cstheme="minorEastAsia"/>
                <w:spacing w:val="-1"/>
                <w:sz w:val="24"/>
                <w:szCs w:val="24"/>
              </w:rPr>
              <w:t>规定的</w:t>
            </w:r>
            <w:r>
              <w:rPr>
                <w:rFonts w:hint="eastAsia" w:asciiTheme="minorEastAsia" w:hAnsiTheme="minorEastAsia" w:eastAsiaTheme="minorEastAsia" w:cstheme="minorEastAsia"/>
                <w:spacing w:val="-6"/>
                <w:sz w:val="24"/>
                <w:szCs w:val="24"/>
              </w:rPr>
              <w:t>其他无效情形。</w:t>
            </w:r>
          </w:p>
        </w:tc>
      </w:tr>
    </w:tbl>
    <w:p w14:paraId="5D356E19">
      <w:pPr>
        <w:pStyle w:val="5"/>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2.技术审查</w:t>
      </w:r>
    </w:p>
    <w:p w14:paraId="6A17A138">
      <w:pPr>
        <w:pStyle w:val="5"/>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服务类，审查</w:t>
      </w:r>
      <w:r>
        <w:rPr>
          <w:rFonts w:hint="eastAsia" w:asciiTheme="minorEastAsia" w:hAnsiTheme="minorEastAsia" w:eastAsiaTheme="minorEastAsia" w:cstheme="minorEastAsia"/>
          <w:spacing w:val="2"/>
          <w:position w:val="17"/>
          <w:sz w:val="24"/>
          <w:szCs w:val="24"/>
          <w:highlight w:val="none"/>
          <w:lang w:val="en-US" w:eastAsia="zh-CN"/>
        </w:rPr>
        <w:t>服务方案（对预算绩效管理服务的认识和理解、服务实施方案、服务质量保障措施、履约服务便利度保障措施、内部管理制度、进度保障措施、业务操作流程、风险管控措施、档案管理措施等）是否符合征集要求。</w:t>
      </w:r>
    </w:p>
    <w:p w14:paraId="0CD7848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3.评审小组将通过审查确定每一供应商是否对征集文件做出了实质性响应</w:t>
      </w:r>
    </w:p>
    <w:p w14:paraId="0BEC1944">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实质性响应的响应是指响应符合征集文件的所有条款、条件和要求，而无重大偏离和保留。重大偏离和保留是指影响到征集文件规定的范围、质量和性能，或限制了征集人的权利和供应商的义务的规定，而纠正这些偏差将影响到其它提交实质性响应的供应商的公平竞争地位。评审小组判断响应文件的响应性仅基于响应文件本身内容而不靠外部证据。评审小组将拒绝被确定为非实质性响应的供应商，供应商不得通过修正或撤销不符之处而使其响应成为实质性响应的投标。</w:t>
      </w:r>
    </w:p>
    <w:p w14:paraId="5350606C">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4.响应文件的澄清</w:t>
      </w:r>
    </w:p>
    <w:p w14:paraId="4604BF6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4.1 为了有助于对响应文件进行审查、评估和比较，评审小组有权向供应商质疑，请供应商澄清、说明或补正其响应内容。供应商须按照征集人或采购代理机构通知的时间、地点、方式指派法定代表人（负责人）或授权代表进行澄清、说明或补正。</w:t>
      </w:r>
    </w:p>
    <w:p w14:paraId="4F7E79EC">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4.2 澄清、说明或补正要求。对响应文件中含义不明确、同类问题表述不一致或者有明显文字和计算错误的内容，评审小组应当以书面形式要求供应商作出必要的澄清、说明或补正。供应商的澄清、说明或者补正应当采用书面形式，由其法定代表人（负责人）或授权代表签字，并不得超出响应文件的范围或者改变响应文件的实质性内容。</w:t>
      </w:r>
    </w:p>
    <w:p w14:paraId="5F48C6B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4.3 供应商的澄清、说明或补正文件是响应文件的组成部分，并取代响应文件中被澄清、说明或补正的部分。</w:t>
      </w:r>
    </w:p>
    <w:p w14:paraId="28FED71B">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五.评审</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方法和</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评审</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标准</w:t>
      </w:r>
    </w:p>
    <w:p w14:paraId="2FB64455">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本项目采用的</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评审</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方法为：</w:t>
      </w:r>
    </w:p>
    <w:p w14:paraId="14A851D1">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☑质量优先法</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对满足采购需求且相应报价不超过最高限制单价的服务进行质量综合评分，按照质量评分从高到底排序，根据征集文件规定的淘汰率或者入围供应商数量上限，确定入围供应商的评审方法。</w:t>
      </w:r>
    </w:p>
    <w:p w14:paraId="28A92662">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确定</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入围供应商</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名单</w:t>
      </w:r>
    </w:p>
    <w:p w14:paraId="0D3B25E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2.1 供应商的排名按得分顺序从高到低排列；得分相同的，按响应报价由低到高顺序排列；得分且响应报价相同的，按技术指标优劣顺序排列。</w:t>
      </w:r>
    </w:p>
    <w:p w14:paraId="27B6FD35">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2.2 评审小组</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要对评分汇总情况进行复核，特别是对排名第一的、报价最低的、</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响应文件</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被认定为无效的情形进行重点复核。</w:t>
      </w:r>
    </w:p>
    <w:p w14:paraId="5C252627">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 评审小组</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将根据各</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供应商</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的</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评审</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排序，依次推荐本项目</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入围</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候选人，起草并签署</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评审</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报告。</w:t>
      </w:r>
    </w:p>
    <w:p w14:paraId="04B79B6D">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报告违法行为</w:t>
      </w:r>
    </w:p>
    <w:p w14:paraId="1016B18A">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评审小组</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在</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评审</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过程中发现</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供应商</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有行贿、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供虚假材料或者串通等违法行为时，有向</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征集人</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、采购代理机构或者有关部门报告的职责。</w:t>
      </w:r>
    </w:p>
    <w:p w14:paraId="2CAEBD69">
      <w:pPr>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4.供应商存在下列情况之一的，响应无效：</w:t>
      </w:r>
    </w:p>
    <w:p w14:paraId="78FA2A94">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（1）响应文件未按征集文件要求签署、盖章的；</w:t>
      </w:r>
    </w:p>
    <w:p w14:paraId="45E07DD2">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（2）不具备征集文件中规定的资格要求的；</w:t>
      </w:r>
    </w:p>
    <w:p w14:paraId="77C9FBF8">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（3）报价超过征集文件中规定的预算金额或者最高限价的；</w:t>
      </w:r>
    </w:p>
    <w:p w14:paraId="72B5F662">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（4）响应文件含有征集人不能接受的附加条件的；</w:t>
      </w:r>
    </w:p>
    <w:p w14:paraId="3707AA06">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（5）不符合应提交响应文件资料数量要求的；</w:t>
      </w:r>
    </w:p>
    <w:p w14:paraId="629CBE43">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（6）开标解密时未在规定时间（30分钟）内进行解密成功的视为撤销其响应文件（因电子开标系统原因除外）；</w:t>
      </w:r>
    </w:p>
    <w:p w14:paraId="40C5EB5D">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（7）电子响应文件未使用CA</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认证并加密的</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p>
    <w:p w14:paraId="7FBED1D0">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（8）未在响应截止时间前完成上传的；</w:t>
      </w:r>
    </w:p>
    <w:p w14:paraId="2E0F1D71">
      <w:pPr>
        <w:keepNext w:val="0"/>
        <w:keepLines w:val="0"/>
        <w:pageBreakBefore w:val="0"/>
        <w:kinsoku/>
        <w:wordWrap w:val="0"/>
        <w:overflowPunct/>
        <w:topLinePunct w:val="0"/>
        <w:bidi w:val="0"/>
        <w:spacing w:line="360" w:lineRule="auto"/>
        <w:ind w:firstLine="490" w:firstLineChars="200"/>
        <w:jc w:val="both"/>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（9）</w:t>
      </w:r>
      <w:r>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t>未按</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r>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t>暗标</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r>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t>要求编写技术或方案部分的</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p>
    <w:p w14:paraId="761CEE77">
      <w:pPr>
        <w:keepNext w:val="0"/>
        <w:keepLines w:val="0"/>
        <w:pageBreakBefore w:val="0"/>
        <w:kinsoku/>
        <w:wordWrap w:val="0"/>
        <w:overflowPunct/>
        <w:topLinePunct w:val="0"/>
        <w:bidi w:val="0"/>
        <w:spacing w:line="360" w:lineRule="auto"/>
        <w:ind w:firstLine="490" w:firstLineChars="200"/>
        <w:jc w:val="both"/>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（10）法律、法规和征集文件规定的其他无效情形。</w:t>
      </w:r>
    </w:p>
    <w:p w14:paraId="5F8EE21D">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5.出现下列情形之一的，应予废标：</w:t>
      </w:r>
    </w:p>
    <w:p w14:paraId="665650D3">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（1）符合专业条件的供应商或者对征集文件作实质性响应的供应商不足两家的；</w:t>
      </w:r>
    </w:p>
    <w:p w14:paraId="5BAD176E">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（2）出现影响采购公正的违法、违规行为的；</w:t>
      </w:r>
    </w:p>
    <w:p w14:paraId="66D5AC92">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（3）供应商的报价均超过了预算金额，征集人不能支付的；</w:t>
      </w:r>
    </w:p>
    <w:p w14:paraId="2806CD0C">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（4）因重大变故，采购任务取消的。</w:t>
      </w:r>
    </w:p>
    <w:p w14:paraId="28B6739E">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废标后，应当在指定媒体发布公告，将废标理由通知所有供应商。</w:t>
      </w:r>
    </w:p>
    <w:p w14:paraId="0FB838A7">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0A31A346">
      <w:pPr>
        <w:pStyle w:val="5"/>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w:t>
      </w: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分</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标准</w:t>
      </w:r>
    </w:p>
    <w:tbl>
      <w:tblPr>
        <w:tblStyle w:val="16"/>
        <w:tblW w:w="8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601"/>
        <w:gridCol w:w="5360"/>
      </w:tblGrid>
      <w:tr w14:paraId="63F0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246" w:type="dxa"/>
            <w:noWrap w:val="0"/>
            <w:vAlign w:val="center"/>
          </w:tcPr>
          <w:p w14:paraId="52F25CF7">
            <w:pPr>
              <w:keepNext w:val="0"/>
              <w:keepLines w:val="0"/>
              <w:pageBreakBefore w:val="0"/>
              <w:widowControl/>
              <w:kinsoku/>
              <w:wordWrap w:val="0"/>
              <w:overflowPunct/>
              <w:topLinePunct w:val="0"/>
              <w:autoSpaceDE w:val="0"/>
              <w:autoSpaceDN w:val="0"/>
              <w:bidi w:val="0"/>
              <w:adjustRightInd w:val="0"/>
              <w:snapToGrid w:val="0"/>
              <w:spacing w:line="480" w:lineRule="auto"/>
              <w:jc w:val="center"/>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评审项</w:t>
            </w:r>
          </w:p>
        </w:tc>
        <w:tc>
          <w:tcPr>
            <w:tcW w:w="1601" w:type="dxa"/>
            <w:tcBorders>
              <w:right w:val="single" w:color="auto" w:sz="2" w:space="0"/>
            </w:tcBorders>
            <w:noWrap w:val="0"/>
            <w:vAlign w:val="center"/>
          </w:tcPr>
          <w:p w14:paraId="4C9CC35F">
            <w:pPr>
              <w:keepNext w:val="0"/>
              <w:keepLines w:val="0"/>
              <w:pageBreakBefore w:val="0"/>
              <w:widowControl/>
              <w:kinsoku/>
              <w:wordWrap w:val="0"/>
              <w:overflowPunct/>
              <w:topLinePunct w:val="0"/>
              <w:autoSpaceDE w:val="0"/>
              <w:autoSpaceDN w:val="0"/>
              <w:bidi w:val="0"/>
              <w:adjustRightInd w:val="0"/>
              <w:snapToGrid w:val="0"/>
              <w:spacing w:line="480" w:lineRule="auto"/>
              <w:jc w:val="center"/>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评分因素</w:t>
            </w:r>
          </w:p>
        </w:tc>
        <w:tc>
          <w:tcPr>
            <w:tcW w:w="5360" w:type="dxa"/>
            <w:noWrap w:val="0"/>
            <w:vAlign w:val="center"/>
          </w:tcPr>
          <w:p w14:paraId="76224837">
            <w:pPr>
              <w:keepNext w:val="0"/>
              <w:keepLines w:val="0"/>
              <w:pageBreakBefore w:val="0"/>
              <w:widowControl/>
              <w:kinsoku/>
              <w:wordWrap w:val="0"/>
              <w:overflowPunct/>
              <w:topLinePunct w:val="0"/>
              <w:autoSpaceDE w:val="0"/>
              <w:autoSpaceDN w:val="0"/>
              <w:bidi w:val="0"/>
              <w:adjustRightInd w:val="0"/>
              <w:snapToGrid w:val="0"/>
              <w:spacing w:line="48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评分标准</w:t>
            </w:r>
          </w:p>
        </w:tc>
      </w:tr>
      <w:tr w14:paraId="4570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jc w:val="center"/>
        </w:trPr>
        <w:tc>
          <w:tcPr>
            <w:tcW w:w="1246" w:type="dxa"/>
            <w:noWrap w:val="0"/>
            <w:vAlign w:val="center"/>
          </w:tcPr>
          <w:p w14:paraId="2E4722E3">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报价部分</w:t>
            </w:r>
          </w:p>
          <w:p w14:paraId="3668E628">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（10分）</w:t>
            </w:r>
          </w:p>
        </w:tc>
        <w:tc>
          <w:tcPr>
            <w:tcW w:w="1601" w:type="dxa"/>
            <w:tcBorders>
              <w:right w:val="single" w:color="auto" w:sz="2" w:space="0"/>
            </w:tcBorders>
            <w:noWrap w:val="0"/>
            <w:vAlign w:val="center"/>
          </w:tcPr>
          <w:p w14:paraId="15E45354">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第一阶段</w:t>
            </w:r>
          </w:p>
          <w:p w14:paraId="52FEEE81">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响应报价</w:t>
            </w:r>
          </w:p>
          <w:p w14:paraId="18D8F7F5">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（10分）</w:t>
            </w:r>
          </w:p>
        </w:tc>
        <w:tc>
          <w:tcPr>
            <w:tcW w:w="5360" w:type="dxa"/>
            <w:noWrap w:val="0"/>
            <w:vAlign w:val="center"/>
          </w:tcPr>
          <w:p w14:paraId="217CCDCA">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所有有效供应商中响应报价综合费率最低的为评审基准价，其报价得分为满分10分。其他供应商的价格分统一按照下列公式计算：</w:t>
            </w:r>
          </w:p>
          <w:p w14:paraId="2229016F">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 xml:space="preserve">Sn=10×Cmin/Cn </w:t>
            </w:r>
          </w:p>
          <w:p w14:paraId="349598F6">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Sn：第n个有效供应商的价格得分；</w:t>
            </w:r>
          </w:p>
          <w:p w14:paraId="2059A8AC">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Cmin：全部有效供应商最低的响应报价；</w:t>
            </w:r>
          </w:p>
          <w:p w14:paraId="3C190F3D">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Cn：第n个技术和商务审查符合的有效供应商的响应报价。</w:t>
            </w:r>
          </w:p>
          <w:p w14:paraId="0D443BE2">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备注：</w:t>
            </w:r>
          </w:p>
          <w:p w14:paraId="193B75C7">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1.根据《政府采购促进中小企业发展管理办法》财库〔2020〕46号、《关于进一步加大政府采购支持中小企业力度的通知》财库〔2022〕19号的规定，对于非专门面向中小企业的项目，对所有服务全部均由小型和微型企业提供的给予</w:t>
            </w:r>
            <w:r>
              <w:rPr>
                <w:rFonts w:hint="eastAsia" w:ascii="宋体" w:hAnsi="宋体" w:eastAsia="宋体" w:cs="宋体"/>
                <w:snapToGrid w:val="0"/>
                <w:color w:val="auto"/>
                <w:spacing w:val="2"/>
                <w:kern w:val="0"/>
                <w:position w:val="17"/>
                <w:sz w:val="21"/>
                <w:szCs w:val="21"/>
                <w:lang w:val="en-US" w:eastAsia="zh-CN" w:bidi="ar-SA"/>
              </w:rPr>
              <w:t>10%</w:t>
            </w:r>
            <w:r>
              <w:rPr>
                <w:rFonts w:hint="eastAsia" w:ascii="宋体" w:hAnsi="宋体" w:eastAsia="宋体" w:cs="宋体"/>
                <w:snapToGrid w:val="0"/>
                <w:color w:val="000000"/>
                <w:spacing w:val="2"/>
                <w:kern w:val="0"/>
                <w:position w:val="17"/>
                <w:sz w:val="21"/>
                <w:szCs w:val="21"/>
                <w:lang w:val="en-US" w:eastAsia="zh-CN" w:bidi="ar-SA"/>
              </w:rPr>
              <w:t>的扣除，用扣除后的价格参与评审。</w:t>
            </w:r>
          </w:p>
          <w:p w14:paraId="4FABCCFF">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2.根据《关于促进残疾人就业政府采购政策的通知》（财库〔2017〕141 号）的规定，残疾人福利性单位视同小型、微型企业；根据财库〔2014〕68号《财政部司法部关于政府采购支持监狱企业发展有关问题的通知》，监狱企业视同小微企业。</w:t>
            </w:r>
          </w:p>
          <w:p w14:paraId="4BEB05DC">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3.同一供应商，小微企业、残疾人福利企业、监狱企业价格扣除优惠只享受一次，不重复享受。</w:t>
            </w:r>
          </w:p>
        </w:tc>
      </w:tr>
      <w:tr w14:paraId="3AF25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246" w:type="dxa"/>
            <w:vMerge w:val="restart"/>
            <w:noWrap w:val="0"/>
            <w:vAlign w:val="center"/>
          </w:tcPr>
          <w:p w14:paraId="71FAB8EB">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000000"/>
                <w:spacing w:val="2"/>
                <w:kern w:val="0"/>
                <w:position w:val="17"/>
                <w:sz w:val="21"/>
                <w:szCs w:val="21"/>
                <w:lang w:val="en-US" w:eastAsia="zh-CN" w:bidi="ar-SA"/>
              </w:rPr>
            </w:pPr>
          </w:p>
          <w:p w14:paraId="2BDE90F0">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000000"/>
                <w:spacing w:val="2"/>
                <w:kern w:val="0"/>
                <w:position w:val="17"/>
                <w:sz w:val="21"/>
                <w:szCs w:val="21"/>
                <w:lang w:val="en-US" w:eastAsia="zh-CN" w:bidi="ar-SA"/>
              </w:rPr>
            </w:pPr>
          </w:p>
          <w:p w14:paraId="0A15A2B8">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000000"/>
                <w:spacing w:val="2"/>
                <w:kern w:val="0"/>
                <w:position w:val="17"/>
                <w:sz w:val="21"/>
                <w:szCs w:val="21"/>
                <w:lang w:val="en-US" w:eastAsia="zh-CN" w:bidi="ar-SA"/>
              </w:rPr>
            </w:pPr>
          </w:p>
          <w:p w14:paraId="18B1B447">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000000"/>
                <w:spacing w:val="2"/>
                <w:kern w:val="0"/>
                <w:position w:val="17"/>
                <w:sz w:val="21"/>
                <w:szCs w:val="21"/>
                <w:lang w:val="en-US" w:eastAsia="zh-CN" w:bidi="ar-SA"/>
              </w:rPr>
            </w:pPr>
          </w:p>
          <w:p w14:paraId="5393ACE3">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000000"/>
                <w:spacing w:val="2"/>
                <w:kern w:val="0"/>
                <w:position w:val="17"/>
                <w:sz w:val="21"/>
                <w:szCs w:val="21"/>
                <w:lang w:val="en-US" w:eastAsia="zh-CN" w:bidi="ar-SA"/>
              </w:rPr>
            </w:pPr>
          </w:p>
          <w:p w14:paraId="1B872D80">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商务部分（42分）</w:t>
            </w:r>
          </w:p>
        </w:tc>
        <w:tc>
          <w:tcPr>
            <w:tcW w:w="1601" w:type="dxa"/>
            <w:tcBorders>
              <w:right w:val="single" w:color="auto" w:sz="2" w:space="0"/>
            </w:tcBorders>
            <w:noWrap w:val="0"/>
            <w:vAlign w:val="center"/>
          </w:tcPr>
          <w:p w14:paraId="520185CC">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供应商业绩</w:t>
            </w:r>
          </w:p>
          <w:p w14:paraId="442D64DE">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（12分）</w:t>
            </w:r>
          </w:p>
        </w:tc>
        <w:tc>
          <w:tcPr>
            <w:tcW w:w="5360" w:type="dxa"/>
            <w:noWrap w:val="0"/>
            <w:vAlign w:val="center"/>
          </w:tcPr>
          <w:p w14:paraId="20431F46">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根据2020年1月份以来（以合同或协议签订时间为准），供应商提供的所承担预算绩效管理服务各类业务的相关材料，进行评审打分。</w:t>
            </w:r>
          </w:p>
          <w:p w14:paraId="39A0AC2B">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每提供1份财政事前绩效评估的相关材料得1分，最多得3分；</w:t>
            </w:r>
          </w:p>
          <w:p w14:paraId="6054B7C8">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每提供1份财政重点绩效评价相关材料得1分，最多得3分；</w:t>
            </w:r>
          </w:p>
          <w:p w14:paraId="1EFE4254">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每提供1份全成本预算绩效分析的相关材料得1分，最多得3分；</w:t>
            </w:r>
          </w:p>
          <w:p w14:paraId="5DCBC58C">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每提供1份绩效指标和标准体系制定相关材料得1分，最多得3分；</w:t>
            </w:r>
          </w:p>
          <w:p w14:paraId="4F61F832">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注：</w:t>
            </w:r>
          </w:p>
          <w:p w14:paraId="4EC0E81B">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①响应文件中附承接项目委托合同或协议及成果资料关键页扫描件，合同中需显示委托单位名称、项目名称，否则不予认可。</w:t>
            </w:r>
          </w:p>
          <w:p w14:paraId="1D095839">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②</w:t>
            </w:r>
            <w:r>
              <w:rPr>
                <w:rFonts w:hint="eastAsia" w:ascii="宋体" w:hAnsi="宋体" w:eastAsia="宋体" w:cs="宋体"/>
                <w:b/>
                <w:bCs/>
                <w:snapToGrid w:val="0"/>
                <w:color w:val="000000"/>
                <w:spacing w:val="2"/>
                <w:kern w:val="0"/>
                <w:position w:val="17"/>
                <w:sz w:val="21"/>
                <w:szCs w:val="21"/>
                <w:lang w:val="en-US" w:eastAsia="zh-CN" w:bidi="ar-SA"/>
              </w:rPr>
              <w:t>供应商业绩与项目主评人业绩不重复计算得分</w:t>
            </w:r>
            <w:r>
              <w:rPr>
                <w:rFonts w:hint="eastAsia" w:ascii="宋体" w:hAnsi="宋体" w:eastAsia="宋体" w:cs="宋体"/>
                <w:snapToGrid w:val="0"/>
                <w:color w:val="000000"/>
                <w:spacing w:val="2"/>
                <w:kern w:val="0"/>
                <w:position w:val="17"/>
                <w:sz w:val="21"/>
                <w:szCs w:val="21"/>
                <w:lang w:val="en-US" w:eastAsia="zh-CN" w:bidi="ar-SA"/>
              </w:rPr>
              <w:t>。</w:t>
            </w:r>
          </w:p>
          <w:p w14:paraId="376342D0">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③如成果文件有关内容涉及商业机密等事宜，须事先征得委托人同意，否则一切后果由供应商承担。</w:t>
            </w:r>
          </w:p>
        </w:tc>
      </w:tr>
      <w:tr w14:paraId="594E0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6" w:type="dxa"/>
            <w:vMerge w:val="continue"/>
            <w:noWrap w:val="0"/>
            <w:vAlign w:val="center"/>
          </w:tcPr>
          <w:p w14:paraId="00A0F701">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center"/>
              <w:textAlignment w:val="baseline"/>
              <w:rPr>
                <w:rFonts w:hint="eastAsia" w:ascii="宋体" w:hAnsi="宋体" w:eastAsia="宋体" w:cs="宋体"/>
                <w:snapToGrid w:val="0"/>
                <w:color w:val="000000"/>
                <w:spacing w:val="2"/>
                <w:kern w:val="0"/>
                <w:position w:val="17"/>
                <w:sz w:val="21"/>
                <w:szCs w:val="21"/>
                <w:lang w:val="en-US" w:eastAsia="zh-CN" w:bidi="ar-SA"/>
              </w:rPr>
            </w:pPr>
          </w:p>
        </w:tc>
        <w:tc>
          <w:tcPr>
            <w:tcW w:w="1601" w:type="dxa"/>
            <w:tcBorders>
              <w:right w:val="single" w:color="auto" w:sz="2" w:space="0"/>
            </w:tcBorders>
            <w:noWrap w:val="0"/>
            <w:vAlign w:val="center"/>
          </w:tcPr>
          <w:p w14:paraId="499F0EAF">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b w:val="0"/>
                <w:bCs w:val="0"/>
                <w:snapToGrid w:val="0"/>
                <w:color w:val="000000"/>
                <w:kern w:val="2"/>
                <w:sz w:val="21"/>
                <w:szCs w:val="21"/>
                <w:lang w:val="en-US" w:eastAsia="zh-CN" w:bidi="ar-SA"/>
              </w:rPr>
              <w:t>信用评价（2分）</w:t>
            </w:r>
          </w:p>
        </w:tc>
        <w:tc>
          <w:tcPr>
            <w:tcW w:w="5360" w:type="dxa"/>
            <w:noWrap w:val="0"/>
            <w:vAlign w:val="center"/>
          </w:tcPr>
          <w:p w14:paraId="507854DD">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b w:val="0"/>
                <w:bCs w:val="0"/>
                <w:snapToGrid w:val="0"/>
                <w:color w:val="000000"/>
                <w:kern w:val="2"/>
                <w:sz w:val="21"/>
                <w:szCs w:val="21"/>
                <w:lang w:val="en-US" w:eastAsia="zh-CN" w:bidi="ar-SA"/>
              </w:rPr>
              <w:t>根据《南阳市政府采购信用评价实施办法》，投标人登录“南阳市政府采购信用管理系统”打印并提交《南阳市政府采购供应商信用记录表》，诚信评价为三星级的加 1 分，四星级的加 2 分，其他不得分；</w:t>
            </w:r>
          </w:p>
        </w:tc>
      </w:tr>
      <w:tr w14:paraId="4DC61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7" w:hRule="atLeast"/>
          <w:jc w:val="center"/>
        </w:trPr>
        <w:tc>
          <w:tcPr>
            <w:tcW w:w="1246" w:type="dxa"/>
            <w:vMerge w:val="continue"/>
            <w:noWrap w:val="0"/>
            <w:vAlign w:val="center"/>
          </w:tcPr>
          <w:p w14:paraId="7FDE3A7F">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center"/>
              <w:textAlignment w:val="baseline"/>
              <w:rPr>
                <w:rFonts w:hint="eastAsia" w:ascii="宋体" w:hAnsi="宋体" w:eastAsia="宋体" w:cs="宋体"/>
                <w:snapToGrid w:val="0"/>
                <w:color w:val="000000"/>
                <w:spacing w:val="2"/>
                <w:kern w:val="0"/>
                <w:position w:val="17"/>
                <w:sz w:val="21"/>
                <w:szCs w:val="21"/>
                <w:lang w:val="en-US" w:eastAsia="zh-CN" w:bidi="ar-SA"/>
              </w:rPr>
            </w:pPr>
          </w:p>
        </w:tc>
        <w:tc>
          <w:tcPr>
            <w:tcW w:w="1601" w:type="dxa"/>
            <w:tcBorders>
              <w:right w:val="single" w:color="auto" w:sz="2" w:space="0"/>
            </w:tcBorders>
            <w:noWrap w:val="0"/>
            <w:vAlign w:val="center"/>
          </w:tcPr>
          <w:p w14:paraId="257DC43A">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项目负责人</w:t>
            </w:r>
          </w:p>
          <w:p w14:paraId="3863E510">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（主评人）</w:t>
            </w:r>
          </w:p>
          <w:p w14:paraId="69D77291">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（5分）</w:t>
            </w:r>
          </w:p>
        </w:tc>
        <w:tc>
          <w:tcPr>
            <w:tcW w:w="5360" w:type="dxa"/>
            <w:noWrap w:val="0"/>
            <w:vAlign w:val="center"/>
          </w:tcPr>
          <w:p w14:paraId="162CA466">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1.项目负责人（主评人）证书（3分）</w:t>
            </w:r>
          </w:p>
          <w:p w14:paraId="0E359602">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供应商拟派项目负责人（主评人）在高级（副高）专业技术职称、注册会计师、资产评估师三种证书中同时具备任意两种及以上证书的得3分，否则不得分。</w:t>
            </w:r>
          </w:p>
          <w:p w14:paraId="24AB0790">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2.项目负责人（主评人）业绩（2分）</w:t>
            </w:r>
          </w:p>
          <w:p w14:paraId="7798D627">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 xml:space="preserve">每提供1份2020年1月份以来（以合同或协议签订时间为准）财政事前绩效评估、财政重点绩效评价、全成本预算绩效分析、绩效指标和标准体系制定，各得0.5分，最多得2分(每类业绩不重复计算得分)。 </w:t>
            </w:r>
          </w:p>
          <w:p w14:paraId="2450EF1A">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注：</w:t>
            </w:r>
          </w:p>
          <w:p w14:paraId="2CBF7577">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①响应文件中附承接项目委托合同或协议及成果资料关键页扫描件，合同中需显示委托单位名称、项目名称，否则不予认可。</w:t>
            </w:r>
          </w:p>
          <w:p w14:paraId="5B3B4CAB">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②</w:t>
            </w:r>
            <w:r>
              <w:rPr>
                <w:rFonts w:hint="eastAsia" w:ascii="宋体" w:hAnsi="宋体" w:eastAsia="宋体" w:cs="宋体"/>
                <w:b/>
                <w:bCs/>
                <w:snapToGrid w:val="0"/>
                <w:color w:val="000000"/>
                <w:spacing w:val="2"/>
                <w:kern w:val="0"/>
                <w:position w:val="17"/>
                <w:sz w:val="21"/>
                <w:szCs w:val="21"/>
                <w:lang w:val="en-US" w:eastAsia="zh-CN" w:bidi="ar-SA"/>
              </w:rPr>
              <w:t>供应商业绩与项目负责人（主评人）业绩不重复计算得分。</w:t>
            </w:r>
          </w:p>
          <w:p w14:paraId="2277FA14">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③如成果文件有关内容涉及商业机密等事宜，须事先征得委托人同意，否则一切后果由供应商承担。</w:t>
            </w:r>
          </w:p>
        </w:tc>
      </w:tr>
      <w:tr w14:paraId="1F22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6" w:type="dxa"/>
            <w:vMerge w:val="continue"/>
            <w:noWrap w:val="0"/>
            <w:vAlign w:val="center"/>
          </w:tcPr>
          <w:p w14:paraId="68331C15">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center"/>
              <w:textAlignment w:val="baseline"/>
              <w:rPr>
                <w:rFonts w:hint="eastAsia" w:ascii="宋体" w:hAnsi="宋体" w:eastAsia="宋体" w:cs="宋体"/>
                <w:snapToGrid w:val="0"/>
                <w:color w:val="000000"/>
                <w:spacing w:val="2"/>
                <w:kern w:val="0"/>
                <w:position w:val="17"/>
                <w:sz w:val="21"/>
                <w:szCs w:val="21"/>
                <w:lang w:val="en-US" w:eastAsia="zh-CN" w:bidi="ar-SA"/>
              </w:rPr>
            </w:pPr>
          </w:p>
        </w:tc>
        <w:tc>
          <w:tcPr>
            <w:tcW w:w="1601" w:type="dxa"/>
            <w:tcBorders>
              <w:right w:val="single" w:color="auto" w:sz="2" w:space="0"/>
            </w:tcBorders>
            <w:noWrap w:val="0"/>
            <w:vAlign w:val="center"/>
          </w:tcPr>
          <w:p w14:paraId="47A43E2A">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center"/>
              <w:textAlignment w:val="baseline"/>
              <w:rPr>
                <w:rFonts w:hint="eastAsia" w:ascii="宋体" w:hAnsi="宋体" w:eastAsia="宋体" w:cs="宋体"/>
                <w:snapToGrid w:val="0"/>
                <w:color w:val="000000"/>
                <w:spacing w:val="2"/>
                <w:kern w:val="0"/>
                <w:position w:val="17"/>
                <w:sz w:val="21"/>
                <w:szCs w:val="21"/>
                <w:lang w:val="en-US" w:eastAsia="zh-CN" w:bidi="ar-SA"/>
              </w:rPr>
            </w:pPr>
          </w:p>
          <w:p w14:paraId="6C03A620">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拟派项目团队人员（20分）</w:t>
            </w:r>
          </w:p>
        </w:tc>
        <w:tc>
          <w:tcPr>
            <w:tcW w:w="5360" w:type="dxa"/>
            <w:noWrap w:val="0"/>
            <w:vAlign w:val="center"/>
          </w:tcPr>
          <w:p w14:paraId="3A39C204">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1.拟派项目团队人员中（项目负责人、主评人除外）每有一人具有高级（副高）专业技术职称或注册会计师或评估师、律师、内审师、注册造价工程师、注册咨询工程师等相关行业管理部门认可的专业资质的得2分，最多得10分。</w:t>
            </w:r>
          </w:p>
          <w:p w14:paraId="230A41AE">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2.拟派项目团队人员中（项目负责人、主评人除外）每有一人具有中级专业技术职称证书的得1分，最多得10分。</w:t>
            </w:r>
          </w:p>
          <w:p w14:paraId="75F6E0E9">
            <w:pPr>
              <w:keepNext w:val="0"/>
              <w:keepLines w:val="0"/>
              <w:pageBreakBefore w:val="0"/>
              <w:widowControl/>
              <w:kinsoku/>
              <w:wordWrap w:val="0"/>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注：</w:t>
            </w:r>
          </w:p>
          <w:p w14:paraId="53D2B9AB">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①提供专业技术职称证书扫描件和本项目响应文件递交截止时间前最近3个月供应商连续为相应人员缴纳社保的证明材料，否则不予认可；</w:t>
            </w:r>
          </w:p>
          <w:p w14:paraId="48B20767">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②拟派项目团队人员中，同一人员所持证书不重复计分。同一人员具有多个证书的，按得分最高证书计分；同一人员最高得分证书有两个及以上的，仅就一种证书计分。</w:t>
            </w:r>
          </w:p>
        </w:tc>
      </w:tr>
      <w:tr w14:paraId="39027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jc w:val="center"/>
        </w:trPr>
        <w:tc>
          <w:tcPr>
            <w:tcW w:w="1246" w:type="dxa"/>
            <w:vMerge w:val="continue"/>
            <w:noWrap w:val="0"/>
            <w:vAlign w:val="center"/>
          </w:tcPr>
          <w:p w14:paraId="052666A3">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center"/>
              <w:textAlignment w:val="baseline"/>
              <w:rPr>
                <w:rFonts w:hint="eastAsia" w:ascii="宋体" w:hAnsi="宋体" w:eastAsia="宋体" w:cs="宋体"/>
                <w:snapToGrid w:val="0"/>
                <w:color w:val="000000"/>
                <w:spacing w:val="2"/>
                <w:kern w:val="0"/>
                <w:position w:val="17"/>
                <w:sz w:val="21"/>
                <w:szCs w:val="21"/>
                <w:lang w:val="en-US" w:eastAsia="zh-CN" w:bidi="ar-SA"/>
              </w:rPr>
            </w:pPr>
          </w:p>
        </w:tc>
        <w:tc>
          <w:tcPr>
            <w:tcW w:w="1601" w:type="dxa"/>
            <w:tcBorders>
              <w:right w:val="single" w:color="auto" w:sz="2" w:space="0"/>
            </w:tcBorders>
            <w:noWrap w:val="0"/>
            <w:vAlign w:val="center"/>
          </w:tcPr>
          <w:p w14:paraId="1809E7CD">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专业能力（3分）</w:t>
            </w:r>
          </w:p>
        </w:tc>
        <w:tc>
          <w:tcPr>
            <w:tcW w:w="5360" w:type="dxa"/>
            <w:noWrap w:val="0"/>
            <w:vAlign w:val="center"/>
          </w:tcPr>
          <w:p w14:paraId="783CF054">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供应商或项目负责人（主评人）2020年1月1日以来参与过预算绩效管理相关课题研究或发表相关专著、期刊论文的，每提供一项得1分，最多得3分。在响应文件中附相关证明材料，否则不予认可</w:t>
            </w:r>
          </w:p>
        </w:tc>
      </w:tr>
      <w:tr w14:paraId="0EB4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6" w:type="dxa"/>
            <w:vMerge w:val="restart"/>
            <w:noWrap w:val="0"/>
            <w:vAlign w:val="center"/>
          </w:tcPr>
          <w:p w14:paraId="5DCB1384">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技术部分</w:t>
            </w:r>
          </w:p>
          <w:p w14:paraId="61841CFA">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（48分）</w:t>
            </w:r>
          </w:p>
        </w:tc>
        <w:tc>
          <w:tcPr>
            <w:tcW w:w="1601" w:type="dxa"/>
            <w:tcBorders>
              <w:right w:val="single" w:color="auto" w:sz="2" w:space="0"/>
            </w:tcBorders>
            <w:noWrap w:val="0"/>
            <w:vAlign w:val="center"/>
          </w:tcPr>
          <w:p w14:paraId="62B57C1C">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对预算绩效管理服务的认识和理解（5分）</w:t>
            </w:r>
          </w:p>
        </w:tc>
        <w:tc>
          <w:tcPr>
            <w:tcW w:w="5360" w:type="dxa"/>
            <w:noWrap w:val="0"/>
            <w:vAlign w:val="center"/>
          </w:tcPr>
          <w:p w14:paraId="1940E6CE">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1.对预算绩效管理有全面深入的认识和理解，能够详细介绍预算绩效管理有关法律和政策要求、管理框架、积极作用和最新进展等有关内容的，得5分；</w:t>
            </w:r>
          </w:p>
          <w:p w14:paraId="49FC0E73">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2.对预算绩效管理有较全面的了解和认识、能够大概介绍的，得3分；</w:t>
            </w:r>
          </w:p>
          <w:p w14:paraId="79CD2F8B">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3.对预算绩效管理不甚理解、介绍的内容陈旧、不符合现阶段情况的，得2分；</w:t>
            </w:r>
          </w:p>
          <w:p w14:paraId="517D109F">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4.有明显错误或未提供的不得分。</w:t>
            </w:r>
          </w:p>
        </w:tc>
      </w:tr>
      <w:tr w14:paraId="07B66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6" w:type="dxa"/>
            <w:vMerge w:val="continue"/>
            <w:noWrap w:val="0"/>
            <w:vAlign w:val="center"/>
          </w:tcPr>
          <w:p w14:paraId="7CAA1FF0">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center"/>
              <w:textAlignment w:val="baseline"/>
              <w:rPr>
                <w:rFonts w:hint="eastAsia" w:ascii="宋体" w:hAnsi="宋体" w:eastAsia="宋体" w:cs="宋体"/>
                <w:snapToGrid w:val="0"/>
                <w:color w:val="000000"/>
                <w:spacing w:val="2"/>
                <w:kern w:val="0"/>
                <w:position w:val="17"/>
                <w:sz w:val="21"/>
                <w:szCs w:val="21"/>
                <w:lang w:val="en-US" w:eastAsia="zh-CN" w:bidi="ar-SA"/>
              </w:rPr>
            </w:pPr>
          </w:p>
        </w:tc>
        <w:tc>
          <w:tcPr>
            <w:tcW w:w="1601" w:type="dxa"/>
            <w:tcBorders>
              <w:right w:val="single" w:color="auto" w:sz="2" w:space="0"/>
            </w:tcBorders>
            <w:noWrap w:val="0"/>
            <w:vAlign w:val="center"/>
          </w:tcPr>
          <w:p w14:paraId="70248850">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服务实施方案</w:t>
            </w:r>
          </w:p>
          <w:p w14:paraId="329B39F0">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（10分）</w:t>
            </w:r>
          </w:p>
        </w:tc>
        <w:tc>
          <w:tcPr>
            <w:tcW w:w="5360" w:type="dxa"/>
            <w:noWrap w:val="0"/>
            <w:vAlign w:val="center"/>
          </w:tcPr>
          <w:p w14:paraId="7C493A5E">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1.根据征集人服务需求，制定切实可行的整体服务实施方案，服务内容详实、项目需求理解全面、工作部署、</w:t>
            </w:r>
            <w:r>
              <w:rPr>
                <w:rFonts w:hint="eastAsia" w:ascii="宋体" w:hAnsi="宋体" w:eastAsia="宋体" w:cs="宋体"/>
                <w:snapToGrid w:val="0"/>
                <w:color w:val="auto"/>
                <w:spacing w:val="2"/>
                <w:kern w:val="0"/>
                <w:position w:val="17"/>
                <w:sz w:val="21"/>
                <w:szCs w:val="21"/>
                <w:highlight w:val="none"/>
                <w:lang w:val="en-US" w:eastAsia="zh-CN" w:bidi="ar-SA"/>
              </w:rPr>
              <w:t>岗位职责安排（含项目负责人、主评人、专家）</w:t>
            </w:r>
            <w:r>
              <w:rPr>
                <w:rFonts w:hint="eastAsia" w:ascii="宋体" w:hAnsi="宋体" w:eastAsia="宋体" w:cs="宋体"/>
                <w:snapToGrid w:val="0"/>
                <w:color w:val="000000"/>
                <w:spacing w:val="2"/>
                <w:kern w:val="0"/>
                <w:position w:val="17"/>
                <w:sz w:val="21"/>
                <w:szCs w:val="21"/>
                <w:lang w:val="en-US" w:eastAsia="zh-CN" w:bidi="ar-SA"/>
              </w:rPr>
              <w:t>、资源配置清晰且服务流程具体、可行性强的得10分；</w:t>
            </w:r>
          </w:p>
          <w:p w14:paraId="6DD33A7C">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2.服务内容较详实，项目需求理解较全面，工作部署、</w:t>
            </w:r>
            <w:r>
              <w:rPr>
                <w:rFonts w:hint="eastAsia" w:ascii="宋体" w:hAnsi="宋体" w:eastAsia="宋体" w:cs="宋体"/>
                <w:snapToGrid w:val="0"/>
                <w:color w:val="auto"/>
                <w:spacing w:val="2"/>
                <w:kern w:val="0"/>
                <w:position w:val="17"/>
                <w:sz w:val="21"/>
                <w:szCs w:val="21"/>
                <w:highlight w:val="none"/>
                <w:lang w:val="en-US" w:eastAsia="zh-CN" w:bidi="ar-SA"/>
              </w:rPr>
              <w:t>岗位职责安排（含项目负责人、主评人、专家）</w:t>
            </w:r>
            <w:r>
              <w:rPr>
                <w:rFonts w:hint="eastAsia" w:ascii="宋体" w:hAnsi="宋体" w:eastAsia="宋体" w:cs="宋体"/>
                <w:snapToGrid w:val="0"/>
                <w:color w:val="000000"/>
                <w:spacing w:val="2"/>
                <w:kern w:val="0"/>
                <w:position w:val="17"/>
                <w:sz w:val="21"/>
                <w:szCs w:val="21"/>
                <w:lang w:val="en-US" w:eastAsia="zh-CN" w:bidi="ar-SA"/>
              </w:rPr>
              <w:t>、资源配置较清晰，服务流程较具体，可行性较强的得8分；</w:t>
            </w:r>
          </w:p>
          <w:p w14:paraId="6FD4F691">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3.服务内容基本详实，项目需求理解基本全面，工作部署、</w:t>
            </w:r>
            <w:r>
              <w:rPr>
                <w:rFonts w:hint="eastAsia" w:ascii="宋体" w:hAnsi="宋体" w:eastAsia="宋体" w:cs="宋体"/>
                <w:snapToGrid w:val="0"/>
                <w:color w:val="auto"/>
                <w:spacing w:val="2"/>
                <w:kern w:val="0"/>
                <w:position w:val="17"/>
                <w:sz w:val="21"/>
                <w:szCs w:val="21"/>
                <w:highlight w:val="none"/>
                <w:lang w:val="en-US" w:eastAsia="zh-CN" w:bidi="ar-SA"/>
              </w:rPr>
              <w:t>岗位职责安排（含项目负责人、主评人、专家）</w:t>
            </w:r>
            <w:r>
              <w:rPr>
                <w:rFonts w:hint="eastAsia" w:ascii="宋体" w:hAnsi="宋体" w:eastAsia="宋体" w:cs="宋体"/>
                <w:snapToGrid w:val="0"/>
                <w:color w:val="000000"/>
                <w:spacing w:val="2"/>
                <w:kern w:val="0"/>
                <w:position w:val="17"/>
                <w:sz w:val="21"/>
                <w:szCs w:val="21"/>
                <w:lang w:val="en-US" w:eastAsia="zh-CN" w:bidi="ar-SA"/>
              </w:rPr>
              <w:t>、资源配置基本清晰，服务流程基本具体，切实可行的得6分；</w:t>
            </w:r>
          </w:p>
          <w:p w14:paraId="3F5A2B78">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4.服务内容不详实、项目需求理解不全面，工作部署、</w:t>
            </w:r>
            <w:r>
              <w:rPr>
                <w:rFonts w:hint="eastAsia" w:ascii="宋体" w:hAnsi="宋体" w:eastAsia="宋体" w:cs="宋体"/>
                <w:snapToGrid w:val="0"/>
                <w:color w:val="auto"/>
                <w:spacing w:val="2"/>
                <w:kern w:val="0"/>
                <w:position w:val="17"/>
                <w:sz w:val="21"/>
                <w:szCs w:val="21"/>
                <w:highlight w:val="none"/>
                <w:lang w:val="en-US" w:eastAsia="zh-CN" w:bidi="ar-SA"/>
              </w:rPr>
              <w:t>岗位职责安排（含项目负责人、主评人、专家）</w:t>
            </w:r>
            <w:r>
              <w:rPr>
                <w:rFonts w:hint="eastAsia" w:ascii="宋体" w:hAnsi="宋体" w:eastAsia="宋体" w:cs="宋体"/>
                <w:snapToGrid w:val="0"/>
                <w:color w:val="000000"/>
                <w:spacing w:val="2"/>
                <w:kern w:val="0"/>
                <w:position w:val="17"/>
                <w:sz w:val="21"/>
                <w:szCs w:val="21"/>
                <w:lang w:val="en-US" w:eastAsia="zh-CN" w:bidi="ar-SA"/>
              </w:rPr>
              <w:t>、资源配置不清晰，服务流程不具体，切实可行一般的得4分；</w:t>
            </w:r>
          </w:p>
          <w:p w14:paraId="72CC04F0">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5.未提供不得分。</w:t>
            </w:r>
          </w:p>
        </w:tc>
      </w:tr>
      <w:tr w14:paraId="3E0CF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6" w:type="dxa"/>
            <w:vMerge w:val="continue"/>
            <w:noWrap w:val="0"/>
            <w:vAlign w:val="center"/>
          </w:tcPr>
          <w:p w14:paraId="6961A0B6">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center"/>
              <w:textAlignment w:val="baseline"/>
              <w:rPr>
                <w:rFonts w:hint="eastAsia" w:ascii="宋体" w:hAnsi="宋体" w:eastAsia="宋体" w:cs="宋体"/>
                <w:snapToGrid w:val="0"/>
                <w:color w:val="000000"/>
                <w:spacing w:val="2"/>
                <w:kern w:val="0"/>
                <w:position w:val="17"/>
                <w:sz w:val="21"/>
                <w:szCs w:val="21"/>
                <w:lang w:val="en-US" w:eastAsia="zh-CN" w:bidi="ar-SA"/>
              </w:rPr>
            </w:pPr>
          </w:p>
        </w:tc>
        <w:tc>
          <w:tcPr>
            <w:tcW w:w="1601" w:type="dxa"/>
            <w:tcBorders>
              <w:right w:val="single" w:color="auto" w:sz="2" w:space="0"/>
            </w:tcBorders>
            <w:noWrap w:val="0"/>
            <w:vAlign w:val="center"/>
          </w:tcPr>
          <w:p w14:paraId="0A6E7CD0">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服务质量</w:t>
            </w:r>
          </w:p>
          <w:p w14:paraId="5AF01931">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保障措施</w:t>
            </w:r>
          </w:p>
          <w:p w14:paraId="7203BCAE">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（5分）</w:t>
            </w:r>
          </w:p>
        </w:tc>
        <w:tc>
          <w:tcPr>
            <w:tcW w:w="5360" w:type="dxa"/>
            <w:noWrap w:val="0"/>
            <w:vAlign w:val="center"/>
          </w:tcPr>
          <w:p w14:paraId="26715456">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质量目标明确，并有实现质量目标的保障措施，各阶段具有保证质量的工作内容、工作方法、工作重点、难点分析及相关的处理措施。根据各供应商的质量保证措施是否符合以下标准进行评审：</w:t>
            </w:r>
          </w:p>
          <w:p w14:paraId="7C042B1F">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1.制定有包括上述所有内容的服务质量保障措施，具有各阶段保证质量的工作内容、工作方法、工作重点、关键节点的质量控制措施和处理方法，内容详实完整、条理清晰、有可量化的操作措施，且切实可行，得5分；</w:t>
            </w:r>
          </w:p>
          <w:p w14:paraId="27EBB66C">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2.制定有包括上述所有内容的服务质量保障措施，具有各阶段保证质量的工作内容、工作方法、工作重点、关键节点有质量控制措施和处理方法，内容完整，可量化的操作措施和可操作性一般，得4分；</w:t>
            </w:r>
          </w:p>
          <w:p w14:paraId="3F9F7CDB">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3.制定有基本包括上述所有内容相应的服务质量保障措施，各阶段保证质量的工作内容、工作方法、工作重点、关键节点只有基本的质量控制措施和处理方法，内容比较完整、可量化的操作措施、可操作性较差，得3分；</w:t>
            </w:r>
          </w:p>
          <w:p w14:paraId="6AF99D5E">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 xml:space="preserve">4.制定的服务质量保障措施较为简单，各阶段保证质量的工作内容、工作方法、工作重点、关键节点的质量控制措施有欠缺，可行性差，得2分； </w:t>
            </w:r>
          </w:p>
          <w:p w14:paraId="64BDBED2">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5.制定的服务质量保障措施未能包括上述所有相应内容，各阶段保证质量的工作内容、工作方法、工作重点、关键节点的质量控制措施有明显的缺陷，得1分；</w:t>
            </w:r>
          </w:p>
          <w:p w14:paraId="0728022F">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6.未提供服务质量保障措施不得分。</w:t>
            </w:r>
          </w:p>
        </w:tc>
      </w:tr>
      <w:tr w14:paraId="3E08F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6" w:type="dxa"/>
            <w:vMerge w:val="continue"/>
            <w:noWrap w:val="0"/>
            <w:vAlign w:val="center"/>
          </w:tcPr>
          <w:p w14:paraId="0EBFE3D8">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center"/>
              <w:textAlignment w:val="baseline"/>
              <w:rPr>
                <w:rFonts w:hint="eastAsia" w:ascii="宋体" w:hAnsi="宋体" w:eastAsia="宋体" w:cs="宋体"/>
                <w:snapToGrid w:val="0"/>
                <w:color w:val="000000"/>
                <w:spacing w:val="2"/>
                <w:kern w:val="0"/>
                <w:position w:val="17"/>
                <w:sz w:val="21"/>
                <w:szCs w:val="21"/>
                <w:lang w:val="en-US" w:eastAsia="zh-CN" w:bidi="ar-SA"/>
              </w:rPr>
            </w:pPr>
          </w:p>
        </w:tc>
        <w:tc>
          <w:tcPr>
            <w:tcW w:w="1601" w:type="dxa"/>
            <w:tcBorders>
              <w:right w:val="single" w:color="auto" w:sz="2" w:space="0"/>
            </w:tcBorders>
            <w:noWrap w:val="0"/>
            <w:vAlign w:val="center"/>
          </w:tcPr>
          <w:p w14:paraId="4C2D028D">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履约服务便利度保障措施（5分）</w:t>
            </w:r>
          </w:p>
        </w:tc>
        <w:tc>
          <w:tcPr>
            <w:tcW w:w="5360" w:type="dxa"/>
            <w:noWrap w:val="0"/>
            <w:vAlign w:val="center"/>
          </w:tcPr>
          <w:p w14:paraId="27B33A0A">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1.服务保障内容完善（包括但不限于拟投入本项目人员到岗保障、执业质量保障、工作期间提供驻场服务保障、积极配合采购人工作保障、服从工作安排等保障措施），得5分；</w:t>
            </w:r>
          </w:p>
          <w:p w14:paraId="0448946F">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2.服务保障内容相对完善，能够提供驻场服务，可以配合采购人的工作，服从采购人的工作安排，能解决工作中的问题，得3分；</w:t>
            </w:r>
          </w:p>
          <w:p w14:paraId="1BF900C7">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3.服务保障内容基本完善，不能够提供驻场服务，得1分；</w:t>
            </w:r>
          </w:p>
          <w:p w14:paraId="0679EBCA">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4.服务保障内容不完善，且不能提供驻场服务，不得分。</w:t>
            </w:r>
          </w:p>
        </w:tc>
      </w:tr>
      <w:tr w14:paraId="3475E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1246" w:type="dxa"/>
            <w:vMerge w:val="continue"/>
            <w:noWrap w:val="0"/>
            <w:vAlign w:val="center"/>
          </w:tcPr>
          <w:p w14:paraId="3B96A2C9">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center"/>
              <w:textAlignment w:val="baseline"/>
              <w:rPr>
                <w:rFonts w:hint="eastAsia" w:ascii="宋体" w:hAnsi="宋体" w:eastAsia="宋体" w:cs="宋体"/>
                <w:snapToGrid w:val="0"/>
                <w:color w:val="000000"/>
                <w:spacing w:val="2"/>
                <w:kern w:val="0"/>
                <w:position w:val="17"/>
                <w:sz w:val="21"/>
                <w:szCs w:val="21"/>
                <w:lang w:val="en-US" w:eastAsia="zh-CN" w:bidi="ar-SA"/>
              </w:rPr>
            </w:pPr>
          </w:p>
        </w:tc>
        <w:tc>
          <w:tcPr>
            <w:tcW w:w="1601" w:type="dxa"/>
            <w:tcBorders>
              <w:right w:val="single" w:color="auto" w:sz="2" w:space="0"/>
            </w:tcBorders>
            <w:noWrap w:val="0"/>
            <w:vAlign w:val="center"/>
          </w:tcPr>
          <w:p w14:paraId="0FA79349">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内部管理制度</w:t>
            </w:r>
          </w:p>
          <w:p w14:paraId="4A32FEB7">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（5分）</w:t>
            </w:r>
          </w:p>
        </w:tc>
        <w:tc>
          <w:tcPr>
            <w:tcW w:w="5360" w:type="dxa"/>
            <w:noWrap w:val="0"/>
            <w:vAlign w:val="center"/>
          </w:tcPr>
          <w:p w14:paraId="0A13143A">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具有财务管理制度、质量控制制度、时效控制制度、风险控制制度、保密制度、技术档案管理制度的（提供供应商相关管理制度的扫描件），得5分。</w:t>
            </w:r>
          </w:p>
          <w:p w14:paraId="75D9F619">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6个方面有部分缺项的，每缺一方面减1分，本项得分减完为止。</w:t>
            </w:r>
          </w:p>
        </w:tc>
      </w:tr>
      <w:tr w14:paraId="066A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6" w:type="dxa"/>
            <w:vMerge w:val="continue"/>
            <w:noWrap w:val="0"/>
            <w:vAlign w:val="center"/>
          </w:tcPr>
          <w:p w14:paraId="36FB6FE4">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center"/>
              <w:textAlignment w:val="baseline"/>
              <w:rPr>
                <w:rFonts w:hint="eastAsia" w:ascii="宋体" w:hAnsi="宋体" w:eastAsia="宋体" w:cs="宋体"/>
                <w:snapToGrid w:val="0"/>
                <w:color w:val="000000"/>
                <w:spacing w:val="2"/>
                <w:kern w:val="0"/>
                <w:position w:val="17"/>
                <w:sz w:val="21"/>
                <w:szCs w:val="21"/>
                <w:lang w:val="en-US" w:eastAsia="zh-CN" w:bidi="ar-SA"/>
              </w:rPr>
            </w:pPr>
          </w:p>
        </w:tc>
        <w:tc>
          <w:tcPr>
            <w:tcW w:w="1601" w:type="dxa"/>
            <w:tcBorders>
              <w:right w:val="single" w:color="auto" w:sz="2" w:space="0"/>
            </w:tcBorders>
            <w:noWrap w:val="0"/>
            <w:vAlign w:val="center"/>
          </w:tcPr>
          <w:p w14:paraId="03BABFC0">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000000"/>
                <w:spacing w:val="2"/>
                <w:kern w:val="0"/>
                <w:position w:val="17"/>
                <w:sz w:val="21"/>
                <w:szCs w:val="21"/>
                <w:lang w:val="en-US" w:eastAsia="zh-CN" w:bidi="ar-SA"/>
              </w:rPr>
            </w:pPr>
          </w:p>
          <w:p w14:paraId="3B06B26D">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000000"/>
                <w:spacing w:val="2"/>
                <w:kern w:val="0"/>
                <w:position w:val="17"/>
                <w:sz w:val="21"/>
                <w:szCs w:val="21"/>
                <w:lang w:val="en-US" w:eastAsia="zh-CN" w:bidi="ar-SA"/>
              </w:rPr>
            </w:pPr>
          </w:p>
          <w:p w14:paraId="6E2A5E2B">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进度保障措施</w:t>
            </w:r>
          </w:p>
          <w:p w14:paraId="16354B8E">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（5分）</w:t>
            </w:r>
          </w:p>
        </w:tc>
        <w:tc>
          <w:tcPr>
            <w:tcW w:w="5360" w:type="dxa"/>
            <w:noWrap w:val="0"/>
            <w:vAlign w:val="center"/>
          </w:tcPr>
          <w:p w14:paraId="4704F9D9">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服务进度控制措施包括进度计划、人员配备、资源配备计划、在服务期限内完成项目任务的承诺且具有进度控制措施和处理方法。根据各供应商的进度保障措施是否符合以下标准进行评审：</w:t>
            </w:r>
          </w:p>
          <w:p w14:paraId="76A1D1ED">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1.内容详实完整、条理清晰、有可量化的操作措施且切实可行，得5分；</w:t>
            </w:r>
          </w:p>
          <w:p w14:paraId="4E96DF99">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2.内容比较完整、有可量化的操作措施、可操作性一般，得3分；</w:t>
            </w:r>
          </w:p>
          <w:p w14:paraId="32EBA4A8">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3.内容有明显缺失、不完整，得1分；</w:t>
            </w:r>
          </w:p>
          <w:p w14:paraId="5C8C23E7">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4.未提供进度保障措施的不得分。</w:t>
            </w:r>
          </w:p>
        </w:tc>
      </w:tr>
      <w:tr w14:paraId="4B4EA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6" w:type="dxa"/>
            <w:vMerge w:val="continue"/>
            <w:noWrap w:val="0"/>
            <w:vAlign w:val="center"/>
          </w:tcPr>
          <w:p w14:paraId="75A5D641">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center"/>
              <w:textAlignment w:val="baseline"/>
              <w:rPr>
                <w:rFonts w:hint="eastAsia" w:ascii="宋体" w:hAnsi="宋体" w:eastAsia="宋体" w:cs="宋体"/>
                <w:snapToGrid w:val="0"/>
                <w:color w:val="000000"/>
                <w:spacing w:val="2"/>
                <w:kern w:val="0"/>
                <w:position w:val="17"/>
                <w:sz w:val="21"/>
                <w:szCs w:val="21"/>
                <w:lang w:val="en-US" w:eastAsia="zh-CN" w:bidi="ar-SA"/>
              </w:rPr>
            </w:pPr>
          </w:p>
        </w:tc>
        <w:tc>
          <w:tcPr>
            <w:tcW w:w="1601" w:type="dxa"/>
            <w:tcBorders>
              <w:right w:val="single" w:color="auto" w:sz="2" w:space="0"/>
            </w:tcBorders>
            <w:noWrap w:val="0"/>
            <w:vAlign w:val="center"/>
          </w:tcPr>
          <w:p w14:paraId="119AE563">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业务操作流程</w:t>
            </w:r>
          </w:p>
          <w:p w14:paraId="7D6B6060">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（5分）</w:t>
            </w:r>
          </w:p>
        </w:tc>
        <w:tc>
          <w:tcPr>
            <w:tcW w:w="5360" w:type="dxa"/>
            <w:noWrap w:val="0"/>
            <w:vAlign w:val="center"/>
          </w:tcPr>
          <w:p w14:paraId="04B60A03">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有完善的工作流程、工作计划及实施时间，体现标准化服务，管理服务水平符合国家和行业标准。根据各供应商的业务操作流程是否符合以下标准进行评审：</w:t>
            </w:r>
          </w:p>
          <w:p w14:paraId="7350B94A">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1.内容详实完整、条理清晰、有可量化的操作措施且切实可行，得5分；</w:t>
            </w:r>
          </w:p>
          <w:p w14:paraId="4575E9FE">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2.内容比较完整、有可量化的操作措施、可操作性一般，得3分；</w:t>
            </w:r>
          </w:p>
          <w:p w14:paraId="3E2E768B">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3.内容有明显缺失、不完整，得1分；</w:t>
            </w:r>
          </w:p>
          <w:p w14:paraId="412A1F63">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4.未提供业务操作流程的不得分。</w:t>
            </w:r>
          </w:p>
        </w:tc>
      </w:tr>
      <w:tr w14:paraId="08B8F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6" w:type="dxa"/>
            <w:vMerge w:val="continue"/>
            <w:noWrap w:val="0"/>
            <w:vAlign w:val="center"/>
          </w:tcPr>
          <w:p w14:paraId="017976A2">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center"/>
              <w:textAlignment w:val="baseline"/>
              <w:rPr>
                <w:rFonts w:hint="eastAsia" w:ascii="宋体" w:hAnsi="宋体" w:eastAsia="宋体" w:cs="宋体"/>
                <w:snapToGrid w:val="0"/>
                <w:color w:val="000000"/>
                <w:spacing w:val="2"/>
                <w:kern w:val="0"/>
                <w:position w:val="17"/>
                <w:sz w:val="21"/>
                <w:szCs w:val="21"/>
                <w:lang w:val="en-US" w:eastAsia="zh-CN" w:bidi="ar-SA"/>
              </w:rPr>
            </w:pPr>
          </w:p>
        </w:tc>
        <w:tc>
          <w:tcPr>
            <w:tcW w:w="1601" w:type="dxa"/>
            <w:tcBorders>
              <w:right w:val="single" w:color="auto" w:sz="2" w:space="0"/>
            </w:tcBorders>
            <w:noWrap w:val="0"/>
            <w:vAlign w:val="center"/>
          </w:tcPr>
          <w:p w14:paraId="74E81FA2">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风险管控措施</w:t>
            </w:r>
          </w:p>
          <w:p w14:paraId="48B703BC">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（5分）</w:t>
            </w:r>
          </w:p>
        </w:tc>
        <w:tc>
          <w:tcPr>
            <w:tcW w:w="5360" w:type="dxa"/>
            <w:noWrap w:val="0"/>
            <w:vAlign w:val="center"/>
          </w:tcPr>
          <w:p w14:paraId="1CA57A80">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项目风险防控管理措施包括项目开展的事前、事中、事后风险控制及应急措施。根据各供应商的风险管控措施是否符合以下标准进行评审：</w:t>
            </w:r>
          </w:p>
          <w:p w14:paraId="6344E288">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1.内容详实完整、条理清晰、有可量化的操作措施且切实可行，得5分；</w:t>
            </w:r>
          </w:p>
          <w:p w14:paraId="5132989B">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2.内容比较完整、有可量化的操作措施、可操作性一般，得3分；</w:t>
            </w:r>
          </w:p>
          <w:p w14:paraId="4471E359">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3.内容有明显缺失、不完整，得1分；</w:t>
            </w:r>
          </w:p>
          <w:p w14:paraId="199803DA">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4.未提供风险管控措施的不得分。</w:t>
            </w:r>
          </w:p>
        </w:tc>
      </w:tr>
      <w:tr w14:paraId="340C0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1246" w:type="dxa"/>
            <w:vMerge w:val="continue"/>
            <w:noWrap w:val="0"/>
            <w:vAlign w:val="center"/>
          </w:tcPr>
          <w:p w14:paraId="1F44A5AB">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center"/>
              <w:textAlignment w:val="baseline"/>
              <w:rPr>
                <w:rFonts w:hint="eastAsia" w:ascii="宋体" w:hAnsi="宋体" w:eastAsia="宋体" w:cs="宋体"/>
                <w:snapToGrid w:val="0"/>
                <w:color w:val="000000"/>
                <w:spacing w:val="2"/>
                <w:kern w:val="0"/>
                <w:position w:val="17"/>
                <w:sz w:val="21"/>
                <w:szCs w:val="21"/>
                <w:lang w:val="en-US" w:eastAsia="zh-CN" w:bidi="ar-SA"/>
              </w:rPr>
            </w:pPr>
          </w:p>
        </w:tc>
        <w:tc>
          <w:tcPr>
            <w:tcW w:w="1601" w:type="dxa"/>
            <w:tcBorders>
              <w:right w:val="single" w:color="auto" w:sz="2" w:space="0"/>
            </w:tcBorders>
            <w:noWrap w:val="0"/>
            <w:vAlign w:val="center"/>
          </w:tcPr>
          <w:p w14:paraId="6D79B2B5">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档案管理措施</w:t>
            </w:r>
          </w:p>
          <w:p w14:paraId="77D97268">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（3分）</w:t>
            </w:r>
          </w:p>
        </w:tc>
        <w:tc>
          <w:tcPr>
            <w:tcW w:w="5360" w:type="dxa"/>
            <w:noWrap w:val="0"/>
            <w:vAlign w:val="center"/>
          </w:tcPr>
          <w:p w14:paraId="37B84158">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项目档案管理措施包括档案管理制度、档案存放环境、存放档案的设施设备、档案的存放年限以及档案的可追溯性。根据各供应商的档案管理措施是否符合以下标准进行评审：</w:t>
            </w:r>
          </w:p>
          <w:p w14:paraId="6FE85BFA">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1.内容详实完整、条理清晰、有可量化的操作措施且切实可行，得3分；</w:t>
            </w:r>
          </w:p>
          <w:p w14:paraId="7AAC816A">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2.内容有明显缺失、不完整，得1分；</w:t>
            </w:r>
          </w:p>
          <w:p w14:paraId="1A67D164">
            <w:pPr>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left"/>
              <w:textAlignment w:val="baseline"/>
              <w:rPr>
                <w:rFonts w:hint="eastAsia" w:ascii="宋体" w:hAnsi="宋体" w:eastAsia="宋体" w:cs="宋体"/>
                <w:snapToGrid w:val="0"/>
                <w:color w:val="000000"/>
                <w:spacing w:val="2"/>
                <w:kern w:val="0"/>
                <w:position w:val="17"/>
                <w:sz w:val="21"/>
                <w:szCs w:val="21"/>
                <w:lang w:val="en-US" w:eastAsia="zh-CN" w:bidi="ar-SA"/>
              </w:rPr>
            </w:pPr>
            <w:r>
              <w:rPr>
                <w:rFonts w:hint="eastAsia" w:ascii="宋体" w:hAnsi="宋体" w:eastAsia="宋体" w:cs="宋体"/>
                <w:snapToGrid w:val="0"/>
                <w:color w:val="000000"/>
                <w:spacing w:val="2"/>
                <w:kern w:val="0"/>
                <w:position w:val="17"/>
                <w:sz w:val="21"/>
                <w:szCs w:val="21"/>
                <w:lang w:val="en-US" w:eastAsia="zh-CN" w:bidi="ar-SA"/>
              </w:rPr>
              <w:t>3.未提供档案管理措施的不得分。</w:t>
            </w:r>
          </w:p>
        </w:tc>
      </w:tr>
    </w:tbl>
    <w:p w14:paraId="0C66A6F2">
      <w:pPr>
        <w:ind w:firstLine="480" w:firstLineChars="200"/>
        <w:jc w:val="left"/>
        <w:rPr>
          <w:rFonts w:hint="eastAsia" w:ascii="仿宋" w:hAnsi="仿宋" w:eastAsia="仿宋" w:cs="仿宋"/>
          <w:kern w:val="0"/>
          <w:sz w:val="24"/>
          <w:szCs w:val="24"/>
        </w:rPr>
      </w:pPr>
    </w:p>
    <w:p w14:paraId="64531F2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评标采用</w:t>
      </w:r>
      <w:r>
        <w:rPr>
          <w:rFonts w:hint="eastAsia" w:asciiTheme="minorEastAsia" w:hAnsiTheme="minorEastAsia" w:eastAsiaTheme="minorEastAsia" w:cstheme="minorEastAsia"/>
          <w:sz w:val="24"/>
          <w:szCs w:val="24"/>
          <w:highlight w:val="none"/>
          <w:lang w:val="en-US" w:eastAsia="zh-CN"/>
        </w:rPr>
        <w:t>质量优先法</w:t>
      </w:r>
      <w:r>
        <w:rPr>
          <w:rFonts w:hint="eastAsia" w:asciiTheme="minorEastAsia" w:hAnsiTheme="minorEastAsia" w:eastAsiaTheme="minorEastAsia" w:cstheme="minorEastAsia"/>
          <w:sz w:val="24"/>
          <w:szCs w:val="24"/>
        </w:rPr>
        <w:t>，总分为100分。评审委员会根据综合评分情况，</w:t>
      </w:r>
      <w:r>
        <w:rPr>
          <w:rFonts w:hint="eastAsia" w:asciiTheme="minorEastAsia" w:hAnsiTheme="minorEastAsia" w:eastAsiaTheme="minorEastAsia" w:cstheme="minorEastAsia"/>
          <w:sz w:val="24"/>
          <w:szCs w:val="24"/>
          <w:highlight w:val="none"/>
          <w:lang w:val="en-US" w:eastAsia="zh-CN"/>
        </w:rPr>
        <w:t>淘汰20%后，</w:t>
      </w:r>
      <w:r>
        <w:rPr>
          <w:rFonts w:hint="eastAsia" w:asciiTheme="minorEastAsia" w:hAnsiTheme="minorEastAsia" w:eastAsiaTheme="minorEastAsia" w:cstheme="minorEastAsia"/>
          <w:sz w:val="24"/>
          <w:szCs w:val="24"/>
        </w:rPr>
        <w:t>按照评审得分由高到低的顺序推荐15名成交候选供应商，并编写评审报告。评审得分相同的，按照最后报价由低到高的顺序推荐；评审得分且最后报价相同的，按照服务方案得分由高到低顺序推荐。</w:t>
      </w:r>
    </w:p>
    <w:p w14:paraId="685798E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六.入围通知及签订合同</w:t>
      </w:r>
    </w:p>
    <w:p w14:paraId="13A68EA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1.授予框架协议</w:t>
      </w:r>
    </w:p>
    <w:p w14:paraId="41C743D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1.1 入围结果公告</w:t>
      </w:r>
    </w:p>
    <w:p w14:paraId="16B3826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1.1.1 采购代理机构应当在入围供应商确定之日起1个工作日内，在征集公告发布的同一媒体上发布入围结果公告，征集文件应当随入围结果同时公告。公告期限为1个工作日。</w:t>
      </w:r>
    </w:p>
    <w:p w14:paraId="48F7E67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1.1.2入围结果公告内容包括采购项目名称、编号、征集人的名称、地址、联系人和联系方式、入围供应商名称、地址及排序、主要服务内容及服务标准，入围价格、评审小组成员名单、采购代理服务收费标准及金额、公告期限及其他事项。</w:t>
      </w:r>
    </w:p>
    <w:p w14:paraId="04E82E5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1.1.3 入围通知书发出后，征集人不得违法改变入围结果，入围供应商无正当理由不得放弃入围。</w:t>
      </w:r>
    </w:p>
    <w:p w14:paraId="742EC6A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1.1.4 入围供应商为残疾人福利性单位的，征集人、采购代理机构将随入围结果同时公告其《残疾人福利性单位声明函》，接受社会监督。入围供应商享受《政府采购促进中小企业发展管理办法》规定的中小企业扶持政策的，征集人、采购代理机构应当随入围结果公开入围供应商的《中小企业声明函》。</w:t>
      </w:r>
    </w:p>
    <w:p w14:paraId="4F46783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 取消入围资格或者解除框架协议的情形</w:t>
      </w:r>
    </w:p>
    <w:p w14:paraId="6F87FA7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2.1 入围供应商有下列情形之一，尚未签订框架协议的，取消其入围资格；已经签订框架协议的，解除与其签订的框架协议：</w:t>
      </w:r>
    </w:p>
    <w:p w14:paraId="5640EC9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（1）恶意串通谋取入围或者合同成交的；</w:t>
      </w:r>
    </w:p>
    <w:p w14:paraId="0D0DDF0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（2）提供虚假材料谋取入围或者合同成交的；</w:t>
      </w:r>
    </w:p>
    <w:p w14:paraId="274C750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（3）无正当理由拒不接受合同授予的；</w:t>
      </w:r>
    </w:p>
    <w:p w14:paraId="39C22B6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（4）不履行合同义务或者履行合同义务不符合约定，经征集人请求履行后仍不履行或者仍未按约定履行的；</w:t>
      </w:r>
    </w:p>
    <w:p w14:paraId="52C33E3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（5）框架协议有效期内，因违法行为被禁止或限制参加政府采购活动的； </w:t>
      </w:r>
    </w:p>
    <w:p w14:paraId="4A2A3CA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（6）框架协议约定的其他情形。</w:t>
      </w:r>
    </w:p>
    <w:p w14:paraId="78AD088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2.2 被取消入围资格或者被解除框架协议的供应商不得参加同一封闭式框架协议补充征集。</w:t>
      </w:r>
    </w:p>
    <w:p w14:paraId="1956B21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2.3 因重大变故采购任务取消时，征集人有权拒绝任何供应商入围，且对受影响的供应商不承担任何责任。</w:t>
      </w:r>
    </w:p>
    <w:p w14:paraId="72BF348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 入围通知书</w:t>
      </w:r>
    </w:p>
    <w:p w14:paraId="2507936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在公告入围结果的同时，征集人或者采购代理机构应当向入围供应商发出入围通知书。</w:t>
      </w:r>
    </w:p>
    <w:p w14:paraId="5987C563">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3.1 《入围通知书》将作为签订合同的依据之一。</w:t>
      </w:r>
    </w:p>
    <w:p w14:paraId="638E750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3.2《入围通知书》发放办法：政府采购项目通过“南阳市公共资源交易中心公共服务平台”向中标人发出电子《入围通知书》后，入围供应商可登录南阳市公共资源交易平台会员系统，自行打印加盖电子签章的《入围通知书》。</w:t>
      </w:r>
    </w:p>
    <w:p w14:paraId="6F3B2EF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 履约保证金</w:t>
      </w:r>
    </w:p>
    <w:p w14:paraId="6C153A3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本项目不要求递交履约保证金。</w:t>
      </w:r>
    </w:p>
    <w:p w14:paraId="3725A86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 签订框架协议</w:t>
      </w:r>
    </w:p>
    <w:p w14:paraId="7F05DFA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征集人应当自入围通知书发出之日起3个工作日内和入围供应商签订框架协议，并在框架协议签订后3个工作日内，将框架协议副本报有关部门备案。</w:t>
      </w:r>
    </w:p>
    <w:p w14:paraId="6CB3305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5.1 所签订的框架协议不得对征集文件确定的事项和入围供应商响应文件作实质性修改。</w:t>
      </w:r>
    </w:p>
    <w:p w14:paraId="6BB18F7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5.2 征集文件、入围供应商的响应文件和澄清文件等，均应作为签约合同文本的基础。</w:t>
      </w:r>
    </w:p>
    <w:p w14:paraId="1A7061E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5.3 入围供应商无正当理由，不得主动放弃入围资格或者退出框架协议。</w:t>
      </w:r>
    </w:p>
    <w:p w14:paraId="1DCED23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5.4 征集人在框架协议签订后3个工作日内通过电子交易系统将入围信息告知适用框架协议的所有征集人或者服务对象。</w:t>
      </w:r>
    </w:p>
    <w:p w14:paraId="7D59CD6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5.5.入围信息应当包括所有入围供应商的名称、地址、联系方式、入围产品信息和协议价格等内容。入围产品信息应当详细列明服务内容、服务标准等能反映产品质量特点的内容。</w:t>
      </w:r>
    </w:p>
    <w:p w14:paraId="31F1A44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5.6 征集文件和入围信息在整个框架协议有效期内随时可供公众查阅。</w:t>
      </w:r>
    </w:p>
    <w:p w14:paraId="2C9E58E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 第二阶段成交供应商的选定</w:t>
      </w:r>
    </w:p>
    <w:p w14:paraId="2051D4C1">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6.1 由征集人按照供应商须知表中规定的方式确定第二阶段成交供应商。</w:t>
      </w:r>
    </w:p>
    <w:p w14:paraId="44224C0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6.2 征集人应当公开第二阶段成交结果。</w:t>
      </w:r>
    </w:p>
    <w:p w14:paraId="32D5BDB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6.3 服务对象采购框架协议约定的服务，应当将第二阶段的采购合同授予入围供应商。</w:t>
      </w:r>
    </w:p>
    <w:p w14:paraId="61CD6EA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6.4 同一框架协议采购应当使用统一的采购合同文本，服务对象和供应商不得擅自改变框架协议约定的合同实质性条款。</w:t>
      </w:r>
    </w:p>
    <w:p w14:paraId="207A88A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7 入围供应商的清退和补充规则</w:t>
      </w:r>
    </w:p>
    <w:p w14:paraId="3482F594">
      <w:pPr>
        <w:keepNext w:val="0"/>
        <w:keepLines w:val="0"/>
        <w:pageBreakBefore w:val="0"/>
        <w:widowControl/>
        <w:numPr>
          <w:ilvl w:val="1"/>
          <w:numId w:val="0"/>
        </w:numPr>
        <w:kinsoku/>
        <w:wordWrap w:val="0"/>
        <w:overflowPunct/>
        <w:topLinePunct w:val="0"/>
        <w:autoSpaceDE w:val="0"/>
        <w:autoSpaceDN w:val="0"/>
        <w:bidi w:val="0"/>
        <w:adjustRightInd w:val="0"/>
        <w:snapToGrid w:val="0"/>
        <w:spacing w:line="360" w:lineRule="auto"/>
        <w:ind w:left="0" w:leftChars="0"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7.1</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入围供应商的清退</w:t>
      </w:r>
    </w:p>
    <w:p w14:paraId="7736A442">
      <w:pPr>
        <w:keepNext w:val="0"/>
        <w:keepLines w:val="0"/>
        <w:pageBreakBefore w:val="0"/>
        <w:widowControl/>
        <w:numPr>
          <w:ilvl w:val="1"/>
          <w:numId w:val="0"/>
        </w:numPr>
        <w:kinsoku/>
        <w:wordWrap w:val="0"/>
        <w:overflowPunct/>
        <w:topLinePunct w:val="0"/>
        <w:autoSpaceDE w:val="0"/>
        <w:autoSpaceDN w:val="0"/>
        <w:bidi w:val="0"/>
        <w:adjustRightInd w:val="0"/>
        <w:snapToGrid w:val="0"/>
        <w:spacing w:line="360" w:lineRule="auto"/>
        <w:ind w:left="0" w:leftChars="0"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入围供应商无正当理由，不得主动放弃入围资格或者退出框架协议。入围供应商有下列情形之一，尚未签订框架协议的，取消其入围资格；已经签订框架协议的，解除与其签订的框架协议：</w:t>
      </w:r>
    </w:p>
    <w:p w14:paraId="41C7BBA7">
      <w:pPr>
        <w:keepNext w:val="0"/>
        <w:keepLines w:val="0"/>
        <w:pageBreakBefore w:val="0"/>
        <w:widowControl/>
        <w:numPr>
          <w:ilvl w:val="1"/>
          <w:numId w:val="0"/>
        </w:numPr>
        <w:kinsoku/>
        <w:wordWrap w:val="0"/>
        <w:overflowPunct/>
        <w:topLinePunct w:val="0"/>
        <w:autoSpaceDE w:val="0"/>
        <w:autoSpaceDN w:val="0"/>
        <w:bidi w:val="0"/>
        <w:adjustRightInd w:val="0"/>
        <w:snapToGrid w:val="0"/>
        <w:spacing w:line="360" w:lineRule="auto"/>
        <w:ind w:left="0" w:leftChars="0"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①恶意串通谋取入围或者合同成交的；</w:t>
      </w:r>
    </w:p>
    <w:p w14:paraId="17CBD315">
      <w:pPr>
        <w:keepNext w:val="0"/>
        <w:keepLines w:val="0"/>
        <w:pageBreakBefore w:val="0"/>
        <w:widowControl/>
        <w:numPr>
          <w:ilvl w:val="1"/>
          <w:numId w:val="0"/>
        </w:numPr>
        <w:kinsoku/>
        <w:wordWrap w:val="0"/>
        <w:overflowPunct/>
        <w:topLinePunct w:val="0"/>
        <w:autoSpaceDE w:val="0"/>
        <w:autoSpaceDN w:val="0"/>
        <w:bidi w:val="0"/>
        <w:adjustRightInd w:val="0"/>
        <w:snapToGrid w:val="0"/>
        <w:spacing w:line="360" w:lineRule="auto"/>
        <w:ind w:left="0" w:leftChars="0"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②提供虚假材料谋取入围或者合同成交的；</w:t>
      </w:r>
    </w:p>
    <w:p w14:paraId="04BCC25B">
      <w:pPr>
        <w:keepNext w:val="0"/>
        <w:keepLines w:val="0"/>
        <w:pageBreakBefore w:val="0"/>
        <w:widowControl/>
        <w:numPr>
          <w:ilvl w:val="1"/>
          <w:numId w:val="0"/>
        </w:numPr>
        <w:kinsoku/>
        <w:wordWrap w:val="0"/>
        <w:overflowPunct/>
        <w:topLinePunct w:val="0"/>
        <w:autoSpaceDE w:val="0"/>
        <w:autoSpaceDN w:val="0"/>
        <w:bidi w:val="0"/>
        <w:adjustRightInd w:val="0"/>
        <w:snapToGrid w:val="0"/>
        <w:spacing w:line="360" w:lineRule="auto"/>
        <w:ind w:left="0" w:leftChars="0"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③无正当理由拒不接受合同授予的；</w:t>
      </w:r>
    </w:p>
    <w:p w14:paraId="6870A181">
      <w:pPr>
        <w:keepNext w:val="0"/>
        <w:keepLines w:val="0"/>
        <w:pageBreakBefore w:val="0"/>
        <w:widowControl/>
        <w:numPr>
          <w:ilvl w:val="1"/>
          <w:numId w:val="0"/>
        </w:numPr>
        <w:kinsoku/>
        <w:wordWrap w:val="0"/>
        <w:overflowPunct/>
        <w:topLinePunct w:val="0"/>
        <w:autoSpaceDE w:val="0"/>
        <w:autoSpaceDN w:val="0"/>
        <w:bidi w:val="0"/>
        <w:adjustRightInd w:val="0"/>
        <w:snapToGrid w:val="0"/>
        <w:spacing w:line="360" w:lineRule="auto"/>
        <w:ind w:left="0" w:leftChars="0"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④不履行合同义务或者履行合同义务不符合约定，经征集人请求履行后仍不履行或者仍未按约定履行的；</w:t>
      </w:r>
    </w:p>
    <w:p w14:paraId="3626E13E">
      <w:pPr>
        <w:keepNext w:val="0"/>
        <w:keepLines w:val="0"/>
        <w:pageBreakBefore w:val="0"/>
        <w:widowControl/>
        <w:numPr>
          <w:ilvl w:val="1"/>
          <w:numId w:val="0"/>
        </w:numPr>
        <w:kinsoku/>
        <w:wordWrap w:val="0"/>
        <w:overflowPunct/>
        <w:topLinePunct w:val="0"/>
        <w:autoSpaceDE w:val="0"/>
        <w:autoSpaceDN w:val="0"/>
        <w:bidi w:val="0"/>
        <w:adjustRightInd w:val="0"/>
        <w:snapToGrid w:val="0"/>
        <w:spacing w:line="360" w:lineRule="auto"/>
        <w:ind w:left="0" w:leftChars="0"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⑤框架协议有效期内，因违法行为被禁止或限制参加政府采购活动的；</w:t>
      </w:r>
    </w:p>
    <w:p w14:paraId="570F388C">
      <w:pPr>
        <w:keepNext w:val="0"/>
        <w:keepLines w:val="0"/>
        <w:pageBreakBefore w:val="0"/>
        <w:widowControl/>
        <w:numPr>
          <w:ilvl w:val="1"/>
          <w:numId w:val="0"/>
        </w:numPr>
        <w:kinsoku/>
        <w:wordWrap w:val="0"/>
        <w:overflowPunct/>
        <w:topLinePunct w:val="0"/>
        <w:autoSpaceDE w:val="0"/>
        <w:autoSpaceDN w:val="0"/>
        <w:bidi w:val="0"/>
        <w:adjustRightInd w:val="0"/>
        <w:snapToGrid w:val="0"/>
        <w:spacing w:line="360" w:lineRule="auto"/>
        <w:ind w:left="0" w:leftChars="0"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⑥入围供应商实质性违反本合同约定的；</w:t>
      </w:r>
    </w:p>
    <w:p w14:paraId="51624936">
      <w:pPr>
        <w:keepNext w:val="0"/>
        <w:keepLines w:val="0"/>
        <w:pageBreakBefore w:val="0"/>
        <w:widowControl/>
        <w:numPr>
          <w:ilvl w:val="1"/>
          <w:numId w:val="0"/>
        </w:numPr>
        <w:kinsoku/>
        <w:wordWrap w:val="0"/>
        <w:overflowPunct/>
        <w:topLinePunct w:val="0"/>
        <w:autoSpaceDE w:val="0"/>
        <w:autoSpaceDN w:val="0"/>
        <w:bidi w:val="0"/>
        <w:adjustRightInd w:val="0"/>
        <w:snapToGrid w:val="0"/>
        <w:spacing w:line="360" w:lineRule="auto"/>
        <w:ind w:left="0" w:leftChars="0"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⑦入围供应商有违反合同约定或其职责、义务的行为，在征集人指定期限内未予以纠正或补救的；</w:t>
      </w:r>
    </w:p>
    <w:p w14:paraId="18AEF0E5">
      <w:pPr>
        <w:keepNext w:val="0"/>
        <w:keepLines w:val="0"/>
        <w:pageBreakBefore w:val="0"/>
        <w:widowControl/>
        <w:numPr>
          <w:ilvl w:val="1"/>
          <w:numId w:val="0"/>
        </w:numPr>
        <w:kinsoku/>
        <w:wordWrap w:val="0"/>
        <w:overflowPunct/>
        <w:topLinePunct w:val="0"/>
        <w:autoSpaceDE w:val="0"/>
        <w:autoSpaceDN w:val="0"/>
        <w:bidi w:val="0"/>
        <w:adjustRightInd w:val="0"/>
        <w:snapToGrid w:val="0"/>
        <w:spacing w:line="360" w:lineRule="auto"/>
        <w:ind w:left="0" w:leftChars="0"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⑧入围供应商泄漏委托方的秘密或与第三方串通损害征集人利益的；由此造成的经济损失，入围供应商应予赔偿；存在违法违规行为的,由相关部门进行处理；</w:t>
      </w:r>
    </w:p>
    <w:p w14:paraId="4B7DFA36">
      <w:pPr>
        <w:keepNext w:val="0"/>
        <w:keepLines w:val="0"/>
        <w:pageBreakBefore w:val="0"/>
        <w:widowControl/>
        <w:numPr>
          <w:ilvl w:val="1"/>
          <w:numId w:val="0"/>
        </w:numPr>
        <w:kinsoku/>
        <w:wordWrap w:val="0"/>
        <w:overflowPunct/>
        <w:topLinePunct w:val="0"/>
        <w:autoSpaceDE w:val="0"/>
        <w:autoSpaceDN w:val="0"/>
        <w:bidi w:val="0"/>
        <w:adjustRightInd w:val="0"/>
        <w:snapToGrid w:val="0"/>
        <w:spacing w:line="360" w:lineRule="auto"/>
        <w:ind w:left="0" w:leftChars="0"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⑨征集人针对项目完成时限、质量有权提出要求,由于入围供应商原因,项目完成时限超出委托时限或质量不合格的；</w:t>
      </w:r>
    </w:p>
    <w:p w14:paraId="0303FB84">
      <w:pPr>
        <w:keepNext w:val="0"/>
        <w:keepLines w:val="0"/>
        <w:pageBreakBefore w:val="0"/>
        <w:widowControl/>
        <w:numPr>
          <w:ilvl w:val="1"/>
          <w:numId w:val="0"/>
        </w:numPr>
        <w:kinsoku/>
        <w:wordWrap w:val="0"/>
        <w:overflowPunct/>
        <w:topLinePunct w:val="0"/>
        <w:autoSpaceDE w:val="0"/>
        <w:autoSpaceDN w:val="0"/>
        <w:bidi w:val="0"/>
        <w:adjustRightInd w:val="0"/>
        <w:snapToGrid w:val="0"/>
        <w:spacing w:line="360" w:lineRule="auto"/>
        <w:ind w:left="0" w:leftChars="0"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⑩入围供应商将征集人提供的相关资料丢失的；由此造成的经济损失，入围供应商应予赔偿；存在违法违规行为的，由相关部门进行处理；</w:t>
      </w:r>
    </w:p>
    <w:p w14:paraId="36C78B48">
      <w:pPr>
        <w:keepNext w:val="0"/>
        <w:keepLines w:val="0"/>
        <w:pageBreakBefore w:val="0"/>
        <w:widowControl/>
        <w:numPr>
          <w:ilvl w:val="1"/>
          <w:numId w:val="0"/>
        </w:numPr>
        <w:kinsoku/>
        <w:wordWrap w:val="0"/>
        <w:overflowPunct/>
        <w:topLinePunct w:val="0"/>
        <w:autoSpaceDE w:val="0"/>
        <w:autoSpaceDN w:val="0"/>
        <w:bidi w:val="0"/>
        <w:adjustRightInd w:val="0"/>
        <w:snapToGrid w:val="0"/>
        <w:spacing w:line="360" w:lineRule="auto"/>
        <w:ind w:left="0" w:leftChars="0"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⑪入围供应商提供服务时，需按委托人要求时限完成,无正当理由，未按时完成的将解除合同。</w:t>
      </w:r>
    </w:p>
    <w:p w14:paraId="5E66E5F2">
      <w:pPr>
        <w:keepNext w:val="0"/>
        <w:keepLines w:val="0"/>
        <w:pageBreakBefore w:val="0"/>
        <w:widowControl/>
        <w:numPr>
          <w:ilvl w:val="1"/>
          <w:numId w:val="0"/>
        </w:numPr>
        <w:kinsoku/>
        <w:wordWrap w:val="0"/>
        <w:overflowPunct/>
        <w:topLinePunct w:val="0"/>
        <w:autoSpaceDE w:val="0"/>
        <w:autoSpaceDN w:val="0"/>
        <w:bidi w:val="0"/>
        <w:adjustRightInd w:val="0"/>
        <w:snapToGrid w:val="0"/>
        <w:spacing w:line="360" w:lineRule="auto"/>
        <w:ind w:left="0" w:leftChars="0"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7.2 入围供应商的补充</w:t>
      </w:r>
    </w:p>
    <w:p w14:paraId="045B2B0B">
      <w:pPr>
        <w:keepNext w:val="0"/>
        <w:keepLines w:val="0"/>
        <w:pageBreakBefore w:val="0"/>
        <w:widowControl/>
        <w:numPr>
          <w:ilvl w:val="1"/>
          <w:numId w:val="0"/>
        </w:numPr>
        <w:kinsoku/>
        <w:wordWrap w:val="0"/>
        <w:overflowPunct/>
        <w:topLinePunct w:val="0"/>
        <w:autoSpaceDE w:val="0"/>
        <w:autoSpaceDN w:val="0"/>
        <w:bidi w:val="0"/>
        <w:adjustRightInd w:val="0"/>
        <w:snapToGrid w:val="0"/>
        <w:spacing w:line="360" w:lineRule="auto"/>
        <w:ind w:left="0" w:leftChars="0"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入围供应商被取消入围资格或者被解除框架协议的，不得参加同一封闭式框架协议补充征集活动,不得重新申请加入同一开放式框架协议。</w:t>
      </w:r>
    </w:p>
    <w:p w14:paraId="527C96B4">
      <w:pPr>
        <w:keepNext w:val="0"/>
        <w:keepLines w:val="0"/>
        <w:pageBreakBefore w:val="0"/>
        <w:widowControl/>
        <w:numPr>
          <w:ilvl w:val="1"/>
          <w:numId w:val="0"/>
        </w:numPr>
        <w:kinsoku/>
        <w:wordWrap w:val="0"/>
        <w:overflowPunct/>
        <w:topLinePunct w:val="0"/>
        <w:autoSpaceDE w:val="0"/>
        <w:autoSpaceDN w:val="0"/>
        <w:bidi w:val="0"/>
        <w:adjustRightInd w:val="0"/>
        <w:snapToGrid w:val="0"/>
        <w:spacing w:line="360" w:lineRule="auto"/>
        <w:ind w:left="0" w:leftChars="0"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剩余入围供应商不足入围供应商总数70%且影响框架协议执行的，框架协议有效期内征集人有权视情况进行补充。</w:t>
      </w:r>
    </w:p>
    <w:p w14:paraId="6DEB35C5">
      <w:pPr>
        <w:keepNext w:val="0"/>
        <w:keepLines w:val="0"/>
        <w:pageBreakBefore w:val="0"/>
        <w:widowControl/>
        <w:numPr>
          <w:ilvl w:val="1"/>
          <w:numId w:val="0"/>
        </w:numPr>
        <w:kinsoku/>
        <w:wordWrap w:val="0"/>
        <w:overflowPunct/>
        <w:topLinePunct w:val="0"/>
        <w:autoSpaceDE w:val="0"/>
        <w:autoSpaceDN w:val="0"/>
        <w:bidi w:val="0"/>
        <w:adjustRightInd w:val="0"/>
        <w:snapToGrid w:val="0"/>
        <w:spacing w:line="360" w:lineRule="auto"/>
        <w:ind w:left="0" w:leftChars="0"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补充征集的条件、程序、评审方法和淘汰比例与初次征集相同。补充征集遵守原框架协议的有效期。补充征集期间，原框架协议继续履行。</w:t>
      </w:r>
    </w:p>
    <w:p w14:paraId="5C2CFB6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56B76FDD">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七.质疑与答复</w:t>
      </w:r>
    </w:p>
    <w:p w14:paraId="5754DA2F">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入围</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或者成交结果使自己的权益受到损害的，可以在知道或者应知其权益受到损害之日起7个工作日内，以书面形式向</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征集人</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、采购代理机构提出质疑。供应商须在法定质疑期内一次性提出针对同一采购程序环节的质疑。</w:t>
      </w:r>
    </w:p>
    <w:p w14:paraId="3AF91686">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14:paraId="34151D70">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14:paraId="121AECFD">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在线接收，请质疑人上传质疑函原件扫描件到南阳市公共资源交易系统并电话通知到项目负责人。</w:t>
      </w:r>
    </w:p>
    <w:p w14:paraId="7BF35647">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14:paraId="672EED1E">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征集人</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和采购代理机构可以拒收，质疑供应商将依法承担不利后果。</w:t>
      </w:r>
    </w:p>
    <w:p w14:paraId="48BFCE51">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5.征集人</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和采购代理机构在收到质疑函后7个工作日内作出答复，并以书面形式通知质疑供应商和其他有关供应商。</w:t>
      </w:r>
    </w:p>
    <w:p w14:paraId="5276C1B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4CCBCCAE">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6579D369">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68EA69DF">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1C5377A1">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7CFF976A">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0401B6FF">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0210BBB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40ADD52D">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55CEECE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136F003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0739F200">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6C209A4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173F82CA">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14:paraId="20D14DF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14:paraId="3B7CD2D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14:paraId="06096C8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14:paraId="5359337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484B4511">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14:paraId="04E3E8D0">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30" w:firstLineChars="200"/>
        <w:jc w:val="both"/>
        <w:textAlignment w:val="baseline"/>
        <w:rPr>
          <w:rFonts w:hint="eastAsia" w:asciiTheme="minorEastAsia" w:hAnsiTheme="minorEastAsia" w:eastAsiaTheme="minorEastAsia" w:cstheme="minorEastAsia"/>
          <w:b/>
          <w:bCs/>
          <w:spacing w:val="-13"/>
          <w:sz w:val="24"/>
          <w:szCs w:val="24"/>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14:paraId="0C6DDFED">
      <w:pPr>
        <w:pStyle w:val="21"/>
        <w:keepNext w:val="0"/>
        <w:keepLines w:val="0"/>
        <w:pageBreakBefore w:val="0"/>
        <w:kinsoku/>
        <w:wordWrap w:val="0"/>
        <w:overflowPunct/>
        <w:topLinePunct w:val="0"/>
        <w:bidi w:val="0"/>
        <w:jc w:val="both"/>
        <w:rPr>
          <w:rFonts w:hint="eastAsia"/>
          <w:lang w:val="en-US" w:eastAsia="zh-CN"/>
        </w:rPr>
        <w:sectPr>
          <w:footerReference r:id="rId8" w:type="default"/>
          <w:pgSz w:w="11907" w:h="16840"/>
          <w:pgMar w:top="1440" w:right="1800" w:bottom="1440" w:left="1800" w:header="878" w:footer="886" w:gutter="0"/>
          <w:pgNumType w:fmt="decimal" w:start="1"/>
          <w:cols w:space="720" w:num="1"/>
        </w:sectPr>
      </w:pPr>
    </w:p>
    <w:p w14:paraId="344A3289">
      <w:pPr>
        <w:pStyle w:val="5"/>
        <w:keepNext w:val="0"/>
        <w:keepLines w:val="0"/>
        <w:pageBreakBefore w:val="0"/>
        <w:widowControl/>
        <w:numPr>
          <w:ilvl w:val="0"/>
          <w:numId w:val="5"/>
        </w:numPr>
        <w:kinsoku/>
        <w:wordWrap w:val="0"/>
        <w:overflowPunct/>
        <w:topLinePunct w:val="0"/>
        <w:autoSpaceDE w:val="0"/>
        <w:autoSpaceDN w:val="0"/>
        <w:bidi w:val="0"/>
        <w:adjustRightInd w:val="0"/>
        <w:snapToGrid w:val="0"/>
        <w:spacing w:before="353" w:line="219" w:lineRule="auto"/>
        <w:ind w:firstLine="358" w:firstLineChars="100"/>
        <w:jc w:val="center"/>
        <w:textAlignment w:val="baseline"/>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框架协议文本和采购合同文本（草案）</w:t>
      </w:r>
    </w:p>
    <w:p w14:paraId="0EE9204F">
      <w:pPr>
        <w:spacing w:before="41"/>
        <w:ind w:right="492"/>
        <w:jc w:val="center"/>
        <w:rPr>
          <w:rFonts w:hint="eastAsia" w:ascii="方正小标宋_GBK" w:hAnsi="方正小标宋_GBK" w:eastAsia="方正小标宋_GBK" w:cs="方正小标宋_GBK"/>
          <w:color w:val="282A2A"/>
          <w:w w:val="105"/>
          <w:sz w:val="42"/>
          <w:szCs w:val="24"/>
        </w:rPr>
      </w:pPr>
    </w:p>
    <w:p w14:paraId="0A5B058B">
      <w:pPr>
        <w:spacing w:before="41"/>
        <w:ind w:right="492"/>
        <w:jc w:val="center"/>
        <w:rPr>
          <w:rFonts w:hint="eastAsia" w:ascii="方正小标宋_GBK" w:hAnsi="方正小标宋_GBK" w:eastAsia="方正小标宋_GBK" w:cs="方正小标宋_GBK"/>
          <w:color w:val="282A2A"/>
          <w:w w:val="105"/>
          <w:sz w:val="42"/>
          <w:szCs w:val="24"/>
        </w:rPr>
      </w:pPr>
      <w:r>
        <w:rPr>
          <w:rFonts w:hint="eastAsia" w:ascii="方正小标宋_GBK" w:hAnsi="方正小标宋_GBK" w:eastAsia="方正小标宋_GBK" w:cs="方正小标宋_GBK"/>
          <w:color w:val="282A2A"/>
          <w:w w:val="105"/>
          <w:sz w:val="42"/>
          <w:szCs w:val="24"/>
        </w:rPr>
        <w:t>南阳市财政局财政预算绩效管理</w:t>
      </w:r>
    </w:p>
    <w:p w14:paraId="7985F938">
      <w:pPr>
        <w:spacing w:before="41"/>
        <w:ind w:right="492"/>
        <w:jc w:val="center"/>
        <w:rPr>
          <w:rFonts w:hint="eastAsia" w:ascii="方正小标宋_GBK" w:hAnsi="方正小标宋_GBK" w:eastAsia="方正小标宋_GBK" w:cs="方正小标宋_GBK"/>
          <w:sz w:val="42"/>
          <w:szCs w:val="24"/>
        </w:rPr>
      </w:pPr>
      <w:r>
        <w:rPr>
          <w:rFonts w:hint="eastAsia" w:ascii="方正小标宋_GBK" w:hAnsi="方正小标宋_GBK" w:eastAsia="方正小标宋_GBK" w:cs="方正小标宋_GBK"/>
          <w:color w:val="282A2A"/>
          <w:w w:val="105"/>
          <w:sz w:val="42"/>
          <w:szCs w:val="24"/>
        </w:rPr>
        <w:t>第三方服务机构委托服务框架协议</w:t>
      </w:r>
    </w:p>
    <w:p w14:paraId="6D460FED">
      <w:pPr>
        <w:rPr>
          <w:rFonts w:hint="eastAsia" w:ascii="宋体" w:hAnsi="宋体" w:cs="宋体"/>
          <w:szCs w:val="24"/>
        </w:rPr>
      </w:pPr>
    </w:p>
    <w:p w14:paraId="4DAFD610">
      <w:pPr>
        <w:rPr>
          <w:rFonts w:hint="eastAsia" w:ascii="宋体" w:hAnsi="宋体" w:cs="宋体"/>
          <w:szCs w:val="24"/>
        </w:rPr>
      </w:pPr>
    </w:p>
    <w:p w14:paraId="52610999">
      <w:pPr>
        <w:rPr>
          <w:rFonts w:hint="eastAsia" w:ascii="宋体" w:hAnsi="宋体" w:cs="宋体"/>
          <w:szCs w:val="24"/>
        </w:rPr>
      </w:pPr>
    </w:p>
    <w:p w14:paraId="12EE2938">
      <w:pPr>
        <w:rPr>
          <w:rFonts w:hint="eastAsia" w:ascii="宋体" w:hAnsi="宋体" w:cs="宋体"/>
          <w:szCs w:val="24"/>
        </w:rPr>
      </w:pPr>
    </w:p>
    <w:p w14:paraId="566752CF">
      <w:pPr>
        <w:rPr>
          <w:rFonts w:hint="eastAsia" w:ascii="宋体" w:hAnsi="宋体" w:cs="宋体"/>
          <w:szCs w:val="24"/>
        </w:rPr>
      </w:pPr>
    </w:p>
    <w:p w14:paraId="13578EEC">
      <w:pPr>
        <w:rPr>
          <w:rFonts w:hint="eastAsia" w:ascii="宋体" w:hAnsi="宋体" w:cs="宋体"/>
          <w:szCs w:val="24"/>
        </w:rPr>
      </w:pPr>
    </w:p>
    <w:p w14:paraId="3A98013D">
      <w:pPr>
        <w:jc w:val="left"/>
        <w:rPr>
          <w:rFonts w:ascii="宋体" w:hAnsi="宋体" w:cs="宋体"/>
          <w:szCs w:val="24"/>
        </w:rPr>
      </w:pPr>
      <w:bookmarkStart w:id="2" w:name="_Toc16336"/>
      <w:bookmarkStart w:id="3" w:name="_Toc3367"/>
    </w:p>
    <w:p w14:paraId="2690257F">
      <w:pPr>
        <w:jc w:val="left"/>
        <w:rPr>
          <w:rFonts w:ascii="宋体" w:hAnsi="宋体" w:cs="宋体"/>
          <w:szCs w:val="24"/>
        </w:rPr>
      </w:pPr>
    </w:p>
    <w:p w14:paraId="13B04A88">
      <w:pPr>
        <w:spacing w:line="360" w:lineRule="auto"/>
        <w:ind w:firstLine="3092" w:firstLineChars="1100"/>
        <w:rPr>
          <w:rFonts w:hint="eastAsia" w:ascii="仿宋" w:hAnsi="仿宋" w:eastAsia="仿宋"/>
          <w:b/>
          <w:kern w:val="44"/>
          <w:sz w:val="28"/>
          <w:szCs w:val="28"/>
        </w:rPr>
      </w:pPr>
    </w:p>
    <w:p w14:paraId="08BED010">
      <w:pPr>
        <w:spacing w:line="360" w:lineRule="auto"/>
        <w:ind w:firstLine="3092" w:firstLineChars="1100"/>
        <w:rPr>
          <w:rFonts w:hint="eastAsia" w:ascii="仿宋" w:hAnsi="仿宋" w:eastAsia="仿宋"/>
          <w:b/>
          <w:kern w:val="44"/>
          <w:sz w:val="28"/>
          <w:szCs w:val="28"/>
        </w:rPr>
      </w:pPr>
    </w:p>
    <w:p w14:paraId="6431253D">
      <w:pPr>
        <w:spacing w:line="360" w:lineRule="auto"/>
        <w:ind w:firstLine="3092" w:firstLineChars="1100"/>
        <w:rPr>
          <w:rFonts w:hint="eastAsia" w:ascii="仿宋" w:hAnsi="仿宋" w:eastAsia="仿宋"/>
          <w:b/>
          <w:kern w:val="44"/>
          <w:sz w:val="28"/>
          <w:szCs w:val="28"/>
        </w:rPr>
      </w:pPr>
    </w:p>
    <w:p w14:paraId="12939532">
      <w:pPr>
        <w:spacing w:line="360" w:lineRule="auto"/>
        <w:ind w:firstLine="3092" w:firstLineChars="1100"/>
        <w:rPr>
          <w:rFonts w:hint="eastAsia" w:ascii="仿宋" w:hAnsi="仿宋" w:eastAsia="仿宋"/>
          <w:b/>
          <w:kern w:val="44"/>
          <w:sz w:val="28"/>
          <w:szCs w:val="28"/>
        </w:rPr>
      </w:pPr>
    </w:p>
    <w:p w14:paraId="6740829D">
      <w:pPr>
        <w:spacing w:line="360" w:lineRule="auto"/>
        <w:ind w:firstLine="3092" w:firstLineChars="1100"/>
        <w:rPr>
          <w:rFonts w:hint="eastAsia" w:ascii="仿宋" w:hAnsi="仿宋" w:eastAsia="仿宋"/>
          <w:b/>
          <w:kern w:val="44"/>
          <w:sz w:val="28"/>
          <w:szCs w:val="28"/>
        </w:rPr>
      </w:pPr>
    </w:p>
    <w:p w14:paraId="5F082313">
      <w:pPr>
        <w:spacing w:line="360" w:lineRule="auto"/>
        <w:ind w:firstLine="3092" w:firstLineChars="1100"/>
        <w:rPr>
          <w:rFonts w:hint="eastAsia" w:ascii="仿宋" w:hAnsi="仿宋" w:eastAsia="仿宋"/>
          <w:b/>
          <w:kern w:val="44"/>
          <w:sz w:val="28"/>
          <w:szCs w:val="28"/>
        </w:rPr>
      </w:pPr>
    </w:p>
    <w:p w14:paraId="7BC6068F">
      <w:pPr>
        <w:spacing w:line="360" w:lineRule="auto"/>
        <w:ind w:firstLine="3092" w:firstLineChars="1100"/>
        <w:rPr>
          <w:rFonts w:hint="eastAsia" w:ascii="仿宋" w:hAnsi="仿宋" w:eastAsia="仿宋"/>
          <w:b/>
          <w:kern w:val="44"/>
          <w:sz w:val="28"/>
          <w:szCs w:val="28"/>
        </w:rPr>
      </w:pPr>
    </w:p>
    <w:p w14:paraId="752C4B9D">
      <w:pPr>
        <w:spacing w:line="360" w:lineRule="auto"/>
        <w:ind w:firstLine="3092" w:firstLineChars="1100"/>
        <w:rPr>
          <w:rFonts w:ascii="仿宋" w:hAnsi="仿宋" w:eastAsia="仿宋"/>
          <w:b/>
          <w:kern w:val="44"/>
          <w:sz w:val="28"/>
          <w:szCs w:val="28"/>
          <w:u w:val="single"/>
        </w:rPr>
      </w:pPr>
      <w:r>
        <w:rPr>
          <w:rFonts w:hint="eastAsia" w:ascii="仿宋" w:hAnsi="仿宋" w:eastAsia="仿宋"/>
          <w:b/>
          <w:kern w:val="44"/>
          <w:sz w:val="28"/>
          <w:szCs w:val="28"/>
        </w:rPr>
        <w:t>甲方：</w:t>
      </w:r>
      <w:r>
        <w:rPr>
          <w:rFonts w:hint="eastAsia" w:ascii="仿宋" w:hAnsi="仿宋" w:eastAsia="仿宋"/>
          <w:b/>
          <w:kern w:val="44"/>
          <w:sz w:val="28"/>
          <w:szCs w:val="28"/>
          <w:u w:val="single"/>
        </w:rPr>
        <w:t>南阳市财政局</w:t>
      </w:r>
      <w:bookmarkEnd w:id="2"/>
      <w:bookmarkEnd w:id="3"/>
    </w:p>
    <w:p w14:paraId="2A7735B5">
      <w:pPr>
        <w:spacing w:line="360" w:lineRule="auto"/>
        <w:ind w:firstLine="3092" w:firstLineChars="1100"/>
        <w:rPr>
          <w:rFonts w:ascii="仿宋" w:hAnsi="仿宋" w:eastAsia="仿宋"/>
          <w:b/>
          <w:kern w:val="44"/>
          <w:sz w:val="28"/>
          <w:szCs w:val="28"/>
          <w:u w:val="single"/>
        </w:rPr>
      </w:pPr>
      <w:bookmarkStart w:id="4" w:name="_Toc31282"/>
      <w:bookmarkStart w:id="5" w:name="_Toc8270"/>
      <w:r>
        <w:rPr>
          <w:rFonts w:hint="eastAsia" w:ascii="仿宋" w:hAnsi="仿宋" w:eastAsia="仿宋"/>
          <w:b/>
          <w:kern w:val="44"/>
          <w:sz w:val="28"/>
          <w:szCs w:val="28"/>
        </w:rPr>
        <w:t>乙方：</w:t>
      </w:r>
      <w:bookmarkEnd w:id="4"/>
      <w:bookmarkEnd w:id="5"/>
      <w:r>
        <w:rPr>
          <w:rFonts w:hint="eastAsia" w:ascii="仿宋" w:hAnsi="仿宋" w:eastAsia="仿宋"/>
          <w:b/>
          <w:kern w:val="44"/>
          <w:sz w:val="28"/>
          <w:szCs w:val="28"/>
          <w:u w:val="single"/>
        </w:rPr>
        <w:t xml:space="preserve">           </w:t>
      </w:r>
    </w:p>
    <w:p w14:paraId="4D39EB65">
      <w:pPr>
        <w:spacing w:line="360" w:lineRule="auto"/>
        <w:ind w:firstLine="3092" w:firstLineChars="1100"/>
        <w:jc w:val="both"/>
        <w:rPr>
          <w:rFonts w:hint="eastAsia" w:ascii="仿宋" w:hAnsi="仿宋" w:eastAsia="仿宋"/>
          <w:b/>
          <w:kern w:val="44"/>
          <w:sz w:val="28"/>
          <w:szCs w:val="28"/>
        </w:rPr>
      </w:pPr>
      <w:r>
        <w:rPr>
          <w:rFonts w:hint="eastAsia" w:ascii="仿宋" w:hAnsi="仿宋" w:eastAsia="仿宋"/>
          <w:b/>
          <w:kern w:val="44"/>
          <w:sz w:val="28"/>
          <w:szCs w:val="28"/>
        </w:rPr>
        <w:t>日期：</w:t>
      </w:r>
      <w:r>
        <w:rPr>
          <w:rFonts w:hint="eastAsia" w:ascii="仿宋" w:hAnsi="仿宋" w:eastAsia="仿宋"/>
          <w:b/>
          <w:kern w:val="44"/>
          <w:sz w:val="28"/>
          <w:szCs w:val="28"/>
          <w:lang w:val="en-US" w:eastAsia="zh-CN"/>
        </w:rPr>
        <w:t xml:space="preserve">  </w:t>
      </w:r>
      <w:r>
        <w:rPr>
          <w:rFonts w:hint="eastAsia" w:ascii="仿宋" w:hAnsi="仿宋" w:eastAsia="仿宋"/>
          <w:b/>
          <w:kern w:val="44"/>
          <w:sz w:val="28"/>
          <w:szCs w:val="28"/>
        </w:rPr>
        <w:t>年  月  日</w:t>
      </w:r>
    </w:p>
    <w:p w14:paraId="528D0BC5">
      <w:pPr>
        <w:spacing w:before="13"/>
        <w:ind w:left="938"/>
        <w:rPr>
          <w:rFonts w:hint="eastAsia" w:ascii="仿宋" w:hAnsi="仿宋" w:eastAsia="仿宋" w:cs="仿宋"/>
          <w:sz w:val="30"/>
          <w:szCs w:val="30"/>
        </w:rPr>
      </w:pPr>
      <w:r>
        <w:rPr>
          <w:rFonts w:hint="eastAsia" w:ascii="仿宋" w:hAnsi="仿宋" w:eastAsia="仿宋" w:cs="仿宋"/>
          <w:color w:val="232624"/>
          <w:sz w:val="30"/>
          <w:szCs w:val="30"/>
        </w:rPr>
        <w:br w:type="page"/>
      </w:r>
      <w:r>
        <w:rPr>
          <w:rFonts w:ascii="仿宋" w:hAnsi="仿宋" w:eastAsia="仿宋" w:cs="仿宋"/>
          <w:color w:val="232624"/>
          <w:sz w:val="30"/>
          <w:szCs w:val="30"/>
        </w:rPr>
        <mc:AlternateContent>
          <mc:Choice Requires="wps">
            <w:drawing>
              <wp:anchor distT="0" distB="0" distL="114300" distR="114300" simplePos="0" relativeHeight="251659264" behindDoc="0" locked="0" layoutInCell="1" allowOverlap="1">
                <wp:simplePos x="0" y="0"/>
                <wp:positionH relativeFrom="page">
                  <wp:posOffset>247650</wp:posOffset>
                </wp:positionH>
                <wp:positionV relativeFrom="page">
                  <wp:posOffset>2867660</wp:posOffset>
                </wp:positionV>
                <wp:extent cx="64135" cy="9842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64135" cy="98425"/>
                        </a:xfrm>
                        <a:prstGeom prst="rect">
                          <a:avLst/>
                        </a:prstGeom>
                        <a:noFill/>
                        <a:ln>
                          <a:noFill/>
                        </a:ln>
                        <a:effectLst/>
                      </wps:spPr>
                      <wps:txbx>
                        <w:txbxContent>
                          <w:p w14:paraId="4C38359B">
                            <w:pPr>
                              <w:spacing w:line="216" w:lineRule="auto"/>
                              <w:ind w:left="20"/>
                              <w:rPr>
                                <w:sz w:val="6"/>
                              </w:rPr>
                            </w:pPr>
                            <w:r>
                              <w:rPr>
                                <w:color w:val="AEAFB5"/>
                                <w:w w:val="99"/>
                                <w:sz w:val="6"/>
                              </w:rPr>
                              <w:t>－今</w:t>
                            </w:r>
                          </w:p>
                        </w:txbxContent>
                      </wps:txbx>
                      <wps:bodyPr rot="0" vert="eaVert" wrap="square" lIns="0" tIns="0" rIns="0" bIns="0" anchor="t" anchorCtr="0" upright="1">
                        <a:noAutofit/>
                      </wps:bodyPr>
                    </wps:wsp>
                  </a:graphicData>
                </a:graphic>
              </wp:anchor>
            </w:drawing>
          </mc:Choice>
          <mc:Fallback>
            <w:pict>
              <v:shape id="_x0000_s1026" o:spid="_x0000_s1026" o:spt="202" type="#_x0000_t202" style="position:absolute;left:0pt;margin-left:19.5pt;margin-top:225.8pt;height:7.75pt;width:5.05pt;mso-position-horizontal-relative:page;mso-position-vertical-relative:page;z-index:251659264;mso-width-relative:page;mso-height-relative:page;" filled="f" stroked="f" coordsize="21600,21600" o:gfxdata="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zCzDu1wAAAAkBAAAPAAAAAAAAAAEA&#10;IAAAACIAAABkcnMvZG93bnJldi54bWxQSwECFAAUAAAACACHTuJAZki3HBACAAASBAAADgAAAAAA&#10;AAABACAAAAAmAQAAZHJzL2Uyb0RvYy54bWxQSwUGAAAAAAYABgBZAQAAqAUAAAAA&#10;">
                <v:fill on="f" focussize="0,0"/>
                <v:stroke on="f"/>
                <v:imagedata o:title=""/>
                <o:lock v:ext="edit" aspectratio="f"/>
                <v:textbox inset="0mm,0mm,0mm,0mm" style="layout-flow:vertical-ideographic;">
                  <w:txbxContent>
                    <w:p w14:paraId="4C38359B">
                      <w:pPr>
                        <w:spacing w:line="216" w:lineRule="auto"/>
                        <w:ind w:left="20"/>
                        <w:rPr>
                          <w:sz w:val="6"/>
                        </w:rPr>
                      </w:pPr>
                      <w:r>
                        <w:rPr>
                          <w:color w:val="AEAFB5"/>
                          <w:w w:val="99"/>
                          <w:sz w:val="6"/>
                        </w:rPr>
                        <w:t>－今</w:t>
                      </w:r>
                    </w:p>
                  </w:txbxContent>
                </v:textbox>
              </v:shape>
            </w:pict>
          </mc:Fallback>
        </mc:AlternateContent>
      </w:r>
      <w:r>
        <w:rPr>
          <w:rFonts w:hint="eastAsia" w:ascii="仿宋" w:hAnsi="仿宋" w:eastAsia="仿宋" w:cs="仿宋"/>
          <w:color w:val="232624"/>
          <w:sz w:val="30"/>
          <w:szCs w:val="30"/>
        </w:rPr>
        <w:t xml:space="preserve">  南阳市财政局中介服务机构委托服务框架协议</w:t>
      </w:r>
    </w:p>
    <w:p w14:paraId="67061745">
      <w:pPr>
        <w:spacing w:before="8" w:after="120"/>
        <w:rPr>
          <w:rFonts w:hint="eastAsia" w:ascii="仿宋" w:hAnsi="仿宋" w:eastAsia="仿宋" w:cs="仿宋"/>
          <w:kern w:val="0"/>
          <w:sz w:val="19"/>
          <w:szCs w:val="24"/>
        </w:rPr>
      </w:pPr>
    </w:p>
    <w:p w14:paraId="4242DF04">
      <w:pPr>
        <w:keepNext/>
        <w:keepLines/>
        <w:spacing w:line="360" w:lineRule="auto"/>
        <w:jc w:val="center"/>
        <w:outlineLvl w:val="0"/>
        <w:rPr>
          <w:rFonts w:ascii="Times New Roman" w:hAnsi="Times New Roman"/>
          <w:b/>
          <w:bCs/>
          <w:kern w:val="44"/>
          <w:sz w:val="32"/>
          <w:szCs w:val="32"/>
        </w:rPr>
      </w:pPr>
      <w:r>
        <w:rPr>
          <w:rFonts w:hint="eastAsia" w:ascii="Times New Roman" w:hAnsi="Times New Roman"/>
          <w:b/>
          <w:bCs/>
          <w:kern w:val="44"/>
          <w:sz w:val="32"/>
          <w:szCs w:val="32"/>
        </w:rPr>
        <w:t xml:space="preserve">  </w:t>
      </w:r>
      <w:r>
        <w:rPr>
          <w:rFonts w:hint="eastAsia" w:ascii="宋体" w:hAnsi="宋体"/>
          <w:b/>
          <w:bCs/>
          <w:kern w:val="44"/>
          <w:sz w:val="32"/>
          <w:szCs w:val="32"/>
        </w:rPr>
        <w:t>框架协议文本和采购合同文本</w:t>
      </w:r>
    </w:p>
    <w:p w14:paraId="3253A2E7">
      <w:pPr>
        <w:keepNext/>
        <w:keepLines/>
        <w:spacing w:line="360" w:lineRule="auto"/>
        <w:jc w:val="center"/>
        <w:outlineLvl w:val="0"/>
        <w:rPr>
          <w:rFonts w:hint="eastAsia" w:ascii="黑体" w:hAnsi="黑体" w:eastAsia="黑体" w:cs="黑体"/>
          <w:b w:val="0"/>
          <w:bCs/>
          <w:sz w:val="48"/>
          <w:szCs w:val="48"/>
        </w:rPr>
      </w:pPr>
      <w:r>
        <w:rPr>
          <w:rFonts w:hint="eastAsia" w:ascii="黑体" w:hAnsi="黑体" w:eastAsia="黑体" w:cs="黑体"/>
          <w:b w:val="0"/>
          <w:bCs/>
          <w:kern w:val="44"/>
          <w:sz w:val="48"/>
          <w:szCs w:val="48"/>
        </w:rPr>
        <w:t>（一）框架协议文本</w:t>
      </w:r>
    </w:p>
    <w:p w14:paraId="575B9DF0">
      <w:pPr>
        <w:spacing w:line="400" w:lineRule="exact"/>
        <w:ind w:firstLine="482"/>
        <w:jc w:val="center"/>
        <w:rPr>
          <w:rFonts w:ascii="宋体" w:hAnsi="宋体" w:cs="宋体"/>
          <w:kern w:val="0"/>
          <w:szCs w:val="21"/>
        </w:rPr>
      </w:pPr>
      <w:r>
        <w:rPr>
          <w:rFonts w:hint="eastAsia" w:ascii="宋体" w:hAnsi="宋体" w:cs="宋体"/>
          <w:b/>
          <w:bCs/>
          <w:szCs w:val="21"/>
        </w:rPr>
        <w:t>（以最终签订的合同为准）</w:t>
      </w:r>
    </w:p>
    <w:p w14:paraId="1B26D87D">
      <w:pPr>
        <w:keepNext w:val="0"/>
        <w:keepLines w:val="0"/>
        <w:pageBreakBefore w:val="0"/>
        <w:widowControl/>
        <w:kinsoku w:val="0"/>
        <w:overflowPunct/>
        <w:autoSpaceDE w:val="0"/>
        <w:autoSpaceDN w:val="0"/>
        <w:bidi w:val="0"/>
        <w:adjustRightInd w:val="0"/>
        <w:snapToGrid w:val="0"/>
        <w:spacing w:line="600" w:lineRule="exact"/>
        <w:textAlignment w:val="baseline"/>
        <w:rPr>
          <w:rFonts w:hint="eastAsia" w:ascii="仿宋" w:hAnsi="仿宋" w:eastAsia="仿宋" w:cs="仿宋"/>
          <w:kern w:val="0"/>
          <w:sz w:val="32"/>
          <w:szCs w:val="32"/>
        </w:rPr>
      </w:pPr>
      <w:r>
        <w:rPr>
          <w:rFonts w:hint="eastAsia" w:ascii="仿宋" w:hAnsi="仿宋" w:eastAsia="仿宋" w:cs="仿宋"/>
          <w:spacing w:val="12"/>
          <w:kern w:val="0"/>
          <w:sz w:val="32"/>
          <w:szCs w:val="32"/>
        </w:rPr>
        <w:t>甲方</w:t>
      </w:r>
      <w:r>
        <w:rPr>
          <w:rFonts w:hint="eastAsia" w:ascii="仿宋" w:hAnsi="仿宋" w:eastAsia="仿宋" w:cs="仿宋"/>
          <w:spacing w:val="6"/>
          <w:kern w:val="0"/>
          <w:sz w:val="32"/>
          <w:szCs w:val="32"/>
        </w:rPr>
        <w:t>(征集人)：</w:t>
      </w:r>
      <w:r>
        <w:rPr>
          <w:rFonts w:hint="eastAsia" w:ascii="仿宋" w:hAnsi="仿宋" w:eastAsia="仿宋" w:cs="仿宋"/>
          <w:spacing w:val="6"/>
          <w:kern w:val="0"/>
          <w:sz w:val="32"/>
          <w:szCs w:val="32"/>
          <w:u w:val="single"/>
        </w:rPr>
        <w:t xml:space="preserve">                                 </w:t>
      </w:r>
    </w:p>
    <w:p w14:paraId="1DF1F226">
      <w:pPr>
        <w:keepNext w:val="0"/>
        <w:keepLines w:val="0"/>
        <w:pageBreakBefore w:val="0"/>
        <w:widowControl/>
        <w:kinsoku w:val="0"/>
        <w:overflowPunct/>
        <w:autoSpaceDE w:val="0"/>
        <w:autoSpaceDN w:val="0"/>
        <w:bidi w:val="0"/>
        <w:adjustRightInd w:val="0"/>
        <w:snapToGrid w:val="0"/>
        <w:spacing w:line="600" w:lineRule="exact"/>
        <w:textAlignment w:val="baseline"/>
        <w:rPr>
          <w:rFonts w:hint="eastAsia" w:ascii="仿宋" w:hAnsi="仿宋" w:eastAsia="仿宋" w:cs="仿宋"/>
          <w:kern w:val="0"/>
          <w:sz w:val="32"/>
          <w:szCs w:val="32"/>
        </w:rPr>
      </w:pPr>
      <w:r>
        <w:rPr>
          <w:rFonts w:hint="eastAsia" w:ascii="仿宋" w:hAnsi="仿宋" w:eastAsia="仿宋" w:cs="仿宋"/>
          <w:spacing w:val="7"/>
          <w:kern w:val="0"/>
          <w:sz w:val="32"/>
          <w:szCs w:val="32"/>
        </w:rPr>
        <w:t>乙</w:t>
      </w:r>
      <w:r>
        <w:rPr>
          <w:rFonts w:hint="eastAsia" w:ascii="仿宋" w:hAnsi="仿宋" w:eastAsia="仿宋" w:cs="仿宋"/>
          <w:spacing w:val="5"/>
          <w:kern w:val="0"/>
          <w:sz w:val="32"/>
          <w:szCs w:val="32"/>
        </w:rPr>
        <w:t>方(入围供应商)：</w:t>
      </w:r>
      <w:r>
        <w:rPr>
          <w:rFonts w:hint="eastAsia" w:ascii="仿宋" w:hAnsi="仿宋" w:eastAsia="仿宋" w:cs="仿宋"/>
          <w:kern w:val="0"/>
          <w:sz w:val="32"/>
          <w:szCs w:val="32"/>
          <w:u w:val="single"/>
        </w:rPr>
        <w:t xml:space="preserve">                                       </w:t>
      </w:r>
    </w:p>
    <w:p w14:paraId="259326D9">
      <w:pPr>
        <w:keepNext w:val="0"/>
        <w:keepLines w:val="0"/>
        <w:pageBreakBefore w:val="0"/>
        <w:wordWrap w:val="0"/>
        <w:overflowPunct/>
        <w:topLinePunct/>
        <w:bidi w:val="0"/>
        <w:adjustRightInd w:val="0"/>
        <w:snapToGrid w:val="0"/>
        <w:spacing w:line="600" w:lineRule="exact"/>
        <w:ind w:firstLine="640" w:firstLineChars="200"/>
        <w:textAlignment w:val="baseline"/>
        <w:rPr>
          <w:rFonts w:hint="eastAsia" w:ascii="仿宋" w:hAnsi="仿宋" w:eastAsia="仿宋" w:cs="仿宋"/>
          <w:kern w:val="0"/>
          <w:sz w:val="32"/>
          <w:szCs w:val="32"/>
        </w:rPr>
      </w:pPr>
      <w:r>
        <w:rPr>
          <w:rFonts w:hint="eastAsia" w:ascii="仿宋" w:hAnsi="仿宋" w:eastAsia="仿宋" w:cs="仿宋"/>
          <w:kern w:val="0"/>
          <w:sz w:val="32"/>
          <w:szCs w:val="32"/>
        </w:rPr>
        <w:t>甲方作为征集人，通过公开征集程序，确定乙方为</w:t>
      </w:r>
      <w:r>
        <w:rPr>
          <w:rFonts w:hint="eastAsia" w:ascii="仿宋" w:hAnsi="仿宋" w:eastAsia="仿宋" w:cs="Times New Roman"/>
          <w:sz w:val="32"/>
          <w:szCs w:val="32"/>
        </w:rPr>
        <w:t>_______</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项目第一阶段入围供应商。根据《中华人民共和国政府采购法》《中华人民共和国政府采购法实施条例》《中华人民共和国民法典》和《政府采购框架协议采购方式管理暂行办法》以及本项目征集文件的规定，甲方与乙方就协议采购事项，签署本框架协议。</w:t>
      </w:r>
    </w:p>
    <w:p w14:paraId="38B79045">
      <w:pPr>
        <w:keepNext w:val="0"/>
        <w:keepLines w:val="0"/>
        <w:pageBreakBefore w:val="0"/>
        <w:wordWrap w:val="0"/>
        <w:overflowPunct/>
        <w:topLinePunct/>
        <w:bidi w:val="0"/>
        <w:adjustRightInd w:val="0"/>
        <w:snapToGrid w:val="0"/>
        <w:spacing w:line="600" w:lineRule="exact"/>
        <w:ind w:firstLine="643" w:firstLineChars="200"/>
        <w:textAlignment w:val="baseline"/>
        <w:rPr>
          <w:rFonts w:hint="eastAsia" w:ascii="仿宋" w:hAnsi="仿宋" w:eastAsia="仿宋" w:cs="仿宋"/>
          <w:b/>
          <w:bCs/>
          <w:kern w:val="0"/>
          <w:sz w:val="32"/>
          <w:szCs w:val="32"/>
        </w:rPr>
      </w:pPr>
      <w:r>
        <w:rPr>
          <w:rFonts w:hint="eastAsia" w:ascii="仿宋" w:hAnsi="仿宋" w:eastAsia="仿宋" w:cs="仿宋"/>
          <w:b/>
          <w:bCs/>
          <w:kern w:val="0"/>
          <w:sz w:val="32"/>
          <w:szCs w:val="32"/>
        </w:rPr>
        <w:t>第一条 协议适用当事人</w:t>
      </w:r>
    </w:p>
    <w:p w14:paraId="6430F44E">
      <w:pPr>
        <w:keepNext w:val="0"/>
        <w:keepLines w:val="0"/>
        <w:pageBreakBefore w:val="0"/>
        <w:wordWrap w:val="0"/>
        <w:overflowPunct/>
        <w:topLinePunct/>
        <w:bidi w:val="0"/>
        <w:adjustRightInd w:val="0"/>
        <w:snapToGrid w:val="0"/>
        <w:spacing w:line="600" w:lineRule="exact"/>
        <w:ind w:firstLine="640" w:firstLineChars="200"/>
        <w:textAlignment w:val="baseline"/>
        <w:rPr>
          <w:rFonts w:hint="eastAsia" w:ascii="仿宋" w:hAnsi="仿宋" w:eastAsia="仿宋" w:cs="仿宋"/>
          <w:kern w:val="0"/>
          <w:sz w:val="32"/>
          <w:szCs w:val="32"/>
        </w:rPr>
      </w:pPr>
      <w:r>
        <w:rPr>
          <w:rFonts w:hint="eastAsia" w:ascii="仿宋" w:hAnsi="仿宋" w:eastAsia="仿宋" w:cs="仿宋"/>
          <w:kern w:val="0"/>
          <w:sz w:val="32"/>
          <w:szCs w:val="32"/>
        </w:rPr>
        <w:t>本协议适用于技术、服务等标准明确、统一，需要多次重复采购的服务，通过公开征集程序，确定第一阶段入围供应商并订立框架协议，服务对象按照框架协议约定规则，在入围供应商范围内确定第二阶段成交供应商并订立采购合同。</w:t>
      </w:r>
    </w:p>
    <w:p w14:paraId="258F9E2A">
      <w:pPr>
        <w:keepNext w:val="0"/>
        <w:keepLines w:val="0"/>
        <w:pageBreakBefore w:val="0"/>
        <w:wordWrap w:val="0"/>
        <w:overflowPunct/>
        <w:topLinePunct/>
        <w:bidi w:val="0"/>
        <w:adjustRightInd w:val="0"/>
        <w:snapToGrid w:val="0"/>
        <w:spacing w:line="600" w:lineRule="exact"/>
        <w:ind w:firstLine="640" w:firstLineChars="200"/>
        <w:textAlignment w:val="baseline"/>
        <w:rPr>
          <w:rFonts w:hint="eastAsia" w:ascii="仿宋" w:hAnsi="仿宋" w:eastAsia="仿宋" w:cs="仿宋"/>
          <w:kern w:val="0"/>
          <w:sz w:val="32"/>
          <w:szCs w:val="32"/>
        </w:rPr>
      </w:pPr>
      <w:r>
        <w:rPr>
          <w:rFonts w:hint="eastAsia" w:ascii="仿宋" w:hAnsi="仿宋" w:eastAsia="仿宋" w:cs="仿宋"/>
          <w:kern w:val="0"/>
          <w:sz w:val="32"/>
          <w:szCs w:val="32"/>
        </w:rPr>
        <w:t>在本协议确定的协议期限内，根据征集人需求向乙方购买本协议第二条确定的服务，并由服务对象与乙方直接签订采购合同,根据本框架协议和采购合同向征集人履行协议义务。</w:t>
      </w:r>
    </w:p>
    <w:p w14:paraId="6530A291">
      <w:pPr>
        <w:keepNext w:val="0"/>
        <w:keepLines w:val="0"/>
        <w:pageBreakBefore w:val="0"/>
        <w:wordWrap w:val="0"/>
        <w:overflowPunct/>
        <w:topLinePunct/>
        <w:bidi w:val="0"/>
        <w:adjustRightInd w:val="0"/>
        <w:snapToGrid w:val="0"/>
        <w:spacing w:line="600" w:lineRule="exact"/>
        <w:ind w:firstLine="643" w:firstLineChars="200"/>
        <w:textAlignment w:val="baseline"/>
        <w:rPr>
          <w:rFonts w:hint="eastAsia" w:ascii="仿宋" w:hAnsi="仿宋" w:eastAsia="仿宋" w:cs="仿宋"/>
          <w:b/>
          <w:bCs/>
          <w:kern w:val="0"/>
          <w:sz w:val="32"/>
          <w:szCs w:val="32"/>
        </w:rPr>
      </w:pPr>
      <w:r>
        <w:rPr>
          <w:rFonts w:hint="eastAsia" w:ascii="仿宋" w:hAnsi="仿宋" w:eastAsia="仿宋" w:cs="仿宋"/>
          <w:b/>
          <w:bCs/>
          <w:kern w:val="0"/>
          <w:sz w:val="32"/>
          <w:szCs w:val="32"/>
        </w:rPr>
        <w:t>第二条 项目基本情况</w:t>
      </w:r>
    </w:p>
    <w:p w14:paraId="7EACCEF7">
      <w:pPr>
        <w:keepNext w:val="0"/>
        <w:keepLines w:val="0"/>
        <w:pageBreakBefore w:val="0"/>
        <w:wordWrap w:val="0"/>
        <w:overflowPunct/>
        <w:topLinePunct/>
        <w:bidi w:val="0"/>
        <w:adjustRightInd w:val="0"/>
        <w:snapToGrid w:val="0"/>
        <w:spacing w:line="600" w:lineRule="exact"/>
        <w:ind w:firstLine="640" w:firstLineChars="200"/>
        <w:textAlignment w:val="baseline"/>
        <w:rPr>
          <w:rFonts w:hint="eastAsia" w:ascii="仿宋" w:hAnsi="仿宋" w:eastAsia="仿宋" w:cs="仿宋"/>
          <w:kern w:val="0"/>
          <w:sz w:val="32"/>
          <w:szCs w:val="32"/>
        </w:rPr>
      </w:pPr>
      <w:r>
        <w:rPr>
          <w:rFonts w:hint="eastAsia" w:ascii="仿宋" w:hAnsi="仿宋" w:eastAsia="仿宋" w:cs="仿宋"/>
          <w:kern w:val="0"/>
          <w:sz w:val="32"/>
          <w:szCs w:val="32"/>
        </w:rPr>
        <w:t>项目名称：</w:t>
      </w:r>
      <w:r>
        <w:rPr>
          <w:rFonts w:hint="eastAsia" w:ascii="仿宋" w:hAnsi="仿宋" w:eastAsia="仿宋" w:cs="仿宋"/>
          <w:kern w:val="0"/>
          <w:sz w:val="32"/>
          <w:szCs w:val="32"/>
          <w:u w:val="single"/>
        </w:rPr>
        <w:t xml:space="preserve">                    </w:t>
      </w:r>
    </w:p>
    <w:p w14:paraId="2C39FF21">
      <w:pPr>
        <w:keepNext w:val="0"/>
        <w:keepLines w:val="0"/>
        <w:pageBreakBefore w:val="0"/>
        <w:wordWrap w:val="0"/>
        <w:overflowPunct/>
        <w:topLinePunct/>
        <w:bidi w:val="0"/>
        <w:adjustRightInd w:val="0"/>
        <w:snapToGrid w:val="0"/>
        <w:spacing w:line="600" w:lineRule="exact"/>
        <w:ind w:firstLine="640" w:firstLineChars="200"/>
        <w:textAlignment w:val="baseline"/>
        <w:rPr>
          <w:rFonts w:hint="eastAsia" w:ascii="宋体" w:hAnsi="宋体" w:cs="宋体"/>
          <w:kern w:val="0"/>
          <w:sz w:val="32"/>
          <w:szCs w:val="32"/>
        </w:rPr>
      </w:pPr>
      <w:r>
        <w:rPr>
          <w:rFonts w:hint="eastAsia" w:ascii="仿宋" w:hAnsi="仿宋" w:eastAsia="仿宋" w:cs="仿宋"/>
          <w:kern w:val="0"/>
          <w:sz w:val="32"/>
          <w:szCs w:val="32"/>
        </w:rPr>
        <w:t>项目编号：</w:t>
      </w:r>
      <w:r>
        <w:rPr>
          <w:rFonts w:hint="eastAsia" w:ascii="仿宋" w:hAnsi="仿宋" w:eastAsia="仿宋" w:cs="仿宋"/>
          <w:kern w:val="0"/>
          <w:sz w:val="32"/>
          <w:szCs w:val="32"/>
          <w:u w:val="single"/>
        </w:rPr>
        <w:t xml:space="preserve">     </w:t>
      </w:r>
      <w:r>
        <w:rPr>
          <w:rFonts w:hint="eastAsia" w:ascii="宋体" w:hAnsi="宋体" w:cs="宋体"/>
          <w:kern w:val="0"/>
          <w:sz w:val="32"/>
          <w:szCs w:val="32"/>
          <w:u w:val="single"/>
        </w:rPr>
        <w:t xml:space="preserve">              </w:t>
      </w:r>
    </w:p>
    <w:p w14:paraId="27D06D40">
      <w:pPr>
        <w:keepNext w:val="0"/>
        <w:keepLines w:val="0"/>
        <w:pageBreakBefore w:val="0"/>
        <w:widowControl/>
        <w:overflowPunct/>
        <w:bidi w:val="0"/>
        <w:spacing w:line="600" w:lineRule="exact"/>
        <w:ind w:firstLine="643" w:firstLineChars="200"/>
        <w:jc w:val="left"/>
        <w:rPr>
          <w:rFonts w:hint="eastAsia" w:ascii="仿宋" w:hAnsi="仿宋" w:eastAsia="仿宋" w:cs="仿宋"/>
          <w:b/>
          <w:sz w:val="32"/>
          <w:szCs w:val="32"/>
        </w:rPr>
      </w:pPr>
      <w:r>
        <w:rPr>
          <w:rFonts w:hint="eastAsia" w:ascii="仿宋" w:hAnsi="仿宋" w:eastAsia="仿宋" w:cs="仿宋"/>
          <w:b/>
          <w:bCs/>
          <w:kern w:val="0"/>
          <w:sz w:val="32"/>
          <w:szCs w:val="32"/>
        </w:rPr>
        <w:t xml:space="preserve">第三条 </w:t>
      </w:r>
      <w:r>
        <w:rPr>
          <w:rFonts w:hint="eastAsia" w:ascii="仿宋" w:hAnsi="仿宋" w:eastAsia="仿宋" w:cs="仿宋"/>
          <w:b/>
          <w:sz w:val="32"/>
          <w:szCs w:val="32"/>
        </w:rPr>
        <w:t>服务内容、服务标准</w:t>
      </w:r>
    </w:p>
    <w:p w14:paraId="66FAA71D">
      <w:pPr>
        <w:keepNext w:val="0"/>
        <w:keepLines w:val="0"/>
        <w:pageBreakBefore w:val="0"/>
        <w:overflowPunct/>
        <w:bidi w:val="0"/>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shd w:val="clear" w:color="auto" w:fill="FFFFFF"/>
        </w:rPr>
        <w:t>1、服务内容：</w:t>
      </w:r>
      <w:r>
        <w:rPr>
          <w:rFonts w:hint="eastAsia" w:ascii="仿宋" w:hAnsi="仿宋" w:eastAsia="仿宋" w:cs="宋体"/>
          <w:sz w:val="32"/>
          <w:szCs w:val="32"/>
        </w:rPr>
        <w:t>南阳市财政局委托的财政资金项目</w:t>
      </w:r>
      <w:r>
        <w:rPr>
          <w:rFonts w:hint="eastAsia" w:ascii="仿宋" w:hAnsi="仿宋" w:eastAsia="仿宋" w:cs="宋体"/>
          <w:sz w:val="32"/>
          <w:szCs w:val="32"/>
          <w:lang w:val="en-US" w:eastAsia="zh-CN"/>
        </w:rPr>
        <w:t>财政</w:t>
      </w:r>
      <w:r>
        <w:rPr>
          <w:rFonts w:ascii="仿宋" w:hAnsi="仿宋" w:eastAsia="仿宋" w:cs="宋体"/>
          <w:sz w:val="32"/>
          <w:szCs w:val="32"/>
        </w:rPr>
        <w:t>事前绩效评估；绩效目标审核；财政重点绩效监控；</w:t>
      </w:r>
      <w:r>
        <w:rPr>
          <w:rFonts w:hint="eastAsia" w:ascii="仿宋" w:hAnsi="仿宋" w:eastAsia="仿宋" w:cs="宋体"/>
          <w:sz w:val="32"/>
          <w:szCs w:val="32"/>
        </w:rPr>
        <w:t>财政重点</w:t>
      </w:r>
      <w:r>
        <w:rPr>
          <w:rFonts w:ascii="仿宋" w:hAnsi="仿宋" w:eastAsia="仿宋" w:cs="宋体"/>
          <w:sz w:val="32"/>
          <w:szCs w:val="32"/>
        </w:rPr>
        <w:t>绩效评价</w:t>
      </w:r>
      <w:r>
        <w:rPr>
          <w:rFonts w:hint="eastAsia" w:ascii="仿宋" w:hAnsi="仿宋" w:eastAsia="仿宋" w:cs="宋体"/>
          <w:sz w:val="32"/>
          <w:szCs w:val="32"/>
        </w:rPr>
        <w:t>或</w:t>
      </w:r>
      <w:r>
        <w:rPr>
          <w:rFonts w:ascii="仿宋" w:hAnsi="仿宋" w:eastAsia="仿宋" w:cs="宋体"/>
          <w:sz w:val="32"/>
          <w:szCs w:val="32"/>
        </w:rPr>
        <w:t>评价结果复核；全成本预算绩效分析和支出标准制定；绩效指标和标准体系制定；预算绩效管理课题研究</w:t>
      </w:r>
      <w:r>
        <w:rPr>
          <w:rFonts w:hint="eastAsia" w:ascii="仿宋" w:hAnsi="仿宋" w:eastAsia="仿宋" w:cs="宋体"/>
          <w:sz w:val="32"/>
          <w:szCs w:val="32"/>
        </w:rPr>
        <w:t>等工作。</w:t>
      </w:r>
    </w:p>
    <w:p w14:paraId="51652A0E">
      <w:pPr>
        <w:keepNext w:val="0"/>
        <w:keepLines w:val="0"/>
        <w:pageBreakBefore w:val="0"/>
        <w:numPr>
          <w:ilvl w:val="0"/>
          <w:numId w:val="6"/>
        </w:numPr>
        <w:overflowPunct/>
        <w:bidi w:val="0"/>
        <w:spacing w:line="600" w:lineRule="exact"/>
        <w:ind w:firstLine="640" w:firstLineChars="200"/>
        <w:rPr>
          <w:rFonts w:hint="eastAsia" w:ascii="仿宋" w:hAnsi="仿宋" w:eastAsia="仿宋" w:cs="仿宋"/>
          <w:sz w:val="32"/>
          <w:szCs w:val="32"/>
        </w:rPr>
      </w:pPr>
      <w:r>
        <w:rPr>
          <w:rFonts w:hint="eastAsia" w:ascii="仿宋" w:hAnsi="仿宋" w:eastAsia="仿宋" w:cs="宋体"/>
          <w:sz w:val="32"/>
          <w:szCs w:val="32"/>
          <w:shd w:val="clear" w:color="auto" w:fill="FFFFFF"/>
        </w:rPr>
        <w:t>服务标准：</w:t>
      </w:r>
      <w:r>
        <w:rPr>
          <w:rFonts w:hint="eastAsia" w:ascii="仿宋" w:hAnsi="仿宋" w:eastAsia="仿宋" w:cs="宋体"/>
          <w:sz w:val="32"/>
          <w:szCs w:val="32"/>
        </w:rPr>
        <w:t>符合国家、河南省、南阳市有关文件规定及服务对象要求。</w:t>
      </w:r>
    </w:p>
    <w:p w14:paraId="4AC13415">
      <w:pPr>
        <w:keepNext w:val="0"/>
        <w:keepLines w:val="0"/>
        <w:pageBreakBefore w:val="0"/>
        <w:widowControl/>
        <w:numPr>
          <w:ilvl w:val="0"/>
          <w:numId w:val="7"/>
        </w:numPr>
        <w:kinsoku/>
        <w:wordWrap/>
        <w:overflowPunct/>
        <w:topLinePunct w:val="0"/>
        <w:autoSpaceDE/>
        <w:autoSpaceDN/>
        <w:bidi w:val="0"/>
        <w:adjustRightInd/>
        <w:snapToGrid/>
        <w:spacing w:line="640" w:lineRule="exact"/>
        <w:ind w:firstLine="643" w:firstLineChars="200"/>
        <w:jc w:val="left"/>
        <w:textAlignment w:val="auto"/>
        <w:rPr>
          <w:rFonts w:hint="eastAsia" w:ascii="仿宋" w:hAnsi="仿宋" w:eastAsia="仿宋" w:cs="宋体"/>
          <w:b/>
          <w:sz w:val="32"/>
          <w:szCs w:val="32"/>
        </w:rPr>
      </w:pPr>
      <w:r>
        <w:rPr>
          <w:rFonts w:hint="eastAsia" w:ascii="仿宋" w:hAnsi="仿宋" w:eastAsia="仿宋" w:cs="仿宋"/>
          <w:b/>
          <w:bCs/>
          <w:kern w:val="0"/>
          <w:sz w:val="32"/>
          <w:szCs w:val="32"/>
          <w:lang w:val="en-US" w:eastAsia="zh-CN"/>
        </w:rPr>
        <w:t>确定</w:t>
      </w:r>
      <w:r>
        <w:rPr>
          <w:rFonts w:hint="eastAsia" w:ascii="仿宋" w:hAnsi="仿宋" w:eastAsia="仿宋" w:cs="宋体"/>
          <w:b/>
          <w:sz w:val="32"/>
          <w:szCs w:val="32"/>
        </w:rPr>
        <w:t>第二阶段</w:t>
      </w:r>
      <w:r>
        <w:rPr>
          <w:rFonts w:hint="eastAsia" w:ascii="仿宋" w:hAnsi="仿宋" w:eastAsia="仿宋" w:cs="宋体"/>
          <w:b/>
          <w:sz w:val="32"/>
          <w:szCs w:val="32"/>
          <w:lang w:val="en-US" w:eastAsia="zh-CN"/>
        </w:rPr>
        <w:t>成交供应商的</w:t>
      </w:r>
      <w:r>
        <w:rPr>
          <w:rFonts w:hint="eastAsia" w:ascii="仿宋" w:hAnsi="仿宋" w:eastAsia="仿宋" w:cs="宋体"/>
          <w:b/>
          <w:sz w:val="32"/>
          <w:szCs w:val="32"/>
        </w:rPr>
        <w:t>方式</w:t>
      </w:r>
    </w:p>
    <w:p w14:paraId="440B979B">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sz w:val="32"/>
          <w:szCs w:val="32"/>
        </w:rPr>
        <w:t>确定第二阶段成交供应商的方式</w:t>
      </w:r>
      <w:r>
        <w:rPr>
          <w:rFonts w:hint="eastAsia" w:ascii="仿宋" w:hAnsi="仿宋" w:eastAsia="仿宋" w:cs="仿宋"/>
          <w:sz w:val="32"/>
          <w:szCs w:val="32"/>
          <w:lang w:val="en-US" w:eastAsia="zh-CN"/>
        </w:rPr>
        <w:t>按照供应商</w:t>
      </w:r>
      <w:r>
        <w:rPr>
          <w:rFonts w:hint="eastAsia" w:ascii="仿宋" w:hAnsi="仿宋" w:eastAsia="仿宋" w:cs="仿宋"/>
          <w:color w:val="000000"/>
          <w:sz w:val="32"/>
          <w:szCs w:val="32"/>
          <w:lang w:val="en-US" w:eastAsia="zh-CN"/>
        </w:rPr>
        <w:t>入围顺序，</w:t>
      </w:r>
      <w:r>
        <w:rPr>
          <w:rFonts w:hint="eastAsia" w:ascii="仿宋" w:hAnsi="仿宋" w:eastAsia="仿宋" w:cs="仿宋"/>
          <w:color w:val="000000"/>
          <w:sz w:val="32"/>
          <w:szCs w:val="32"/>
        </w:rPr>
        <w:t>采用轮候加抽签</w:t>
      </w:r>
      <w:r>
        <w:rPr>
          <w:rFonts w:hint="eastAsia" w:ascii="仿宋" w:hAnsi="仿宋" w:eastAsia="仿宋" w:cs="仿宋"/>
          <w:color w:val="000000"/>
          <w:sz w:val="32"/>
          <w:szCs w:val="32"/>
          <w:lang w:eastAsia="zh-CN"/>
        </w:rPr>
        <w:t>的</w:t>
      </w:r>
      <w:r>
        <w:rPr>
          <w:rFonts w:hint="eastAsia" w:ascii="仿宋" w:hAnsi="仿宋" w:eastAsia="仿宋" w:cs="仿宋"/>
          <w:color w:val="000000"/>
          <w:sz w:val="32"/>
          <w:szCs w:val="32"/>
        </w:rPr>
        <w:t>方式确定中介机构及服务项目，所有中介机构轮流一遍为一轮。原则上中介机构不得拒绝或推脱委托单位委托的项目。</w:t>
      </w:r>
    </w:p>
    <w:p w14:paraId="54FE1559">
      <w:pPr>
        <w:keepNext w:val="0"/>
        <w:keepLines w:val="0"/>
        <w:pageBreakBefore w:val="0"/>
        <w:widowControl/>
        <w:kinsoku/>
        <w:wordWrap/>
        <w:overflowPunct/>
        <w:topLinePunct w:val="0"/>
        <w:autoSpaceDE/>
        <w:autoSpaceDN/>
        <w:bidi w:val="0"/>
        <w:adjustRightInd/>
        <w:snapToGrid/>
        <w:spacing w:line="640" w:lineRule="exact"/>
        <w:ind w:left="0" w:firstLine="643" w:firstLineChars="200"/>
        <w:jc w:val="left"/>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第五条 委托预算绩效管理业务程序</w:t>
      </w:r>
    </w:p>
    <w:p w14:paraId="252636BC">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中介机构接到预算绩效管理业务委托后，应成立工作组，确定至少1名项目负责人（绩效评价工作为项目主评人），配备与受托工作能力要求相适应、结构合理、相对固定的服务团队，并保持工作组成员相对稳定。</w:t>
      </w:r>
    </w:p>
    <w:p w14:paraId="0370D973">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中介机构应制定实施方案，报委托方审定。严格按照实施方案组织开展工作，真实、完整地获取数据、资料，对技术难度大、专业性强的工作内容，聘请相关领域专家实施论证，及时向委托方反馈工作进度、重要事项和相关问题，全程接受委托方的指导以及财政部门和社会公众的监督。并在委托协议或合同约定时间内，客观独立出具意见、结论、报告等工作成果，对工作成果负责，报委托方审定。工作成果应符合规定要求和文本格式，做到要素完整、依据充分、结论客观、建议可行。</w:t>
      </w:r>
    </w:p>
    <w:p w14:paraId="387F6F45">
      <w:pPr>
        <w:keepNext w:val="0"/>
        <w:keepLines w:val="0"/>
        <w:pageBreakBefore w:val="0"/>
        <w:widowControl/>
        <w:kinsoku/>
        <w:overflowPunct/>
        <w:autoSpaceDE/>
        <w:autoSpaceDN/>
        <w:bidi w:val="0"/>
        <w:spacing w:line="640" w:lineRule="exact"/>
        <w:ind w:firstLine="643" w:firstLineChars="200"/>
        <w:jc w:val="left"/>
        <w:rPr>
          <w:rFonts w:hint="eastAsia" w:ascii="仿宋" w:hAnsi="仿宋" w:eastAsia="仿宋" w:cs="仿宋"/>
          <w:b/>
          <w:sz w:val="32"/>
          <w:szCs w:val="32"/>
        </w:rPr>
      </w:pPr>
      <w:r>
        <w:rPr>
          <w:rFonts w:hint="eastAsia" w:ascii="仿宋" w:hAnsi="仿宋" w:eastAsia="仿宋" w:cs="仿宋"/>
          <w:b/>
          <w:sz w:val="32"/>
          <w:szCs w:val="32"/>
        </w:rPr>
        <w:t>第六条 协议方的权利和义务</w:t>
      </w:r>
    </w:p>
    <w:p w14:paraId="52E20B18">
      <w:pPr>
        <w:keepNext w:val="0"/>
        <w:keepLines w:val="0"/>
        <w:pageBreakBefore w:val="0"/>
        <w:widowControl/>
        <w:kinsoku/>
        <w:overflowPunct/>
        <w:autoSpaceDE/>
        <w:autoSpaceDN/>
        <w:bidi w:val="0"/>
        <w:spacing w:line="6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（一）甲方权责</w:t>
      </w:r>
    </w:p>
    <w:p w14:paraId="0AC319A2">
      <w:pPr>
        <w:keepNext w:val="0"/>
        <w:keepLines w:val="0"/>
        <w:pageBreakBefore w:val="0"/>
        <w:widowControl/>
        <w:kinsoku/>
        <w:overflowPunct/>
        <w:autoSpaceDE/>
        <w:autoSpaceDN/>
        <w:bidi w:val="0"/>
        <w:spacing w:line="6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1.协调相关部门（单位）向乙方提供完成</w:t>
      </w:r>
      <w:r>
        <w:rPr>
          <w:rFonts w:hint="eastAsia" w:ascii="仿宋" w:hAnsi="仿宋" w:eastAsia="仿宋" w:cs="仿宋"/>
          <w:sz w:val="32"/>
          <w:szCs w:val="32"/>
          <w:lang w:val="en-US" w:eastAsia="zh-CN"/>
        </w:rPr>
        <w:t>预算</w:t>
      </w:r>
      <w:r>
        <w:rPr>
          <w:rFonts w:hint="eastAsia" w:ascii="仿宋" w:hAnsi="仿宋" w:eastAsia="仿宋" w:cs="仿宋"/>
          <w:sz w:val="32"/>
          <w:szCs w:val="32"/>
        </w:rPr>
        <w:t>绩效</w:t>
      </w:r>
      <w:r>
        <w:rPr>
          <w:rFonts w:hint="eastAsia" w:ascii="仿宋" w:hAnsi="仿宋" w:eastAsia="仿宋" w:cs="仿宋"/>
          <w:sz w:val="32"/>
          <w:szCs w:val="32"/>
          <w:lang w:val="en-US" w:eastAsia="zh-CN"/>
        </w:rPr>
        <w:t>管理相关</w:t>
      </w:r>
      <w:r>
        <w:rPr>
          <w:rFonts w:hint="eastAsia" w:ascii="仿宋" w:hAnsi="仿宋" w:eastAsia="仿宋" w:cs="仿宋"/>
          <w:sz w:val="32"/>
          <w:szCs w:val="32"/>
        </w:rPr>
        <w:t>工作所需的有关文件资料，指导乙方开展工作。</w:t>
      </w:r>
    </w:p>
    <w:p w14:paraId="37ACB86D">
      <w:pPr>
        <w:keepNext w:val="0"/>
        <w:keepLines w:val="0"/>
        <w:pageBreakBefore w:val="0"/>
        <w:widowControl/>
        <w:kinsoku/>
        <w:overflowPunct/>
        <w:autoSpaceDE/>
        <w:autoSpaceDN/>
        <w:bidi w:val="0"/>
        <w:spacing w:line="6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2.对乙方提交的预算绩效管理相关工作实施方案及</w:t>
      </w:r>
      <w:r>
        <w:rPr>
          <w:rFonts w:hint="eastAsia" w:ascii="仿宋" w:hAnsi="仿宋" w:eastAsia="仿宋" w:cs="仿宋"/>
          <w:sz w:val="32"/>
          <w:szCs w:val="32"/>
          <w:lang w:val="en-US" w:eastAsia="zh-CN"/>
        </w:rPr>
        <w:t>工作</w:t>
      </w:r>
      <w:r>
        <w:rPr>
          <w:rFonts w:hint="eastAsia" w:ascii="仿宋" w:hAnsi="仿宋" w:eastAsia="仿宋" w:cs="仿宋"/>
          <w:sz w:val="32"/>
          <w:szCs w:val="32"/>
        </w:rPr>
        <w:t>报告</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结论</w:t>
      </w:r>
      <w:r>
        <w:rPr>
          <w:rFonts w:hint="eastAsia" w:ascii="仿宋" w:hAnsi="仿宋" w:eastAsia="仿宋" w:cs="仿宋"/>
          <w:sz w:val="32"/>
          <w:szCs w:val="32"/>
        </w:rPr>
        <w:t>提出审核意见。</w:t>
      </w:r>
    </w:p>
    <w:p w14:paraId="7708A09F">
      <w:pPr>
        <w:keepNext w:val="0"/>
        <w:keepLines w:val="0"/>
        <w:pageBreakBefore w:val="0"/>
        <w:widowControl/>
        <w:kinsoku/>
        <w:overflowPunct/>
        <w:autoSpaceDE/>
        <w:autoSpaceDN/>
        <w:bidi w:val="0"/>
        <w:spacing w:line="6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3.对乙方开展</w:t>
      </w:r>
      <w:r>
        <w:rPr>
          <w:rFonts w:hint="eastAsia" w:ascii="仿宋" w:hAnsi="仿宋" w:eastAsia="仿宋" w:cs="仿宋"/>
          <w:sz w:val="32"/>
          <w:szCs w:val="32"/>
          <w:lang w:val="en-US" w:eastAsia="zh-CN"/>
        </w:rPr>
        <w:t>预算</w:t>
      </w:r>
      <w:r>
        <w:rPr>
          <w:rFonts w:hint="eastAsia" w:ascii="仿宋" w:hAnsi="仿宋" w:eastAsia="仿宋" w:cs="仿宋"/>
          <w:sz w:val="32"/>
          <w:szCs w:val="32"/>
        </w:rPr>
        <w:t>绩效</w:t>
      </w:r>
      <w:r>
        <w:rPr>
          <w:rFonts w:hint="eastAsia" w:ascii="仿宋" w:hAnsi="仿宋" w:eastAsia="仿宋" w:cs="仿宋"/>
          <w:sz w:val="32"/>
          <w:szCs w:val="32"/>
          <w:lang w:val="en-US" w:eastAsia="zh-CN"/>
        </w:rPr>
        <w:t>管理相关</w:t>
      </w:r>
      <w:r>
        <w:rPr>
          <w:rFonts w:hint="eastAsia" w:ascii="仿宋" w:hAnsi="仿宋" w:eastAsia="仿宋" w:cs="仿宋"/>
          <w:sz w:val="32"/>
          <w:szCs w:val="32"/>
        </w:rPr>
        <w:t>工作进行跟踪和监督，提出整改意见，并督促落实。</w:t>
      </w:r>
    </w:p>
    <w:p w14:paraId="7930EB70">
      <w:pPr>
        <w:keepNext w:val="0"/>
        <w:keepLines w:val="0"/>
        <w:pageBreakBefore w:val="0"/>
        <w:widowControl/>
        <w:kinsoku/>
        <w:overflowPunct/>
        <w:autoSpaceDE/>
        <w:autoSpaceDN/>
        <w:bidi w:val="0"/>
        <w:spacing w:line="6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4.对乙方提供的预算绩效管理相关工作报告质量进行考核验收。</w:t>
      </w:r>
    </w:p>
    <w:p w14:paraId="07EB76D2">
      <w:pPr>
        <w:keepNext w:val="0"/>
        <w:keepLines w:val="0"/>
        <w:pageBreakBefore w:val="0"/>
        <w:widowControl/>
        <w:kinsoku/>
        <w:overflowPunct/>
        <w:autoSpaceDE/>
        <w:autoSpaceDN/>
        <w:bidi w:val="0"/>
        <w:spacing w:line="6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5.按合同规定支付服务费用。</w:t>
      </w:r>
    </w:p>
    <w:p w14:paraId="47DD44C6">
      <w:pPr>
        <w:keepNext w:val="0"/>
        <w:keepLines w:val="0"/>
        <w:pageBreakBefore w:val="0"/>
        <w:widowControl/>
        <w:kinsoku/>
        <w:overflowPunct/>
        <w:autoSpaceDE/>
        <w:autoSpaceDN/>
        <w:bidi w:val="0"/>
        <w:spacing w:line="6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6.在框架协议有效期满后10个工作日内发布成交结果汇总公告。</w:t>
      </w:r>
    </w:p>
    <w:p w14:paraId="02AD370C">
      <w:pPr>
        <w:keepNext w:val="0"/>
        <w:keepLines w:val="0"/>
        <w:pageBreakBefore w:val="0"/>
        <w:widowControl/>
        <w:kinsoku/>
        <w:overflowPunct/>
        <w:autoSpaceDE/>
        <w:autoSpaceDN/>
        <w:bidi w:val="0"/>
        <w:spacing w:line="6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（二）乙方权责</w:t>
      </w:r>
    </w:p>
    <w:p w14:paraId="2F10B8DE">
      <w:pPr>
        <w:keepNext w:val="0"/>
        <w:keepLines w:val="0"/>
        <w:pageBreakBefore w:val="0"/>
        <w:widowControl/>
        <w:kinsoku/>
        <w:overflowPunct/>
        <w:autoSpaceDE/>
        <w:autoSpaceDN/>
        <w:bidi w:val="0"/>
        <w:spacing w:line="6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1.乙方保证对其提供的服务享有合法的权利，甲方接受乙方服务不会因此而侵犯任何人的合法权益。</w:t>
      </w:r>
    </w:p>
    <w:p w14:paraId="10E0682B">
      <w:pPr>
        <w:keepNext w:val="0"/>
        <w:keepLines w:val="0"/>
        <w:pageBreakBefore w:val="0"/>
        <w:widowControl/>
        <w:kinsoku/>
        <w:overflowPunct/>
        <w:autoSpaceDE/>
        <w:autoSpaceDN/>
        <w:bidi w:val="0"/>
        <w:spacing w:line="6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2.乙方保证其提供服务没有侵犯任何第三人的知识产权和商业秘密等权利。</w:t>
      </w:r>
    </w:p>
    <w:p w14:paraId="7CDF15D9">
      <w:pPr>
        <w:keepNext w:val="0"/>
        <w:keepLines w:val="0"/>
        <w:pageBreakBefore w:val="0"/>
        <w:widowControl/>
        <w:kinsoku/>
        <w:overflowPunct/>
        <w:autoSpaceDE/>
        <w:autoSpaceDN/>
        <w:bidi w:val="0"/>
        <w:spacing w:line="6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3.乙方提供服务构成上述侵权的，则由乙方承担全部责任。</w:t>
      </w:r>
    </w:p>
    <w:p w14:paraId="12417DF6">
      <w:pPr>
        <w:keepNext w:val="0"/>
        <w:keepLines w:val="0"/>
        <w:pageBreakBefore w:val="0"/>
        <w:widowControl/>
        <w:kinsoku/>
        <w:overflowPunct/>
        <w:autoSpaceDE/>
        <w:autoSpaceDN/>
        <w:bidi w:val="0"/>
        <w:spacing w:line="6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4.在履行本合同的过程中，如果甲方或乙方提供、接触、知悉的内容属于保密的，甲乙双方均有保密义务。保密的内容包括但不限于书面、电子数据等承载保密信息的各种形式。</w:t>
      </w:r>
    </w:p>
    <w:p w14:paraId="5681A75B">
      <w:pPr>
        <w:keepNext w:val="0"/>
        <w:keepLines w:val="0"/>
        <w:pageBreakBefore w:val="0"/>
        <w:widowControl/>
        <w:kinsoku/>
        <w:overflowPunct/>
        <w:autoSpaceDE/>
        <w:autoSpaceDN/>
        <w:bidi w:val="0"/>
        <w:spacing w:line="6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5.乙方必须为本项目涉及的各种资料、数据和</w:t>
      </w:r>
      <w:r>
        <w:rPr>
          <w:rFonts w:hint="eastAsia" w:ascii="仿宋" w:hAnsi="仿宋" w:eastAsia="仿宋" w:cs="仿宋"/>
          <w:sz w:val="32"/>
          <w:szCs w:val="32"/>
          <w:lang w:val="en-US" w:eastAsia="zh-CN"/>
        </w:rPr>
        <w:t>票</w:t>
      </w:r>
      <w:r>
        <w:rPr>
          <w:rFonts w:hint="eastAsia" w:ascii="仿宋" w:hAnsi="仿宋" w:eastAsia="仿宋" w:cs="仿宋"/>
          <w:sz w:val="32"/>
          <w:szCs w:val="32"/>
        </w:rPr>
        <w:t>据等保密。未经甲方书面同意，乙方及乙方员工不得泄露、遗失、复印与本合同规定业务活动有关的一切资料和内容。所有甲方或第三人（与合同业务有关相关单位）提供的与本合同规定业务活动有关的一切资料，在合同结束后均应归还。</w:t>
      </w:r>
    </w:p>
    <w:p w14:paraId="7B98AE62">
      <w:pPr>
        <w:keepNext w:val="0"/>
        <w:keepLines w:val="0"/>
        <w:pageBreakBefore w:val="0"/>
        <w:widowControl/>
        <w:kinsoku/>
        <w:overflowPunct/>
        <w:autoSpaceDE/>
        <w:autoSpaceDN/>
        <w:bidi w:val="0"/>
        <w:spacing w:line="6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6.乙方所提供的服务标准按照国家标准、行业标准或地方标准确定，均有标准的以高者（严格者）为准。没有国家标准、行业标准和地方标准的，按照通常标准或者符合合同目的的特定标准确定。</w:t>
      </w:r>
    </w:p>
    <w:p w14:paraId="488CB7FD">
      <w:pPr>
        <w:keepNext w:val="0"/>
        <w:keepLines w:val="0"/>
        <w:pageBreakBefore w:val="0"/>
        <w:widowControl/>
        <w:kinsoku/>
        <w:overflowPunct/>
        <w:autoSpaceDE/>
        <w:autoSpaceDN/>
        <w:bidi w:val="0"/>
        <w:spacing w:line="6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7.乙方有权在履行合同期间内取得按合同约定应有的报酬。</w:t>
      </w:r>
    </w:p>
    <w:p w14:paraId="42BD120C">
      <w:pPr>
        <w:keepNext w:val="0"/>
        <w:keepLines w:val="0"/>
        <w:pageBreakBefore w:val="0"/>
        <w:widowControl/>
        <w:kinsoku/>
        <w:overflowPunct/>
        <w:autoSpaceDE/>
        <w:autoSpaceDN/>
        <w:bidi w:val="0"/>
        <w:spacing w:line="6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8.乙方在项目服务过程中，如甲方提供的资料不明确时可向甲方提出书面报告。</w:t>
      </w:r>
    </w:p>
    <w:p w14:paraId="4D390736">
      <w:pPr>
        <w:keepNext w:val="0"/>
        <w:keepLines w:val="0"/>
        <w:pageBreakBefore w:val="0"/>
        <w:widowControl/>
        <w:kinsoku/>
        <w:overflowPunct/>
        <w:autoSpaceDE/>
        <w:autoSpaceDN/>
        <w:bidi w:val="0"/>
        <w:spacing w:line="6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9.乙方有权在合同履行期间得到甲方必要的支持，有权拒绝执行甲方任何不符合有关法律、法规规定的要求。</w:t>
      </w:r>
    </w:p>
    <w:p w14:paraId="5C0A598B">
      <w:pPr>
        <w:keepNext w:val="0"/>
        <w:keepLines w:val="0"/>
        <w:pageBreakBefore w:val="0"/>
        <w:widowControl/>
        <w:kinsoku/>
        <w:overflowPunct/>
        <w:autoSpaceDE/>
        <w:autoSpaceDN/>
        <w:bidi w:val="0"/>
        <w:spacing w:line="6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10.乙方应严格遵守国家、地方的法律、法规的规定，保证在合法且不侵犯他人利益的原则下进行所委托项目服务活动，并对其所进行的与委托有关的服务活动负责。</w:t>
      </w:r>
    </w:p>
    <w:p w14:paraId="7F896861">
      <w:pPr>
        <w:keepNext w:val="0"/>
        <w:keepLines w:val="0"/>
        <w:pageBreakBefore w:val="0"/>
        <w:widowControl/>
        <w:kinsoku/>
        <w:overflowPunct/>
        <w:autoSpaceDE/>
        <w:autoSpaceDN/>
        <w:bidi w:val="0"/>
        <w:spacing w:line="6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11.乙方应按采购合同所述的时间、服务范围和内容，尽自己的一切努力，按行业通常接受的技术惯例和专业机构承认的标准，高效地履行自己的义务。在项目执行过程中支持和维护国家和甲方的合法利益。</w:t>
      </w:r>
    </w:p>
    <w:p w14:paraId="28D87414">
      <w:pPr>
        <w:keepNext w:val="0"/>
        <w:keepLines w:val="0"/>
        <w:pageBreakBefore w:val="0"/>
        <w:widowControl/>
        <w:kinsoku/>
        <w:overflowPunct/>
        <w:autoSpaceDE/>
        <w:autoSpaceDN/>
        <w:bidi w:val="0"/>
        <w:spacing w:line="6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12.乙方应向甲方提供与本项目服务有关的资料，包括项目服务单位、人员的资质证书及承担本合同业务的专业人员名单、项目服务工作计划等，并按合同约定的范围、时间工作依据、工作标准等，出具内容齐全、规范、准确的相关报告等。</w:t>
      </w:r>
    </w:p>
    <w:p w14:paraId="2C36EC2F">
      <w:pPr>
        <w:keepNext w:val="0"/>
        <w:keepLines w:val="0"/>
        <w:pageBreakBefore w:val="0"/>
        <w:widowControl/>
        <w:kinsoku/>
        <w:overflowPunct/>
        <w:autoSpaceDE/>
        <w:autoSpaceDN/>
        <w:bidi w:val="0"/>
        <w:spacing w:line="6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13.乙方应对履行本合同所规定的服务以及在履行中因自己违约而造成的损失承担责任并应当向甲方进行赔偿。但以下情况除外；</w:t>
      </w:r>
    </w:p>
    <w:p w14:paraId="12D8462F">
      <w:pPr>
        <w:keepNext w:val="0"/>
        <w:keepLines w:val="0"/>
        <w:pageBreakBefore w:val="0"/>
        <w:widowControl/>
        <w:kinsoku/>
        <w:overflowPunct/>
        <w:autoSpaceDE/>
        <w:autoSpaceDN/>
        <w:bidi w:val="0"/>
        <w:spacing w:line="6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（1）非乙方的行为、过失、违约或失职造成的损失或伤害；</w:t>
      </w:r>
    </w:p>
    <w:p w14:paraId="68C22BF0">
      <w:pPr>
        <w:keepNext w:val="0"/>
        <w:keepLines w:val="0"/>
        <w:pageBreakBefore w:val="0"/>
        <w:widowControl/>
        <w:kinsoku/>
        <w:overflowPunct/>
        <w:autoSpaceDE/>
        <w:autoSpaceDN/>
        <w:bidi w:val="0"/>
        <w:spacing w:line="6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（2）不可抗力造成的损失。</w:t>
      </w:r>
    </w:p>
    <w:p w14:paraId="5343B608">
      <w:pPr>
        <w:keepNext w:val="0"/>
        <w:keepLines w:val="0"/>
        <w:pageBreakBefore w:val="0"/>
        <w:widowControl/>
        <w:kinsoku/>
        <w:overflowPunct/>
        <w:autoSpaceDE/>
        <w:autoSpaceDN/>
        <w:bidi w:val="0"/>
        <w:spacing w:line="6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14.乙方应对本项目所提供服务结果的可靠性、准确性、全面性向甲方负责，由于服务结果的可靠性、准确性、全面性不足而导致甲方工作偏差或失误，乙方应承担责任。</w:t>
      </w:r>
    </w:p>
    <w:p w14:paraId="521F7A2A">
      <w:pPr>
        <w:keepNext w:val="0"/>
        <w:keepLines w:val="0"/>
        <w:pageBreakBefore w:val="0"/>
        <w:widowControl/>
        <w:kinsoku/>
        <w:overflowPunct/>
        <w:autoSpaceDE/>
        <w:autoSpaceDN/>
        <w:bidi w:val="0"/>
        <w:spacing w:line="6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15.乙方在履行合同期间或合同规定期限内，履行本合同所确定的项目负责人及主要专业技术、管理人员等必须是本单位职工和该项目的实际操作者，未经甲方同意，乙方不得调换或撤离上述人员。</w:t>
      </w:r>
    </w:p>
    <w:p w14:paraId="7686A8EF">
      <w:pPr>
        <w:keepNext w:val="0"/>
        <w:keepLines w:val="0"/>
        <w:pageBreakBefore w:val="0"/>
        <w:widowControl/>
        <w:kinsoku/>
        <w:overflowPunct/>
        <w:autoSpaceDE/>
        <w:autoSpaceDN/>
        <w:bidi w:val="0"/>
        <w:spacing w:line="6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16.按本协议支付给乙方的报酬应为本合同服务的唯一报酬。</w:t>
      </w:r>
    </w:p>
    <w:p w14:paraId="6944CA0D">
      <w:pPr>
        <w:keepNext w:val="0"/>
        <w:keepLines w:val="0"/>
        <w:pageBreakBefore w:val="0"/>
        <w:widowControl/>
        <w:kinsoku/>
        <w:overflowPunct/>
        <w:autoSpaceDE/>
        <w:autoSpaceDN/>
        <w:bidi w:val="0"/>
        <w:spacing w:line="6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17.乙方在本合同履行期间均不能直接或间接从事与本合同中活动相冲突的商业或职业活动，不得以任何理由向甲方任何工作人员行贿或有类似的行为，不得以任何理由接受第三方受贿或有类似的行为。</w:t>
      </w:r>
    </w:p>
    <w:p w14:paraId="5AF074C6">
      <w:pPr>
        <w:keepNext w:val="0"/>
        <w:keepLines w:val="0"/>
        <w:pageBreakBefore w:val="0"/>
        <w:widowControl/>
        <w:kinsoku/>
        <w:overflowPunct/>
        <w:autoSpaceDE/>
        <w:autoSpaceDN/>
        <w:bidi w:val="0"/>
        <w:spacing w:line="6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18.乙方应独立完成受托工作任务，不得以任何形式转让其应履行的协议项下的任何责任和义务。</w:t>
      </w:r>
    </w:p>
    <w:p w14:paraId="42C93C41">
      <w:pPr>
        <w:keepNext w:val="0"/>
        <w:keepLines w:val="0"/>
        <w:pageBreakBefore w:val="0"/>
        <w:widowControl/>
        <w:kinsoku/>
        <w:overflowPunct/>
        <w:autoSpaceDE/>
        <w:autoSpaceDN/>
        <w:bidi w:val="0"/>
        <w:spacing w:line="640" w:lineRule="exact"/>
        <w:ind w:firstLine="643" w:firstLineChars="200"/>
        <w:jc w:val="left"/>
        <w:rPr>
          <w:rFonts w:hint="eastAsia" w:ascii="仿宋" w:hAnsi="仿宋" w:eastAsia="仿宋" w:cs="仿宋"/>
          <w:b/>
          <w:kern w:val="0"/>
          <w:sz w:val="32"/>
          <w:szCs w:val="32"/>
        </w:rPr>
      </w:pPr>
      <w:r>
        <w:rPr>
          <w:rFonts w:hint="eastAsia" w:ascii="仿宋" w:hAnsi="仿宋" w:eastAsia="仿宋" w:cs="仿宋"/>
          <w:b/>
          <w:kern w:val="0"/>
          <w:sz w:val="32"/>
          <w:szCs w:val="32"/>
        </w:rPr>
        <w:t>第七条 服务质量的考核</w:t>
      </w:r>
    </w:p>
    <w:p w14:paraId="79C21996">
      <w:pPr>
        <w:keepNext w:val="0"/>
        <w:keepLines w:val="0"/>
        <w:pageBreakBefore w:val="0"/>
        <w:widowControl/>
        <w:kinsoku/>
        <w:wordWrap/>
        <w:overflowPunct/>
        <w:topLinePunct w:val="0"/>
        <w:autoSpaceDE/>
        <w:autoSpaceDN/>
        <w:bidi w:val="0"/>
        <w:adjustRightInd/>
        <w:snapToGrid/>
        <w:spacing w:line="64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1、单个项目完成后，征集人根据《南阳市市级部门委托第三方机构参与预算绩效管理工作办法》对中介机构工作情况和业务质量进行</w:t>
      </w:r>
      <w:r>
        <w:rPr>
          <w:rFonts w:hint="eastAsia" w:ascii="仿宋" w:hAnsi="仿宋" w:eastAsia="仿宋" w:cs="仿宋"/>
          <w:sz w:val="32"/>
          <w:szCs w:val="32"/>
          <w:lang w:val="en-US" w:eastAsia="zh-CN"/>
        </w:rPr>
        <w:t>综合考评</w:t>
      </w:r>
      <w:r>
        <w:rPr>
          <w:rFonts w:hint="eastAsia" w:ascii="仿宋" w:hAnsi="仿宋" w:eastAsia="仿宋" w:cs="仿宋"/>
          <w:sz w:val="32"/>
          <w:szCs w:val="32"/>
          <w:lang w:eastAsia="zh-CN"/>
        </w:rPr>
        <w:t>，</w:t>
      </w:r>
      <w:r>
        <w:rPr>
          <w:rFonts w:hint="eastAsia" w:ascii="仿宋" w:hAnsi="仿宋" w:eastAsia="仿宋" w:cs="仿宋"/>
          <w:sz w:val="32"/>
          <w:szCs w:val="32"/>
        </w:rPr>
        <w:t>考评结果分为优（得分≥90分）、良（90分&gt;得分≥80分）、中（80分&gt;得分≥60分）、差（得分＜60分）四个等级。</w:t>
      </w:r>
    </w:p>
    <w:p w14:paraId="498BAD73">
      <w:pPr>
        <w:keepNext w:val="0"/>
        <w:keepLines w:val="0"/>
        <w:pageBreakBefore w:val="0"/>
        <w:widowControl/>
        <w:kinsoku/>
        <w:wordWrap/>
        <w:overflowPunct/>
        <w:topLinePunct w:val="0"/>
        <w:autoSpaceDE/>
        <w:autoSpaceDN/>
        <w:bidi w:val="0"/>
        <w:adjustRightInd/>
        <w:snapToGrid/>
        <w:spacing w:line="64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2、考核结果为“中“、”差”等级的不再参与下一轮抽签，并取消框架协议后续服务期服务资格，同时将其执业质量情况通报其所在的行业协会及监管部门。</w:t>
      </w:r>
    </w:p>
    <w:p w14:paraId="473AB7A6">
      <w:pPr>
        <w:keepNext w:val="0"/>
        <w:keepLines w:val="0"/>
        <w:pageBreakBefore w:val="0"/>
        <w:widowControl/>
        <w:kinsoku/>
        <w:wordWrap/>
        <w:overflowPunct/>
        <w:topLinePunct w:val="0"/>
        <w:autoSpaceDE/>
        <w:autoSpaceDN/>
        <w:bidi w:val="0"/>
        <w:adjustRightInd/>
        <w:snapToGrid/>
        <w:spacing w:line="640" w:lineRule="exact"/>
        <w:ind w:left="0" w:leftChars="0" w:firstLine="643" w:firstLineChars="200"/>
        <w:jc w:val="left"/>
        <w:textAlignment w:val="auto"/>
        <w:rPr>
          <w:rFonts w:hint="eastAsia" w:ascii="仿宋" w:hAnsi="仿宋" w:eastAsia="仿宋" w:cs="仿宋"/>
          <w:b/>
          <w:kern w:val="0"/>
          <w:sz w:val="32"/>
          <w:szCs w:val="32"/>
          <w:lang w:val="en-US" w:eastAsia="zh-CN"/>
        </w:rPr>
      </w:pPr>
      <w:r>
        <w:rPr>
          <w:rFonts w:hint="eastAsia" w:ascii="仿宋" w:hAnsi="仿宋" w:eastAsia="仿宋" w:cs="仿宋"/>
          <w:b/>
          <w:kern w:val="0"/>
          <w:sz w:val="32"/>
          <w:szCs w:val="32"/>
        </w:rPr>
        <w:t>第八条 服务费用</w:t>
      </w:r>
      <w:r>
        <w:rPr>
          <w:rFonts w:hint="eastAsia" w:ascii="仿宋" w:hAnsi="仿宋" w:eastAsia="仿宋" w:cs="仿宋"/>
          <w:b/>
          <w:kern w:val="0"/>
          <w:sz w:val="32"/>
          <w:szCs w:val="32"/>
          <w:lang w:val="en-US" w:eastAsia="zh-CN"/>
        </w:rPr>
        <w:t>计费标准</w:t>
      </w:r>
      <w:r>
        <w:rPr>
          <w:rFonts w:hint="eastAsia" w:ascii="仿宋" w:hAnsi="仿宋" w:eastAsia="仿宋" w:cs="仿宋"/>
          <w:b/>
          <w:kern w:val="0"/>
          <w:sz w:val="32"/>
          <w:szCs w:val="32"/>
        </w:rPr>
        <w:t>及支付</w:t>
      </w:r>
      <w:r>
        <w:rPr>
          <w:rFonts w:hint="eastAsia" w:ascii="仿宋" w:hAnsi="仿宋" w:eastAsia="仿宋" w:cs="仿宋"/>
          <w:b/>
          <w:kern w:val="0"/>
          <w:sz w:val="32"/>
          <w:szCs w:val="32"/>
          <w:lang w:val="en-US" w:eastAsia="zh-CN"/>
        </w:rPr>
        <w:t>条件</w:t>
      </w:r>
    </w:p>
    <w:p w14:paraId="699C9079">
      <w:pPr>
        <w:keepNext w:val="0"/>
        <w:keepLines w:val="0"/>
        <w:pageBreakBefore w:val="0"/>
        <w:widowControl/>
        <w:kinsoku/>
        <w:wordWrap/>
        <w:overflowPunct/>
        <w:topLinePunct w:val="0"/>
        <w:autoSpaceDE/>
        <w:autoSpaceDN/>
        <w:bidi w:val="0"/>
        <w:adjustRightInd/>
        <w:snapToGrid/>
        <w:spacing w:line="64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第三方机构计费标准：按如下标准收取服务费</w:t>
      </w:r>
      <w:r>
        <w:rPr>
          <w:rFonts w:hint="eastAsia" w:ascii="仿宋" w:hAnsi="仿宋" w:eastAsia="仿宋" w:cs="仿宋"/>
          <w:sz w:val="32"/>
          <w:szCs w:val="32"/>
        </w:rPr>
        <w:t>。</w:t>
      </w:r>
    </w:p>
    <w:p w14:paraId="127EE721">
      <w:pPr>
        <w:keepNext w:val="0"/>
        <w:keepLines w:val="0"/>
        <w:pageBreakBefore w:val="0"/>
        <w:widowControl/>
        <w:kinsoku/>
        <w:wordWrap/>
        <w:overflowPunct/>
        <w:topLinePunct w:val="0"/>
        <w:autoSpaceDE/>
        <w:autoSpaceDN/>
        <w:bidi w:val="0"/>
        <w:adjustRightInd/>
        <w:snapToGrid/>
        <w:spacing w:line="64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.1计件费用标准上限</w:t>
      </w:r>
    </w:p>
    <w:tbl>
      <w:tblPr>
        <w:tblStyle w:val="16"/>
        <w:tblW w:w="8079" w:type="dxa"/>
        <w:tblInd w:w="534" w:type="dxa"/>
        <w:tblLayout w:type="fixed"/>
        <w:tblCellMar>
          <w:top w:w="0" w:type="dxa"/>
          <w:left w:w="108" w:type="dxa"/>
          <w:bottom w:w="0" w:type="dxa"/>
          <w:right w:w="108" w:type="dxa"/>
        </w:tblCellMar>
      </w:tblPr>
      <w:tblGrid>
        <w:gridCol w:w="1701"/>
        <w:gridCol w:w="2976"/>
        <w:gridCol w:w="3402"/>
      </w:tblGrid>
      <w:tr w14:paraId="4C62F3C3">
        <w:tblPrEx>
          <w:tblCellMar>
            <w:top w:w="0" w:type="dxa"/>
            <w:left w:w="108" w:type="dxa"/>
            <w:bottom w:w="0" w:type="dxa"/>
            <w:right w:w="108" w:type="dxa"/>
          </w:tblCellMar>
        </w:tblPrEx>
        <w:trPr>
          <w:trHeight w:val="799" w:hRule="atLeast"/>
        </w:trPr>
        <w:tc>
          <w:tcPr>
            <w:tcW w:w="1701" w:type="dxa"/>
            <w:tcBorders>
              <w:top w:val="single" w:color="auto" w:sz="8" w:space="0"/>
              <w:left w:val="single" w:color="auto" w:sz="8" w:space="0"/>
              <w:bottom w:val="single" w:color="auto" w:sz="8" w:space="0"/>
              <w:right w:val="single" w:color="auto" w:sz="8" w:space="0"/>
            </w:tcBorders>
            <w:noWrap w:val="0"/>
            <w:vAlign w:val="center"/>
          </w:tcPr>
          <w:p w14:paraId="5D463960">
            <w:pPr>
              <w:keepNext w:val="0"/>
              <w:keepLines w:val="0"/>
              <w:pageBreakBefore w:val="0"/>
              <w:widowControl/>
              <w:kinsoku/>
              <w:wordWrap/>
              <w:overflowPunct/>
              <w:topLinePunct w:val="0"/>
              <w:autoSpaceDE/>
              <w:autoSpaceDN/>
              <w:bidi w:val="0"/>
              <w:adjustRightInd/>
              <w:snapToGrid/>
              <w:spacing w:line="260" w:lineRule="exact"/>
              <w:jc w:val="center"/>
              <w:textAlignment w:val="auto"/>
              <w:rPr>
                <w:b/>
                <w:bCs/>
                <w:color w:val="000000"/>
                <w:kern w:val="0"/>
                <w:sz w:val="24"/>
                <w:szCs w:val="24"/>
              </w:rPr>
            </w:pPr>
            <w:r>
              <w:rPr>
                <w:rFonts w:cs="Calibri"/>
                <w:b/>
                <w:bCs/>
                <w:color w:val="000000"/>
                <w:kern w:val="0"/>
                <w:sz w:val="24"/>
                <w:szCs w:val="24"/>
              </w:rPr>
              <w:t>计费依据</w:t>
            </w:r>
          </w:p>
        </w:tc>
        <w:tc>
          <w:tcPr>
            <w:tcW w:w="2976" w:type="dxa"/>
            <w:tcBorders>
              <w:top w:val="single" w:color="auto" w:sz="8" w:space="0"/>
              <w:left w:val="nil"/>
              <w:bottom w:val="single" w:color="auto" w:sz="8" w:space="0"/>
              <w:right w:val="single" w:color="auto" w:sz="8" w:space="0"/>
            </w:tcBorders>
            <w:noWrap w:val="0"/>
            <w:vAlign w:val="center"/>
          </w:tcPr>
          <w:p w14:paraId="2A011E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cs="宋体"/>
                <w:b/>
                <w:bCs/>
                <w:color w:val="000000"/>
                <w:kern w:val="0"/>
                <w:sz w:val="24"/>
                <w:szCs w:val="24"/>
              </w:rPr>
            </w:pPr>
            <w:r>
              <w:rPr>
                <w:rFonts w:cs="Calibri"/>
                <w:b/>
                <w:bCs/>
                <w:color w:val="000000"/>
                <w:kern w:val="0"/>
                <w:sz w:val="24"/>
                <w:szCs w:val="24"/>
              </w:rPr>
              <w:t>超额累进费率计费（万元）</w:t>
            </w:r>
          </w:p>
        </w:tc>
        <w:tc>
          <w:tcPr>
            <w:tcW w:w="3402" w:type="dxa"/>
            <w:tcBorders>
              <w:top w:val="single" w:color="auto" w:sz="8" w:space="0"/>
              <w:left w:val="nil"/>
              <w:bottom w:val="single" w:color="auto" w:sz="8" w:space="0"/>
              <w:right w:val="single" w:color="auto" w:sz="8" w:space="0"/>
            </w:tcBorders>
            <w:noWrap w:val="0"/>
            <w:vAlign w:val="center"/>
          </w:tcPr>
          <w:p w14:paraId="795D2E92">
            <w:pPr>
              <w:keepNext w:val="0"/>
              <w:keepLines w:val="0"/>
              <w:pageBreakBefore w:val="0"/>
              <w:widowControl/>
              <w:kinsoku/>
              <w:wordWrap/>
              <w:overflowPunct/>
              <w:topLinePunct w:val="0"/>
              <w:autoSpaceDE/>
              <w:autoSpaceDN/>
              <w:bidi w:val="0"/>
              <w:adjustRightInd/>
              <w:snapToGrid/>
              <w:spacing w:line="260" w:lineRule="exact"/>
              <w:jc w:val="center"/>
              <w:textAlignment w:val="auto"/>
              <w:rPr>
                <w:b/>
                <w:bCs/>
                <w:color w:val="000000"/>
                <w:kern w:val="0"/>
                <w:sz w:val="24"/>
                <w:szCs w:val="24"/>
              </w:rPr>
            </w:pPr>
            <w:r>
              <w:rPr>
                <w:rFonts w:cs="Calibri"/>
                <w:b/>
                <w:bCs/>
                <w:color w:val="000000"/>
                <w:kern w:val="0"/>
                <w:sz w:val="24"/>
                <w:szCs w:val="24"/>
              </w:rPr>
              <w:t>最高费率</w:t>
            </w:r>
            <w:r>
              <w:rPr>
                <w:rFonts w:ascii="宋体" w:hAnsi="宋体" w:cs="宋体"/>
                <w:b/>
                <w:color w:val="000000"/>
                <w:kern w:val="0"/>
                <w:sz w:val="24"/>
              </w:rPr>
              <w:t>（‰）</w:t>
            </w:r>
          </w:p>
        </w:tc>
      </w:tr>
      <w:tr w14:paraId="3291BDF3">
        <w:tblPrEx>
          <w:tblCellMar>
            <w:top w:w="0" w:type="dxa"/>
            <w:left w:w="108" w:type="dxa"/>
            <w:bottom w:w="0" w:type="dxa"/>
            <w:right w:w="108" w:type="dxa"/>
          </w:tblCellMar>
        </w:tblPrEx>
        <w:trPr>
          <w:trHeight w:val="498" w:hRule="atLeast"/>
        </w:trPr>
        <w:tc>
          <w:tcPr>
            <w:tcW w:w="1701" w:type="dxa"/>
            <w:vMerge w:val="restart"/>
            <w:tcBorders>
              <w:top w:val="nil"/>
              <w:left w:val="single" w:color="auto" w:sz="8" w:space="0"/>
              <w:bottom w:val="single" w:color="auto" w:sz="8" w:space="0"/>
              <w:right w:val="single" w:color="auto" w:sz="8" w:space="0"/>
            </w:tcBorders>
            <w:noWrap w:val="0"/>
            <w:vAlign w:val="center"/>
          </w:tcPr>
          <w:p w14:paraId="71552678">
            <w:pPr>
              <w:keepNext w:val="0"/>
              <w:keepLines w:val="0"/>
              <w:pageBreakBefore w:val="0"/>
              <w:widowControl/>
              <w:kinsoku/>
              <w:wordWrap/>
              <w:overflowPunct/>
              <w:topLinePunct w:val="0"/>
              <w:autoSpaceDE/>
              <w:autoSpaceDN/>
              <w:bidi w:val="0"/>
              <w:adjustRightInd/>
              <w:snapToGrid/>
              <w:spacing w:line="260" w:lineRule="exact"/>
              <w:jc w:val="center"/>
              <w:textAlignment w:val="auto"/>
              <w:rPr>
                <w:color w:val="000000"/>
                <w:kern w:val="0"/>
                <w:sz w:val="24"/>
                <w:szCs w:val="24"/>
              </w:rPr>
            </w:pPr>
            <w:r>
              <w:rPr>
                <w:rFonts w:cs="Calibri"/>
                <w:color w:val="000000"/>
                <w:kern w:val="0"/>
                <w:sz w:val="24"/>
                <w:szCs w:val="24"/>
              </w:rPr>
              <w:t>绩效评价对象的资金规模</w:t>
            </w:r>
          </w:p>
        </w:tc>
        <w:tc>
          <w:tcPr>
            <w:tcW w:w="2976" w:type="dxa"/>
            <w:tcBorders>
              <w:top w:val="nil"/>
              <w:left w:val="nil"/>
              <w:bottom w:val="single" w:color="auto" w:sz="8" w:space="0"/>
              <w:right w:val="single" w:color="auto" w:sz="8" w:space="0"/>
            </w:tcBorders>
            <w:noWrap w:val="0"/>
            <w:vAlign w:val="center"/>
          </w:tcPr>
          <w:p w14:paraId="74FC10FB">
            <w:pPr>
              <w:keepNext w:val="0"/>
              <w:keepLines w:val="0"/>
              <w:pageBreakBefore w:val="0"/>
              <w:widowControl/>
              <w:kinsoku/>
              <w:wordWrap/>
              <w:overflowPunct/>
              <w:topLinePunct w:val="0"/>
              <w:autoSpaceDE/>
              <w:autoSpaceDN/>
              <w:bidi w:val="0"/>
              <w:adjustRightInd/>
              <w:snapToGrid/>
              <w:spacing w:line="260" w:lineRule="exact"/>
              <w:jc w:val="center"/>
              <w:textAlignment w:val="auto"/>
              <w:rPr>
                <w:color w:val="000000"/>
                <w:kern w:val="0"/>
                <w:sz w:val="24"/>
                <w:szCs w:val="24"/>
              </w:rPr>
            </w:pPr>
            <w:r>
              <w:rPr>
                <w:color w:val="000000"/>
                <w:kern w:val="0"/>
                <w:sz w:val="24"/>
                <w:szCs w:val="24"/>
              </w:rPr>
              <w:t>X</w:t>
            </w:r>
            <w:r>
              <w:rPr>
                <w:rFonts w:cs="Calibri"/>
                <w:color w:val="000000"/>
                <w:kern w:val="0"/>
                <w:sz w:val="24"/>
                <w:szCs w:val="24"/>
              </w:rPr>
              <w:t>≤</w:t>
            </w:r>
            <w:r>
              <w:rPr>
                <w:color w:val="000000"/>
                <w:kern w:val="0"/>
                <w:sz w:val="24"/>
                <w:szCs w:val="24"/>
              </w:rPr>
              <w:t>500</w:t>
            </w:r>
          </w:p>
        </w:tc>
        <w:tc>
          <w:tcPr>
            <w:tcW w:w="3402" w:type="dxa"/>
            <w:tcBorders>
              <w:top w:val="nil"/>
              <w:left w:val="nil"/>
              <w:bottom w:val="single" w:color="auto" w:sz="8" w:space="0"/>
              <w:right w:val="single" w:color="auto" w:sz="8" w:space="0"/>
            </w:tcBorders>
            <w:noWrap/>
            <w:vAlign w:val="center"/>
          </w:tcPr>
          <w:p w14:paraId="01E42D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eastAsia="宋体"/>
                <w:kern w:val="0"/>
                <w:sz w:val="24"/>
                <w:szCs w:val="24"/>
              </w:rPr>
            </w:pPr>
            <w:r>
              <w:rPr>
                <w:kern w:val="0"/>
                <w:sz w:val="24"/>
                <w:szCs w:val="24"/>
              </w:rPr>
              <w:t>3.78</w:t>
            </w:r>
          </w:p>
        </w:tc>
      </w:tr>
      <w:tr w14:paraId="34D357DB">
        <w:tblPrEx>
          <w:tblCellMar>
            <w:top w:w="0" w:type="dxa"/>
            <w:left w:w="108" w:type="dxa"/>
            <w:bottom w:w="0" w:type="dxa"/>
            <w:right w:w="108" w:type="dxa"/>
          </w:tblCellMar>
        </w:tblPrEx>
        <w:trPr>
          <w:trHeight w:val="560" w:hRule="atLeast"/>
        </w:trPr>
        <w:tc>
          <w:tcPr>
            <w:tcW w:w="1701" w:type="dxa"/>
            <w:vMerge w:val="continue"/>
            <w:tcBorders>
              <w:top w:val="nil"/>
              <w:left w:val="single" w:color="auto" w:sz="8" w:space="0"/>
              <w:bottom w:val="single" w:color="auto" w:sz="8" w:space="0"/>
              <w:right w:val="single" w:color="auto" w:sz="8" w:space="0"/>
            </w:tcBorders>
            <w:noWrap w:val="0"/>
            <w:vAlign w:val="center"/>
          </w:tcPr>
          <w:p w14:paraId="295E2B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color w:val="000000"/>
                <w:kern w:val="0"/>
                <w:sz w:val="24"/>
                <w:szCs w:val="24"/>
              </w:rPr>
            </w:pPr>
          </w:p>
        </w:tc>
        <w:tc>
          <w:tcPr>
            <w:tcW w:w="2976" w:type="dxa"/>
            <w:tcBorders>
              <w:top w:val="nil"/>
              <w:left w:val="nil"/>
              <w:bottom w:val="single" w:color="auto" w:sz="8" w:space="0"/>
              <w:right w:val="single" w:color="auto" w:sz="8" w:space="0"/>
            </w:tcBorders>
            <w:noWrap w:val="0"/>
            <w:vAlign w:val="center"/>
          </w:tcPr>
          <w:p w14:paraId="2CE7B35C">
            <w:pPr>
              <w:keepNext w:val="0"/>
              <w:keepLines w:val="0"/>
              <w:pageBreakBefore w:val="0"/>
              <w:widowControl/>
              <w:kinsoku/>
              <w:wordWrap/>
              <w:overflowPunct/>
              <w:topLinePunct w:val="0"/>
              <w:autoSpaceDE/>
              <w:autoSpaceDN/>
              <w:bidi w:val="0"/>
              <w:adjustRightInd/>
              <w:snapToGrid/>
              <w:spacing w:line="260" w:lineRule="exact"/>
              <w:jc w:val="center"/>
              <w:textAlignment w:val="auto"/>
              <w:rPr>
                <w:color w:val="000000"/>
                <w:kern w:val="0"/>
                <w:sz w:val="24"/>
                <w:szCs w:val="24"/>
              </w:rPr>
            </w:pPr>
            <w:r>
              <w:rPr>
                <w:color w:val="000000"/>
                <w:kern w:val="0"/>
                <w:sz w:val="24"/>
                <w:szCs w:val="24"/>
              </w:rPr>
              <w:t>500</w:t>
            </w:r>
            <w:r>
              <w:rPr>
                <w:rFonts w:cs="Calibri"/>
                <w:color w:val="000000"/>
                <w:kern w:val="0"/>
                <w:sz w:val="24"/>
                <w:szCs w:val="24"/>
              </w:rPr>
              <w:t>＜</w:t>
            </w:r>
            <w:r>
              <w:rPr>
                <w:color w:val="000000"/>
                <w:kern w:val="0"/>
                <w:sz w:val="24"/>
                <w:szCs w:val="24"/>
              </w:rPr>
              <w:t>X</w:t>
            </w:r>
            <w:r>
              <w:rPr>
                <w:rFonts w:cs="Calibri"/>
                <w:color w:val="000000"/>
                <w:kern w:val="0"/>
                <w:sz w:val="24"/>
                <w:szCs w:val="24"/>
              </w:rPr>
              <w:t>≤</w:t>
            </w:r>
            <w:r>
              <w:rPr>
                <w:color w:val="000000"/>
                <w:kern w:val="0"/>
                <w:sz w:val="24"/>
                <w:szCs w:val="24"/>
              </w:rPr>
              <w:t>2000</w:t>
            </w:r>
          </w:p>
        </w:tc>
        <w:tc>
          <w:tcPr>
            <w:tcW w:w="3402" w:type="dxa"/>
            <w:tcBorders>
              <w:top w:val="nil"/>
              <w:left w:val="nil"/>
              <w:bottom w:val="single" w:color="auto" w:sz="8" w:space="0"/>
              <w:right w:val="single" w:color="auto" w:sz="8" w:space="0"/>
            </w:tcBorders>
            <w:noWrap/>
            <w:vAlign w:val="center"/>
          </w:tcPr>
          <w:p w14:paraId="38EE7F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eastAsia="宋体"/>
                <w:kern w:val="0"/>
                <w:sz w:val="24"/>
                <w:szCs w:val="24"/>
              </w:rPr>
            </w:pPr>
            <w:r>
              <w:rPr>
                <w:kern w:val="0"/>
                <w:sz w:val="24"/>
                <w:szCs w:val="24"/>
              </w:rPr>
              <w:t>0.96</w:t>
            </w:r>
          </w:p>
        </w:tc>
      </w:tr>
      <w:tr w14:paraId="3035FD58">
        <w:tblPrEx>
          <w:tblCellMar>
            <w:top w:w="0" w:type="dxa"/>
            <w:left w:w="108" w:type="dxa"/>
            <w:bottom w:w="0" w:type="dxa"/>
            <w:right w:w="108" w:type="dxa"/>
          </w:tblCellMar>
        </w:tblPrEx>
        <w:trPr>
          <w:trHeight w:val="460" w:hRule="atLeast"/>
        </w:trPr>
        <w:tc>
          <w:tcPr>
            <w:tcW w:w="1701" w:type="dxa"/>
            <w:vMerge w:val="continue"/>
            <w:tcBorders>
              <w:top w:val="nil"/>
              <w:left w:val="single" w:color="auto" w:sz="8" w:space="0"/>
              <w:bottom w:val="single" w:color="auto" w:sz="8" w:space="0"/>
              <w:right w:val="single" w:color="auto" w:sz="8" w:space="0"/>
            </w:tcBorders>
            <w:noWrap w:val="0"/>
            <w:vAlign w:val="center"/>
          </w:tcPr>
          <w:p w14:paraId="1008429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color w:val="000000"/>
                <w:kern w:val="0"/>
                <w:sz w:val="24"/>
                <w:szCs w:val="24"/>
              </w:rPr>
            </w:pPr>
          </w:p>
        </w:tc>
        <w:tc>
          <w:tcPr>
            <w:tcW w:w="2976" w:type="dxa"/>
            <w:tcBorders>
              <w:top w:val="nil"/>
              <w:left w:val="nil"/>
              <w:bottom w:val="single" w:color="auto" w:sz="8" w:space="0"/>
              <w:right w:val="single" w:color="auto" w:sz="8" w:space="0"/>
            </w:tcBorders>
            <w:noWrap w:val="0"/>
            <w:vAlign w:val="center"/>
          </w:tcPr>
          <w:p w14:paraId="586C3DD2">
            <w:pPr>
              <w:keepNext w:val="0"/>
              <w:keepLines w:val="0"/>
              <w:pageBreakBefore w:val="0"/>
              <w:widowControl/>
              <w:kinsoku/>
              <w:wordWrap/>
              <w:overflowPunct/>
              <w:topLinePunct w:val="0"/>
              <w:autoSpaceDE/>
              <w:autoSpaceDN/>
              <w:bidi w:val="0"/>
              <w:adjustRightInd/>
              <w:snapToGrid/>
              <w:spacing w:line="260" w:lineRule="exact"/>
              <w:jc w:val="center"/>
              <w:textAlignment w:val="auto"/>
              <w:rPr>
                <w:color w:val="000000"/>
                <w:kern w:val="0"/>
                <w:sz w:val="24"/>
                <w:szCs w:val="24"/>
              </w:rPr>
            </w:pPr>
            <w:r>
              <w:rPr>
                <w:color w:val="000000"/>
                <w:kern w:val="0"/>
                <w:sz w:val="24"/>
                <w:szCs w:val="24"/>
              </w:rPr>
              <w:t>2000</w:t>
            </w:r>
            <w:r>
              <w:rPr>
                <w:rFonts w:cs="Calibri"/>
                <w:color w:val="000000"/>
                <w:kern w:val="0"/>
                <w:sz w:val="24"/>
                <w:szCs w:val="24"/>
              </w:rPr>
              <w:t>＜</w:t>
            </w:r>
            <w:r>
              <w:rPr>
                <w:color w:val="000000"/>
                <w:kern w:val="0"/>
                <w:sz w:val="24"/>
                <w:szCs w:val="24"/>
              </w:rPr>
              <w:t>X</w:t>
            </w:r>
            <w:r>
              <w:rPr>
                <w:rFonts w:cs="Calibri"/>
                <w:color w:val="000000"/>
                <w:kern w:val="0"/>
                <w:sz w:val="24"/>
                <w:szCs w:val="24"/>
              </w:rPr>
              <w:t>≤</w:t>
            </w:r>
            <w:r>
              <w:rPr>
                <w:color w:val="000000"/>
                <w:kern w:val="0"/>
                <w:sz w:val="24"/>
                <w:szCs w:val="24"/>
              </w:rPr>
              <w:t>5000</w:t>
            </w:r>
          </w:p>
        </w:tc>
        <w:tc>
          <w:tcPr>
            <w:tcW w:w="3402" w:type="dxa"/>
            <w:tcBorders>
              <w:top w:val="nil"/>
              <w:left w:val="nil"/>
              <w:bottom w:val="single" w:color="auto" w:sz="8" w:space="0"/>
              <w:right w:val="single" w:color="auto" w:sz="8" w:space="0"/>
            </w:tcBorders>
            <w:noWrap/>
            <w:vAlign w:val="center"/>
          </w:tcPr>
          <w:p w14:paraId="244787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eastAsia="宋体"/>
                <w:kern w:val="0"/>
                <w:sz w:val="24"/>
                <w:szCs w:val="24"/>
              </w:rPr>
            </w:pPr>
            <w:r>
              <w:rPr>
                <w:kern w:val="0"/>
                <w:sz w:val="24"/>
                <w:szCs w:val="24"/>
              </w:rPr>
              <w:t>0.36</w:t>
            </w:r>
          </w:p>
        </w:tc>
      </w:tr>
      <w:tr w14:paraId="4C95081C">
        <w:tblPrEx>
          <w:tblCellMar>
            <w:top w:w="0" w:type="dxa"/>
            <w:left w:w="108" w:type="dxa"/>
            <w:bottom w:w="0" w:type="dxa"/>
            <w:right w:w="108" w:type="dxa"/>
          </w:tblCellMar>
        </w:tblPrEx>
        <w:trPr>
          <w:trHeight w:val="547" w:hRule="atLeast"/>
        </w:trPr>
        <w:tc>
          <w:tcPr>
            <w:tcW w:w="1701" w:type="dxa"/>
            <w:vMerge w:val="continue"/>
            <w:tcBorders>
              <w:top w:val="nil"/>
              <w:left w:val="single" w:color="auto" w:sz="8" w:space="0"/>
              <w:bottom w:val="single" w:color="auto" w:sz="8" w:space="0"/>
              <w:right w:val="single" w:color="auto" w:sz="8" w:space="0"/>
            </w:tcBorders>
            <w:noWrap w:val="0"/>
            <w:vAlign w:val="center"/>
          </w:tcPr>
          <w:p w14:paraId="234FCAB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color w:val="000000"/>
                <w:kern w:val="0"/>
                <w:sz w:val="24"/>
                <w:szCs w:val="24"/>
              </w:rPr>
            </w:pPr>
          </w:p>
        </w:tc>
        <w:tc>
          <w:tcPr>
            <w:tcW w:w="2976" w:type="dxa"/>
            <w:tcBorders>
              <w:top w:val="nil"/>
              <w:left w:val="nil"/>
              <w:bottom w:val="single" w:color="auto" w:sz="8" w:space="0"/>
              <w:right w:val="single" w:color="auto" w:sz="8" w:space="0"/>
            </w:tcBorders>
            <w:noWrap w:val="0"/>
            <w:vAlign w:val="center"/>
          </w:tcPr>
          <w:p w14:paraId="16698A75">
            <w:pPr>
              <w:keepNext w:val="0"/>
              <w:keepLines w:val="0"/>
              <w:pageBreakBefore w:val="0"/>
              <w:widowControl/>
              <w:kinsoku/>
              <w:wordWrap/>
              <w:overflowPunct/>
              <w:topLinePunct w:val="0"/>
              <w:autoSpaceDE/>
              <w:autoSpaceDN/>
              <w:bidi w:val="0"/>
              <w:adjustRightInd/>
              <w:snapToGrid/>
              <w:spacing w:line="260" w:lineRule="exact"/>
              <w:jc w:val="center"/>
              <w:textAlignment w:val="auto"/>
              <w:rPr>
                <w:color w:val="000000"/>
                <w:kern w:val="0"/>
                <w:sz w:val="24"/>
                <w:szCs w:val="24"/>
              </w:rPr>
            </w:pPr>
            <w:r>
              <w:rPr>
                <w:color w:val="000000"/>
                <w:kern w:val="0"/>
                <w:sz w:val="24"/>
                <w:szCs w:val="24"/>
              </w:rPr>
              <w:t>5000</w:t>
            </w:r>
            <w:r>
              <w:rPr>
                <w:rFonts w:cs="Calibri"/>
                <w:color w:val="000000"/>
                <w:kern w:val="0"/>
                <w:sz w:val="24"/>
                <w:szCs w:val="24"/>
              </w:rPr>
              <w:t>＜</w:t>
            </w:r>
            <w:r>
              <w:rPr>
                <w:color w:val="000000"/>
                <w:kern w:val="0"/>
                <w:sz w:val="24"/>
                <w:szCs w:val="24"/>
              </w:rPr>
              <w:t>X</w:t>
            </w:r>
            <w:r>
              <w:rPr>
                <w:rFonts w:cs="Calibri"/>
                <w:color w:val="000000"/>
                <w:kern w:val="0"/>
                <w:sz w:val="24"/>
                <w:szCs w:val="24"/>
              </w:rPr>
              <w:t>≤</w:t>
            </w:r>
            <w:r>
              <w:rPr>
                <w:color w:val="000000"/>
                <w:kern w:val="0"/>
                <w:sz w:val="24"/>
                <w:szCs w:val="24"/>
              </w:rPr>
              <w:t>10000</w:t>
            </w:r>
          </w:p>
        </w:tc>
        <w:tc>
          <w:tcPr>
            <w:tcW w:w="3402" w:type="dxa"/>
            <w:tcBorders>
              <w:top w:val="nil"/>
              <w:left w:val="nil"/>
              <w:bottom w:val="single" w:color="auto" w:sz="8" w:space="0"/>
              <w:right w:val="single" w:color="auto" w:sz="8" w:space="0"/>
            </w:tcBorders>
            <w:noWrap/>
            <w:vAlign w:val="center"/>
          </w:tcPr>
          <w:p w14:paraId="6FD5A6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eastAsia="宋体"/>
                <w:kern w:val="0"/>
                <w:sz w:val="24"/>
                <w:szCs w:val="24"/>
              </w:rPr>
            </w:pPr>
            <w:r>
              <w:rPr>
                <w:kern w:val="0"/>
                <w:sz w:val="24"/>
                <w:szCs w:val="24"/>
              </w:rPr>
              <w:t>0.198</w:t>
            </w:r>
          </w:p>
        </w:tc>
      </w:tr>
      <w:tr w14:paraId="2147073C">
        <w:tblPrEx>
          <w:tblCellMar>
            <w:top w:w="0" w:type="dxa"/>
            <w:left w:w="108" w:type="dxa"/>
            <w:bottom w:w="0" w:type="dxa"/>
            <w:right w:w="108" w:type="dxa"/>
          </w:tblCellMar>
        </w:tblPrEx>
        <w:trPr>
          <w:trHeight w:val="660" w:hRule="atLeast"/>
        </w:trPr>
        <w:tc>
          <w:tcPr>
            <w:tcW w:w="1701" w:type="dxa"/>
            <w:vMerge w:val="continue"/>
            <w:tcBorders>
              <w:top w:val="nil"/>
              <w:left w:val="single" w:color="auto" w:sz="8" w:space="0"/>
              <w:bottom w:val="single" w:color="auto" w:sz="8" w:space="0"/>
              <w:right w:val="single" w:color="auto" w:sz="8" w:space="0"/>
            </w:tcBorders>
            <w:noWrap w:val="0"/>
            <w:vAlign w:val="center"/>
          </w:tcPr>
          <w:p w14:paraId="573448B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color w:val="000000"/>
                <w:kern w:val="0"/>
                <w:sz w:val="24"/>
                <w:szCs w:val="24"/>
              </w:rPr>
            </w:pPr>
          </w:p>
        </w:tc>
        <w:tc>
          <w:tcPr>
            <w:tcW w:w="2976" w:type="dxa"/>
            <w:tcBorders>
              <w:top w:val="nil"/>
              <w:left w:val="nil"/>
              <w:bottom w:val="single" w:color="auto" w:sz="8" w:space="0"/>
              <w:right w:val="single" w:color="auto" w:sz="8" w:space="0"/>
            </w:tcBorders>
            <w:noWrap w:val="0"/>
            <w:vAlign w:val="center"/>
          </w:tcPr>
          <w:p w14:paraId="1C3531B1">
            <w:pPr>
              <w:keepNext w:val="0"/>
              <w:keepLines w:val="0"/>
              <w:pageBreakBefore w:val="0"/>
              <w:widowControl/>
              <w:kinsoku/>
              <w:wordWrap/>
              <w:overflowPunct/>
              <w:topLinePunct w:val="0"/>
              <w:autoSpaceDE/>
              <w:autoSpaceDN/>
              <w:bidi w:val="0"/>
              <w:adjustRightInd/>
              <w:snapToGrid/>
              <w:spacing w:line="260" w:lineRule="exact"/>
              <w:jc w:val="center"/>
              <w:textAlignment w:val="auto"/>
              <w:rPr>
                <w:color w:val="000000"/>
                <w:kern w:val="0"/>
                <w:sz w:val="24"/>
                <w:szCs w:val="24"/>
              </w:rPr>
            </w:pPr>
            <w:r>
              <w:rPr>
                <w:color w:val="000000"/>
                <w:kern w:val="0"/>
                <w:sz w:val="24"/>
                <w:szCs w:val="24"/>
              </w:rPr>
              <w:t>10000</w:t>
            </w:r>
            <w:r>
              <w:rPr>
                <w:rFonts w:cs="Calibri"/>
                <w:color w:val="000000"/>
                <w:kern w:val="0"/>
                <w:sz w:val="24"/>
                <w:szCs w:val="24"/>
              </w:rPr>
              <w:t>＜</w:t>
            </w:r>
            <w:r>
              <w:rPr>
                <w:color w:val="000000"/>
                <w:kern w:val="0"/>
                <w:sz w:val="24"/>
                <w:szCs w:val="24"/>
              </w:rPr>
              <w:t>X</w:t>
            </w:r>
            <w:r>
              <w:rPr>
                <w:rFonts w:cs="Calibri"/>
                <w:color w:val="000000"/>
                <w:kern w:val="0"/>
                <w:sz w:val="24"/>
                <w:szCs w:val="24"/>
              </w:rPr>
              <w:t>≤</w:t>
            </w:r>
            <w:r>
              <w:rPr>
                <w:color w:val="000000"/>
                <w:kern w:val="0"/>
                <w:sz w:val="24"/>
                <w:szCs w:val="24"/>
              </w:rPr>
              <w:t>50000</w:t>
            </w:r>
          </w:p>
        </w:tc>
        <w:tc>
          <w:tcPr>
            <w:tcW w:w="3402" w:type="dxa"/>
            <w:tcBorders>
              <w:top w:val="nil"/>
              <w:left w:val="nil"/>
              <w:bottom w:val="single" w:color="auto" w:sz="8" w:space="0"/>
              <w:right w:val="single" w:color="auto" w:sz="8" w:space="0"/>
            </w:tcBorders>
            <w:noWrap/>
            <w:vAlign w:val="center"/>
          </w:tcPr>
          <w:p w14:paraId="2116D8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eastAsia="宋体"/>
                <w:kern w:val="0"/>
                <w:sz w:val="24"/>
                <w:szCs w:val="24"/>
              </w:rPr>
            </w:pPr>
            <w:r>
              <w:rPr>
                <w:kern w:val="0"/>
                <w:sz w:val="24"/>
                <w:szCs w:val="24"/>
              </w:rPr>
              <w:t>0.03</w:t>
            </w:r>
          </w:p>
        </w:tc>
      </w:tr>
      <w:tr w14:paraId="58064ED3">
        <w:tblPrEx>
          <w:tblCellMar>
            <w:top w:w="0" w:type="dxa"/>
            <w:left w:w="108" w:type="dxa"/>
            <w:bottom w:w="0" w:type="dxa"/>
            <w:right w:w="108" w:type="dxa"/>
          </w:tblCellMar>
        </w:tblPrEx>
        <w:trPr>
          <w:trHeight w:val="660" w:hRule="atLeast"/>
        </w:trPr>
        <w:tc>
          <w:tcPr>
            <w:tcW w:w="1701" w:type="dxa"/>
            <w:vMerge w:val="continue"/>
            <w:tcBorders>
              <w:top w:val="nil"/>
              <w:left w:val="single" w:color="auto" w:sz="8" w:space="0"/>
              <w:bottom w:val="single" w:color="auto" w:sz="8" w:space="0"/>
              <w:right w:val="single" w:color="auto" w:sz="8" w:space="0"/>
            </w:tcBorders>
            <w:noWrap w:val="0"/>
            <w:vAlign w:val="center"/>
          </w:tcPr>
          <w:p w14:paraId="13DC014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color w:val="000000"/>
                <w:kern w:val="0"/>
                <w:sz w:val="24"/>
                <w:szCs w:val="24"/>
              </w:rPr>
            </w:pPr>
          </w:p>
        </w:tc>
        <w:tc>
          <w:tcPr>
            <w:tcW w:w="2976" w:type="dxa"/>
            <w:tcBorders>
              <w:top w:val="nil"/>
              <w:left w:val="nil"/>
              <w:bottom w:val="single" w:color="auto" w:sz="8" w:space="0"/>
              <w:right w:val="single" w:color="auto" w:sz="8" w:space="0"/>
            </w:tcBorders>
            <w:noWrap w:val="0"/>
            <w:vAlign w:val="center"/>
          </w:tcPr>
          <w:p w14:paraId="1FE20530">
            <w:pPr>
              <w:keepNext w:val="0"/>
              <w:keepLines w:val="0"/>
              <w:pageBreakBefore w:val="0"/>
              <w:widowControl/>
              <w:kinsoku/>
              <w:wordWrap/>
              <w:overflowPunct/>
              <w:topLinePunct w:val="0"/>
              <w:autoSpaceDE/>
              <w:autoSpaceDN/>
              <w:bidi w:val="0"/>
              <w:adjustRightInd/>
              <w:snapToGrid/>
              <w:spacing w:line="260" w:lineRule="exact"/>
              <w:jc w:val="center"/>
              <w:textAlignment w:val="auto"/>
              <w:rPr>
                <w:color w:val="000000"/>
                <w:kern w:val="0"/>
                <w:sz w:val="24"/>
                <w:szCs w:val="24"/>
              </w:rPr>
            </w:pPr>
            <w:r>
              <w:rPr>
                <w:color w:val="000000"/>
                <w:kern w:val="0"/>
                <w:sz w:val="24"/>
                <w:szCs w:val="24"/>
              </w:rPr>
              <w:t>50000</w:t>
            </w:r>
            <w:r>
              <w:rPr>
                <w:rFonts w:cs="Calibri"/>
                <w:color w:val="000000"/>
                <w:kern w:val="0"/>
                <w:sz w:val="24"/>
                <w:szCs w:val="24"/>
              </w:rPr>
              <w:t>＜</w:t>
            </w:r>
            <w:r>
              <w:rPr>
                <w:color w:val="000000"/>
                <w:kern w:val="0"/>
                <w:sz w:val="24"/>
                <w:szCs w:val="24"/>
              </w:rPr>
              <w:t>X</w:t>
            </w:r>
            <w:r>
              <w:rPr>
                <w:rFonts w:cs="Calibri"/>
                <w:color w:val="000000"/>
                <w:kern w:val="0"/>
                <w:sz w:val="24"/>
                <w:szCs w:val="24"/>
              </w:rPr>
              <w:t>≤</w:t>
            </w:r>
            <w:r>
              <w:rPr>
                <w:color w:val="000000"/>
                <w:kern w:val="0"/>
                <w:sz w:val="24"/>
                <w:szCs w:val="24"/>
              </w:rPr>
              <w:t>100000</w:t>
            </w:r>
          </w:p>
        </w:tc>
        <w:tc>
          <w:tcPr>
            <w:tcW w:w="3402" w:type="dxa"/>
            <w:tcBorders>
              <w:top w:val="nil"/>
              <w:left w:val="nil"/>
              <w:bottom w:val="single" w:color="auto" w:sz="8" w:space="0"/>
              <w:right w:val="single" w:color="auto" w:sz="8" w:space="0"/>
            </w:tcBorders>
            <w:noWrap/>
            <w:vAlign w:val="center"/>
          </w:tcPr>
          <w:p w14:paraId="165F6A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eastAsia="宋体"/>
                <w:kern w:val="0"/>
                <w:sz w:val="24"/>
                <w:szCs w:val="24"/>
              </w:rPr>
            </w:pPr>
            <w:r>
              <w:rPr>
                <w:kern w:val="0"/>
                <w:sz w:val="24"/>
                <w:szCs w:val="24"/>
              </w:rPr>
              <w:t>0.012</w:t>
            </w:r>
          </w:p>
        </w:tc>
      </w:tr>
      <w:tr w14:paraId="662962BD">
        <w:tblPrEx>
          <w:tblCellMar>
            <w:top w:w="0" w:type="dxa"/>
            <w:left w:w="108" w:type="dxa"/>
            <w:bottom w:w="0" w:type="dxa"/>
            <w:right w:w="108" w:type="dxa"/>
          </w:tblCellMar>
        </w:tblPrEx>
        <w:trPr>
          <w:trHeight w:val="660" w:hRule="atLeast"/>
        </w:trPr>
        <w:tc>
          <w:tcPr>
            <w:tcW w:w="1701" w:type="dxa"/>
            <w:vMerge w:val="continue"/>
            <w:tcBorders>
              <w:top w:val="nil"/>
              <w:left w:val="single" w:color="auto" w:sz="8" w:space="0"/>
              <w:bottom w:val="single" w:color="auto" w:sz="8" w:space="0"/>
              <w:right w:val="single" w:color="auto" w:sz="8" w:space="0"/>
            </w:tcBorders>
            <w:noWrap w:val="0"/>
            <w:vAlign w:val="center"/>
          </w:tcPr>
          <w:p w14:paraId="1FD0EF1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color w:val="000000"/>
                <w:kern w:val="0"/>
                <w:sz w:val="24"/>
                <w:szCs w:val="24"/>
              </w:rPr>
            </w:pPr>
          </w:p>
        </w:tc>
        <w:tc>
          <w:tcPr>
            <w:tcW w:w="2976" w:type="dxa"/>
            <w:tcBorders>
              <w:top w:val="nil"/>
              <w:left w:val="nil"/>
              <w:bottom w:val="single" w:color="auto" w:sz="8" w:space="0"/>
              <w:right w:val="single" w:color="auto" w:sz="8" w:space="0"/>
            </w:tcBorders>
            <w:noWrap w:val="0"/>
            <w:vAlign w:val="center"/>
          </w:tcPr>
          <w:p w14:paraId="64124D49">
            <w:pPr>
              <w:keepNext w:val="0"/>
              <w:keepLines w:val="0"/>
              <w:pageBreakBefore w:val="0"/>
              <w:widowControl/>
              <w:kinsoku/>
              <w:wordWrap/>
              <w:overflowPunct/>
              <w:topLinePunct w:val="0"/>
              <w:autoSpaceDE/>
              <w:autoSpaceDN/>
              <w:bidi w:val="0"/>
              <w:adjustRightInd/>
              <w:snapToGrid/>
              <w:spacing w:line="260" w:lineRule="exact"/>
              <w:jc w:val="center"/>
              <w:textAlignment w:val="auto"/>
              <w:rPr>
                <w:color w:val="000000"/>
                <w:kern w:val="0"/>
                <w:sz w:val="24"/>
                <w:szCs w:val="24"/>
              </w:rPr>
            </w:pPr>
            <w:r>
              <w:rPr>
                <w:color w:val="000000"/>
                <w:kern w:val="0"/>
                <w:sz w:val="24"/>
                <w:szCs w:val="24"/>
              </w:rPr>
              <w:t>X</w:t>
            </w:r>
            <w:r>
              <w:rPr>
                <w:rFonts w:cs="Calibri"/>
                <w:color w:val="000000"/>
                <w:kern w:val="0"/>
                <w:sz w:val="24"/>
                <w:szCs w:val="24"/>
              </w:rPr>
              <w:t>＞</w:t>
            </w:r>
            <w:r>
              <w:rPr>
                <w:color w:val="000000"/>
                <w:kern w:val="0"/>
                <w:sz w:val="24"/>
                <w:szCs w:val="24"/>
              </w:rPr>
              <w:t>100000</w:t>
            </w:r>
          </w:p>
        </w:tc>
        <w:tc>
          <w:tcPr>
            <w:tcW w:w="3402" w:type="dxa"/>
            <w:tcBorders>
              <w:top w:val="nil"/>
              <w:left w:val="nil"/>
              <w:bottom w:val="single" w:color="auto" w:sz="8" w:space="0"/>
              <w:right w:val="single" w:color="auto" w:sz="8" w:space="0"/>
            </w:tcBorders>
            <w:noWrap/>
            <w:vAlign w:val="center"/>
          </w:tcPr>
          <w:p w14:paraId="72AD3E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eastAsia="宋体"/>
                <w:kern w:val="0"/>
                <w:sz w:val="24"/>
                <w:szCs w:val="24"/>
              </w:rPr>
            </w:pPr>
            <w:r>
              <w:rPr>
                <w:kern w:val="0"/>
                <w:sz w:val="24"/>
                <w:szCs w:val="24"/>
              </w:rPr>
              <w:t>0.006</w:t>
            </w:r>
          </w:p>
        </w:tc>
      </w:tr>
    </w:tbl>
    <w:p w14:paraId="211364F0">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.2计时费用标准上限</w:t>
      </w:r>
    </w:p>
    <w:tbl>
      <w:tblPr>
        <w:tblStyle w:val="16"/>
        <w:tblW w:w="8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3685"/>
        <w:gridCol w:w="3515"/>
      </w:tblGrid>
      <w:tr w14:paraId="66DE3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011" w:type="dxa"/>
            <w:tcBorders>
              <w:top w:val="single" w:color="auto" w:sz="4" w:space="0"/>
              <w:left w:val="single" w:color="auto" w:sz="4" w:space="0"/>
              <w:bottom w:val="single" w:color="auto" w:sz="4" w:space="0"/>
              <w:right w:val="single" w:color="auto" w:sz="4" w:space="0"/>
            </w:tcBorders>
            <w:noWrap w:val="0"/>
            <w:vAlign w:val="center"/>
          </w:tcPr>
          <w:p w14:paraId="2BD89D04">
            <w:pPr>
              <w:widowControl/>
              <w:spacing w:line="560" w:lineRule="exact"/>
              <w:jc w:val="center"/>
              <w:rPr>
                <w:b/>
                <w:bCs/>
                <w:color w:val="000000"/>
                <w:kern w:val="0"/>
                <w:sz w:val="24"/>
                <w:szCs w:val="24"/>
              </w:rPr>
            </w:pPr>
            <w:r>
              <w:rPr>
                <w:rFonts w:cs="Calibri"/>
                <w:b/>
                <w:bCs/>
                <w:color w:val="000000"/>
                <w:kern w:val="0"/>
                <w:sz w:val="24"/>
                <w:szCs w:val="24"/>
              </w:rPr>
              <w:t>序号</w:t>
            </w:r>
          </w:p>
        </w:tc>
        <w:tc>
          <w:tcPr>
            <w:tcW w:w="3685" w:type="dxa"/>
            <w:tcBorders>
              <w:top w:val="single" w:color="auto" w:sz="4" w:space="0"/>
              <w:left w:val="nil"/>
              <w:bottom w:val="single" w:color="auto" w:sz="4" w:space="0"/>
              <w:right w:val="single" w:color="auto" w:sz="4" w:space="0"/>
            </w:tcBorders>
            <w:noWrap w:val="0"/>
            <w:vAlign w:val="center"/>
          </w:tcPr>
          <w:p w14:paraId="2E26A584">
            <w:pPr>
              <w:widowControl/>
              <w:spacing w:line="560" w:lineRule="exact"/>
              <w:jc w:val="center"/>
              <w:rPr>
                <w:b/>
                <w:bCs/>
                <w:color w:val="000000"/>
                <w:kern w:val="0"/>
                <w:sz w:val="24"/>
                <w:szCs w:val="24"/>
              </w:rPr>
            </w:pPr>
            <w:r>
              <w:rPr>
                <w:rFonts w:cs="Calibri"/>
                <w:b/>
                <w:bCs/>
                <w:color w:val="000000"/>
                <w:kern w:val="0"/>
                <w:sz w:val="24"/>
                <w:szCs w:val="24"/>
              </w:rPr>
              <w:t>人员类别</w:t>
            </w:r>
          </w:p>
        </w:tc>
        <w:tc>
          <w:tcPr>
            <w:tcW w:w="3515" w:type="dxa"/>
            <w:tcBorders>
              <w:top w:val="single" w:color="auto" w:sz="4" w:space="0"/>
              <w:left w:val="nil"/>
              <w:bottom w:val="single" w:color="auto" w:sz="4" w:space="0"/>
              <w:right w:val="single" w:color="auto" w:sz="4" w:space="0"/>
            </w:tcBorders>
            <w:noWrap w:val="0"/>
            <w:vAlign w:val="center"/>
          </w:tcPr>
          <w:p w14:paraId="2A268204">
            <w:pPr>
              <w:widowControl/>
              <w:spacing w:line="560" w:lineRule="exact"/>
              <w:jc w:val="center"/>
              <w:rPr>
                <w:b/>
                <w:bCs/>
                <w:color w:val="000000"/>
                <w:kern w:val="0"/>
                <w:sz w:val="24"/>
                <w:szCs w:val="24"/>
              </w:rPr>
            </w:pPr>
            <w:r>
              <w:rPr>
                <w:rFonts w:cs="Calibri"/>
                <w:b/>
                <w:bCs/>
                <w:color w:val="000000"/>
                <w:kern w:val="0"/>
                <w:sz w:val="24"/>
                <w:szCs w:val="24"/>
              </w:rPr>
              <w:t>最高收费限额（元</w:t>
            </w:r>
            <w:r>
              <w:rPr>
                <w:b/>
                <w:bCs/>
                <w:color w:val="000000"/>
                <w:kern w:val="0"/>
                <w:sz w:val="24"/>
                <w:szCs w:val="24"/>
              </w:rPr>
              <w:t>/</w:t>
            </w:r>
            <w:r>
              <w:rPr>
                <w:rFonts w:cs="Calibri"/>
                <w:b/>
                <w:bCs/>
                <w:color w:val="000000"/>
                <w:kern w:val="0"/>
                <w:sz w:val="24"/>
                <w:szCs w:val="24"/>
              </w:rPr>
              <w:t>天）</w:t>
            </w:r>
          </w:p>
        </w:tc>
      </w:tr>
      <w:tr w14:paraId="2A158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011" w:type="dxa"/>
            <w:tcBorders>
              <w:top w:val="single" w:color="auto" w:sz="4" w:space="0"/>
              <w:left w:val="single" w:color="auto" w:sz="4" w:space="0"/>
              <w:bottom w:val="single" w:color="auto" w:sz="4" w:space="0"/>
              <w:right w:val="single" w:color="auto" w:sz="4" w:space="0"/>
            </w:tcBorders>
            <w:noWrap w:val="0"/>
            <w:vAlign w:val="center"/>
          </w:tcPr>
          <w:p w14:paraId="42EC7BB2">
            <w:pPr>
              <w:widowControl/>
              <w:spacing w:line="560" w:lineRule="exact"/>
              <w:jc w:val="center"/>
              <w:rPr>
                <w:color w:val="000000"/>
                <w:kern w:val="0"/>
                <w:sz w:val="24"/>
                <w:szCs w:val="24"/>
              </w:rPr>
            </w:pPr>
            <w:r>
              <w:rPr>
                <w:color w:val="000000"/>
                <w:kern w:val="0"/>
                <w:sz w:val="24"/>
                <w:szCs w:val="24"/>
              </w:rPr>
              <w:t>1</w:t>
            </w:r>
          </w:p>
        </w:tc>
        <w:tc>
          <w:tcPr>
            <w:tcW w:w="3685" w:type="dxa"/>
            <w:tcBorders>
              <w:top w:val="single" w:color="auto" w:sz="4" w:space="0"/>
              <w:left w:val="nil"/>
              <w:bottom w:val="single" w:color="auto" w:sz="4" w:space="0"/>
              <w:right w:val="single" w:color="auto" w:sz="4" w:space="0"/>
            </w:tcBorders>
            <w:noWrap w:val="0"/>
            <w:vAlign w:val="center"/>
          </w:tcPr>
          <w:p w14:paraId="563A54FA">
            <w:pPr>
              <w:widowControl/>
              <w:spacing w:line="560" w:lineRule="exact"/>
              <w:jc w:val="center"/>
              <w:rPr>
                <w:color w:val="000000"/>
                <w:kern w:val="0"/>
                <w:sz w:val="24"/>
                <w:szCs w:val="24"/>
              </w:rPr>
            </w:pPr>
            <w:r>
              <w:rPr>
                <w:rFonts w:cs="Calibri"/>
                <w:color w:val="000000"/>
                <w:kern w:val="0"/>
                <w:sz w:val="24"/>
                <w:szCs w:val="24"/>
              </w:rPr>
              <w:t>副高级及以上技术职称专业人员</w:t>
            </w:r>
          </w:p>
        </w:tc>
        <w:tc>
          <w:tcPr>
            <w:tcW w:w="3515" w:type="dxa"/>
            <w:tcBorders>
              <w:top w:val="single" w:color="auto" w:sz="4" w:space="0"/>
              <w:left w:val="nil"/>
              <w:bottom w:val="single" w:color="auto" w:sz="4" w:space="0"/>
              <w:right w:val="single" w:color="auto" w:sz="4" w:space="0"/>
            </w:tcBorders>
            <w:noWrap w:val="0"/>
            <w:vAlign w:val="center"/>
          </w:tcPr>
          <w:p w14:paraId="09977E02">
            <w:pPr>
              <w:widowControl/>
              <w:spacing w:line="560" w:lineRule="exact"/>
              <w:jc w:val="center"/>
              <w:rPr>
                <w:color w:val="000000"/>
                <w:kern w:val="0"/>
                <w:sz w:val="24"/>
                <w:szCs w:val="24"/>
              </w:rPr>
            </w:pPr>
            <w:r>
              <w:rPr>
                <w:color w:val="000000"/>
                <w:kern w:val="0"/>
                <w:sz w:val="24"/>
                <w:szCs w:val="24"/>
              </w:rPr>
              <w:t>500</w:t>
            </w:r>
          </w:p>
        </w:tc>
      </w:tr>
      <w:tr w14:paraId="18A1B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11" w:type="dxa"/>
            <w:tcBorders>
              <w:top w:val="single" w:color="auto" w:sz="4" w:space="0"/>
              <w:left w:val="single" w:color="auto" w:sz="4" w:space="0"/>
              <w:bottom w:val="single" w:color="auto" w:sz="4" w:space="0"/>
              <w:right w:val="single" w:color="auto" w:sz="4" w:space="0"/>
            </w:tcBorders>
            <w:noWrap w:val="0"/>
            <w:vAlign w:val="center"/>
          </w:tcPr>
          <w:p w14:paraId="21528B11">
            <w:pPr>
              <w:widowControl/>
              <w:spacing w:line="560" w:lineRule="exact"/>
              <w:jc w:val="center"/>
              <w:rPr>
                <w:color w:val="000000"/>
                <w:kern w:val="0"/>
                <w:sz w:val="24"/>
                <w:szCs w:val="24"/>
              </w:rPr>
            </w:pPr>
            <w:r>
              <w:rPr>
                <w:color w:val="000000"/>
                <w:kern w:val="0"/>
                <w:sz w:val="24"/>
                <w:szCs w:val="24"/>
              </w:rPr>
              <w:t>2</w:t>
            </w:r>
          </w:p>
        </w:tc>
        <w:tc>
          <w:tcPr>
            <w:tcW w:w="3685" w:type="dxa"/>
            <w:tcBorders>
              <w:top w:val="single" w:color="auto" w:sz="4" w:space="0"/>
              <w:left w:val="nil"/>
              <w:bottom w:val="single" w:color="auto" w:sz="4" w:space="0"/>
              <w:right w:val="single" w:color="auto" w:sz="4" w:space="0"/>
            </w:tcBorders>
            <w:noWrap w:val="0"/>
            <w:vAlign w:val="center"/>
          </w:tcPr>
          <w:p w14:paraId="4AFD9A2E">
            <w:pPr>
              <w:widowControl/>
              <w:spacing w:line="560" w:lineRule="exact"/>
              <w:jc w:val="center"/>
              <w:rPr>
                <w:color w:val="000000"/>
                <w:kern w:val="0"/>
                <w:sz w:val="24"/>
                <w:szCs w:val="24"/>
              </w:rPr>
            </w:pPr>
            <w:r>
              <w:rPr>
                <w:rFonts w:cs="Calibri"/>
                <w:color w:val="000000"/>
                <w:kern w:val="0"/>
                <w:sz w:val="24"/>
                <w:szCs w:val="24"/>
              </w:rPr>
              <w:t>中级以上技术职称专业人员</w:t>
            </w:r>
          </w:p>
        </w:tc>
        <w:tc>
          <w:tcPr>
            <w:tcW w:w="3515" w:type="dxa"/>
            <w:tcBorders>
              <w:top w:val="single" w:color="auto" w:sz="4" w:space="0"/>
              <w:left w:val="nil"/>
              <w:bottom w:val="single" w:color="auto" w:sz="4" w:space="0"/>
              <w:right w:val="single" w:color="auto" w:sz="4" w:space="0"/>
            </w:tcBorders>
            <w:noWrap w:val="0"/>
            <w:vAlign w:val="center"/>
          </w:tcPr>
          <w:p w14:paraId="5C0D6A26">
            <w:pPr>
              <w:widowControl/>
              <w:spacing w:line="560" w:lineRule="exact"/>
              <w:jc w:val="center"/>
              <w:rPr>
                <w:color w:val="000000"/>
                <w:kern w:val="0"/>
                <w:sz w:val="24"/>
                <w:szCs w:val="24"/>
              </w:rPr>
            </w:pPr>
            <w:r>
              <w:rPr>
                <w:color w:val="000000"/>
                <w:kern w:val="0"/>
                <w:sz w:val="24"/>
                <w:szCs w:val="24"/>
              </w:rPr>
              <w:t>300</w:t>
            </w:r>
          </w:p>
        </w:tc>
      </w:tr>
      <w:tr w14:paraId="51C2B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011" w:type="dxa"/>
            <w:tcBorders>
              <w:top w:val="single" w:color="auto" w:sz="4" w:space="0"/>
              <w:left w:val="single" w:color="auto" w:sz="4" w:space="0"/>
              <w:bottom w:val="single" w:color="auto" w:sz="4" w:space="0"/>
              <w:right w:val="single" w:color="auto" w:sz="4" w:space="0"/>
            </w:tcBorders>
            <w:noWrap w:val="0"/>
            <w:vAlign w:val="center"/>
          </w:tcPr>
          <w:p w14:paraId="15391182">
            <w:pPr>
              <w:widowControl/>
              <w:spacing w:line="560" w:lineRule="exact"/>
              <w:jc w:val="center"/>
              <w:rPr>
                <w:color w:val="000000"/>
                <w:kern w:val="0"/>
                <w:sz w:val="24"/>
                <w:szCs w:val="24"/>
              </w:rPr>
            </w:pPr>
            <w:r>
              <w:rPr>
                <w:color w:val="000000"/>
                <w:kern w:val="0"/>
                <w:sz w:val="24"/>
                <w:szCs w:val="24"/>
              </w:rPr>
              <w:t>3</w:t>
            </w:r>
          </w:p>
        </w:tc>
        <w:tc>
          <w:tcPr>
            <w:tcW w:w="3685" w:type="dxa"/>
            <w:tcBorders>
              <w:top w:val="single" w:color="auto" w:sz="4" w:space="0"/>
              <w:left w:val="nil"/>
              <w:bottom w:val="single" w:color="auto" w:sz="4" w:space="0"/>
              <w:right w:val="single" w:color="auto" w:sz="4" w:space="0"/>
            </w:tcBorders>
            <w:noWrap w:val="0"/>
            <w:vAlign w:val="center"/>
          </w:tcPr>
          <w:p w14:paraId="16236DFD">
            <w:pPr>
              <w:widowControl/>
              <w:spacing w:line="560" w:lineRule="exact"/>
              <w:jc w:val="center"/>
              <w:rPr>
                <w:color w:val="000000"/>
                <w:kern w:val="0"/>
                <w:sz w:val="24"/>
                <w:szCs w:val="24"/>
              </w:rPr>
            </w:pPr>
            <w:r>
              <w:rPr>
                <w:rFonts w:cs="Calibri"/>
                <w:color w:val="000000"/>
                <w:kern w:val="0"/>
                <w:sz w:val="24"/>
                <w:szCs w:val="24"/>
              </w:rPr>
              <w:t>助理人员</w:t>
            </w:r>
          </w:p>
        </w:tc>
        <w:tc>
          <w:tcPr>
            <w:tcW w:w="3515" w:type="dxa"/>
            <w:tcBorders>
              <w:top w:val="single" w:color="auto" w:sz="4" w:space="0"/>
              <w:left w:val="nil"/>
              <w:bottom w:val="single" w:color="auto" w:sz="4" w:space="0"/>
              <w:right w:val="single" w:color="auto" w:sz="4" w:space="0"/>
            </w:tcBorders>
            <w:noWrap w:val="0"/>
            <w:vAlign w:val="center"/>
          </w:tcPr>
          <w:p w14:paraId="75C07C5E">
            <w:pPr>
              <w:widowControl/>
              <w:spacing w:line="560" w:lineRule="exact"/>
              <w:jc w:val="center"/>
              <w:rPr>
                <w:color w:val="000000"/>
                <w:kern w:val="0"/>
                <w:sz w:val="24"/>
                <w:szCs w:val="24"/>
              </w:rPr>
            </w:pPr>
            <w:r>
              <w:rPr>
                <w:color w:val="000000"/>
                <w:kern w:val="0"/>
                <w:sz w:val="24"/>
                <w:szCs w:val="24"/>
              </w:rPr>
              <w:t>200</w:t>
            </w:r>
          </w:p>
        </w:tc>
      </w:tr>
    </w:tbl>
    <w:p w14:paraId="2C7A2CC4">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2、支付条件：单个项目完成后，根据征集人对第三方机构工作情况和业务质量综合考评结果，支付不同比例的合同价款（业务委托协议约定服务费用）。</w:t>
      </w:r>
    </w:p>
    <w:p w14:paraId="40DEEC2A">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考评结果为优（得分≥90分）的，支付协议约定服务费用的100%；考评结果为良（90分&gt;得分≥80分）的，支付协议约定服务费用的85%；考评结果为中（80分&gt;得分≥60分）的，支付协议约定服务费用的70%；考评结果为差（得分＜60分）的，支付协议约定服务费用的50%。</w:t>
      </w:r>
    </w:p>
    <w:p w14:paraId="770ECAFF">
      <w:pPr>
        <w:keepNext w:val="0"/>
        <w:keepLines w:val="0"/>
        <w:pageBreakBefore w:val="0"/>
        <w:widowControl w:val="0"/>
        <w:kinsoku/>
        <w:wordWrap/>
        <w:overflowPunct/>
        <w:topLinePunct/>
        <w:autoSpaceDE/>
        <w:autoSpaceDN/>
        <w:bidi w:val="0"/>
        <w:adjustRightInd w:val="0"/>
        <w:snapToGrid w:val="0"/>
        <w:spacing w:line="640" w:lineRule="exact"/>
        <w:ind w:firstLine="643" w:firstLineChars="200"/>
        <w:jc w:val="left"/>
        <w:textAlignment w:val="baseline"/>
        <w:rPr>
          <w:rFonts w:hint="eastAsia" w:ascii="仿宋" w:hAnsi="仿宋" w:eastAsia="仿宋" w:cs="仿宋"/>
          <w:b/>
          <w:bCs/>
          <w:kern w:val="0"/>
          <w:sz w:val="32"/>
          <w:szCs w:val="32"/>
        </w:rPr>
      </w:pPr>
      <w:r>
        <w:rPr>
          <w:rFonts w:hint="eastAsia" w:ascii="仿宋" w:hAnsi="仿宋" w:eastAsia="仿宋" w:cs="仿宋"/>
          <w:b/>
          <w:bCs/>
          <w:kern w:val="0"/>
          <w:sz w:val="32"/>
          <w:szCs w:val="32"/>
        </w:rPr>
        <w:t>第</w:t>
      </w:r>
      <w:r>
        <w:rPr>
          <w:rFonts w:hint="eastAsia" w:ascii="仿宋" w:hAnsi="仿宋" w:eastAsia="仿宋" w:cs="仿宋"/>
          <w:b/>
          <w:bCs/>
          <w:kern w:val="0"/>
          <w:sz w:val="32"/>
          <w:szCs w:val="32"/>
          <w:lang w:val="en-US" w:eastAsia="zh-CN"/>
        </w:rPr>
        <w:t>九</w:t>
      </w:r>
      <w:r>
        <w:rPr>
          <w:rFonts w:hint="eastAsia" w:ascii="仿宋" w:hAnsi="仿宋" w:eastAsia="仿宋" w:cs="仿宋"/>
          <w:b/>
          <w:bCs/>
          <w:kern w:val="0"/>
          <w:sz w:val="32"/>
          <w:szCs w:val="32"/>
        </w:rPr>
        <w:t>条 入围供应商清退和补充规则</w:t>
      </w:r>
    </w:p>
    <w:p w14:paraId="0230F908">
      <w:pPr>
        <w:keepNext w:val="0"/>
        <w:keepLines w:val="0"/>
        <w:pageBreakBefore w:val="0"/>
        <w:kinsoku/>
        <w:wordWrap w:val="0"/>
        <w:overflowPunct/>
        <w:topLinePunct/>
        <w:autoSpaceDE/>
        <w:autoSpaceDN/>
        <w:bidi w:val="0"/>
        <w:adjustRightInd w:val="0"/>
        <w:snapToGrid w:val="0"/>
        <w:spacing w:line="640" w:lineRule="exact"/>
        <w:ind w:firstLine="640" w:firstLineChars="200"/>
        <w:textAlignment w:val="baseline"/>
        <w:rPr>
          <w:rFonts w:hint="eastAsia" w:ascii="仿宋" w:hAnsi="仿宋" w:eastAsia="仿宋" w:cs="仿宋"/>
          <w:kern w:val="0"/>
          <w:sz w:val="32"/>
          <w:szCs w:val="32"/>
        </w:rPr>
      </w:pPr>
      <w:r>
        <w:rPr>
          <w:rFonts w:hint="eastAsia" w:ascii="仿宋" w:hAnsi="仿宋" w:eastAsia="仿宋" w:cs="仿宋"/>
          <w:kern w:val="0"/>
          <w:sz w:val="32"/>
          <w:szCs w:val="32"/>
        </w:rPr>
        <w:t>1、入围供应商清退</w:t>
      </w:r>
    </w:p>
    <w:p w14:paraId="5FA12FB6">
      <w:pPr>
        <w:keepNext w:val="0"/>
        <w:keepLines w:val="0"/>
        <w:pageBreakBefore w:val="0"/>
        <w:kinsoku/>
        <w:wordWrap w:val="0"/>
        <w:overflowPunct/>
        <w:topLinePunct/>
        <w:autoSpaceDE/>
        <w:autoSpaceDN/>
        <w:bidi w:val="0"/>
        <w:adjustRightInd w:val="0"/>
        <w:snapToGrid w:val="0"/>
        <w:spacing w:line="640" w:lineRule="exact"/>
        <w:ind w:firstLine="640" w:firstLineChars="200"/>
        <w:textAlignment w:val="baseline"/>
        <w:rPr>
          <w:rFonts w:hint="eastAsia" w:ascii="仿宋" w:hAnsi="仿宋" w:eastAsia="仿宋" w:cs="仿宋"/>
          <w:kern w:val="0"/>
          <w:sz w:val="32"/>
          <w:szCs w:val="32"/>
        </w:rPr>
      </w:pPr>
      <w:r>
        <w:rPr>
          <w:rFonts w:hint="eastAsia" w:ascii="仿宋" w:hAnsi="仿宋" w:eastAsia="仿宋" w:cs="仿宋"/>
          <w:kern w:val="0"/>
          <w:sz w:val="32"/>
          <w:szCs w:val="32"/>
        </w:rPr>
        <w:t>乙方有下列情形之一，尚未签订框架协议的，取消其入围资格；已经签订框架协议的，解除与其签订的框架协议：</w:t>
      </w:r>
    </w:p>
    <w:p w14:paraId="2B61F213">
      <w:pPr>
        <w:keepNext w:val="0"/>
        <w:keepLines w:val="0"/>
        <w:pageBreakBefore w:val="0"/>
        <w:kinsoku/>
        <w:wordWrap w:val="0"/>
        <w:overflowPunct/>
        <w:topLinePunct/>
        <w:autoSpaceDE/>
        <w:autoSpaceDN/>
        <w:bidi w:val="0"/>
        <w:adjustRightInd w:val="0"/>
        <w:snapToGrid w:val="0"/>
        <w:spacing w:line="640" w:lineRule="exact"/>
        <w:ind w:firstLine="640" w:firstLineChars="200"/>
        <w:textAlignment w:val="baseline"/>
        <w:rPr>
          <w:rFonts w:hint="eastAsia" w:ascii="仿宋" w:hAnsi="仿宋" w:eastAsia="仿宋" w:cs="仿宋"/>
          <w:kern w:val="0"/>
          <w:sz w:val="32"/>
          <w:szCs w:val="32"/>
        </w:rPr>
      </w:pPr>
      <w:r>
        <w:rPr>
          <w:rFonts w:hint="eastAsia" w:ascii="仿宋" w:hAnsi="仿宋" w:eastAsia="仿宋" w:cs="仿宋"/>
          <w:kern w:val="0"/>
          <w:sz w:val="32"/>
          <w:szCs w:val="32"/>
        </w:rPr>
        <w:t>(一)恶意串通谋取入围或者合同成交的；</w:t>
      </w:r>
    </w:p>
    <w:p w14:paraId="1959147D">
      <w:pPr>
        <w:keepNext w:val="0"/>
        <w:keepLines w:val="0"/>
        <w:pageBreakBefore w:val="0"/>
        <w:kinsoku/>
        <w:wordWrap w:val="0"/>
        <w:overflowPunct/>
        <w:topLinePunct/>
        <w:autoSpaceDE/>
        <w:autoSpaceDN/>
        <w:bidi w:val="0"/>
        <w:adjustRightInd w:val="0"/>
        <w:snapToGrid w:val="0"/>
        <w:spacing w:line="640" w:lineRule="exact"/>
        <w:ind w:firstLine="640" w:firstLineChars="200"/>
        <w:textAlignment w:val="baseline"/>
        <w:rPr>
          <w:rFonts w:hint="eastAsia" w:ascii="仿宋" w:hAnsi="仿宋" w:eastAsia="仿宋" w:cs="仿宋"/>
          <w:kern w:val="0"/>
          <w:sz w:val="32"/>
          <w:szCs w:val="32"/>
        </w:rPr>
      </w:pPr>
      <w:r>
        <w:rPr>
          <w:rFonts w:hint="eastAsia" w:ascii="仿宋" w:hAnsi="仿宋" w:eastAsia="仿宋" w:cs="仿宋"/>
          <w:kern w:val="0"/>
          <w:sz w:val="32"/>
          <w:szCs w:val="32"/>
        </w:rPr>
        <w:t>(二)提供虚假材料谋取入围或者合同成交的；</w:t>
      </w:r>
    </w:p>
    <w:p w14:paraId="4B19F398">
      <w:pPr>
        <w:keepNext w:val="0"/>
        <w:keepLines w:val="0"/>
        <w:pageBreakBefore w:val="0"/>
        <w:kinsoku/>
        <w:wordWrap w:val="0"/>
        <w:overflowPunct/>
        <w:topLinePunct/>
        <w:autoSpaceDE/>
        <w:autoSpaceDN/>
        <w:bidi w:val="0"/>
        <w:adjustRightInd w:val="0"/>
        <w:snapToGrid w:val="0"/>
        <w:spacing w:line="640" w:lineRule="exact"/>
        <w:ind w:firstLine="640" w:firstLineChars="200"/>
        <w:textAlignment w:val="baseline"/>
        <w:rPr>
          <w:rFonts w:hint="eastAsia" w:ascii="仿宋" w:hAnsi="仿宋" w:eastAsia="仿宋" w:cs="仿宋"/>
          <w:kern w:val="0"/>
          <w:sz w:val="32"/>
          <w:szCs w:val="32"/>
        </w:rPr>
      </w:pPr>
      <w:r>
        <w:rPr>
          <w:rFonts w:hint="eastAsia" w:ascii="仿宋" w:hAnsi="仿宋" w:eastAsia="仿宋" w:cs="仿宋"/>
          <w:kern w:val="0"/>
          <w:sz w:val="32"/>
          <w:szCs w:val="32"/>
        </w:rPr>
        <w:t>(三)无正当理由拒不接受合同授予的；</w:t>
      </w:r>
    </w:p>
    <w:p w14:paraId="3C5A64A8">
      <w:pPr>
        <w:keepNext w:val="0"/>
        <w:keepLines w:val="0"/>
        <w:pageBreakBefore w:val="0"/>
        <w:kinsoku/>
        <w:wordWrap w:val="0"/>
        <w:overflowPunct/>
        <w:topLinePunct/>
        <w:autoSpaceDE/>
        <w:autoSpaceDN/>
        <w:bidi w:val="0"/>
        <w:adjustRightInd w:val="0"/>
        <w:snapToGrid w:val="0"/>
        <w:spacing w:line="640" w:lineRule="exact"/>
        <w:ind w:firstLine="640" w:firstLineChars="200"/>
        <w:textAlignment w:val="baseline"/>
        <w:rPr>
          <w:rFonts w:hint="eastAsia" w:ascii="仿宋" w:hAnsi="仿宋" w:eastAsia="仿宋" w:cs="仿宋"/>
          <w:kern w:val="0"/>
          <w:sz w:val="32"/>
          <w:szCs w:val="32"/>
        </w:rPr>
      </w:pPr>
      <w:r>
        <w:rPr>
          <w:rFonts w:hint="eastAsia" w:ascii="仿宋" w:hAnsi="仿宋" w:eastAsia="仿宋" w:cs="仿宋"/>
          <w:kern w:val="0"/>
          <w:sz w:val="32"/>
          <w:szCs w:val="32"/>
        </w:rPr>
        <w:t>(四)不履行合同义务或者履行合同义务不符合约定，经征集人请求履行后仍不履行或者仍未按约定履行的；</w:t>
      </w:r>
    </w:p>
    <w:p w14:paraId="040171E9">
      <w:pPr>
        <w:keepNext w:val="0"/>
        <w:keepLines w:val="0"/>
        <w:pageBreakBefore w:val="0"/>
        <w:kinsoku/>
        <w:wordWrap w:val="0"/>
        <w:overflowPunct/>
        <w:topLinePunct/>
        <w:autoSpaceDE/>
        <w:autoSpaceDN/>
        <w:bidi w:val="0"/>
        <w:adjustRightInd w:val="0"/>
        <w:snapToGrid w:val="0"/>
        <w:spacing w:line="640" w:lineRule="exact"/>
        <w:ind w:firstLine="640" w:firstLineChars="200"/>
        <w:textAlignment w:val="baseline"/>
        <w:rPr>
          <w:rFonts w:hint="eastAsia" w:ascii="仿宋" w:hAnsi="仿宋" w:eastAsia="仿宋" w:cs="仿宋"/>
          <w:kern w:val="0"/>
          <w:sz w:val="32"/>
          <w:szCs w:val="32"/>
        </w:rPr>
      </w:pPr>
      <w:r>
        <w:rPr>
          <w:rFonts w:hint="eastAsia" w:ascii="仿宋" w:hAnsi="仿宋" w:eastAsia="仿宋" w:cs="仿宋"/>
          <w:kern w:val="0"/>
          <w:sz w:val="32"/>
          <w:szCs w:val="32"/>
        </w:rPr>
        <w:t>(五)框架协议有效期内，因违法行为被禁止或限制参加政府采购活动的；</w:t>
      </w:r>
    </w:p>
    <w:p w14:paraId="1374C010">
      <w:pPr>
        <w:keepNext w:val="0"/>
        <w:keepLines w:val="0"/>
        <w:pageBreakBefore w:val="0"/>
        <w:kinsoku/>
        <w:wordWrap w:val="0"/>
        <w:overflowPunct/>
        <w:topLinePunct/>
        <w:autoSpaceDE/>
        <w:autoSpaceDN/>
        <w:bidi w:val="0"/>
        <w:adjustRightInd w:val="0"/>
        <w:snapToGrid w:val="0"/>
        <w:spacing w:line="640" w:lineRule="exact"/>
        <w:ind w:firstLine="640" w:firstLineChars="200"/>
        <w:textAlignment w:val="baseline"/>
        <w:rPr>
          <w:rFonts w:hint="eastAsia" w:ascii="仿宋" w:hAnsi="仿宋" w:eastAsia="仿宋" w:cs="仿宋"/>
          <w:kern w:val="0"/>
          <w:sz w:val="32"/>
          <w:szCs w:val="32"/>
        </w:rPr>
      </w:pPr>
      <w:r>
        <w:rPr>
          <w:rFonts w:hint="eastAsia" w:ascii="仿宋" w:hAnsi="仿宋" w:eastAsia="仿宋" w:cs="仿宋"/>
          <w:kern w:val="0"/>
          <w:sz w:val="32"/>
          <w:szCs w:val="32"/>
        </w:rPr>
        <w:t>(六)框架协议约定的其他情形：</w:t>
      </w:r>
    </w:p>
    <w:p w14:paraId="5DD35BBC">
      <w:pPr>
        <w:keepNext w:val="0"/>
        <w:keepLines w:val="0"/>
        <w:pageBreakBefore w:val="0"/>
        <w:kinsoku/>
        <w:wordWrap w:val="0"/>
        <w:overflowPunct/>
        <w:topLinePunct/>
        <w:autoSpaceDE/>
        <w:autoSpaceDN/>
        <w:bidi w:val="0"/>
        <w:adjustRightInd w:val="0"/>
        <w:snapToGrid w:val="0"/>
        <w:spacing w:line="640" w:lineRule="exact"/>
        <w:ind w:firstLine="640" w:firstLineChars="200"/>
        <w:textAlignment w:val="baseline"/>
        <w:rPr>
          <w:rFonts w:hint="eastAsia" w:ascii="仿宋" w:hAnsi="仿宋" w:eastAsia="仿宋" w:cs="仿宋"/>
          <w:kern w:val="0"/>
          <w:sz w:val="32"/>
          <w:szCs w:val="32"/>
        </w:rPr>
      </w:pPr>
      <w:r>
        <w:rPr>
          <w:rFonts w:hint="eastAsia" w:ascii="仿宋" w:hAnsi="仿宋" w:eastAsia="仿宋" w:cs="仿宋"/>
          <w:kern w:val="0"/>
          <w:sz w:val="32"/>
          <w:szCs w:val="32"/>
        </w:rPr>
        <w:t>(1)乙方实质性违反本合同约定的；</w:t>
      </w:r>
    </w:p>
    <w:p w14:paraId="4A7C471C">
      <w:pPr>
        <w:keepNext w:val="0"/>
        <w:keepLines w:val="0"/>
        <w:pageBreakBefore w:val="0"/>
        <w:kinsoku/>
        <w:wordWrap w:val="0"/>
        <w:overflowPunct/>
        <w:topLinePunct/>
        <w:autoSpaceDE/>
        <w:autoSpaceDN/>
        <w:bidi w:val="0"/>
        <w:adjustRightInd w:val="0"/>
        <w:snapToGrid w:val="0"/>
        <w:spacing w:line="640" w:lineRule="exact"/>
        <w:ind w:firstLine="640" w:firstLineChars="200"/>
        <w:textAlignment w:val="baseline"/>
        <w:rPr>
          <w:rFonts w:hint="eastAsia" w:ascii="仿宋" w:hAnsi="仿宋" w:eastAsia="仿宋" w:cs="仿宋"/>
          <w:kern w:val="0"/>
          <w:sz w:val="32"/>
          <w:szCs w:val="32"/>
        </w:rPr>
      </w:pPr>
      <w:r>
        <w:rPr>
          <w:rFonts w:hint="eastAsia" w:ascii="仿宋" w:hAnsi="仿宋" w:eastAsia="仿宋" w:cs="仿宋"/>
          <w:kern w:val="0"/>
          <w:sz w:val="32"/>
          <w:szCs w:val="32"/>
        </w:rPr>
        <w:t>(2)乙方有违反合同约定或其职责、义务的行为，在征集人指定期限内未予以纠正或补救的；</w:t>
      </w:r>
    </w:p>
    <w:p w14:paraId="276D3FA5">
      <w:pPr>
        <w:keepNext w:val="0"/>
        <w:keepLines w:val="0"/>
        <w:pageBreakBefore w:val="0"/>
        <w:kinsoku/>
        <w:wordWrap w:val="0"/>
        <w:overflowPunct/>
        <w:topLinePunct/>
        <w:autoSpaceDE/>
        <w:autoSpaceDN/>
        <w:bidi w:val="0"/>
        <w:adjustRightInd w:val="0"/>
        <w:snapToGrid w:val="0"/>
        <w:spacing w:line="640" w:lineRule="exact"/>
        <w:ind w:firstLine="640" w:firstLineChars="200"/>
        <w:textAlignment w:val="baseline"/>
        <w:rPr>
          <w:rFonts w:hint="eastAsia" w:ascii="仿宋" w:hAnsi="仿宋" w:eastAsia="仿宋" w:cs="仿宋"/>
          <w:kern w:val="0"/>
          <w:sz w:val="32"/>
          <w:szCs w:val="32"/>
        </w:rPr>
      </w:pPr>
      <w:r>
        <w:rPr>
          <w:rFonts w:hint="eastAsia" w:ascii="仿宋" w:hAnsi="仿宋" w:eastAsia="仿宋" w:cs="仿宋"/>
          <w:kern w:val="0"/>
          <w:sz w:val="32"/>
          <w:szCs w:val="32"/>
        </w:rPr>
        <w:t>(3)乙方泄漏委托方的秘密或与第三方串通损害征集人利益的；由此造成的经济损失，乙方应予赔偿；存在违法违规行为的,由相关部门进行处理；</w:t>
      </w:r>
    </w:p>
    <w:p w14:paraId="21BA129A">
      <w:pPr>
        <w:keepNext w:val="0"/>
        <w:keepLines w:val="0"/>
        <w:pageBreakBefore w:val="0"/>
        <w:kinsoku/>
        <w:wordWrap w:val="0"/>
        <w:overflowPunct/>
        <w:topLinePunct/>
        <w:autoSpaceDE/>
        <w:autoSpaceDN/>
        <w:bidi w:val="0"/>
        <w:adjustRightInd w:val="0"/>
        <w:snapToGrid w:val="0"/>
        <w:spacing w:line="640" w:lineRule="exact"/>
        <w:ind w:firstLine="640" w:firstLineChars="200"/>
        <w:textAlignment w:val="baseline"/>
        <w:rPr>
          <w:rFonts w:hint="eastAsia" w:ascii="仿宋" w:hAnsi="仿宋" w:eastAsia="仿宋" w:cs="仿宋"/>
          <w:kern w:val="0"/>
          <w:sz w:val="32"/>
          <w:szCs w:val="32"/>
        </w:rPr>
      </w:pPr>
      <w:r>
        <w:rPr>
          <w:rFonts w:hint="eastAsia" w:ascii="仿宋" w:hAnsi="仿宋" w:eastAsia="仿宋" w:cs="仿宋"/>
          <w:kern w:val="0"/>
          <w:sz w:val="32"/>
          <w:szCs w:val="32"/>
        </w:rPr>
        <w:t>(4)征集人针对项目完成时限、质量有权提出要求,由于乙方原因,项目完成时限超出委托时限或质量不合格的；</w:t>
      </w:r>
    </w:p>
    <w:p w14:paraId="65F488C6">
      <w:pPr>
        <w:keepNext w:val="0"/>
        <w:keepLines w:val="0"/>
        <w:pageBreakBefore w:val="0"/>
        <w:kinsoku/>
        <w:wordWrap w:val="0"/>
        <w:overflowPunct/>
        <w:topLinePunct/>
        <w:autoSpaceDE/>
        <w:autoSpaceDN/>
        <w:bidi w:val="0"/>
        <w:adjustRightInd w:val="0"/>
        <w:snapToGrid w:val="0"/>
        <w:spacing w:line="640" w:lineRule="exact"/>
        <w:ind w:firstLine="640" w:firstLineChars="200"/>
        <w:textAlignment w:val="baseline"/>
        <w:rPr>
          <w:rFonts w:hint="eastAsia" w:ascii="仿宋" w:hAnsi="仿宋" w:eastAsia="仿宋" w:cs="仿宋"/>
          <w:kern w:val="0"/>
          <w:sz w:val="32"/>
          <w:szCs w:val="32"/>
        </w:rPr>
      </w:pPr>
      <w:r>
        <w:rPr>
          <w:rFonts w:hint="eastAsia" w:ascii="仿宋" w:hAnsi="仿宋" w:eastAsia="仿宋" w:cs="仿宋"/>
          <w:kern w:val="0"/>
          <w:sz w:val="32"/>
          <w:szCs w:val="32"/>
        </w:rPr>
        <w:t>(5)乙方将征集人提供的相关资料丢失的；由此造成的经济损失，乙方应予赔偿；存在违法违规行为的，由相关部门进行处理；</w:t>
      </w:r>
    </w:p>
    <w:p w14:paraId="4C46EA65">
      <w:pPr>
        <w:keepNext w:val="0"/>
        <w:keepLines w:val="0"/>
        <w:pageBreakBefore w:val="0"/>
        <w:kinsoku/>
        <w:wordWrap w:val="0"/>
        <w:overflowPunct/>
        <w:topLinePunct/>
        <w:autoSpaceDE/>
        <w:autoSpaceDN/>
        <w:bidi w:val="0"/>
        <w:adjustRightInd w:val="0"/>
        <w:snapToGrid w:val="0"/>
        <w:spacing w:line="640" w:lineRule="exact"/>
        <w:ind w:firstLine="640" w:firstLineChars="200"/>
        <w:textAlignment w:val="baseline"/>
        <w:rPr>
          <w:rFonts w:hint="eastAsia" w:ascii="仿宋" w:hAnsi="仿宋" w:eastAsia="仿宋" w:cs="仿宋"/>
          <w:kern w:val="0"/>
          <w:sz w:val="32"/>
          <w:szCs w:val="32"/>
        </w:rPr>
      </w:pPr>
      <w:r>
        <w:rPr>
          <w:rFonts w:hint="eastAsia" w:ascii="仿宋" w:hAnsi="仿宋" w:eastAsia="仿宋" w:cs="仿宋"/>
          <w:kern w:val="0"/>
          <w:sz w:val="32"/>
          <w:szCs w:val="32"/>
        </w:rPr>
        <w:t>(6)乙方提供服务时，需按委托人要求时限完成,无正当理由，未按时完成的将解除合同。</w:t>
      </w:r>
    </w:p>
    <w:p w14:paraId="1277582F">
      <w:pPr>
        <w:keepNext w:val="0"/>
        <w:keepLines w:val="0"/>
        <w:pageBreakBefore w:val="0"/>
        <w:kinsoku/>
        <w:wordWrap w:val="0"/>
        <w:overflowPunct/>
        <w:topLinePunct/>
        <w:autoSpaceDE/>
        <w:autoSpaceDN/>
        <w:bidi w:val="0"/>
        <w:adjustRightInd w:val="0"/>
        <w:snapToGrid w:val="0"/>
        <w:spacing w:line="640" w:lineRule="exact"/>
        <w:ind w:firstLine="640" w:firstLineChars="200"/>
        <w:textAlignment w:val="baseline"/>
        <w:rPr>
          <w:rFonts w:hint="eastAsia" w:ascii="仿宋" w:hAnsi="仿宋" w:eastAsia="仿宋" w:cs="仿宋"/>
          <w:kern w:val="0"/>
          <w:sz w:val="32"/>
          <w:szCs w:val="32"/>
        </w:rPr>
      </w:pPr>
      <w:r>
        <w:rPr>
          <w:rFonts w:hint="eastAsia" w:ascii="仿宋" w:hAnsi="仿宋" w:eastAsia="仿宋" w:cs="仿宋"/>
          <w:kern w:val="0"/>
          <w:sz w:val="32"/>
          <w:szCs w:val="32"/>
        </w:rPr>
        <w:t>2、补充规则</w:t>
      </w:r>
    </w:p>
    <w:p w14:paraId="0CB23704">
      <w:pPr>
        <w:keepNext w:val="0"/>
        <w:keepLines w:val="0"/>
        <w:pageBreakBefore w:val="0"/>
        <w:kinsoku/>
        <w:wordWrap w:val="0"/>
        <w:overflowPunct/>
        <w:topLinePunct/>
        <w:autoSpaceDE/>
        <w:autoSpaceDN/>
        <w:bidi w:val="0"/>
        <w:adjustRightInd w:val="0"/>
        <w:snapToGrid w:val="0"/>
        <w:spacing w:line="640" w:lineRule="exact"/>
        <w:ind w:firstLine="640" w:firstLineChars="200"/>
        <w:textAlignment w:val="baseline"/>
        <w:rPr>
          <w:rFonts w:hint="eastAsia" w:ascii="仿宋" w:hAnsi="仿宋" w:eastAsia="仿宋" w:cs="仿宋"/>
          <w:kern w:val="0"/>
          <w:sz w:val="32"/>
          <w:szCs w:val="32"/>
        </w:rPr>
      </w:pPr>
      <w:r>
        <w:rPr>
          <w:rFonts w:hint="eastAsia" w:ascii="仿宋" w:hAnsi="仿宋" w:eastAsia="仿宋" w:cs="仿宋"/>
          <w:kern w:val="0"/>
          <w:sz w:val="32"/>
          <w:szCs w:val="32"/>
        </w:rPr>
        <w:t>乙方被取消入围资格或者被解除框架协议的，不得参加同一封闭式框架协议补充征集活动,不得重新申请加入同一开放式框架协议。</w:t>
      </w:r>
    </w:p>
    <w:p w14:paraId="525BA9FD">
      <w:pPr>
        <w:keepNext w:val="0"/>
        <w:keepLines w:val="0"/>
        <w:pageBreakBefore w:val="0"/>
        <w:kinsoku/>
        <w:wordWrap w:val="0"/>
        <w:overflowPunct/>
        <w:topLinePunct/>
        <w:autoSpaceDE/>
        <w:autoSpaceDN/>
        <w:bidi w:val="0"/>
        <w:adjustRightInd w:val="0"/>
        <w:snapToGrid w:val="0"/>
        <w:spacing w:line="640" w:lineRule="exact"/>
        <w:ind w:firstLine="640" w:firstLineChars="200"/>
        <w:textAlignment w:val="baseline"/>
        <w:rPr>
          <w:rFonts w:hint="eastAsia" w:ascii="仿宋" w:hAnsi="仿宋" w:eastAsia="仿宋" w:cs="仿宋"/>
          <w:kern w:val="0"/>
          <w:sz w:val="32"/>
          <w:szCs w:val="32"/>
        </w:rPr>
      </w:pPr>
      <w:r>
        <w:rPr>
          <w:rFonts w:hint="eastAsia" w:ascii="仿宋" w:hAnsi="仿宋" w:eastAsia="仿宋" w:cs="仿宋"/>
          <w:kern w:val="0"/>
          <w:sz w:val="32"/>
          <w:szCs w:val="32"/>
        </w:rPr>
        <w:t>剩余入围供应商不足入围供应商总数70%且影响框架协议执行的，框架协议有效期内征集人有权视情况进行补充。</w:t>
      </w:r>
    </w:p>
    <w:p w14:paraId="5C594DC2">
      <w:pPr>
        <w:keepNext w:val="0"/>
        <w:keepLines w:val="0"/>
        <w:pageBreakBefore w:val="0"/>
        <w:kinsoku/>
        <w:wordWrap w:val="0"/>
        <w:overflowPunct/>
        <w:topLinePunct/>
        <w:autoSpaceDE/>
        <w:autoSpaceDN/>
        <w:bidi w:val="0"/>
        <w:adjustRightInd w:val="0"/>
        <w:snapToGrid w:val="0"/>
        <w:spacing w:line="640" w:lineRule="exact"/>
        <w:ind w:firstLine="640" w:firstLineChars="200"/>
        <w:textAlignment w:val="baseline"/>
        <w:rPr>
          <w:rFonts w:hint="eastAsia" w:ascii="仿宋" w:hAnsi="仿宋" w:eastAsia="仿宋" w:cs="仿宋"/>
          <w:kern w:val="0"/>
          <w:sz w:val="32"/>
          <w:szCs w:val="32"/>
        </w:rPr>
      </w:pPr>
      <w:r>
        <w:rPr>
          <w:rFonts w:hint="eastAsia" w:ascii="仿宋" w:hAnsi="仿宋" w:eastAsia="仿宋" w:cs="仿宋"/>
          <w:kern w:val="0"/>
          <w:sz w:val="32"/>
          <w:szCs w:val="32"/>
        </w:rPr>
        <w:t>补充征集的条件、程序、评审方法和淘汰比例与初次征集相同。补充征集遵守原框架协议的有效期。补充征集期间，原框架协议继续履行。</w:t>
      </w:r>
    </w:p>
    <w:p w14:paraId="76DC6032">
      <w:pPr>
        <w:keepNext w:val="0"/>
        <w:keepLines w:val="0"/>
        <w:pageBreakBefore w:val="0"/>
        <w:widowControl w:val="0"/>
        <w:kinsoku/>
        <w:wordWrap w:val="0"/>
        <w:overflowPunct/>
        <w:topLinePunct/>
        <w:autoSpaceDE/>
        <w:autoSpaceDN/>
        <w:bidi w:val="0"/>
        <w:adjustRightInd w:val="0"/>
        <w:snapToGrid w:val="0"/>
        <w:spacing w:line="640" w:lineRule="exact"/>
        <w:ind w:firstLine="643" w:firstLineChars="200"/>
        <w:textAlignment w:val="baseline"/>
        <w:rPr>
          <w:rFonts w:hint="eastAsia" w:ascii="仿宋" w:hAnsi="仿宋" w:eastAsia="仿宋" w:cs="仿宋"/>
          <w:b/>
          <w:bCs/>
          <w:kern w:val="0"/>
          <w:sz w:val="32"/>
          <w:szCs w:val="32"/>
        </w:rPr>
      </w:pPr>
      <w:r>
        <w:rPr>
          <w:rFonts w:hint="eastAsia" w:ascii="仿宋" w:hAnsi="仿宋" w:eastAsia="仿宋" w:cs="仿宋"/>
          <w:b/>
          <w:bCs/>
          <w:kern w:val="0"/>
          <w:sz w:val="32"/>
          <w:szCs w:val="32"/>
        </w:rPr>
        <w:t>第十</w:t>
      </w:r>
      <w:r>
        <w:rPr>
          <w:rFonts w:hint="eastAsia" w:ascii="仿宋" w:hAnsi="仿宋" w:eastAsia="仿宋" w:cs="仿宋"/>
          <w:b/>
          <w:bCs/>
          <w:kern w:val="0"/>
          <w:sz w:val="32"/>
          <w:szCs w:val="32"/>
          <w:lang w:val="en-US" w:eastAsia="zh-CN"/>
        </w:rPr>
        <w:t>条</w:t>
      </w:r>
      <w:r>
        <w:rPr>
          <w:rFonts w:hint="eastAsia" w:ascii="仿宋" w:hAnsi="仿宋" w:eastAsia="仿宋" w:cs="仿宋"/>
          <w:b/>
          <w:bCs/>
          <w:kern w:val="0"/>
          <w:sz w:val="32"/>
          <w:szCs w:val="32"/>
        </w:rPr>
        <w:t>违约责任</w:t>
      </w:r>
    </w:p>
    <w:p w14:paraId="1FB83F9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乙方不履行或不完全履行本协议约定的，甲方有权要求乙方限期改正。乙方逾期未改正或该等违约情形在协议有效期内累计发生三次及以上的，甲方有权解除本协议，要求乙方支付违约金人民币壹拾万元，并赔偿甲方因此遭受的全部损失。</w:t>
      </w:r>
    </w:p>
    <w:p w14:paraId="2CF0D5C0">
      <w:pPr>
        <w:keepNext w:val="0"/>
        <w:keepLines w:val="0"/>
        <w:pageBreakBefore w:val="0"/>
        <w:kinsoku/>
        <w:wordWrap w:val="0"/>
        <w:overflowPunct/>
        <w:topLinePunct/>
        <w:autoSpaceDE/>
        <w:autoSpaceDN/>
        <w:bidi w:val="0"/>
        <w:adjustRightInd w:val="0"/>
        <w:snapToGrid w:val="0"/>
        <w:spacing w:line="640" w:lineRule="exact"/>
        <w:ind w:firstLine="640" w:firstLineChars="200"/>
        <w:textAlignment w:val="baseline"/>
        <w:rPr>
          <w:rFonts w:hint="eastAsia" w:ascii="仿宋" w:hAnsi="仿宋" w:eastAsia="仿宋" w:cs="仿宋"/>
          <w:kern w:val="0"/>
          <w:sz w:val="32"/>
          <w:szCs w:val="32"/>
        </w:rPr>
      </w:pPr>
      <w:r>
        <w:rPr>
          <w:rFonts w:hint="eastAsia" w:ascii="仿宋" w:hAnsi="仿宋" w:eastAsia="仿宋" w:cs="仿宋"/>
          <w:kern w:val="0"/>
          <w:sz w:val="32"/>
          <w:szCs w:val="32"/>
        </w:rPr>
        <w:t>2、乙方有下列情形之一，情节轻微的，甲方对其提出警告；情节严重的，甲方将其从入围名单中删除；涉及违法的，按照相关法律、法规追究法律责任。</w:t>
      </w:r>
    </w:p>
    <w:p w14:paraId="46D952BB">
      <w:pPr>
        <w:keepNext w:val="0"/>
        <w:keepLines w:val="0"/>
        <w:pageBreakBefore w:val="0"/>
        <w:kinsoku/>
        <w:wordWrap w:val="0"/>
        <w:overflowPunct/>
        <w:topLinePunct/>
        <w:autoSpaceDE/>
        <w:autoSpaceDN/>
        <w:bidi w:val="0"/>
        <w:adjustRightInd w:val="0"/>
        <w:snapToGrid w:val="0"/>
        <w:spacing w:line="640" w:lineRule="exact"/>
        <w:ind w:firstLine="640" w:firstLineChars="200"/>
        <w:textAlignment w:val="baseline"/>
        <w:rPr>
          <w:rFonts w:hint="eastAsia" w:ascii="仿宋" w:hAnsi="仿宋" w:eastAsia="仿宋" w:cs="仿宋"/>
          <w:kern w:val="0"/>
          <w:sz w:val="32"/>
          <w:szCs w:val="32"/>
        </w:rPr>
      </w:pPr>
      <w:r>
        <w:rPr>
          <w:rFonts w:hint="eastAsia" w:ascii="仿宋" w:hAnsi="仿宋" w:eastAsia="仿宋" w:cs="仿宋"/>
          <w:kern w:val="0"/>
          <w:sz w:val="32"/>
          <w:szCs w:val="32"/>
        </w:rPr>
        <w:t>(一)结果文件存在重大失误；</w:t>
      </w:r>
    </w:p>
    <w:p w14:paraId="2B47FBF8">
      <w:pPr>
        <w:keepNext w:val="0"/>
        <w:keepLines w:val="0"/>
        <w:pageBreakBefore w:val="0"/>
        <w:kinsoku/>
        <w:wordWrap w:val="0"/>
        <w:overflowPunct/>
        <w:topLinePunct/>
        <w:autoSpaceDE/>
        <w:autoSpaceDN/>
        <w:bidi w:val="0"/>
        <w:adjustRightInd w:val="0"/>
        <w:snapToGrid w:val="0"/>
        <w:spacing w:line="640" w:lineRule="exact"/>
        <w:ind w:firstLine="640" w:firstLineChars="200"/>
        <w:textAlignment w:val="baseline"/>
        <w:rPr>
          <w:rFonts w:hint="eastAsia" w:ascii="仿宋" w:hAnsi="仿宋" w:eastAsia="仿宋" w:cs="仿宋"/>
          <w:kern w:val="0"/>
          <w:sz w:val="32"/>
          <w:szCs w:val="32"/>
        </w:rPr>
      </w:pPr>
      <w:r>
        <w:rPr>
          <w:rFonts w:hint="eastAsia" w:ascii="仿宋" w:hAnsi="仿宋" w:eastAsia="仿宋" w:cs="仿宋"/>
          <w:kern w:val="0"/>
          <w:sz w:val="32"/>
          <w:szCs w:val="32"/>
        </w:rPr>
        <w:t>(二)过程中有违反本办法规定的行为；</w:t>
      </w:r>
    </w:p>
    <w:p w14:paraId="75B36A9D">
      <w:pPr>
        <w:keepNext w:val="0"/>
        <w:keepLines w:val="0"/>
        <w:pageBreakBefore w:val="0"/>
        <w:kinsoku/>
        <w:wordWrap w:val="0"/>
        <w:overflowPunct/>
        <w:topLinePunct/>
        <w:autoSpaceDE/>
        <w:autoSpaceDN/>
        <w:bidi w:val="0"/>
        <w:adjustRightInd w:val="0"/>
        <w:snapToGrid w:val="0"/>
        <w:spacing w:line="640" w:lineRule="exact"/>
        <w:ind w:firstLine="640" w:firstLineChars="200"/>
        <w:textAlignment w:val="baseline"/>
        <w:rPr>
          <w:rFonts w:hint="eastAsia" w:ascii="仿宋" w:hAnsi="仿宋" w:eastAsia="仿宋" w:cs="仿宋"/>
          <w:kern w:val="0"/>
          <w:sz w:val="32"/>
          <w:szCs w:val="32"/>
        </w:rPr>
      </w:pPr>
      <w:r>
        <w:rPr>
          <w:rFonts w:hint="eastAsia" w:ascii="仿宋" w:hAnsi="仿宋" w:eastAsia="仿宋" w:cs="仿宋"/>
          <w:kern w:val="0"/>
          <w:sz w:val="32"/>
          <w:szCs w:val="32"/>
        </w:rPr>
        <w:t>(三)未在规定时限或者经批准的延期时限内完成服务的；</w:t>
      </w:r>
    </w:p>
    <w:p w14:paraId="2B4F8C40">
      <w:pPr>
        <w:keepNext w:val="0"/>
        <w:keepLines w:val="0"/>
        <w:pageBreakBefore w:val="0"/>
        <w:kinsoku/>
        <w:wordWrap w:val="0"/>
        <w:overflowPunct/>
        <w:topLinePunct/>
        <w:autoSpaceDE/>
        <w:autoSpaceDN/>
        <w:bidi w:val="0"/>
        <w:adjustRightInd w:val="0"/>
        <w:snapToGrid w:val="0"/>
        <w:spacing w:line="640" w:lineRule="exact"/>
        <w:ind w:firstLine="640" w:firstLineChars="200"/>
        <w:textAlignment w:val="baseline"/>
        <w:rPr>
          <w:rFonts w:hint="eastAsia" w:ascii="仿宋" w:hAnsi="仿宋" w:eastAsia="仿宋" w:cs="仿宋"/>
          <w:kern w:val="0"/>
          <w:sz w:val="32"/>
          <w:szCs w:val="32"/>
        </w:rPr>
      </w:pPr>
      <w:r>
        <w:rPr>
          <w:rFonts w:hint="eastAsia" w:ascii="仿宋" w:hAnsi="仿宋" w:eastAsia="仿宋" w:cs="仿宋"/>
          <w:kern w:val="0"/>
          <w:sz w:val="32"/>
          <w:szCs w:val="32"/>
        </w:rPr>
        <w:t>(四)拒绝接受委托任务；</w:t>
      </w:r>
    </w:p>
    <w:p w14:paraId="48DFB1F0">
      <w:pPr>
        <w:keepNext w:val="0"/>
        <w:keepLines w:val="0"/>
        <w:pageBreakBefore w:val="0"/>
        <w:kinsoku/>
        <w:wordWrap w:val="0"/>
        <w:overflowPunct/>
        <w:topLinePunct/>
        <w:autoSpaceDE/>
        <w:autoSpaceDN/>
        <w:bidi w:val="0"/>
        <w:adjustRightInd w:val="0"/>
        <w:snapToGrid w:val="0"/>
        <w:spacing w:line="640" w:lineRule="exact"/>
        <w:ind w:firstLine="640" w:firstLineChars="200"/>
        <w:textAlignment w:val="baseline"/>
        <w:rPr>
          <w:rFonts w:hint="eastAsia" w:ascii="仿宋" w:hAnsi="仿宋" w:eastAsia="仿宋" w:cs="仿宋"/>
          <w:kern w:val="0"/>
          <w:sz w:val="32"/>
          <w:szCs w:val="32"/>
        </w:rPr>
      </w:pPr>
      <w:r>
        <w:rPr>
          <w:rFonts w:hint="eastAsia" w:ascii="仿宋" w:hAnsi="仿宋" w:eastAsia="仿宋" w:cs="仿宋"/>
          <w:kern w:val="0"/>
          <w:sz w:val="32"/>
          <w:szCs w:val="32"/>
        </w:rPr>
        <w:t>(五)违反行业有关规定的；</w:t>
      </w:r>
    </w:p>
    <w:p w14:paraId="330E03C8">
      <w:pPr>
        <w:keepNext w:val="0"/>
        <w:keepLines w:val="0"/>
        <w:pageBreakBefore w:val="0"/>
        <w:kinsoku/>
        <w:wordWrap w:val="0"/>
        <w:overflowPunct/>
        <w:topLinePunct/>
        <w:autoSpaceDE/>
        <w:autoSpaceDN/>
        <w:bidi w:val="0"/>
        <w:adjustRightInd w:val="0"/>
        <w:snapToGrid w:val="0"/>
        <w:spacing w:line="640" w:lineRule="exact"/>
        <w:ind w:firstLine="640" w:firstLineChars="200"/>
        <w:textAlignment w:val="baseline"/>
        <w:rPr>
          <w:rFonts w:hint="eastAsia" w:ascii="仿宋" w:hAnsi="仿宋" w:eastAsia="仿宋" w:cs="仿宋"/>
          <w:kern w:val="0"/>
          <w:sz w:val="32"/>
          <w:szCs w:val="32"/>
        </w:rPr>
      </w:pPr>
      <w:r>
        <w:rPr>
          <w:rFonts w:hint="eastAsia" w:ascii="仿宋" w:hAnsi="仿宋" w:eastAsia="仿宋" w:cs="仿宋"/>
          <w:kern w:val="0"/>
          <w:sz w:val="32"/>
          <w:szCs w:val="32"/>
        </w:rPr>
        <w:t>(六)其他违反国家法律、法规的行为。</w:t>
      </w:r>
    </w:p>
    <w:p w14:paraId="1704CA44">
      <w:pPr>
        <w:keepNext w:val="0"/>
        <w:keepLines w:val="0"/>
        <w:pageBreakBefore w:val="0"/>
        <w:kinsoku/>
        <w:wordWrap w:val="0"/>
        <w:overflowPunct/>
        <w:topLinePunct/>
        <w:autoSpaceDE/>
        <w:autoSpaceDN/>
        <w:bidi w:val="0"/>
        <w:adjustRightInd w:val="0"/>
        <w:snapToGrid w:val="0"/>
        <w:spacing w:line="640" w:lineRule="exact"/>
        <w:ind w:firstLine="640" w:firstLineChars="200"/>
        <w:textAlignment w:val="baseline"/>
        <w:rPr>
          <w:rFonts w:hint="eastAsia" w:ascii="仿宋" w:hAnsi="仿宋" w:eastAsia="仿宋" w:cs="仿宋"/>
          <w:kern w:val="0"/>
          <w:sz w:val="32"/>
          <w:szCs w:val="32"/>
        </w:rPr>
      </w:pPr>
      <w:r>
        <w:rPr>
          <w:rFonts w:hint="eastAsia" w:ascii="仿宋" w:hAnsi="仿宋" w:eastAsia="仿宋" w:cs="仿宋"/>
          <w:kern w:val="0"/>
          <w:sz w:val="32"/>
          <w:szCs w:val="32"/>
        </w:rPr>
        <w:t>甲方对入围单位建立信用记录，情节严重的列入信用黑名单，按有关规定向社会公开，两年之内不能参与甲方委托的服务事项。</w:t>
      </w:r>
      <w:r>
        <w:rPr>
          <w:rFonts w:hint="eastAsia" w:ascii="仿宋" w:hAnsi="仿宋" w:eastAsia="仿宋" w:cs="仿宋"/>
          <w:b/>
          <w:bCs/>
          <w:kern w:val="0"/>
          <w:sz w:val="32"/>
          <w:szCs w:val="32"/>
        </w:rPr>
        <w:t xml:space="preserve"> </w:t>
      </w:r>
    </w:p>
    <w:p w14:paraId="6716F779">
      <w:pPr>
        <w:keepNext w:val="0"/>
        <w:keepLines w:val="0"/>
        <w:pageBreakBefore w:val="0"/>
        <w:widowControl w:val="0"/>
        <w:kinsoku/>
        <w:wordWrap w:val="0"/>
        <w:overflowPunct/>
        <w:topLinePunct/>
        <w:autoSpaceDE/>
        <w:autoSpaceDN/>
        <w:bidi w:val="0"/>
        <w:adjustRightInd w:val="0"/>
        <w:snapToGrid w:val="0"/>
        <w:spacing w:line="640" w:lineRule="exact"/>
        <w:ind w:firstLine="643" w:firstLineChars="200"/>
        <w:textAlignment w:val="baseline"/>
        <w:rPr>
          <w:rFonts w:hint="eastAsia" w:ascii="仿宋" w:hAnsi="仿宋" w:eastAsia="仿宋" w:cs="仿宋"/>
          <w:b/>
          <w:bCs/>
          <w:kern w:val="0"/>
          <w:sz w:val="32"/>
          <w:szCs w:val="32"/>
        </w:rPr>
      </w:pPr>
      <w:r>
        <w:rPr>
          <w:rFonts w:hint="eastAsia" w:ascii="仿宋" w:hAnsi="仿宋" w:eastAsia="仿宋" w:cs="仿宋"/>
          <w:b/>
          <w:bCs/>
          <w:kern w:val="0"/>
          <w:sz w:val="32"/>
          <w:szCs w:val="32"/>
        </w:rPr>
        <w:t>第十</w:t>
      </w:r>
      <w:r>
        <w:rPr>
          <w:rFonts w:hint="eastAsia" w:ascii="仿宋" w:hAnsi="仿宋" w:eastAsia="仿宋" w:cs="仿宋"/>
          <w:b/>
          <w:bCs/>
          <w:kern w:val="0"/>
          <w:sz w:val="32"/>
          <w:szCs w:val="32"/>
          <w:lang w:val="en-US" w:eastAsia="zh-CN"/>
        </w:rPr>
        <w:t>一</w:t>
      </w:r>
      <w:r>
        <w:rPr>
          <w:rFonts w:hint="eastAsia" w:ascii="仿宋" w:hAnsi="仿宋" w:eastAsia="仿宋" w:cs="仿宋"/>
          <w:b/>
          <w:bCs/>
          <w:kern w:val="0"/>
          <w:sz w:val="32"/>
          <w:szCs w:val="32"/>
        </w:rPr>
        <w:t>条 需要约定的其他事项</w:t>
      </w:r>
    </w:p>
    <w:p w14:paraId="746F7DD5">
      <w:pPr>
        <w:keepNext w:val="0"/>
        <w:keepLines w:val="0"/>
        <w:pageBreakBefore w:val="0"/>
        <w:kinsoku/>
        <w:wordWrap w:val="0"/>
        <w:overflowPunct/>
        <w:topLinePunct/>
        <w:autoSpaceDE/>
        <w:autoSpaceDN/>
        <w:bidi w:val="0"/>
        <w:adjustRightInd w:val="0"/>
        <w:snapToGrid w:val="0"/>
        <w:spacing w:line="640" w:lineRule="exact"/>
        <w:ind w:firstLine="640" w:firstLineChars="200"/>
        <w:textAlignment w:val="baseline"/>
        <w:rPr>
          <w:rFonts w:hint="eastAsia" w:ascii="仿宋" w:hAnsi="仿宋" w:eastAsia="仿宋" w:cs="仿宋"/>
          <w:kern w:val="0"/>
          <w:sz w:val="32"/>
          <w:szCs w:val="32"/>
        </w:rPr>
      </w:pPr>
      <w:r>
        <w:rPr>
          <w:rFonts w:hint="eastAsia" w:ascii="仿宋" w:hAnsi="仿宋" w:eastAsia="仿宋" w:cs="仿宋"/>
          <w:kern w:val="0"/>
          <w:sz w:val="32"/>
          <w:szCs w:val="32"/>
        </w:rPr>
        <w:t>1、甲方需及时向乙方提供(或委托项目单位提供)与项目有关的资料；</w:t>
      </w:r>
    </w:p>
    <w:p w14:paraId="48D9548A">
      <w:pPr>
        <w:keepNext w:val="0"/>
        <w:keepLines w:val="0"/>
        <w:pageBreakBefore w:val="0"/>
        <w:kinsoku/>
        <w:wordWrap w:val="0"/>
        <w:overflowPunct/>
        <w:topLinePunct/>
        <w:autoSpaceDE/>
        <w:autoSpaceDN/>
        <w:bidi w:val="0"/>
        <w:adjustRightInd w:val="0"/>
        <w:snapToGrid w:val="0"/>
        <w:spacing w:line="640" w:lineRule="exact"/>
        <w:ind w:firstLine="640" w:firstLineChars="200"/>
        <w:textAlignment w:val="baseline"/>
        <w:rPr>
          <w:rFonts w:hint="eastAsia" w:ascii="仿宋" w:hAnsi="仿宋" w:eastAsia="仿宋" w:cs="仿宋"/>
          <w:kern w:val="0"/>
          <w:sz w:val="32"/>
          <w:szCs w:val="32"/>
        </w:rPr>
      </w:pPr>
      <w:r>
        <w:rPr>
          <w:rFonts w:hint="eastAsia" w:ascii="仿宋" w:hAnsi="仿宋" w:eastAsia="仿宋" w:cs="仿宋"/>
          <w:kern w:val="0"/>
          <w:sz w:val="32"/>
          <w:szCs w:val="32"/>
        </w:rPr>
        <w:t>2、甲方协助乙方做好资料收集等工作；</w:t>
      </w:r>
    </w:p>
    <w:p w14:paraId="48E29AC9">
      <w:pPr>
        <w:keepNext w:val="0"/>
        <w:keepLines w:val="0"/>
        <w:pageBreakBefore w:val="0"/>
        <w:kinsoku/>
        <w:wordWrap w:val="0"/>
        <w:overflowPunct/>
        <w:topLinePunct/>
        <w:autoSpaceDE/>
        <w:autoSpaceDN/>
        <w:bidi w:val="0"/>
        <w:adjustRightInd w:val="0"/>
        <w:snapToGrid w:val="0"/>
        <w:spacing w:line="640" w:lineRule="exact"/>
        <w:ind w:firstLine="640" w:firstLineChars="200"/>
        <w:textAlignment w:val="baseline"/>
        <w:rPr>
          <w:rFonts w:hint="eastAsia" w:ascii="仿宋" w:hAnsi="仿宋" w:eastAsia="仿宋" w:cs="仿宋"/>
          <w:kern w:val="0"/>
          <w:sz w:val="32"/>
          <w:szCs w:val="32"/>
        </w:rPr>
      </w:pPr>
      <w:r>
        <w:rPr>
          <w:rFonts w:hint="eastAsia" w:ascii="仿宋" w:hAnsi="仿宋" w:eastAsia="仿宋" w:cs="仿宋"/>
          <w:kern w:val="0"/>
          <w:sz w:val="32"/>
          <w:szCs w:val="32"/>
        </w:rPr>
        <w:t>3、乙方严格遵守南阳市财政局相关制度规定。</w:t>
      </w:r>
    </w:p>
    <w:p w14:paraId="169DBB3D">
      <w:pPr>
        <w:keepNext w:val="0"/>
        <w:keepLines w:val="0"/>
        <w:pageBreakBefore w:val="0"/>
        <w:widowControl w:val="0"/>
        <w:kinsoku/>
        <w:wordWrap w:val="0"/>
        <w:overflowPunct/>
        <w:topLinePunct/>
        <w:autoSpaceDE/>
        <w:autoSpaceDN/>
        <w:bidi w:val="0"/>
        <w:adjustRightInd w:val="0"/>
        <w:snapToGrid w:val="0"/>
        <w:spacing w:line="640" w:lineRule="exact"/>
        <w:ind w:firstLine="643" w:firstLineChars="200"/>
        <w:textAlignment w:val="baseline"/>
        <w:rPr>
          <w:rFonts w:hint="eastAsia" w:ascii="仿宋" w:hAnsi="仿宋" w:eastAsia="仿宋" w:cs="仿宋"/>
          <w:b/>
          <w:bCs/>
          <w:kern w:val="0"/>
          <w:sz w:val="32"/>
          <w:szCs w:val="32"/>
        </w:rPr>
      </w:pPr>
      <w:r>
        <w:rPr>
          <w:rFonts w:hint="eastAsia" w:ascii="仿宋" w:hAnsi="仿宋" w:eastAsia="仿宋" w:cs="仿宋"/>
          <w:b/>
          <w:bCs/>
          <w:kern w:val="0"/>
          <w:sz w:val="32"/>
          <w:szCs w:val="32"/>
        </w:rPr>
        <w:t>第十</w:t>
      </w:r>
      <w:r>
        <w:rPr>
          <w:rFonts w:hint="eastAsia" w:ascii="仿宋" w:hAnsi="仿宋" w:eastAsia="仿宋" w:cs="仿宋"/>
          <w:b/>
          <w:bCs/>
          <w:kern w:val="0"/>
          <w:sz w:val="32"/>
          <w:szCs w:val="32"/>
          <w:lang w:val="en-US" w:eastAsia="zh-CN"/>
        </w:rPr>
        <w:t>二</w:t>
      </w:r>
      <w:r>
        <w:rPr>
          <w:rFonts w:hint="eastAsia" w:ascii="仿宋" w:hAnsi="仿宋" w:eastAsia="仿宋" w:cs="仿宋"/>
          <w:b/>
          <w:bCs/>
          <w:kern w:val="0"/>
          <w:sz w:val="32"/>
          <w:szCs w:val="32"/>
        </w:rPr>
        <w:t>条 不可抗力</w:t>
      </w:r>
    </w:p>
    <w:p w14:paraId="2E6F6856">
      <w:pPr>
        <w:keepNext w:val="0"/>
        <w:keepLines w:val="0"/>
        <w:pageBreakBefore w:val="0"/>
        <w:kinsoku/>
        <w:wordWrap w:val="0"/>
        <w:overflowPunct/>
        <w:topLinePunct/>
        <w:autoSpaceDE/>
        <w:autoSpaceDN/>
        <w:bidi w:val="0"/>
        <w:adjustRightInd w:val="0"/>
        <w:snapToGrid w:val="0"/>
        <w:spacing w:line="640" w:lineRule="exact"/>
        <w:ind w:firstLine="640" w:firstLineChars="200"/>
        <w:textAlignment w:val="baseline"/>
        <w:rPr>
          <w:rFonts w:hint="eastAsia" w:ascii="仿宋" w:hAnsi="仿宋" w:eastAsia="仿宋" w:cs="仿宋"/>
          <w:kern w:val="0"/>
          <w:sz w:val="32"/>
          <w:szCs w:val="32"/>
        </w:rPr>
      </w:pPr>
      <w:r>
        <w:rPr>
          <w:rFonts w:hint="eastAsia" w:ascii="仿宋" w:hAnsi="仿宋" w:eastAsia="仿宋" w:cs="仿宋"/>
          <w:kern w:val="0"/>
          <w:sz w:val="32"/>
          <w:szCs w:val="32"/>
        </w:rPr>
        <w:t>1、任何一方对由于不可抗力造成的部分或全部不能履行本合同不承担违约责任。但迟延履行后发生不可抗力的，不能免除责任。</w:t>
      </w:r>
    </w:p>
    <w:p w14:paraId="29699F69">
      <w:pPr>
        <w:keepNext w:val="0"/>
        <w:keepLines w:val="0"/>
        <w:pageBreakBefore w:val="0"/>
        <w:kinsoku/>
        <w:wordWrap w:val="0"/>
        <w:overflowPunct/>
        <w:topLinePunct/>
        <w:autoSpaceDE/>
        <w:autoSpaceDN/>
        <w:bidi w:val="0"/>
        <w:adjustRightInd w:val="0"/>
        <w:snapToGrid w:val="0"/>
        <w:spacing w:line="640" w:lineRule="exact"/>
        <w:ind w:firstLine="640" w:firstLineChars="200"/>
        <w:textAlignment w:val="baseline"/>
        <w:rPr>
          <w:rFonts w:hint="eastAsia" w:ascii="仿宋" w:hAnsi="仿宋" w:eastAsia="仿宋" w:cs="仿宋"/>
          <w:kern w:val="0"/>
          <w:sz w:val="32"/>
          <w:szCs w:val="32"/>
        </w:rPr>
      </w:pPr>
      <w:r>
        <w:rPr>
          <w:rFonts w:hint="eastAsia" w:ascii="仿宋" w:hAnsi="仿宋" w:eastAsia="仿宋" w:cs="仿宋"/>
          <w:kern w:val="0"/>
          <w:sz w:val="32"/>
          <w:szCs w:val="32"/>
        </w:rPr>
        <w:t>2、遇有不可抗力的一方，应在三日内将事件的情况以书面形式通知另一方，并在事件发生后十日内,向另一方提交合同不能履行或部分不能履行或需要延期履行理由的报告。</w:t>
      </w:r>
    </w:p>
    <w:p w14:paraId="35E4D05E">
      <w:pPr>
        <w:keepNext w:val="0"/>
        <w:keepLines w:val="0"/>
        <w:pageBreakBefore w:val="0"/>
        <w:kinsoku/>
        <w:wordWrap w:val="0"/>
        <w:overflowPunct/>
        <w:topLinePunct/>
        <w:autoSpaceDE/>
        <w:autoSpaceDN/>
        <w:bidi w:val="0"/>
        <w:adjustRightInd w:val="0"/>
        <w:snapToGrid w:val="0"/>
        <w:spacing w:line="640" w:lineRule="exact"/>
        <w:ind w:firstLine="640" w:firstLineChars="200"/>
        <w:textAlignment w:val="baseline"/>
        <w:rPr>
          <w:rFonts w:hint="eastAsia" w:ascii="仿宋" w:hAnsi="仿宋" w:eastAsia="仿宋" w:cs="仿宋"/>
          <w:kern w:val="0"/>
          <w:sz w:val="32"/>
          <w:szCs w:val="32"/>
        </w:rPr>
      </w:pPr>
      <w:r>
        <w:rPr>
          <w:rFonts w:hint="eastAsia" w:ascii="仿宋" w:hAnsi="仿宋" w:eastAsia="仿宋" w:cs="仿宋"/>
          <w:kern w:val="0"/>
          <w:sz w:val="32"/>
          <w:szCs w:val="32"/>
        </w:rPr>
        <w:t>3、不可抗力是指协议双方不可预见、不可避免、不可克服的自然灾害和社会事件。</w:t>
      </w:r>
    </w:p>
    <w:p w14:paraId="5198434F">
      <w:pPr>
        <w:keepNext w:val="0"/>
        <w:keepLines w:val="0"/>
        <w:pageBreakBefore w:val="0"/>
        <w:widowControl w:val="0"/>
        <w:kinsoku/>
        <w:wordWrap w:val="0"/>
        <w:overflowPunct/>
        <w:topLinePunct/>
        <w:autoSpaceDE/>
        <w:autoSpaceDN/>
        <w:bidi w:val="0"/>
        <w:adjustRightInd w:val="0"/>
        <w:snapToGrid w:val="0"/>
        <w:spacing w:line="640" w:lineRule="exact"/>
        <w:ind w:firstLine="643" w:firstLineChars="200"/>
        <w:textAlignment w:val="baseline"/>
        <w:rPr>
          <w:rFonts w:hint="eastAsia" w:ascii="仿宋" w:hAnsi="仿宋" w:eastAsia="仿宋" w:cs="仿宋"/>
          <w:b/>
          <w:bCs/>
          <w:kern w:val="0"/>
          <w:sz w:val="32"/>
          <w:szCs w:val="32"/>
        </w:rPr>
      </w:pPr>
      <w:r>
        <w:rPr>
          <w:rFonts w:hint="eastAsia" w:ascii="仿宋" w:hAnsi="仿宋" w:eastAsia="仿宋" w:cs="仿宋"/>
          <w:b/>
          <w:bCs/>
          <w:kern w:val="0"/>
          <w:sz w:val="32"/>
          <w:szCs w:val="32"/>
        </w:rPr>
        <w:t>第十三条 解决争议的方法</w:t>
      </w:r>
    </w:p>
    <w:p w14:paraId="4E6F8DD3">
      <w:pPr>
        <w:keepNext w:val="0"/>
        <w:keepLines w:val="0"/>
        <w:pageBreakBefore w:val="0"/>
        <w:kinsoku/>
        <w:wordWrap w:val="0"/>
        <w:overflowPunct/>
        <w:topLinePunct/>
        <w:autoSpaceDE/>
        <w:autoSpaceDN/>
        <w:bidi w:val="0"/>
        <w:adjustRightInd w:val="0"/>
        <w:snapToGrid w:val="0"/>
        <w:spacing w:line="640" w:lineRule="exact"/>
        <w:ind w:firstLine="640" w:firstLineChars="200"/>
        <w:textAlignment w:val="baseline"/>
        <w:rPr>
          <w:rFonts w:hint="eastAsia" w:ascii="仿宋" w:hAnsi="仿宋" w:eastAsia="仿宋" w:cs="仿宋"/>
          <w:kern w:val="0"/>
          <w:sz w:val="32"/>
          <w:szCs w:val="32"/>
        </w:rPr>
      </w:pPr>
      <w:r>
        <w:rPr>
          <w:rFonts w:hint="eastAsia" w:ascii="仿宋" w:hAnsi="仿宋" w:eastAsia="仿宋" w:cs="仿宋"/>
          <w:kern w:val="0"/>
          <w:sz w:val="32"/>
          <w:szCs w:val="32"/>
        </w:rPr>
        <w:t>1、协议各方应通过友好协商，解决在执行本协议过程中所发生的或与本协议有关的一切争端。</w:t>
      </w:r>
    </w:p>
    <w:p w14:paraId="336E791A">
      <w:pPr>
        <w:keepNext w:val="0"/>
        <w:keepLines w:val="0"/>
        <w:pageBreakBefore w:val="0"/>
        <w:kinsoku/>
        <w:wordWrap w:val="0"/>
        <w:overflowPunct/>
        <w:topLinePunct/>
        <w:autoSpaceDE/>
        <w:autoSpaceDN/>
        <w:bidi w:val="0"/>
        <w:adjustRightInd w:val="0"/>
        <w:snapToGrid w:val="0"/>
        <w:spacing w:line="640" w:lineRule="exact"/>
        <w:ind w:firstLine="640" w:firstLineChars="200"/>
        <w:textAlignment w:val="baseline"/>
        <w:rPr>
          <w:rFonts w:hint="eastAsia" w:ascii="仿宋" w:hAnsi="仿宋" w:eastAsia="仿宋" w:cs="仿宋"/>
          <w:kern w:val="0"/>
          <w:sz w:val="32"/>
          <w:szCs w:val="32"/>
        </w:rPr>
      </w:pPr>
      <w:r>
        <w:rPr>
          <w:rFonts w:hint="eastAsia" w:ascii="仿宋" w:hAnsi="仿宋" w:eastAsia="仿宋" w:cs="仿宋"/>
          <w:kern w:val="0"/>
          <w:sz w:val="32"/>
          <w:szCs w:val="32"/>
        </w:rPr>
        <w:t>2、协商不成，则提交甲方所在地人民法院诉讼解决。</w:t>
      </w:r>
    </w:p>
    <w:p w14:paraId="0662DD30">
      <w:pPr>
        <w:keepNext w:val="0"/>
        <w:keepLines w:val="0"/>
        <w:pageBreakBefore w:val="0"/>
        <w:kinsoku/>
        <w:wordWrap w:val="0"/>
        <w:overflowPunct/>
        <w:topLinePunct/>
        <w:autoSpaceDE/>
        <w:autoSpaceDN/>
        <w:bidi w:val="0"/>
        <w:adjustRightInd w:val="0"/>
        <w:snapToGrid w:val="0"/>
        <w:spacing w:line="640" w:lineRule="exact"/>
        <w:ind w:firstLine="640" w:firstLineChars="200"/>
        <w:textAlignment w:val="baseline"/>
        <w:rPr>
          <w:rFonts w:hint="eastAsia" w:ascii="仿宋" w:hAnsi="仿宋" w:eastAsia="仿宋" w:cs="仿宋"/>
          <w:kern w:val="0"/>
          <w:sz w:val="32"/>
          <w:szCs w:val="32"/>
        </w:rPr>
      </w:pPr>
      <w:r>
        <w:rPr>
          <w:rFonts w:hint="eastAsia" w:ascii="仿宋" w:hAnsi="仿宋" w:eastAsia="仿宋" w:cs="仿宋"/>
          <w:kern w:val="0"/>
          <w:sz w:val="32"/>
          <w:szCs w:val="32"/>
        </w:rPr>
        <w:t>3、如诉讼事项不影响协议其它部分的履行，则在诉讼期间，除正在进行诉讼的部分外，本协议的其它部分应继续执行。</w:t>
      </w:r>
    </w:p>
    <w:p w14:paraId="3745BB01">
      <w:pPr>
        <w:keepNext w:val="0"/>
        <w:keepLines w:val="0"/>
        <w:pageBreakBefore w:val="0"/>
        <w:widowControl w:val="0"/>
        <w:kinsoku/>
        <w:wordWrap w:val="0"/>
        <w:overflowPunct/>
        <w:topLinePunct/>
        <w:autoSpaceDE/>
        <w:autoSpaceDN/>
        <w:bidi w:val="0"/>
        <w:adjustRightInd w:val="0"/>
        <w:snapToGrid w:val="0"/>
        <w:spacing w:line="640" w:lineRule="exact"/>
        <w:ind w:firstLine="643" w:firstLineChars="200"/>
        <w:textAlignment w:val="baseline"/>
        <w:rPr>
          <w:rFonts w:hint="eastAsia" w:ascii="仿宋" w:hAnsi="仿宋" w:eastAsia="仿宋" w:cs="仿宋"/>
          <w:b/>
          <w:bCs/>
          <w:kern w:val="0"/>
          <w:sz w:val="32"/>
          <w:szCs w:val="32"/>
        </w:rPr>
      </w:pPr>
      <w:r>
        <w:rPr>
          <w:rFonts w:hint="eastAsia" w:ascii="仿宋" w:hAnsi="仿宋" w:eastAsia="仿宋" w:cs="仿宋"/>
          <w:b/>
          <w:bCs/>
          <w:kern w:val="0"/>
          <w:sz w:val="32"/>
          <w:szCs w:val="32"/>
        </w:rPr>
        <w:t>第十四条 协议生效及文本</w:t>
      </w:r>
    </w:p>
    <w:p w14:paraId="1E7F5E2C">
      <w:pPr>
        <w:keepNext w:val="0"/>
        <w:keepLines w:val="0"/>
        <w:pageBreakBefore w:val="0"/>
        <w:kinsoku/>
        <w:wordWrap w:val="0"/>
        <w:overflowPunct/>
        <w:topLinePunct/>
        <w:autoSpaceDE/>
        <w:autoSpaceDN/>
        <w:bidi w:val="0"/>
        <w:adjustRightInd w:val="0"/>
        <w:snapToGrid w:val="0"/>
        <w:spacing w:line="640" w:lineRule="exact"/>
        <w:ind w:firstLine="640" w:firstLineChars="200"/>
        <w:textAlignment w:val="baseline"/>
        <w:rPr>
          <w:rFonts w:hint="eastAsia" w:ascii="仿宋" w:hAnsi="仿宋" w:eastAsia="仿宋" w:cs="仿宋"/>
          <w:kern w:val="0"/>
          <w:sz w:val="32"/>
          <w:szCs w:val="32"/>
        </w:rPr>
      </w:pPr>
      <w:r>
        <w:rPr>
          <w:rFonts w:hint="eastAsia" w:ascii="仿宋" w:hAnsi="仿宋" w:eastAsia="仿宋" w:cs="仿宋"/>
          <w:kern w:val="0"/>
          <w:sz w:val="32"/>
          <w:szCs w:val="32"/>
        </w:rPr>
        <w:t>1、本协议在协议各方签字盖章后生效。</w:t>
      </w:r>
    </w:p>
    <w:p w14:paraId="778DB920">
      <w:pPr>
        <w:keepNext w:val="0"/>
        <w:keepLines w:val="0"/>
        <w:pageBreakBefore w:val="0"/>
        <w:kinsoku/>
        <w:wordWrap w:val="0"/>
        <w:overflowPunct/>
        <w:topLinePunct/>
        <w:autoSpaceDE/>
        <w:autoSpaceDN/>
        <w:bidi w:val="0"/>
        <w:adjustRightInd w:val="0"/>
        <w:snapToGrid w:val="0"/>
        <w:spacing w:line="640" w:lineRule="exact"/>
        <w:ind w:firstLine="640" w:firstLineChars="200"/>
        <w:textAlignment w:val="baseline"/>
        <w:rPr>
          <w:rFonts w:hint="eastAsia" w:ascii="仿宋" w:hAnsi="仿宋" w:eastAsia="仿宋" w:cs="仿宋"/>
          <w:kern w:val="0"/>
          <w:sz w:val="32"/>
          <w:szCs w:val="32"/>
        </w:rPr>
      </w:pPr>
      <w:r>
        <w:rPr>
          <w:rFonts w:hint="eastAsia" w:ascii="仿宋" w:hAnsi="仿宋" w:eastAsia="仿宋" w:cs="仿宋"/>
          <w:kern w:val="0"/>
          <w:sz w:val="32"/>
          <w:szCs w:val="32"/>
        </w:rPr>
        <w:t>2、本协议一式</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份，各方各执</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份。</w:t>
      </w:r>
    </w:p>
    <w:p w14:paraId="3B136563">
      <w:pPr>
        <w:keepNext w:val="0"/>
        <w:keepLines w:val="0"/>
        <w:pageBreakBefore w:val="0"/>
        <w:kinsoku/>
        <w:wordWrap w:val="0"/>
        <w:overflowPunct/>
        <w:topLinePunct/>
        <w:autoSpaceDE/>
        <w:autoSpaceDN/>
        <w:bidi w:val="0"/>
        <w:adjustRightInd w:val="0"/>
        <w:snapToGrid w:val="0"/>
        <w:spacing w:line="640" w:lineRule="exact"/>
        <w:ind w:firstLine="640" w:firstLineChars="200"/>
        <w:textAlignment w:val="baseline"/>
        <w:rPr>
          <w:rFonts w:hint="eastAsia" w:ascii="仿宋" w:hAnsi="仿宋" w:eastAsia="仿宋" w:cs="仿宋"/>
          <w:kern w:val="0"/>
          <w:sz w:val="32"/>
          <w:szCs w:val="32"/>
        </w:rPr>
      </w:pPr>
      <w:r>
        <w:rPr>
          <w:rFonts w:hint="eastAsia" w:ascii="仿宋" w:hAnsi="仿宋" w:eastAsia="仿宋" w:cs="仿宋"/>
          <w:kern w:val="0"/>
          <w:sz w:val="32"/>
          <w:szCs w:val="32"/>
        </w:rPr>
        <w:t>3、本协议双方落款的地址、联系方式为双方信息文书送达地址、变更须经书面通知。</w:t>
      </w:r>
    </w:p>
    <w:p w14:paraId="0C787F4F">
      <w:pPr>
        <w:keepNext w:val="0"/>
        <w:keepLines w:val="0"/>
        <w:pageBreakBefore w:val="0"/>
        <w:widowControl w:val="0"/>
        <w:kinsoku/>
        <w:wordWrap w:val="0"/>
        <w:overflowPunct/>
        <w:topLinePunct/>
        <w:autoSpaceDE/>
        <w:autoSpaceDN/>
        <w:bidi w:val="0"/>
        <w:adjustRightInd w:val="0"/>
        <w:snapToGrid w:val="0"/>
        <w:spacing w:line="640" w:lineRule="exact"/>
        <w:ind w:firstLine="643" w:firstLineChars="200"/>
        <w:textAlignment w:val="baseline"/>
        <w:rPr>
          <w:rFonts w:hint="eastAsia" w:ascii="仿宋" w:hAnsi="仿宋" w:eastAsia="仿宋" w:cs="仿宋"/>
          <w:b/>
          <w:bCs/>
          <w:kern w:val="0"/>
          <w:sz w:val="32"/>
          <w:szCs w:val="32"/>
        </w:rPr>
      </w:pPr>
      <w:r>
        <w:rPr>
          <w:rFonts w:hint="eastAsia" w:ascii="仿宋" w:hAnsi="仿宋" w:eastAsia="仿宋" w:cs="仿宋"/>
          <w:b/>
          <w:bCs/>
          <w:kern w:val="0"/>
          <w:sz w:val="32"/>
          <w:szCs w:val="32"/>
        </w:rPr>
        <w:t>第十五条 协议的修改</w:t>
      </w:r>
    </w:p>
    <w:p w14:paraId="24CFF7EA">
      <w:pPr>
        <w:keepNext w:val="0"/>
        <w:keepLines w:val="0"/>
        <w:pageBreakBefore w:val="0"/>
        <w:kinsoku/>
        <w:wordWrap w:val="0"/>
        <w:overflowPunct/>
        <w:topLinePunct/>
        <w:autoSpaceDE/>
        <w:autoSpaceDN/>
        <w:bidi w:val="0"/>
        <w:adjustRightInd w:val="0"/>
        <w:snapToGrid w:val="0"/>
        <w:spacing w:line="640" w:lineRule="exact"/>
        <w:ind w:firstLine="640" w:firstLineChars="200"/>
        <w:textAlignment w:val="baseline"/>
        <w:rPr>
          <w:rFonts w:hint="eastAsia" w:ascii="仿宋" w:hAnsi="仿宋" w:eastAsia="仿宋" w:cs="仿宋"/>
          <w:kern w:val="0"/>
          <w:sz w:val="32"/>
          <w:szCs w:val="32"/>
        </w:rPr>
      </w:pPr>
      <w:r>
        <w:rPr>
          <w:rFonts w:hint="eastAsia" w:ascii="仿宋" w:hAnsi="仿宋" w:eastAsia="仿宋" w:cs="仿宋"/>
          <w:kern w:val="0"/>
          <w:sz w:val="32"/>
          <w:szCs w:val="32"/>
        </w:rPr>
        <w:t>除了双方签署书面修改协议，并成为本协议不可分割的一部分之外，本协议条件不得有任何变化或修改。</w:t>
      </w:r>
    </w:p>
    <w:p w14:paraId="56DBD864">
      <w:pPr>
        <w:keepNext w:val="0"/>
        <w:keepLines w:val="0"/>
        <w:pageBreakBefore w:val="0"/>
        <w:widowControl w:val="0"/>
        <w:kinsoku/>
        <w:wordWrap w:val="0"/>
        <w:overflowPunct/>
        <w:topLinePunct/>
        <w:autoSpaceDE/>
        <w:autoSpaceDN/>
        <w:bidi w:val="0"/>
        <w:adjustRightInd w:val="0"/>
        <w:snapToGrid w:val="0"/>
        <w:spacing w:line="640" w:lineRule="exact"/>
        <w:ind w:firstLine="643" w:firstLineChars="200"/>
        <w:textAlignment w:val="baseline"/>
        <w:rPr>
          <w:rFonts w:hint="eastAsia" w:ascii="仿宋" w:hAnsi="仿宋" w:eastAsia="仿宋" w:cs="仿宋"/>
          <w:kern w:val="0"/>
          <w:sz w:val="32"/>
          <w:szCs w:val="32"/>
        </w:rPr>
      </w:pPr>
      <w:r>
        <w:rPr>
          <w:rFonts w:hint="eastAsia" w:ascii="仿宋" w:hAnsi="仿宋" w:eastAsia="仿宋" w:cs="仿宋"/>
          <w:b/>
          <w:bCs/>
          <w:kern w:val="0"/>
          <w:sz w:val="32"/>
          <w:szCs w:val="32"/>
        </w:rPr>
        <w:t>第十六条 协议附件</w:t>
      </w:r>
    </w:p>
    <w:p w14:paraId="71F5AEB4">
      <w:pPr>
        <w:keepNext w:val="0"/>
        <w:keepLines w:val="0"/>
        <w:pageBreakBefore w:val="0"/>
        <w:kinsoku/>
        <w:wordWrap w:val="0"/>
        <w:overflowPunct/>
        <w:topLinePunct/>
        <w:autoSpaceDE/>
        <w:autoSpaceDN/>
        <w:bidi w:val="0"/>
        <w:adjustRightInd w:val="0"/>
        <w:snapToGrid w:val="0"/>
        <w:spacing w:line="640" w:lineRule="exact"/>
        <w:ind w:firstLine="640" w:firstLineChars="200"/>
        <w:textAlignment w:val="baseline"/>
        <w:rPr>
          <w:rFonts w:hint="eastAsia" w:ascii="仿宋" w:hAnsi="仿宋" w:eastAsia="仿宋" w:cs="仿宋"/>
          <w:kern w:val="0"/>
          <w:sz w:val="32"/>
          <w:szCs w:val="32"/>
        </w:rPr>
      </w:pPr>
      <w:r>
        <w:rPr>
          <w:rFonts w:hint="eastAsia" w:ascii="仿宋" w:hAnsi="仿宋" w:eastAsia="仿宋" w:cs="仿宋"/>
          <w:kern w:val="0"/>
          <w:sz w:val="32"/>
          <w:szCs w:val="32"/>
        </w:rPr>
        <w:t>1、本协议附件包括征集文件、响应文件、采购合同等。</w:t>
      </w:r>
    </w:p>
    <w:p w14:paraId="6B3560E0">
      <w:pPr>
        <w:keepNext w:val="0"/>
        <w:keepLines w:val="0"/>
        <w:pageBreakBefore w:val="0"/>
        <w:kinsoku/>
        <w:wordWrap w:val="0"/>
        <w:overflowPunct/>
        <w:topLinePunct/>
        <w:autoSpaceDE/>
        <w:autoSpaceDN/>
        <w:bidi w:val="0"/>
        <w:adjustRightInd w:val="0"/>
        <w:snapToGrid w:val="0"/>
        <w:spacing w:line="640" w:lineRule="exact"/>
        <w:ind w:firstLine="640" w:firstLineChars="200"/>
        <w:textAlignment w:val="baseline"/>
        <w:rPr>
          <w:rFonts w:hint="eastAsia" w:ascii="仿宋" w:hAnsi="仿宋" w:eastAsia="仿宋" w:cs="仿宋"/>
          <w:kern w:val="0"/>
          <w:sz w:val="32"/>
          <w:szCs w:val="32"/>
        </w:rPr>
      </w:pPr>
      <w:r>
        <w:rPr>
          <w:rFonts w:hint="eastAsia" w:ascii="仿宋" w:hAnsi="仿宋" w:eastAsia="仿宋" w:cs="仿宋"/>
          <w:kern w:val="0"/>
          <w:sz w:val="32"/>
          <w:szCs w:val="32"/>
        </w:rPr>
        <w:t>2、本协议附件与协议具有同等效力。</w:t>
      </w:r>
    </w:p>
    <w:p w14:paraId="702CAA68">
      <w:pPr>
        <w:keepNext w:val="0"/>
        <w:keepLines w:val="0"/>
        <w:pageBreakBefore w:val="0"/>
        <w:widowControl/>
        <w:kinsoku w:val="0"/>
        <w:overflowPunct/>
        <w:autoSpaceDE w:val="0"/>
        <w:autoSpaceDN w:val="0"/>
        <w:bidi w:val="0"/>
        <w:adjustRightInd w:val="0"/>
        <w:snapToGrid w:val="0"/>
        <w:spacing w:line="640" w:lineRule="exact"/>
        <w:ind w:left="433"/>
        <w:textAlignment w:val="baseline"/>
        <w:rPr>
          <w:rFonts w:hint="eastAsia" w:ascii="宋体" w:hAnsi="宋体" w:cs="宋体"/>
          <w:spacing w:val="14"/>
          <w:kern w:val="0"/>
          <w:position w:val="1"/>
          <w:sz w:val="32"/>
          <w:szCs w:val="32"/>
        </w:rPr>
      </w:pPr>
      <w:r>
        <w:rPr>
          <w:rFonts w:hint="eastAsia" w:ascii="宋体" w:hAnsi="宋体" w:cs="宋体"/>
          <w:spacing w:val="14"/>
          <w:kern w:val="0"/>
          <w:position w:val="1"/>
          <w:sz w:val="32"/>
          <w:szCs w:val="32"/>
        </w:rPr>
        <w:t xml:space="preserve">  </w:t>
      </w:r>
    </w:p>
    <w:p w14:paraId="608E62AE">
      <w:pPr>
        <w:keepNext w:val="0"/>
        <w:keepLines w:val="0"/>
        <w:pageBreakBefore w:val="0"/>
        <w:widowControl/>
        <w:kinsoku w:val="0"/>
        <w:overflowPunct/>
        <w:autoSpaceDE w:val="0"/>
        <w:autoSpaceDN w:val="0"/>
        <w:bidi w:val="0"/>
        <w:adjustRightInd w:val="0"/>
        <w:snapToGrid w:val="0"/>
        <w:spacing w:line="640" w:lineRule="exact"/>
        <w:ind w:left="433"/>
        <w:textAlignment w:val="baseline"/>
        <w:rPr>
          <w:rFonts w:hint="eastAsia" w:ascii="仿宋" w:hAnsi="仿宋" w:eastAsia="仿宋" w:cs="仿宋"/>
          <w:spacing w:val="14"/>
          <w:kern w:val="0"/>
          <w:position w:val="1"/>
          <w:sz w:val="32"/>
          <w:szCs w:val="32"/>
        </w:rPr>
      </w:pPr>
      <w:r>
        <w:rPr>
          <w:rFonts w:hint="eastAsia" w:ascii="仿宋" w:hAnsi="仿宋" w:eastAsia="仿宋" w:cs="仿宋"/>
          <w:spacing w:val="14"/>
          <w:kern w:val="0"/>
          <w:position w:val="1"/>
          <w:sz w:val="32"/>
          <w:szCs w:val="32"/>
        </w:rPr>
        <w:t>甲方：(盖章)               乙方：(盖章)</w:t>
      </w:r>
    </w:p>
    <w:p w14:paraId="328FA6DA">
      <w:pPr>
        <w:keepNext w:val="0"/>
        <w:keepLines w:val="0"/>
        <w:pageBreakBefore w:val="0"/>
        <w:widowControl/>
        <w:kinsoku w:val="0"/>
        <w:overflowPunct/>
        <w:autoSpaceDE w:val="0"/>
        <w:autoSpaceDN w:val="0"/>
        <w:bidi w:val="0"/>
        <w:adjustRightInd w:val="0"/>
        <w:snapToGrid w:val="0"/>
        <w:spacing w:line="640" w:lineRule="exact"/>
        <w:textAlignment w:val="baseline"/>
        <w:rPr>
          <w:rFonts w:hint="eastAsia" w:ascii="仿宋" w:hAnsi="仿宋" w:eastAsia="仿宋" w:cs="仿宋"/>
          <w:spacing w:val="14"/>
          <w:kern w:val="0"/>
          <w:position w:val="1"/>
          <w:sz w:val="32"/>
          <w:szCs w:val="32"/>
        </w:rPr>
      </w:pPr>
      <w:r>
        <w:rPr>
          <w:rFonts w:hint="eastAsia" w:ascii="仿宋" w:hAnsi="仿宋" w:eastAsia="仿宋" w:cs="仿宋"/>
          <w:spacing w:val="14"/>
          <w:kern w:val="0"/>
          <w:position w:val="1"/>
          <w:sz w:val="32"/>
          <w:szCs w:val="32"/>
        </w:rPr>
        <w:t>法定代表人 (授权代表) ：    法定代表人 (授权代表) ：</w:t>
      </w:r>
    </w:p>
    <w:p w14:paraId="1CBF5480">
      <w:pPr>
        <w:keepNext w:val="0"/>
        <w:keepLines w:val="0"/>
        <w:pageBreakBefore w:val="0"/>
        <w:widowControl/>
        <w:kinsoku w:val="0"/>
        <w:overflowPunct/>
        <w:autoSpaceDE w:val="0"/>
        <w:autoSpaceDN w:val="0"/>
        <w:bidi w:val="0"/>
        <w:adjustRightInd w:val="0"/>
        <w:snapToGrid w:val="0"/>
        <w:spacing w:line="640" w:lineRule="exact"/>
        <w:ind w:left="433"/>
        <w:textAlignment w:val="baseline"/>
        <w:rPr>
          <w:rFonts w:hint="eastAsia" w:ascii="仿宋" w:hAnsi="仿宋" w:eastAsia="仿宋" w:cs="仿宋"/>
          <w:spacing w:val="14"/>
          <w:kern w:val="0"/>
          <w:position w:val="1"/>
          <w:sz w:val="32"/>
          <w:szCs w:val="32"/>
        </w:rPr>
      </w:pPr>
      <w:r>
        <w:rPr>
          <w:rFonts w:hint="eastAsia" w:ascii="仿宋" w:hAnsi="仿宋" w:eastAsia="仿宋" w:cs="仿宋"/>
          <w:spacing w:val="14"/>
          <w:kern w:val="0"/>
          <w:position w:val="1"/>
          <w:sz w:val="32"/>
          <w:szCs w:val="32"/>
        </w:rPr>
        <w:t>地址：                     地址：</w:t>
      </w:r>
    </w:p>
    <w:p w14:paraId="65D1E2B6">
      <w:pPr>
        <w:keepNext w:val="0"/>
        <w:keepLines w:val="0"/>
        <w:pageBreakBefore w:val="0"/>
        <w:widowControl/>
        <w:kinsoku w:val="0"/>
        <w:overflowPunct/>
        <w:autoSpaceDE w:val="0"/>
        <w:autoSpaceDN w:val="0"/>
        <w:bidi w:val="0"/>
        <w:adjustRightInd w:val="0"/>
        <w:snapToGrid w:val="0"/>
        <w:spacing w:line="640" w:lineRule="exact"/>
        <w:ind w:left="433"/>
        <w:textAlignment w:val="baseline"/>
        <w:rPr>
          <w:rFonts w:hint="eastAsia" w:ascii="仿宋" w:hAnsi="仿宋" w:eastAsia="仿宋" w:cs="仿宋"/>
          <w:spacing w:val="14"/>
          <w:kern w:val="0"/>
          <w:position w:val="1"/>
          <w:sz w:val="32"/>
          <w:szCs w:val="32"/>
        </w:rPr>
      </w:pPr>
      <w:r>
        <w:rPr>
          <w:rFonts w:hint="eastAsia" w:ascii="仿宋" w:hAnsi="仿宋" w:eastAsia="仿宋" w:cs="仿宋"/>
          <w:spacing w:val="14"/>
          <w:kern w:val="0"/>
          <w:position w:val="1"/>
          <w:sz w:val="32"/>
          <w:szCs w:val="32"/>
        </w:rPr>
        <w:t>电话：                     电话：</w:t>
      </w:r>
    </w:p>
    <w:p w14:paraId="51D68461">
      <w:pPr>
        <w:keepNext w:val="0"/>
        <w:keepLines w:val="0"/>
        <w:pageBreakBefore w:val="0"/>
        <w:widowControl/>
        <w:kinsoku w:val="0"/>
        <w:overflowPunct/>
        <w:autoSpaceDE w:val="0"/>
        <w:autoSpaceDN w:val="0"/>
        <w:bidi w:val="0"/>
        <w:adjustRightInd w:val="0"/>
        <w:snapToGrid w:val="0"/>
        <w:spacing w:line="640" w:lineRule="exact"/>
        <w:ind w:left="433"/>
        <w:textAlignment w:val="baseline"/>
        <w:rPr>
          <w:rFonts w:hint="eastAsia" w:ascii="仿宋" w:hAnsi="仿宋" w:eastAsia="仿宋" w:cs="仿宋"/>
          <w:spacing w:val="14"/>
          <w:kern w:val="0"/>
          <w:position w:val="1"/>
          <w:sz w:val="32"/>
          <w:szCs w:val="32"/>
        </w:rPr>
      </w:pPr>
      <w:r>
        <w:rPr>
          <w:rFonts w:hint="eastAsia" w:ascii="仿宋" w:hAnsi="仿宋" w:eastAsia="仿宋" w:cs="仿宋"/>
          <w:spacing w:val="14"/>
          <w:kern w:val="0"/>
          <w:position w:val="1"/>
          <w:sz w:val="32"/>
          <w:szCs w:val="32"/>
        </w:rPr>
        <w:t xml:space="preserve"> </w:t>
      </w:r>
    </w:p>
    <w:p w14:paraId="27743226">
      <w:pPr>
        <w:keepNext w:val="0"/>
        <w:keepLines w:val="0"/>
        <w:pageBreakBefore w:val="0"/>
        <w:widowControl/>
        <w:kinsoku w:val="0"/>
        <w:overflowPunct/>
        <w:autoSpaceDE w:val="0"/>
        <w:autoSpaceDN w:val="0"/>
        <w:bidi w:val="0"/>
        <w:adjustRightInd w:val="0"/>
        <w:snapToGrid w:val="0"/>
        <w:spacing w:line="640" w:lineRule="exact"/>
        <w:ind w:left="433"/>
        <w:textAlignment w:val="baseline"/>
        <w:rPr>
          <w:rFonts w:hint="eastAsia" w:ascii="仿宋" w:hAnsi="仿宋" w:eastAsia="仿宋" w:cs="仿宋"/>
          <w:spacing w:val="14"/>
          <w:kern w:val="0"/>
          <w:position w:val="1"/>
          <w:sz w:val="32"/>
          <w:szCs w:val="32"/>
        </w:rPr>
      </w:pPr>
      <w:r>
        <w:rPr>
          <w:rFonts w:hint="eastAsia" w:ascii="仿宋" w:hAnsi="仿宋" w:eastAsia="仿宋" w:cs="仿宋"/>
          <w:spacing w:val="14"/>
          <w:kern w:val="0"/>
          <w:position w:val="1"/>
          <w:sz w:val="32"/>
          <w:szCs w:val="32"/>
        </w:rPr>
        <w:t>签约时间：   年  月  日  签约时间：   年  月  日</w:t>
      </w:r>
    </w:p>
    <w:p w14:paraId="24F1154F">
      <w:pPr>
        <w:keepNext w:val="0"/>
        <w:keepLines w:val="0"/>
        <w:pageBreakBefore w:val="0"/>
        <w:overflowPunct/>
        <w:bidi w:val="0"/>
        <w:spacing w:line="640" w:lineRule="exact"/>
        <w:rPr>
          <w:rFonts w:hint="eastAsia" w:ascii="仿宋" w:hAnsi="仿宋" w:eastAsia="仿宋" w:cs="仿宋"/>
          <w:sz w:val="32"/>
          <w:szCs w:val="32"/>
        </w:rPr>
      </w:pPr>
    </w:p>
    <w:p w14:paraId="28E32681">
      <w:pPr>
        <w:keepNext w:val="0"/>
        <w:keepLines w:val="0"/>
        <w:pageBreakBefore w:val="0"/>
        <w:overflowPunct/>
        <w:bidi w:val="0"/>
        <w:spacing w:line="640" w:lineRule="exact"/>
        <w:rPr>
          <w:rFonts w:hint="eastAsia" w:ascii="仿宋" w:hAnsi="仿宋" w:eastAsia="仿宋"/>
          <w:sz w:val="32"/>
          <w:szCs w:val="32"/>
        </w:rPr>
        <w:sectPr>
          <w:footerReference r:id="rId9" w:type="default"/>
          <w:pgSz w:w="11906" w:h="16838"/>
          <w:pgMar w:top="1984" w:right="1531" w:bottom="1871" w:left="1531" w:header="851" w:footer="1361" w:gutter="0"/>
          <w:cols w:space="720" w:num="1"/>
          <w:docGrid w:type="lines" w:linePitch="312" w:charSpace="0"/>
        </w:sectPr>
      </w:pPr>
    </w:p>
    <w:p w14:paraId="5CFA5F91">
      <w:pPr>
        <w:jc w:val="center"/>
        <w:rPr>
          <w:rFonts w:hint="eastAsia" w:ascii="黑体" w:hAnsi="黑体" w:eastAsia="黑体" w:cs="Times New Roman"/>
          <w:sz w:val="48"/>
          <w:szCs w:val="48"/>
        </w:rPr>
      </w:pPr>
      <w:r>
        <w:rPr>
          <w:rFonts w:hint="eastAsia" w:ascii="黑体" w:hAnsi="黑体" w:eastAsia="黑体" w:cs="Times New Roman"/>
          <w:sz w:val="48"/>
          <w:szCs w:val="48"/>
        </w:rPr>
        <w:t>（二）采购合同文本：</w:t>
      </w:r>
    </w:p>
    <w:p w14:paraId="4A538778">
      <w:pPr>
        <w:jc w:val="center"/>
        <w:rPr>
          <w:rFonts w:hint="eastAsia" w:ascii="黑体" w:hAnsi="黑体" w:eastAsia="黑体" w:cs="Times New Roman"/>
          <w:sz w:val="48"/>
          <w:szCs w:val="48"/>
        </w:rPr>
      </w:pPr>
      <w:r>
        <w:rPr>
          <w:rFonts w:hint="eastAsia" w:ascii="黑体" w:hAnsi="黑体" w:eastAsia="黑体" w:cs="Times New Roman"/>
          <w:sz w:val="48"/>
          <w:szCs w:val="48"/>
        </w:rPr>
        <w:t>预算绩效管理业务委托协议</w:t>
      </w:r>
    </w:p>
    <w:p w14:paraId="484FA0BA">
      <w:pPr>
        <w:rPr>
          <w:rFonts w:hint="eastAsia" w:ascii="仿宋" w:hAnsi="仿宋" w:eastAsia="仿宋" w:cs="Times New Roman"/>
          <w:sz w:val="32"/>
          <w:szCs w:val="32"/>
        </w:rPr>
      </w:pPr>
    </w:p>
    <w:p w14:paraId="6731F93A">
      <w:pPr>
        <w:rPr>
          <w:rFonts w:hint="eastAsia" w:ascii="仿宋" w:hAnsi="仿宋" w:eastAsia="仿宋" w:cs="Times New Roman"/>
          <w:sz w:val="32"/>
          <w:szCs w:val="32"/>
        </w:rPr>
      </w:pPr>
    </w:p>
    <w:p w14:paraId="22DF0A25">
      <w:pPr>
        <w:rPr>
          <w:rFonts w:hint="eastAsia" w:ascii="仿宋" w:hAnsi="仿宋" w:eastAsia="仿宋" w:cs="Times New Roman"/>
          <w:sz w:val="32"/>
          <w:szCs w:val="32"/>
        </w:rPr>
      </w:pPr>
    </w:p>
    <w:p w14:paraId="2FFDB7D4">
      <w:pPr>
        <w:rPr>
          <w:rFonts w:hint="eastAsia" w:ascii="仿宋" w:hAnsi="仿宋" w:eastAsia="仿宋" w:cs="Times New Roman"/>
          <w:sz w:val="32"/>
          <w:szCs w:val="32"/>
        </w:rPr>
      </w:pPr>
    </w:p>
    <w:p w14:paraId="796B50CB">
      <w:pPr>
        <w:rPr>
          <w:rFonts w:hint="eastAsia" w:ascii="仿宋" w:hAnsi="仿宋" w:eastAsia="仿宋" w:cs="Times New Roman"/>
          <w:sz w:val="32"/>
          <w:szCs w:val="32"/>
        </w:rPr>
      </w:pPr>
    </w:p>
    <w:p w14:paraId="3CC66611">
      <w:pPr>
        <w:ind w:firstLine="640" w:firstLineChars="200"/>
        <w:rPr>
          <w:rFonts w:ascii="仿宋" w:hAnsi="仿宋" w:eastAsia="仿宋" w:cs="Times New Roman"/>
          <w:sz w:val="32"/>
          <w:szCs w:val="32"/>
        </w:rPr>
      </w:pPr>
      <w:r>
        <w:rPr>
          <w:rFonts w:hint="eastAsia" w:ascii="仿宋" w:hAnsi="仿宋" w:eastAsia="仿宋" w:cs="Times New Roman"/>
          <w:sz w:val="32"/>
          <w:szCs w:val="32"/>
        </w:rPr>
        <w:t>项目名称：</w:t>
      </w:r>
      <w:r>
        <w:rPr>
          <w:rFonts w:hint="eastAsia" w:ascii="仿宋" w:hAnsi="仿宋" w:eastAsia="仿宋" w:cs="Times New Roman"/>
          <w:sz w:val="32"/>
          <w:szCs w:val="32"/>
        </w:rPr>
        <w:tab/>
      </w:r>
      <w:bookmarkStart w:id="6" w:name="_Hlk195619555"/>
      <w:r>
        <w:rPr>
          <w:rFonts w:hint="eastAsia" w:ascii="仿宋" w:hAnsi="仿宋" w:eastAsia="仿宋" w:cs="Times New Roman"/>
          <w:sz w:val="32"/>
          <w:szCs w:val="32"/>
        </w:rPr>
        <w:t>______________________________</w:t>
      </w:r>
      <w:bookmarkEnd w:id="6"/>
      <w:r>
        <w:rPr>
          <w:rFonts w:hint="eastAsia" w:ascii="仿宋" w:hAnsi="仿宋" w:eastAsia="仿宋" w:cs="Times New Roman"/>
          <w:sz w:val="32"/>
          <w:szCs w:val="32"/>
        </w:rPr>
        <w:t xml:space="preserve"> </w:t>
      </w:r>
    </w:p>
    <w:p w14:paraId="1CC4D860">
      <w:pPr>
        <w:ind w:firstLine="640" w:firstLineChars="200"/>
        <w:rPr>
          <w:rFonts w:ascii="仿宋" w:hAnsi="仿宋" w:eastAsia="仿宋" w:cs="Times New Roman"/>
          <w:sz w:val="32"/>
          <w:szCs w:val="32"/>
        </w:rPr>
      </w:pPr>
      <w:r>
        <w:rPr>
          <w:rFonts w:hint="eastAsia" w:ascii="仿宋" w:hAnsi="仿宋" w:eastAsia="仿宋" w:cs="Times New Roman"/>
          <w:sz w:val="32"/>
          <w:szCs w:val="32"/>
        </w:rPr>
        <w:t>委 托 方：</w:t>
      </w:r>
      <w:r>
        <w:rPr>
          <w:rFonts w:hint="eastAsia" w:ascii="仿宋" w:hAnsi="仿宋" w:eastAsia="仿宋" w:cs="Times New Roman"/>
          <w:sz w:val="32"/>
          <w:szCs w:val="32"/>
        </w:rPr>
        <w:tab/>
      </w:r>
      <w:r>
        <w:rPr>
          <w:rFonts w:hint="eastAsia" w:ascii="仿宋" w:hAnsi="仿宋" w:eastAsia="仿宋" w:cs="Times New Roman"/>
          <w:sz w:val="32"/>
          <w:szCs w:val="32"/>
        </w:rPr>
        <w:t xml:space="preserve">______________________________ </w:t>
      </w:r>
    </w:p>
    <w:p w14:paraId="142433AB">
      <w:pPr>
        <w:ind w:firstLine="640" w:firstLineChars="200"/>
        <w:rPr>
          <w:rFonts w:ascii="仿宋" w:hAnsi="仿宋" w:eastAsia="仿宋" w:cs="Times New Roman"/>
          <w:sz w:val="32"/>
          <w:szCs w:val="32"/>
        </w:rPr>
      </w:pPr>
      <w:r>
        <w:rPr>
          <w:rFonts w:hint="eastAsia" w:ascii="仿宋" w:hAnsi="仿宋" w:eastAsia="仿宋" w:cs="Times New Roman"/>
          <w:sz w:val="32"/>
          <w:szCs w:val="32"/>
        </w:rPr>
        <w:t>受 托 方：</w:t>
      </w:r>
      <w:r>
        <w:rPr>
          <w:rFonts w:hint="eastAsia" w:ascii="仿宋" w:hAnsi="仿宋" w:eastAsia="仿宋" w:cs="Times New Roman"/>
          <w:sz w:val="32"/>
          <w:szCs w:val="32"/>
        </w:rPr>
        <w:tab/>
      </w:r>
      <w:r>
        <w:rPr>
          <w:rFonts w:hint="eastAsia" w:ascii="仿宋" w:hAnsi="仿宋" w:eastAsia="仿宋" w:cs="Times New Roman"/>
          <w:sz w:val="32"/>
          <w:szCs w:val="32"/>
        </w:rPr>
        <w:t xml:space="preserve">______________________________ </w:t>
      </w:r>
    </w:p>
    <w:p w14:paraId="366D2BF0">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 xml:space="preserve">签署日期：  ______________________________                         </w:t>
      </w:r>
    </w:p>
    <w:p w14:paraId="3FDE860E">
      <w:pPr>
        <w:rPr>
          <w:rFonts w:ascii="仿宋" w:hAnsi="仿宋" w:eastAsia="仿宋" w:cs="Times New Roman"/>
          <w:sz w:val="32"/>
          <w:szCs w:val="32"/>
        </w:rPr>
      </w:pPr>
      <w:r>
        <w:rPr>
          <w:rFonts w:hint="eastAsia" w:ascii="仿宋" w:hAnsi="仿宋" w:eastAsia="仿宋" w:cs="Times New Roman"/>
          <w:sz w:val="32"/>
          <w:szCs w:val="32"/>
        </w:rPr>
        <w:t xml:space="preserve"> </w:t>
      </w:r>
    </w:p>
    <w:p w14:paraId="487463EE">
      <w:pPr>
        <w:rPr>
          <w:rFonts w:ascii="仿宋" w:hAnsi="仿宋" w:eastAsia="仿宋" w:cs="Times New Roman"/>
          <w:sz w:val="32"/>
          <w:szCs w:val="32"/>
        </w:rPr>
      </w:pPr>
    </w:p>
    <w:p w14:paraId="2535F4E0">
      <w:pPr>
        <w:rPr>
          <w:rFonts w:ascii="仿宋" w:hAnsi="仿宋" w:eastAsia="仿宋" w:cs="Times New Roman"/>
          <w:sz w:val="32"/>
          <w:szCs w:val="32"/>
        </w:rPr>
      </w:pPr>
    </w:p>
    <w:p w14:paraId="5CE4937B">
      <w:pPr>
        <w:rPr>
          <w:rFonts w:ascii="仿宋" w:hAnsi="仿宋" w:eastAsia="仿宋" w:cs="Times New Roman"/>
          <w:sz w:val="32"/>
          <w:szCs w:val="32"/>
        </w:rPr>
      </w:pPr>
    </w:p>
    <w:p w14:paraId="4B138BA4">
      <w:pPr>
        <w:rPr>
          <w:rFonts w:ascii="仿宋" w:hAnsi="仿宋" w:eastAsia="仿宋" w:cs="Times New Roman"/>
          <w:sz w:val="32"/>
          <w:szCs w:val="32"/>
        </w:rPr>
      </w:pPr>
    </w:p>
    <w:p w14:paraId="5D1A0416">
      <w:pPr>
        <w:rPr>
          <w:rFonts w:hint="eastAsia" w:ascii="仿宋" w:hAnsi="仿宋" w:eastAsia="仿宋" w:cs="Times New Roman"/>
          <w:sz w:val="32"/>
          <w:szCs w:val="32"/>
        </w:rPr>
      </w:pPr>
    </w:p>
    <w:p w14:paraId="24EE50E7">
      <w:pPr>
        <w:ind w:firstLine="643" w:firstLineChars="200"/>
        <w:rPr>
          <w:rFonts w:hint="eastAsia" w:ascii="仿宋" w:hAnsi="仿宋" w:eastAsia="仿宋" w:cs="Times New Roman"/>
          <w:b/>
          <w:bCs/>
          <w:sz w:val="32"/>
          <w:szCs w:val="32"/>
        </w:rPr>
      </w:pPr>
    </w:p>
    <w:p w14:paraId="59A3D973">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Times New Roman"/>
          <w:b/>
          <w:bCs/>
          <w:sz w:val="32"/>
          <w:szCs w:val="32"/>
        </w:rPr>
      </w:pPr>
    </w:p>
    <w:p w14:paraId="4BD0C4EE">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Times New Roman"/>
          <w:b/>
          <w:bCs/>
          <w:sz w:val="32"/>
          <w:szCs w:val="32"/>
        </w:rPr>
      </w:pPr>
    </w:p>
    <w:p w14:paraId="15ECEC4B">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Times New Roman"/>
          <w:b/>
          <w:bCs/>
          <w:sz w:val="32"/>
          <w:szCs w:val="32"/>
        </w:rPr>
      </w:pPr>
    </w:p>
    <w:p w14:paraId="727E900F">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ascii="仿宋" w:hAnsi="仿宋" w:eastAsia="仿宋" w:cs="Times New Roman"/>
          <w:sz w:val="32"/>
          <w:szCs w:val="32"/>
        </w:rPr>
      </w:pPr>
      <w:r>
        <w:rPr>
          <w:rFonts w:hint="eastAsia" w:ascii="仿宋" w:hAnsi="仿宋" w:eastAsia="仿宋" w:cs="Times New Roman"/>
          <w:b/>
          <w:bCs/>
          <w:sz w:val="32"/>
          <w:szCs w:val="32"/>
        </w:rPr>
        <w:t>委托方（ 以下简称甲方）：</w:t>
      </w:r>
      <w:r>
        <w:rPr>
          <w:rFonts w:hint="eastAsia" w:ascii="仿宋" w:hAnsi="仿宋" w:eastAsia="仿宋" w:cs="Times New Roman"/>
          <w:sz w:val="32"/>
          <w:szCs w:val="32"/>
        </w:rPr>
        <w:t xml:space="preserve"> </w:t>
      </w:r>
    </w:p>
    <w:p w14:paraId="456D58C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地址：</w:t>
      </w:r>
    </w:p>
    <w:p w14:paraId="17E06D8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联系人：</w:t>
      </w:r>
    </w:p>
    <w:p w14:paraId="4E487E5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联系电话：</w:t>
      </w:r>
    </w:p>
    <w:p w14:paraId="123D7F7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开户行及账号：</w:t>
      </w:r>
    </w:p>
    <w:p w14:paraId="2317D98B">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ascii="仿宋" w:hAnsi="仿宋" w:eastAsia="仿宋" w:cs="Times New Roman"/>
          <w:b/>
          <w:bCs/>
          <w:sz w:val="32"/>
          <w:szCs w:val="32"/>
        </w:rPr>
      </w:pPr>
      <w:r>
        <w:rPr>
          <w:rFonts w:hint="eastAsia" w:ascii="仿宋" w:hAnsi="仿宋" w:eastAsia="仿宋" w:cs="Times New Roman"/>
          <w:b/>
          <w:bCs/>
          <w:sz w:val="32"/>
          <w:szCs w:val="32"/>
        </w:rPr>
        <w:t xml:space="preserve">受托方（ 以下简称乙方）： </w:t>
      </w:r>
    </w:p>
    <w:p w14:paraId="6B79ADF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地址：</w:t>
      </w:r>
    </w:p>
    <w:p w14:paraId="7AE808D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联系人：</w:t>
      </w:r>
    </w:p>
    <w:p w14:paraId="16D5A84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联系电话：</w:t>
      </w:r>
    </w:p>
    <w:p w14:paraId="2C917B1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开户行及账号：</w:t>
      </w:r>
    </w:p>
    <w:p w14:paraId="19856E2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鉴于预算绩效管理工作需要，根据</w:t>
      </w:r>
      <w:r>
        <w:rPr>
          <w:rFonts w:hint="eastAsia" w:ascii="仿宋" w:hAnsi="仿宋" w:eastAsia="仿宋" w:cs="Times New Roman"/>
          <w:sz w:val="32"/>
          <w:szCs w:val="32"/>
        </w:rPr>
        <w:t>_______</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框架协议采购项目名称</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征集入围结果，</w:t>
      </w:r>
      <w:r>
        <w:rPr>
          <w:rFonts w:hint="eastAsia" w:ascii="仿宋" w:hAnsi="仿宋" w:eastAsia="仿宋" w:cs="Times New Roman"/>
          <w:sz w:val="32"/>
          <w:szCs w:val="32"/>
        </w:rPr>
        <w:t>甲乙双方依据《中华人民共和国民法典》、《中华人民共和国预算法》及其实施条例、《中华人民共和国政府采购法》及其实施条例、《政府购买服务管理办法》（财政部令第102 号）、《财政部关于委托第三方机构参与预算绩效管理的指导意见》（财预〔2021〕6 号）、《第三方机构预算绩效评价业务监督管理暂行办法》（财监〔2021〕4 号）等法律法规和相关文件的规定，在平等自愿、协商一致的基础上，</w:t>
      </w:r>
      <w:r>
        <w:rPr>
          <w:rFonts w:hint="eastAsia" w:ascii="仿宋" w:hAnsi="仿宋" w:eastAsia="仿宋" w:cs="Times New Roman"/>
          <w:sz w:val="32"/>
          <w:szCs w:val="32"/>
          <w:lang w:val="en-US" w:eastAsia="zh-CN"/>
        </w:rPr>
        <w:t>就甲方委托乙方提供预算绩效管理咨询服务事宜，</w:t>
      </w:r>
      <w:r>
        <w:rPr>
          <w:rFonts w:hint="eastAsia" w:ascii="仿宋" w:hAnsi="仿宋" w:eastAsia="仿宋" w:cs="Times New Roman"/>
          <w:sz w:val="32"/>
          <w:szCs w:val="32"/>
        </w:rPr>
        <w:t>同意按照下面的条款和条件，签署本合同</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供双方共同遵守执行。</w:t>
      </w:r>
    </w:p>
    <w:p w14:paraId="578170B3">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Times New Roman"/>
          <w:b/>
          <w:bCs/>
          <w:sz w:val="32"/>
          <w:szCs w:val="32"/>
        </w:rPr>
      </w:pPr>
      <w:r>
        <w:rPr>
          <w:rFonts w:hint="eastAsia" w:ascii="仿宋" w:hAnsi="仿宋" w:eastAsia="仿宋" w:cs="Times New Roman"/>
          <w:b/>
          <w:bCs/>
          <w:sz w:val="32"/>
          <w:szCs w:val="32"/>
        </w:rPr>
        <w:t>一、委托事项名称</w:t>
      </w:r>
    </w:p>
    <w:p w14:paraId="3CA4D26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p>
    <w:p w14:paraId="12A75D36">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Times New Roman"/>
          <w:b/>
          <w:bCs/>
          <w:sz w:val="32"/>
          <w:szCs w:val="32"/>
        </w:rPr>
      </w:pPr>
      <w:r>
        <w:rPr>
          <w:rFonts w:hint="eastAsia" w:ascii="仿宋" w:hAnsi="仿宋" w:eastAsia="仿宋" w:cs="Times New Roman"/>
          <w:b/>
          <w:bCs/>
          <w:sz w:val="32"/>
          <w:szCs w:val="32"/>
        </w:rPr>
        <w:t>二、委托事项内容</w:t>
      </w:r>
    </w:p>
    <w:p w14:paraId="71BA323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（一）</w:t>
      </w:r>
      <w:r>
        <w:rPr>
          <w:rFonts w:hint="eastAsia" w:ascii="仿宋" w:hAnsi="仿宋" w:eastAsia="仿宋" w:cs="Times New Roman"/>
          <w:sz w:val="32"/>
          <w:szCs w:val="32"/>
          <w:lang w:val="en-US" w:eastAsia="zh-CN"/>
        </w:rPr>
        <w:t>委托服务内容</w:t>
      </w:r>
      <w:r>
        <w:rPr>
          <w:rFonts w:hint="eastAsia" w:ascii="仿宋" w:hAnsi="仿宋" w:eastAsia="仿宋" w:cs="Times New Roman"/>
          <w:sz w:val="32"/>
          <w:szCs w:val="32"/>
        </w:rPr>
        <w:t xml:space="preserve">：__________________________                                </w:t>
      </w:r>
    </w:p>
    <w:p w14:paraId="3943D1D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 xml:space="preserve">（二）委托服务范围：__________________________                               </w:t>
      </w:r>
    </w:p>
    <w:p w14:paraId="0C11F65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（三）工作程序：</w:t>
      </w:r>
    </w:p>
    <w:p w14:paraId="281D478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1.研究制定</w:t>
      </w:r>
      <w:r>
        <w:rPr>
          <w:rFonts w:hint="eastAsia" w:ascii="仿宋" w:hAnsi="仿宋" w:eastAsia="仿宋" w:cs="Times New Roman"/>
          <w:sz w:val="32"/>
          <w:szCs w:val="32"/>
          <w:lang w:val="en-US" w:eastAsia="zh-CN"/>
        </w:rPr>
        <w:t>工作</w:t>
      </w:r>
      <w:r>
        <w:rPr>
          <w:rFonts w:hint="eastAsia" w:ascii="仿宋" w:hAnsi="仿宋" w:eastAsia="仿宋" w:cs="Times New Roman"/>
          <w:sz w:val="32"/>
          <w:szCs w:val="32"/>
        </w:rPr>
        <w:t>实施方案；</w:t>
      </w:r>
    </w:p>
    <w:p w14:paraId="7A000C43">
      <w:pPr>
        <w:keepNext w:val="0"/>
        <w:keepLines w:val="0"/>
        <w:pageBreakBefore w:val="0"/>
        <w:widowControl w:val="0"/>
        <w:kinsoku/>
        <w:wordWrap/>
        <w:overflowPunct/>
        <w:topLinePunct w:val="0"/>
        <w:autoSpaceDE/>
        <w:autoSpaceDN/>
        <w:bidi w:val="0"/>
        <w:adjustRightInd/>
        <w:snapToGrid/>
        <w:spacing w:line="480" w:lineRule="exact"/>
        <w:ind w:left="105" w:leftChars="50" w:firstLine="480" w:firstLineChars="150"/>
        <w:textAlignment w:val="auto"/>
        <w:rPr>
          <w:rFonts w:ascii="仿宋" w:hAnsi="仿宋" w:eastAsia="仿宋" w:cs="Times New Roman"/>
          <w:sz w:val="32"/>
          <w:szCs w:val="32"/>
        </w:rPr>
      </w:pPr>
      <w:r>
        <w:rPr>
          <w:rFonts w:hint="eastAsia" w:ascii="仿宋" w:hAnsi="仿宋" w:eastAsia="仿宋" w:cs="Times New Roman"/>
          <w:sz w:val="32"/>
          <w:szCs w:val="32"/>
        </w:rPr>
        <w:t>2.组成工作组，成员包括</w:t>
      </w:r>
      <w:bookmarkStart w:id="7" w:name="_Hlk195619668"/>
      <w:r>
        <w:rPr>
          <w:rFonts w:hint="eastAsia" w:ascii="仿宋" w:hAnsi="仿宋" w:eastAsia="仿宋" w:cs="Times New Roman"/>
          <w:sz w:val="32"/>
          <w:szCs w:val="32"/>
        </w:rPr>
        <w:t>___________________</w:t>
      </w:r>
      <w:bookmarkEnd w:id="7"/>
      <w:r>
        <w:rPr>
          <w:rFonts w:hint="eastAsia" w:ascii="仿宋" w:hAnsi="仿宋" w:eastAsia="仿宋" w:cs="Times New Roman"/>
          <w:sz w:val="32"/>
          <w:szCs w:val="32"/>
        </w:rPr>
        <w:t>；</w:t>
      </w:r>
    </w:p>
    <w:p w14:paraId="7908F1F1">
      <w:pPr>
        <w:keepNext w:val="0"/>
        <w:keepLines w:val="0"/>
        <w:pageBreakBefore w:val="0"/>
        <w:widowControl w:val="0"/>
        <w:kinsoku/>
        <w:wordWrap/>
        <w:overflowPunct/>
        <w:topLinePunct w:val="0"/>
        <w:autoSpaceDE/>
        <w:autoSpaceDN/>
        <w:bidi w:val="0"/>
        <w:adjustRightInd/>
        <w:snapToGrid/>
        <w:spacing w:line="480" w:lineRule="exact"/>
        <w:ind w:left="105" w:leftChars="50" w:firstLine="480" w:firstLineChars="150"/>
        <w:textAlignment w:val="auto"/>
        <w:rPr>
          <w:rFonts w:hint="eastAsia" w:ascii="仿宋" w:hAnsi="仿宋" w:eastAsia="仿宋" w:cs="Times New Roman"/>
          <w:sz w:val="32"/>
          <w:szCs w:val="32"/>
        </w:rPr>
      </w:pPr>
      <w:r>
        <w:rPr>
          <w:rFonts w:hint="eastAsia" w:ascii="仿宋" w:hAnsi="仿宋" w:eastAsia="仿宋" w:cs="Times New Roman"/>
          <w:sz w:val="32"/>
          <w:szCs w:val="32"/>
        </w:rPr>
        <w:t>3.收集工作基础资料，并进行整理分析；</w:t>
      </w:r>
    </w:p>
    <w:p w14:paraId="0691256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4赴项目现场开展调研，通过 ________________等方式核实项目实施基本情况，形成现场工作意见；</w:t>
      </w:r>
    </w:p>
    <w:p w14:paraId="1636534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5.依据现场工作结论，并参考对工作资料的审核结果进行全面分析与综合评</w:t>
      </w:r>
      <w:r>
        <w:rPr>
          <w:rFonts w:hint="eastAsia" w:ascii="仿宋" w:hAnsi="仿宋" w:eastAsia="仿宋" w:cs="Times New Roman"/>
          <w:sz w:val="32"/>
          <w:szCs w:val="32"/>
          <w:lang w:val="en-US" w:eastAsia="zh-CN"/>
        </w:rPr>
        <w:t>判</w:t>
      </w:r>
      <w:r>
        <w:rPr>
          <w:rFonts w:hint="eastAsia" w:ascii="仿宋" w:hAnsi="仿宋" w:eastAsia="仿宋" w:cs="Times New Roman"/>
          <w:sz w:val="32"/>
          <w:szCs w:val="32"/>
        </w:rPr>
        <w:t>；</w:t>
      </w:r>
    </w:p>
    <w:p w14:paraId="58E16EA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6.撰写</w:t>
      </w:r>
      <w:r>
        <w:rPr>
          <w:rFonts w:hint="eastAsia" w:ascii="仿宋" w:hAnsi="仿宋" w:eastAsia="仿宋" w:cs="Times New Roman"/>
          <w:sz w:val="32"/>
          <w:szCs w:val="32"/>
          <w:lang w:val="en-US" w:eastAsia="zh-CN"/>
        </w:rPr>
        <w:t>工作</w:t>
      </w:r>
      <w:r>
        <w:rPr>
          <w:rFonts w:hint="eastAsia" w:ascii="仿宋" w:hAnsi="仿宋" w:eastAsia="仿宋" w:cs="Times New Roman"/>
          <w:sz w:val="32"/>
          <w:szCs w:val="32"/>
        </w:rPr>
        <w:t>价报告。</w:t>
      </w:r>
    </w:p>
    <w:p w14:paraId="7E59FEB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（四）工作成果：</w:t>
      </w:r>
    </w:p>
    <w:p w14:paraId="453D21D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1.工作实施方案。包括工作目标、工作组织安排、工作方向和重点、工作方法、指标体系、调查问卷等。</w:t>
      </w:r>
    </w:p>
    <w:p w14:paraId="7648C21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2.工作报告。正式提交的工作报告，一式___份，均需要加盖乙方公章、项目负责人（主评人）签名确认。</w:t>
      </w:r>
    </w:p>
    <w:p w14:paraId="54B3B81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三、工作要求</w:t>
      </w:r>
    </w:p>
    <w:p w14:paraId="5E5752B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（一）人员配备。工作组包括</w:t>
      </w:r>
      <w:r>
        <w:rPr>
          <w:rFonts w:hint="eastAsia" w:ascii="仿宋" w:hAnsi="仿宋" w:eastAsia="仿宋" w:cs="Times New Roman"/>
          <w:sz w:val="32"/>
          <w:szCs w:val="32"/>
          <w:lang w:val="en-US" w:eastAsia="zh-CN"/>
        </w:rPr>
        <w:t>项目负责人（</w:t>
      </w:r>
      <w:r>
        <w:rPr>
          <w:rFonts w:hint="eastAsia" w:ascii="仿宋" w:hAnsi="仿宋" w:eastAsia="仿宋" w:cs="Times New Roman"/>
          <w:sz w:val="32"/>
          <w:szCs w:val="32"/>
        </w:rPr>
        <w:t>主评人</w:t>
      </w:r>
      <w:r>
        <w:rPr>
          <w:rFonts w:hint="eastAsia" w:ascii="仿宋" w:hAnsi="仿宋" w:eastAsia="仿宋" w:cs="Times New Roman"/>
          <w:sz w:val="32"/>
          <w:szCs w:val="32"/>
          <w:lang w:val="en-US" w:eastAsia="zh-CN"/>
        </w:rPr>
        <w:t>）</w:t>
      </w:r>
      <w:r>
        <w:rPr>
          <w:rFonts w:hint="eastAsia" w:ascii="仿宋" w:hAnsi="仿宋" w:eastAsia="仿宋" w:cs="Times New Roman"/>
          <w:sz w:val="32"/>
          <w:szCs w:val="32"/>
        </w:rPr>
        <w:t>__名和其他成员___名，项目负责人（主评人）为_______。项目负责人（主评人）一经确定，不得随意变更，并保持工作组成员相对稳定。</w:t>
      </w:r>
    </w:p>
    <w:p w14:paraId="0186E69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（二）完成时限。</w:t>
      </w:r>
      <w:r>
        <w:rPr>
          <w:rFonts w:hint="eastAsia" w:ascii="仿宋" w:hAnsi="仿宋" w:eastAsia="仿宋" w:cs="Times New Roman"/>
          <w:sz w:val="32"/>
          <w:szCs w:val="32"/>
          <w:lang w:val="en-US" w:eastAsia="zh-CN"/>
        </w:rPr>
        <w:t>工作</w:t>
      </w:r>
      <w:r>
        <w:rPr>
          <w:rFonts w:hint="eastAsia" w:ascii="仿宋" w:hAnsi="仿宋" w:eastAsia="仿宋" w:cs="Times New Roman"/>
          <w:sz w:val="32"/>
          <w:szCs w:val="32"/>
        </w:rPr>
        <w:t>服务时间为_____年___月    ____日至</w:t>
      </w:r>
      <w:bookmarkStart w:id="8" w:name="_Hlk195619951"/>
      <w:r>
        <w:rPr>
          <w:rFonts w:hint="eastAsia" w:ascii="仿宋" w:hAnsi="仿宋" w:eastAsia="仿宋" w:cs="Times New Roman"/>
          <w:sz w:val="32"/>
          <w:szCs w:val="32"/>
        </w:rPr>
        <w:t>______年____月____日</w:t>
      </w:r>
      <w:bookmarkEnd w:id="8"/>
      <w:r>
        <w:rPr>
          <w:rFonts w:hint="eastAsia" w:ascii="仿宋" w:hAnsi="仿宋" w:eastAsia="仿宋" w:cs="Times New Roman"/>
          <w:sz w:val="32"/>
          <w:szCs w:val="32"/>
        </w:rPr>
        <w:t>。具体进度要求如下：乙方应在______年____月____日前提交经甲方审核通过的工作实施方案；______年____月____日前提交工作报告初稿；______年____月____日前按照甲方提出的审核意见修改后，提交工作报告正式稿。</w:t>
      </w:r>
    </w:p>
    <w:p w14:paraId="7EBFA32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（三）质量要求。乙方应认真组织开展绩效</w:t>
      </w:r>
      <w:r>
        <w:rPr>
          <w:rFonts w:hint="eastAsia" w:ascii="仿宋" w:hAnsi="仿宋" w:eastAsia="仿宋" w:cs="Times New Roman"/>
          <w:sz w:val="32"/>
          <w:szCs w:val="32"/>
          <w:lang w:val="en-US" w:eastAsia="zh-CN"/>
        </w:rPr>
        <w:t>管理相关</w:t>
      </w:r>
      <w:r>
        <w:rPr>
          <w:rFonts w:hint="eastAsia" w:ascii="仿宋" w:hAnsi="仿宋" w:eastAsia="仿宋" w:cs="Times New Roman"/>
          <w:sz w:val="32"/>
          <w:szCs w:val="32"/>
        </w:rPr>
        <w:t>工作， 确保在</w:t>
      </w:r>
      <w:r>
        <w:rPr>
          <w:rFonts w:hint="eastAsia" w:ascii="仿宋" w:hAnsi="仿宋" w:eastAsia="仿宋" w:cs="Times New Roman"/>
          <w:sz w:val="32"/>
          <w:szCs w:val="32"/>
          <w:lang w:val="en-US" w:eastAsia="zh-CN"/>
        </w:rPr>
        <w:t>工作</w:t>
      </w:r>
      <w:r>
        <w:rPr>
          <w:rFonts w:hint="eastAsia" w:ascii="仿宋" w:hAnsi="仿宋" w:eastAsia="仿宋" w:cs="Times New Roman"/>
          <w:sz w:val="32"/>
          <w:szCs w:val="32"/>
        </w:rPr>
        <w:t>方案制定、指标体系设置、人员力量配备、工作程序、最终工作成果等方面符合有关规范要求。</w:t>
      </w:r>
    </w:p>
    <w:p w14:paraId="325B4D9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四）纪律要求。乙方组织的工作人员必须严格遵守廉洁纪律。不得参加可能影响独立公正开展绩效管理相关工作的宴请和活动；不得收受项目单位赠送的礼品、礼金、有价证券及其他福利品以及以任何名义给予的加班费、奖金、津贴等；不得在项目单位报销任何费用；不得索贿、受贿；不得有其他可能影响绩效管理相关工作公正性的行为。</w:t>
      </w:r>
    </w:p>
    <w:p w14:paraId="40EF890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（五）回避情形。乙方应确保与被</w:t>
      </w:r>
      <w:r>
        <w:rPr>
          <w:rFonts w:hint="eastAsia" w:ascii="仿宋" w:hAnsi="仿宋" w:eastAsia="仿宋" w:cs="Times New Roman"/>
          <w:sz w:val="32"/>
          <w:szCs w:val="32"/>
          <w:lang w:val="en-US" w:eastAsia="zh-CN"/>
        </w:rPr>
        <w:t>绩效管理工作</w:t>
      </w:r>
      <w:r>
        <w:rPr>
          <w:rFonts w:hint="eastAsia" w:ascii="仿宋" w:hAnsi="仿宋" w:eastAsia="仿宋" w:cs="Times New Roman"/>
          <w:sz w:val="32"/>
          <w:szCs w:val="32"/>
        </w:rPr>
        <w:t>对象之间不存在以下必须回避的情形：</w:t>
      </w:r>
    </w:p>
    <w:p w14:paraId="1DEE69D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1.在会计、税务、审计等事项中有直接经济利益关系或其他直接利害关系；</w:t>
      </w:r>
    </w:p>
    <w:p w14:paraId="73D362E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2.本单位相关人员与</w:t>
      </w:r>
      <w:r>
        <w:rPr>
          <w:rFonts w:hint="eastAsia" w:ascii="仿宋" w:hAnsi="仿宋" w:eastAsia="仿宋" w:cs="Times New Roman"/>
          <w:sz w:val="32"/>
          <w:szCs w:val="32"/>
          <w:lang w:val="en-US" w:eastAsia="zh-CN"/>
        </w:rPr>
        <w:t>绩效</w:t>
      </w:r>
      <w:r>
        <w:rPr>
          <w:rFonts w:hint="eastAsia" w:ascii="仿宋" w:hAnsi="仿宋" w:eastAsia="仿宋" w:cs="Times New Roman"/>
          <w:sz w:val="32"/>
          <w:szCs w:val="32"/>
        </w:rPr>
        <w:t>管理相关</w:t>
      </w:r>
      <w:r>
        <w:rPr>
          <w:rFonts w:hint="eastAsia" w:ascii="仿宋" w:hAnsi="仿宋" w:eastAsia="仿宋" w:cs="Times New Roman"/>
          <w:sz w:val="32"/>
          <w:szCs w:val="32"/>
          <w:lang w:val="en-US" w:eastAsia="zh-CN"/>
        </w:rPr>
        <w:t>工作</w:t>
      </w:r>
      <w:r>
        <w:rPr>
          <w:rFonts w:hint="eastAsia" w:ascii="仿宋" w:hAnsi="仿宋" w:eastAsia="仿宋" w:cs="Times New Roman"/>
          <w:sz w:val="32"/>
          <w:szCs w:val="32"/>
        </w:rPr>
        <w:t>对象负责人或主管人员有亲属关系；</w:t>
      </w:r>
    </w:p>
    <w:p w14:paraId="799D217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3.聘请的专家属于</w:t>
      </w:r>
      <w:r>
        <w:rPr>
          <w:rFonts w:hint="eastAsia" w:ascii="仿宋" w:hAnsi="仿宋" w:eastAsia="仿宋" w:cs="Times New Roman"/>
          <w:sz w:val="32"/>
          <w:szCs w:val="32"/>
          <w:lang w:val="en-US" w:eastAsia="zh-CN"/>
        </w:rPr>
        <w:t>绩效</w:t>
      </w:r>
      <w:r>
        <w:rPr>
          <w:rFonts w:hint="eastAsia" w:ascii="仿宋" w:hAnsi="仿宋" w:eastAsia="仿宋" w:cs="Times New Roman"/>
          <w:sz w:val="32"/>
          <w:szCs w:val="32"/>
        </w:rPr>
        <w:t>管理相关</w:t>
      </w:r>
      <w:r>
        <w:rPr>
          <w:rFonts w:hint="eastAsia" w:ascii="仿宋" w:hAnsi="仿宋" w:eastAsia="仿宋" w:cs="Times New Roman"/>
          <w:sz w:val="32"/>
          <w:szCs w:val="32"/>
          <w:lang w:val="en-US" w:eastAsia="zh-CN"/>
        </w:rPr>
        <w:t>工作</w:t>
      </w:r>
      <w:r>
        <w:rPr>
          <w:rFonts w:hint="eastAsia" w:ascii="仿宋" w:hAnsi="仿宋" w:eastAsia="仿宋" w:cs="Times New Roman"/>
          <w:sz w:val="32"/>
          <w:szCs w:val="32"/>
        </w:rPr>
        <w:t>对象的在职人员；</w:t>
      </w:r>
    </w:p>
    <w:p w14:paraId="39272E2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4.在本合同履行期间，与</w:t>
      </w:r>
      <w:r>
        <w:rPr>
          <w:rFonts w:hint="eastAsia" w:ascii="仿宋" w:hAnsi="仿宋" w:eastAsia="仿宋" w:cs="Times New Roman"/>
          <w:sz w:val="32"/>
          <w:szCs w:val="32"/>
          <w:lang w:val="en-US" w:eastAsia="zh-CN"/>
        </w:rPr>
        <w:t>绩效</w:t>
      </w:r>
      <w:r>
        <w:rPr>
          <w:rFonts w:hint="eastAsia" w:ascii="仿宋" w:hAnsi="仿宋" w:eastAsia="仿宋" w:cs="Times New Roman"/>
          <w:sz w:val="32"/>
          <w:szCs w:val="32"/>
        </w:rPr>
        <w:t>管理相关</w:t>
      </w:r>
      <w:r>
        <w:rPr>
          <w:rFonts w:hint="eastAsia" w:ascii="仿宋" w:hAnsi="仿宋" w:eastAsia="仿宋" w:cs="Times New Roman"/>
          <w:sz w:val="32"/>
          <w:szCs w:val="32"/>
          <w:lang w:val="en-US" w:eastAsia="zh-CN"/>
        </w:rPr>
        <w:t>工作</w:t>
      </w:r>
      <w:r>
        <w:rPr>
          <w:rFonts w:hint="eastAsia" w:ascii="仿宋" w:hAnsi="仿宋" w:eastAsia="仿宋" w:cs="Times New Roman"/>
          <w:sz w:val="32"/>
          <w:szCs w:val="32"/>
        </w:rPr>
        <w:t>对象已经建立或者有意向建立</w:t>
      </w:r>
      <w:r>
        <w:rPr>
          <w:rFonts w:hint="eastAsia" w:ascii="仿宋" w:hAnsi="仿宋" w:eastAsia="仿宋" w:cs="Times New Roman"/>
          <w:sz w:val="32"/>
          <w:szCs w:val="32"/>
          <w:lang w:val="en-US" w:eastAsia="zh-CN"/>
        </w:rPr>
        <w:t>绩效</w:t>
      </w:r>
      <w:r>
        <w:rPr>
          <w:rFonts w:hint="eastAsia" w:ascii="仿宋" w:hAnsi="仿宋" w:eastAsia="仿宋" w:cs="Times New Roman"/>
          <w:sz w:val="32"/>
          <w:szCs w:val="32"/>
        </w:rPr>
        <w:t>管理</w:t>
      </w:r>
      <w:r>
        <w:rPr>
          <w:rFonts w:hint="eastAsia" w:ascii="仿宋" w:hAnsi="仿宋" w:eastAsia="仿宋" w:cs="Times New Roman"/>
          <w:sz w:val="32"/>
          <w:szCs w:val="32"/>
          <w:lang w:val="en-US" w:eastAsia="zh-CN"/>
        </w:rPr>
        <w:t>工作</w:t>
      </w:r>
      <w:r>
        <w:rPr>
          <w:rFonts w:hint="eastAsia" w:ascii="仿宋" w:hAnsi="仿宋" w:eastAsia="仿宋" w:cs="Times New Roman"/>
          <w:sz w:val="32"/>
          <w:szCs w:val="32"/>
        </w:rPr>
        <w:t>相关服务合作关系；</w:t>
      </w:r>
    </w:p>
    <w:p w14:paraId="63B7AC9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5.其他可能影响公正性的情形。</w:t>
      </w:r>
    </w:p>
    <w:p w14:paraId="51D82DB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六）保密要求。乙方应对本协议有关的信息资料（包括口头及书面）采取保密措施，未经甲方的书面同意，不得将本委托事项所涉及的资料向第三方透露，也不得将协议的具体条款进行新闻发布、公开宣称、否认或承认。在本协议委托事项工作结束并通过验收后，乙方应向甲方移交所有需要移交的资料或文件等，并承诺不保留这些资料或文件的任何电子文档和复印件。</w:t>
      </w:r>
    </w:p>
    <w:p w14:paraId="1202337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（七）成果归属。乙方完成的工作成果知识产权归甲方所有，乙方未经甲方允许，不得将相关工作成果对外提供或公开发表。</w:t>
      </w:r>
    </w:p>
    <w:p w14:paraId="23E9557C">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Times New Roman"/>
          <w:b/>
          <w:bCs/>
          <w:sz w:val="32"/>
          <w:szCs w:val="32"/>
        </w:rPr>
      </w:pPr>
      <w:r>
        <w:rPr>
          <w:rFonts w:hint="eastAsia" w:ascii="仿宋" w:hAnsi="仿宋" w:eastAsia="仿宋" w:cs="Times New Roman"/>
          <w:b/>
          <w:bCs/>
          <w:sz w:val="32"/>
          <w:szCs w:val="32"/>
        </w:rPr>
        <w:t>四、合同双方的权利和义务</w:t>
      </w:r>
    </w:p>
    <w:p w14:paraId="0982B1B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（一）甲方的权利义务如下：</w:t>
      </w:r>
    </w:p>
    <w:p w14:paraId="2A652ED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 xml:space="preserve">1. 明确委托事项具体内容、工作要求和工作规范； </w:t>
      </w:r>
    </w:p>
    <w:p w14:paraId="040F446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2.对乙方推荐的项目负责人（主评人）人选进行审核；</w:t>
      </w:r>
    </w:p>
    <w:p w14:paraId="2674781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3. 必要时对乙方进行培训和业务指导；</w:t>
      </w:r>
    </w:p>
    <w:p w14:paraId="5A79430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4.协调相关部门及时提供必要资料、数据信息等，保证 委托工作正常开展；</w:t>
      </w:r>
    </w:p>
    <w:p w14:paraId="5BDEBAD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5.对乙方工作开展情况进行跟踪记录和监督；</w:t>
      </w:r>
    </w:p>
    <w:p w14:paraId="54C4332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6. 明确验收要求，对乙方提交的工作成果及相关资料进行验收；</w:t>
      </w:r>
    </w:p>
    <w:p w14:paraId="5E62D8C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7.对乙方合同履行情况开展质量控制；</w:t>
      </w:r>
    </w:p>
    <w:p w14:paraId="5DA48B7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8.按照合同约定向乙方支付绩效</w:t>
      </w:r>
      <w:r>
        <w:rPr>
          <w:rFonts w:hint="eastAsia" w:ascii="仿宋" w:hAnsi="仿宋" w:eastAsia="仿宋" w:cs="Times New Roman"/>
          <w:sz w:val="32"/>
          <w:szCs w:val="32"/>
          <w:lang w:val="en-US" w:eastAsia="zh-CN"/>
        </w:rPr>
        <w:t>管理服务</w:t>
      </w:r>
      <w:r>
        <w:rPr>
          <w:rFonts w:hint="eastAsia" w:ascii="仿宋" w:hAnsi="仿宋" w:eastAsia="仿宋" w:cs="Times New Roman"/>
          <w:sz w:val="32"/>
          <w:szCs w:val="32"/>
        </w:rPr>
        <w:t xml:space="preserve">费用； </w:t>
      </w:r>
    </w:p>
    <w:p w14:paraId="0BAB3B0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9.其他合同未尽列的权利义务。</w:t>
      </w:r>
    </w:p>
    <w:p w14:paraId="15B8EE4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（二）乙方的权利义务如下：</w:t>
      </w:r>
    </w:p>
    <w:p w14:paraId="2E4B50C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1.按照有关规定和甲方要求开展绩效管理服务工作，并积极配合甲方的指导、跟踪和监督等工作；</w:t>
      </w:r>
    </w:p>
    <w:p w14:paraId="5B1466C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2.配备与委托事项工作要求相适应、结构合理、相对稳定的工作组，项目负责人（主评人）须事先征得甲方同意；</w:t>
      </w:r>
    </w:p>
    <w:p w14:paraId="348EC37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3.参加甲方组织的相关业务培训；</w:t>
      </w:r>
    </w:p>
    <w:p w14:paraId="2092EA4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4.在合同约定的时间内完成相关工作，提交符合要求的工作成果及相关资料；</w:t>
      </w:r>
    </w:p>
    <w:p w14:paraId="65BBD0C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5.对绩效</w:t>
      </w:r>
      <w:r>
        <w:rPr>
          <w:rFonts w:hint="eastAsia" w:ascii="仿宋" w:hAnsi="仿宋" w:eastAsia="仿宋" w:cs="Times New Roman"/>
          <w:sz w:val="32"/>
          <w:szCs w:val="32"/>
          <w:lang w:val="en-US" w:eastAsia="zh-CN"/>
        </w:rPr>
        <w:t>管理服务</w:t>
      </w:r>
      <w:r>
        <w:rPr>
          <w:rFonts w:hint="eastAsia" w:ascii="仿宋" w:hAnsi="仿宋" w:eastAsia="仿宋" w:cs="Times New Roman"/>
          <w:sz w:val="32"/>
          <w:szCs w:val="32"/>
        </w:rPr>
        <w:t>工作成果和相关资料的客观性、真实性、 完整性、准确性负责；</w:t>
      </w:r>
    </w:p>
    <w:p w14:paraId="03CDA77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6.按照甲方要求做好绩效管理服务信息资料档案管理工作以及保密工作；</w:t>
      </w:r>
    </w:p>
    <w:p w14:paraId="1B47F55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7.按照合同约定收取绩效管理服务费用；</w:t>
      </w:r>
    </w:p>
    <w:p w14:paraId="0924A30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Times New Roman"/>
          <w:sz w:val="32"/>
          <w:szCs w:val="32"/>
        </w:rPr>
      </w:pPr>
      <w:r>
        <w:rPr>
          <w:rFonts w:hint="eastAsia" w:ascii="仿宋" w:hAnsi="仿宋" w:eastAsia="仿宋" w:cs="Times New Roman"/>
          <w:sz w:val="32"/>
          <w:szCs w:val="32"/>
        </w:rPr>
        <w:t xml:space="preserve">    8.其他合同未尽列的权利义务。</w:t>
      </w:r>
    </w:p>
    <w:p w14:paraId="79F96763">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Times New Roman"/>
          <w:b/>
          <w:bCs/>
          <w:sz w:val="32"/>
          <w:szCs w:val="32"/>
        </w:rPr>
      </w:pPr>
      <w:r>
        <w:rPr>
          <w:rFonts w:hint="eastAsia" w:ascii="仿宋" w:hAnsi="仿宋" w:eastAsia="仿宋" w:cs="Times New Roman"/>
          <w:b/>
          <w:bCs/>
          <w:sz w:val="32"/>
          <w:szCs w:val="32"/>
        </w:rPr>
        <w:t>五、服务质量的考核</w:t>
      </w:r>
    </w:p>
    <w:p w14:paraId="79E7C23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Times New Roman"/>
          <w:sz w:val="32"/>
          <w:szCs w:val="32"/>
          <w:lang w:val="en-US" w:eastAsia="zh-CN"/>
        </w:rPr>
      </w:pP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一</w:t>
      </w:r>
      <w:r>
        <w:rPr>
          <w:rFonts w:hint="eastAsia" w:ascii="仿宋" w:hAnsi="仿宋" w:eastAsia="仿宋" w:cs="Times New Roman"/>
          <w:sz w:val="32"/>
          <w:szCs w:val="32"/>
          <w:lang w:eastAsia="zh-CN"/>
        </w:rPr>
        <w:t>）</w:t>
      </w:r>
      <w:r>
        <w:rPr>
          <w:rFonts w:hint="eastAsia" w:ascii="仿宋" w:hAnsi="仿宋" w:eastAsia="仿宋" w:cs="Times New Roman"/>
          <w:sz w:val="32"/>
          <w:szCs w:val="32"/>
        </w:rPr>
        <w:t>单个项目完成后，</w:t>
      </w:r>
      <w:r>
        <w:rPr>
          <w:rFonts w:hint="eastAsia" w:ascii="仿宋" w:hAnsi="仿宋" w:eastAsia="仿宋" w:cs="Times New Roman"/>
          <w:sz w:val="32"/>
          <w:szCs w:val="32"/>
          <w:lang w:val="en-US" w:eastAsia="zh-CN"/>
        </w:rPr>
        <w:t>甲方</w:t>
      </w:r>
      <w:r>
        <w:rPr>
          <w:rFonts w:hint="eastAsia" w:ascii="仿宋" w:hAnsi="仿宋" w:eastAsia="仿宋" w:cs="Times New Roman"/>
          <w:sz w:val="32"/>
          <w:szCs w:val="32"/>
        </w:rPr>
        <w:t>根据《南阳市市级部门委托第三方机构参与预算绩效管理工作办法》对中介机构工作情况和业务质量进行</w:t>
      </w:r>
      <w:r>
        <w:rPr>
          <w:rFonts w:hint="eastAsia" w:ascii="仿宋" w:hAnsi="仿宋" w:eastAsia="仿宋" w:cs="Times New Roman"/>
          <w:sz w:val="32"/>
          <w:szCs w:val="32"/>
          <w:lang w:val="en-US" w:eastAsia="zh-CN"/>
        </w:rPr>
        <w:t>综合考评</w:t>
      </w:r>
      <w:r>
        <w:rPr>
          <w:rFonts w:hint="eastAsia" w:ascii="仿宋" w:hAnsi="仿宋" w:eastAsia="仿宋" w:cs="Times New Roman"/>
          <w:sz w:val="32"/>
          <w:szCs w:val="32"/>
        </w:rPr>
        <w:t>。考评结果分为“优”（得分≥90分）、“良”(90分&gt;得分≥80分)、“中”(80分&gt;得分≥60分)和“差”（得分＜60 分）四个等级</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考评结果要与付费比例挂钩。</w:t>
      </w:r>
    </w:p>
    <w:p w14:paraId="64FE672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二</w:t>
      </w:r>
      <w:r>
        <w:rPr>
          <w:rFonts w:hint="eastAsia" w:ascii="仿宋" w:hAnsi="仿宋" w:eastAsia="仿宋" w:cs="Times New Roman"/>
          <w:sz w:val="32"/>
          <w:szCs w:val="32"/>
          <w:lang w:eastAsia="zh-CN"/>
        </w:rPr>
        <w:t>）</w:t>
      </w:r>
      <w:r>
        <w:rPr>
          <w:rFonts w:hint="eastAsia" w:ascii="仿宋" w:hAnsi="仿宋" w:eastAsia="仿宋" w:cs="Times New Roman"/>
          <w:sz w:val="32"/>
          <w:szCs w:val="32"/>
        </w:rPr>
        <w:t>考核结果为“中“、”差”等级的</w:t>
      </w:r>
      <w:r>
        <w:rPr>
          <w:rFonts w:hint="eastAsia" w:ascii="仿宋" w:hAnsi="仿宋" w:eastAsia="仿宋" w:cs="Times New Roman"/>
          <w:sz w:val="32"/>
          <w:szCs w:val="32"/>
          <w:lang w:val="en-US" w:eastAsia="zh-CN"/>
        </w:rPr>
        <w:t>第三方机构</w:t>
      </w:r>
      <w:r>
        <w:rPr>
          <w:rFonts w:hint="eastAsia" w:ascii="仿宋" w:hAnsi="仿宋" w:eastAsia="仿宋" w:cs="Times New Roman"/>
          <w:sz w:val="32"/>
          <w:szCs w:val="32"/>
        </w:rPr>
        <w:t>不再参与下一轮抽签，并取消框架协议后续服务期服务资格，同时将其执业质量情况通报其所在的行业协会及监管部门。</w:t>
      </w:r>
    </w:p>
    <w:p w14:paraId="767BEEA5">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Times New Roman"/>
          <w:b/>
          <w:bCs/>
          <w:sz w:val="32"/>
          <w:szCs w:val="32"/>
          <w:lang w:val="en-US" w:eastAsia="zh-CN"/>
        </w:rPr>
      </w:pPr>
      <w:r>
        <w:rPr>
          <w:rFonts w:hint="eastAsia" w:ascii="仿宋" w:hAnsi="仿宋" w:eastAsia="仿宋" w:cs="Times New Roman"/>
          <w:b/>
          <w:bCs/>
          <w:sz w:val="32"/>
          <w:szCs w:val="32"/>
        </w:rPr>
        <w:t>六、合同价款及支付</w:t>
      </w:r>
      <w:r>
        <w:rPr>
          <w:rFonts w:hint="eastAsia" w:ascii="仿宋" w:hAnsi="仿宋" w:eastAsia="仿宋" w:cs="Times New Roman"/>
          <w:b/>
          <w:bCs/>
          <w:sz w:val="32"/>
          <w:szCs w:val="32"/>
          <w:lang w:val="en-US" w:eastAsia="zh-CN"/>
        </w:rPr>
        <w:t>条件</w:t>
      </w:r>
    </w:p>
    <w:p w14:paraId="1831CEB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（一）合同价款：双方约定绩效</w:t>
      </w:r>
      <w:r>
        <w:rPr>
          <w:rFonts w:hint="eastAsia" w:ascii="仿宋" w:hAnsi="仿宋" w:eastAsia="仿宋" w:cs="Times New Roman"/>
          <w:sz w:val="32"/>
          <w:szCs w:val="32"/>
          <w:lang w:val="en-US" w:eastAsia="zh-CN"/>
        </w:rPr>
        <w:t>管理服务</w:t>
      </w:r>
      <w:r>
        <w:rPr>
          <w:rFonts w:hint="eastAsia" w:ascii="仿宋" w:hAnsi="仿宋" w:eastAsia="仿宋" w:cs="Times New Roman"/>
          <w:sz w:val="32"/>
          <w:szCs w:val="32"/>
        </w:rPr>
        <w:t>费用为人民币________元，即_______________________（大写）（其中双方可约定合同价款的一定比例作为评价质量挂钩费用）。</w:t>
      </w:r>
    </w:p>
    <w:p w14:paraId="1903001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甲方付款前，乙方需向甲方提供合法等额税务票据，否则甲方有权顺延付款期限。</w:t>
      </w:r>
    </w:p>
    <w:p w14:paraId="407AEB0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（二）支付</w:t>
      </w:r>
      <w:r>
        <w:rPr>
          <w:rFonts w:hint="eastAsia" w:ascii="仿宋" w:hAnsi="仿宋" w:eastAsia="仿宋" w:cs="Times New Roman"/>
          <w:sz w:val="32"/>
          <w:szCs w:val="32"/>
          <w:lang w:val="en-US" w:eastAsia="zh-CN"/>
        </w:rPr>
        <w:t>条件</w:t>
      </w:r>
      <w:r>
        <w:rPr>
          <w:rFonts w:hint="eastAsia" w:ascii="仿宋" w:hAnsi="仿宋" w:eastAsia="仿宋" w:cs="Times New Roman"/>
          <w:sz w:val="32"/>
          <w:szCs w:val="32"/>
        </w:rPr>
        <w:t>：服务项目完成后，委托方根据</w:t>
      </w:r>
      <w:r>
        <w:rPr>
          <w:rFonts w:hint="eastAsia" w:ascii="仿宋" w:hAnsi="仿宋" w:eastAsia="仿宋" w:cs="Times New Roman"/>
          <w:sz w:val="32"/>
          <w:szCs w:val="32"/>
          <w:lang w:val="en-US" w:eastAsia="zh-CN"/>
        </w:rPr>
        <w:t>上述综合</w:t>
      </w:r>
      <w:r>
        <w:rPr>
          <w:rFonts w:hint="eastAsia" w:ascii="仿宋" w:hAnsi="仿宋" w:eastAsia="仿宋" w:cs="Times New Roman"/>
          <w:sz w:val="32"/>
          <w:szCs w:val="32"/>
        </w:rPr>
        <w:t>考评结果调整实际支付费用，并一次性付清。考评结果为优（得分≥90分）的，支付合同额的100%；考评结果为良(90分&gt;得分≥80分)的，支付合同额的85%；考评结果为中(80分&gt;得分≥60分)的，支付合同额的70%；考评结果为差（得分＜60 分）的，支付合同额的50%。</w:t>
      </w:r>
    </w:p>
    <w:p w14:paraId="1851A31B">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Times New Roman"/>
          <w:b/>
          <w:bCs/>
          <w:sz w:val="32"/>
          <w:szCs w:val="32"/>
        </w:rPr>
      </w:pPr>
      <w:r>
        <w:rPr>
          <w:rFonts w:hint="eastAsia" w:ascii="仿宋" w:hAnsi="仿宋" w:eastAsia="仿宋" w:cs="Times New Roman"/>
          <w:b/>
          <w:bCs/>
          <w:sz w:val="32"/>
          <w:szCs w:val="32"/>
        </w:rPr>
        <w:t>七、合同变更</w:t>
      </w:r>
    </w:p>
    <w:p w14:paraId="3E9F8CB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合同履行过程中，因客观情况发生变化，确需变更合同实质性条款的，包括合同履行主体、委托事项、履行期限、合同价款等，经双方协商一致，通过书面形式变更合同。如果由于甲方工作计划调整、任务变化等原因造成项目成本增加或者减少并进而需对合同价款予以调整的，双方应签订补充协议。</w:t>
      </w:r>
    </w:p>
    <w:p w14:paraId="6671BF11">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Times New Roman"/>
          <w:b/>
          <w:bCs/>
          <w:sz w:val="32"/>
          <w:szCs w:val="32"/>
        </w:rPr>
      </w:pPr>
      <w:r>
        <w:rPr>
          <w:rFonts w:hint="eastAsia" w:ascii="仿宋" w:hAnsi="仿宋" w:eastAsia="仿宋" w:cs="Times New Roman"/>
          <w:b/>
          <w:bCs/>
          <w:sz w:val="32"/>
          <w:szCs w:val="32"/>
        </w:rPr>
        <w:t>八、合同解除</w:t>
      </w:r>
    </w:p>
    <w:p w14:paraId="173B56F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出现下列情形之一，可能影响合同正常履行的，经双方协商后，可以签署合同书面解除协议：</w:t>
      </w:r>
    </w:p>
    <w:p w14:paraId="0432225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（一）委托合同确定的评价任务取消；</w:t>
      </w:r>
    </w:p>
    <w:p w14:paraId="7F7A4E8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（二）乙方人员配备发生变化导致丧失履约能力；</w:t>
      </w:r>
    </w:p>
    <w:p w14:paraId="07B6D25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（三）合同一方出现重大违约或预期违约；</w:t>
      </w:r>
    </w:p>
    <w:p w14:paraId="52B975A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（四）不可抗力等其他导致合同无法正常履行的情形；</w:t>
      </w:r>
    </w:p>
    <w:p w14:paraId="71ED109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（五）合同约定的其他情况。</w:t>
      </w:r>
    </w:p>
    <w:p w14:paraId="64A6B387">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Times New Roman"/>
          <w:b/>
          <w:bCs/>
          <w:sz w:val="32"/>
          <w:szCs w:val="32"/>
        </w:rPr>
      </w:pPr>
      <w:r>
        <w:rPr>
          <w:rFonts w:hint="eastAsia" w:ascii="仿宋" w:hAnsi="仿宋" w:eastAsia="仿宋" w:cs="Times New Roman"/>
          <w:b/>
          <w:bCs/>
          <w:sz w:val="32"/>
          <w:szCs w:val="32"/>
        </w:rPr>
        <w:t>九、档案管理</w:t>
      </w:r>
    </w:p>
    <w:p w14:paraId="10F61DB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绩效</w:t>
      </w:r>
      <w:r>
        <w:rPr>
          <w:rFonts w:hint="eastAsia" w:ascii="仿宋" w:hAnsi="仿宋" w:eastAsia="仿宋" w:cs="Times New Roman"/>
          <w:sz w:val="32"/>
          <w:szCs w:val="32"/>
          <w:lang w:val="en-US" w:eastAsia="zh-CN"/>
        </w:rPr>
        <w:t>管理服务工作</w:t>
      </w:r>
      <w:r>
        <w:rPr>
          <w:rFonts w:hint="eastAsia" w:ascii="仿宋" w:hAnsi="仿宋" w:eastAsia="仿宋" w:cs="Times New Roman"/>
          <w:sz w:val="32"/>
          <w:szCs w:val="32"/>
        </w:rPr>
        <w:t>相关档案由乙方管理（另有约定的除外），不得擅自对外提供。归档资料主要包括立项性材料、证明性材料和结论性材料等。档案至少应保存___年（甲乙双方根据需要协商约定），在保存期内甲方有权进行查阅、复制和检查。乙方因合并、撤销、解散、破产或者其他原因而终止的，预算绩效评价档案由存续方继续管理或移交甲方管理。</w:t>
      </w:r>
    </w:p>
    <w:p w14:paraId="2C81271F">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Times New Roman"/>
          <w:b/>
          <w:bCs/>
          <w:sz w:val="32"/>
          <w:szCs w:val="32"/>
        </w:rPr>
      </w:pPr>
      <w:r>
        <w:rPr>
          <w:rFonts w:hint="eastAsia" w:ascii="仿宋" w:hAnsi="仿宋" w:eastAsia="仿宋" w:cs="Times New Roman"/>
          <w:b/>
          <w:bCs/>
          <w:sz w:val="32"/>
          <w:szCs w:val="32"/>
        </w:rPr>
        <w:t>十、违约责任</w:t>
      </w:r>
    </w:p>
    <w:p w14:paraId="78FB505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一）甲乙任何一方因不可抗力而无法履行本合同约定义务的，应在该事由发生后_____日内书面通知对方，并及时向对方提供遭遇不可抗力的证明文件。因此导致合同履行延期的，履行期限顺延；因此产生的经济损失由双方协商处理；因此导致合同无法继续履行的，双方共同协商处理合同终止事宜。</w:t>
      </w:r>
    </w:p>
    <w:p w14:paraId="4D57624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（二）甲乙任何一方因自身原因违反合同约定的，应向另一方赔偿由此造成的直接经济损失以及另一方因此产生的必要费用。</w:t>
      </w:r>
    </w:p>
    <w:p w14:paraId="797D215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（三）甲乙任何一方因违反合同条款而导致合同无法履行的，另一方可以解除合同，并要求对方承担违约责任。</w:t>
      </w:r>
    </w:p>
    <w:p w14:paraId="2446D64C">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Times New Roman"/>
          <w:b/>
          <w:bCs/>
          <w:sz w:val="32"/>
          <w:szCs w:val="32"/>
        </w:rPr>
      </w:pPr>
      <w:r>
        <w:rPr>
          <w:rFonts w:hint="eastAsia" w:ascii="仿宋" w:hAnsi="仿宋" w:eastAsia="仿宋" w:cs="Times New Roman"/>
          <w:b/>
          <w:bCs/>
          <w:sz w:val="32"/>
          <w:szCs w:val="32"/>
        </w:rPr>
        <w:t>十一、争议解决办法</w:t>
      </w:r>
    </w:p>
    <w:p w14:paraId="6983FDA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甲乙双方在履约中发生纠纷，双方应本着友善的态度协商解决。协商解决不成的，双方均有权向甲方所在地有管辖权的法院提起诉讼。</w:t>
      </w:r>
    </w:p>
    <w:p w14:paraId="4DDD43D1">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Times New Roman"/>
          <w:b/>
          <w:bCs/>
          <w:sz w:val="32"/>
          <w:szCs w:val="32"/>
        </w:rPr>
      </w:pPr>
      <w:r>
        <w:rPr>
          <w:rFonts w:hint="eastAsia" w:ascii="仿宋" w:hAnsi="仿宋" w:eastAsia="仿宋" w:cs="Times New Roman"/>
          <w:b/>
          <w:bCs/>
          <w:sz w:val="32"/>
          <w:szCs w:val="32"/>
        </w:rPr>
        <w:t>十二、其他</w:t>
      </w:r>
    </w:p>
    <w:p w14:paraId="5EF918F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本合同一式_____份，由甲方、乙方各执_____份。本合同自双方法定代表人或授权代表签字盖章之日起生效，合同规定事项完成后双方委托关系终止。</w:t>
      </w:r>
    </w:p>
    <w:p w14:paraId="50932B8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如有未尽事项，由双方协商后订立补充合同。补充合同为本合同不可分割之组成部分，与本合同具有同等法律效力。</w:t>
      </w:r>
    </w:p>
    <w:p w14:paraId="0DCD5E66">
      <w:pPr>
        <w:ind w:firstLine="640" w:firstLineChars="200"/>
        <w:rPr>
          <w:rFonts w:hint="eastAsia" w:ascii="仿宋" w:hAnsi="仿宋" w:eastAsia="仿宋" w:cs="Times New Roman"/>
          <w:sz w:val="32"/>
          <w:szCs w:val="32"/>
        </w:rPr>
      </w:pPr>
    </w:p>
    <w:p w14:paraId="615D2B24">
      <w:pPr>
        <w:ind w:firstLine="640" w:firstLineChars="200"/>
        <w:rPr>
          <w:rFonts w:hint="eastAsia" w:ascii="仿宋" w:hAnsi="仿宋" w:eastAsia="仿宋" w:cs="Times New Roman"/>
          <w:sz w:val="32"/>
          <w:szCs w:val="32"/>
        </w:rPr>
      </w:pPr>
    </w:p>
    <w:p w14:paraId="124B74E5">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甲方</w:t>
      </w:r>
      <w:r>
        <w:rPr>
          <w:rFonts w:hint="eastAsia" w:ascii="仿宋" w:hAnsi="仿宋" w:eastAsia="仿宋" w:cs="Times New Roman"/>
          <w:sz w:val="32"/>
          <w:szCs w:val="32"/>
          <w:lang w:eastAsia="zh-CN"/>
        </w:rPr>
        <w:t>：</w:t>
      </w:r>
      <w:r>
        <w:rPr>
          <w:rFonts w:hint="eastAsia" w:ascii="仿宋" w:hAnsi="仿宋" w:eastAsia="仿宋" w:cs="Times New Roman"/>
          <w:sz w:val="32"/>
          <w:szCs w:val="32"/>
        </w:rPr>
        <w:t>（公章）                 乙方</w:t>
      </w:r>
      <w:r>
        <w:rPr>
          <w:rFonts w:hint="eastAsia" w:ascii="仿宋" w:hAnsi="仿宋" w:eastAsia="仿宋" w:cs="Times New Roman"/>
          <w:sz w:val="32"/>
          <w:szCs w:val="32"/>
          <w:lang w:eastAsia="zh-CN"/>
        </w:rPr>
        <w:t>：</w:t>
      </w:r>
      <w:r>
        <w:rPr>
          <w:rFonts w:hint="eastAsia" w:ascii="仿宋" w:hAnsi="仿宋" w:eastAsia="仿宋" w:cs="Times New Roman"/>
          <w:sz w:val="32"/>
          <w:szCs w:val="32"/>
        </w:rPr>
        <w:t>（公章）</w:t>
      </w:r>
    </w:p>
    <w:p w14:paraId="5E79FFE0">
      <w:pPr>
        <w:rPr>
          <w:rFonts w:hint="eastAsia" w:ascii="仿宋" w:hAnsi="仿宋" w:eastAsia="仿宋" w:cs="Times New Roman"/>
          <w:sz w:val="32"/>
          <w:szCs w:val="32"/>
        </w:rPr>
      </w:pPr>
      <w:r>
        <w:rPr>
          <w:rFonts w:hint="eastAsia" w:ascii="仿宋" w:hAnsi="仿宋" w:eastAsia="仿宋" w:cs="Times New Roman"/>
          <w:sz w:val="32"/>
          <w:szCs w:val="32"/>
        </w:rPr>
        <w:t xml:space="preserve">                                                                                                                                                                                               </w:t>
      </w:r>
    </w:p>
    <w:p w14:paraId="019ADF4C">
      <w:pPr>
        <w:rPr>
          <w:rFonts w:hint="eastAsia" w:ascii="仿宋" w:hAnsi="仿宋" w:eastAsia="仿宋" w:cs="Times New Roman"/>
          <w:sz w:val="32"/>
          <w:szCs w:val="32"/>
          <w:lang w:eastAsia="zh-CN"/>
        </w:rPr>
      </w:pPr>
      <w:r>
        <w:rPr>
          <w:rFonts w:hint="eastAsia" w:ascii="仿宋" w:hAnsi="仿宋" w:eastAsia="仿宋" w:cs="Times New Roman"/>
          <w:sz w:val="32"/>
          <w:szCs w:val="32"/>
        </w:rPr>
        <w:t>法人代表或授权代表</w:t>
      </w:r>
      <w:r>
        <w:rPr>
          <w:rFonts w:hint="eastAsia" w:ascii="仿宋" w:hAnsi="仿宋" w:eastAsia="仿宋" w:cs="Times New Roman"/>
          <w:sz w:val="32"/>
          <w:szCs w:val="32"/>
          <w:lang w:eastAsia="zh-CN"/>
        </w:rPr>
        <w:t>：</w:t>
      </w:r>
      <w:r>
        <w:rPr>
          <w:rFonts w:hint="eastAsia" w:ascii="仿宋" w:hAnsi="仿宋" w:eastAsia="仿宋" w:cs="Times New Roman"/>
          <w:sz w:val="32"/>
          <w:szCs w:val="32"/>
        </w:rPr>
        <w:t xml:space="preserve">          法人代表或授权代表</w:t>
      </w:r>
      <w:r>
        <w:rPr>
          <w:rFonts w:hint="eastAsia" w:ascii="仿宋" w:hAnsi="仿宋" w:eastAsia="仿宋" w:cs="Times New Roman"/>
          <w:sz w:val="32"/>
          <w:szCs w:val="32"/>
          <w:lang w:eastAsia="zh-CN"/>
        </w:rPr>
        <w:t>：</w:t>
      </w:r>
    </w:p>
    <w:p w14:paraId="1A14193B">
      <w:pPr>
        <w:ind w:firstLine="960" w:firstLineChars="300"/>
        <w:rPr>
          <w:rFonts w:hint="eastAsia" w:ascii="仿宋" w:hAnsi="仿宋" w:eastAsia="仿宋" w:cs="Times New Roman"/>
          <w:sz w:val="32"/>
          <w:szCs w:val="32"/>
        </w:rPr>
      </w:pPr>
      <w:r>
        <w:rPr>
          <w:rFonts w:hint="eastAsia" w:ascii="仿宋" w:hAnsi="仿宋" w:eastAsia="仿宋" w:cs="Times New Roman"/>
          <w:sz w:val="32"/>
          <w:szCs w:val="32"/>
        </w:rPr>
        <w:t xml:space="preserve">（签章）                     </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（签章）</w:t>
      </w:r>
    </w:p>
    <w:p w14:paraId="39903A2E">
      <w:pPr>
        <w:ind w:firstLine="640" w:firstLineChars="200"/>
        <w:rPr>
          <w:rFonts w:ascii="仿宋" w:hAnsi="仿宋" w:eastAsia="仿宋" w:cs="Times New Roman"/>
          <w:sz w:val="32"/>
          <w:szCs w:val="32"/>
        </w:rPr>
      </w:pPr>
    </w:p>
    <w:p w14:paraId="051D15CE">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年   月   日                   年   月   日</w:t>
      </w:r>
    </w:p>
    <w:p w14:paraId="7DEB34D3">
      <w:pPr>
        <w:numPr>
          <w:ilvl w:val="0"/>
          <w:numId w:val="0"/>
        </w:numPr>
        <w:rPr>
          <w:rFonts w:hint="default" w:ascii="宋体" w:hAnsi="宋体" w:eastAsia="宋体" w:cs="宋体"/>
          <w:sz w:val="24"/>
          <w:szCs w:val="24"/>
          <w:lang w:val="en-US" w:eastAsia="zh-CN"/>
        </w:rPr>
      </w:pPr>
    </w:p>
    <w:p w14:paraId="7B1B3B94">
      <w:pPr>
        <w:pStyle w:val="5"/>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95918C4">
      <w:pPr>
        <w:pStyle w:val="5"/>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DE5F6B2">
      <w:pPr>
        <w:pStyle w:val="5"/>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A2CD1FD">
      <w:pPr>
        <w:pStyle w:val="5"/>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D27A115">
      <w:pPr>
        <w:pStyle w:val="5"/>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65767A37">
      <w:pPr>
        <w:pStyle w:val="5"/>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5B263AF">
      <w:pPr>
        <w:pStyle w:val="5"/>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0790AF6">
      <w:pPr>
        <w:pStyle w:val="5"/>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7D8FF15">
      <w:pPr>
        <w:pStyle w:val="5"/>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38B08F3">
      <w:pPr>
        <w:pStyle w:val="5"/>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6C93B160">
      <w:pPr>
        <w:pStyle w:val="5"/>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4FF05CE">
      <w:pPr>
        <w:pStyle w:val="5"/>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FCEAD18">
      <w:pPr>
        <w:pStyle w:val="5"/>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293D7D5">
      <w:pPr>
        <w:pStyle w:val="5"/>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六</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响应文件</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格式</w:t>
      </w:r>
    </w:p>
    <w:p w14:paraId="70C8F98E">
      <w:pPr>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sz w:val="21"/>
        </w:rPr>
      </w:pPr>
    </w:p>
    <w:p w14:paraId="78E5E366">
      <w:pPr>
        <w:pStyle w:val="5"/>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14:textOutline w14:w="1537" w14:cap="flat" w14:cmpd="sng">
            <w14:solidFill>
              <w14:srgbClr w14:val="000000"/>
            </w14:solidFill>
            <w14:prstDash w14:val="solid"/>
            <w14:miter w14:val="0"/>
          </w14:textOutline>
        </w:rPr>
        <w:t>供应商</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编制文件须知</w:t>
      </w:r>
    </w:p>
    <w:p w14:paraId="34A33429">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w:t>
      </w:r>
      <w:r>
        <w:rPr>
          <w:rFonts w:hint="eastAsia" w:asciiTheme="minorEastAsia" w:hAnsiTheme="minorEastAsia" w:eastAsiaTheme="minorEastAsia" w:cstheme="minorEastAsia"/>
          <w:spacing w:val="-3"/>
          <w:sz w:val="24"/>
          <w:szCs w:val="24"/>
          <w:lang w:eastAsia="zh-CN"/>
        </w:rPr>
        <w:t>供应商</w:t>
      </w:r>
      <w:r>
        <w:rPr>
          <w:rFonts w:hint="eastAsia" w:asciiTheme="minorEastAsia" w:hAnsiTheme="minorEastAsia" w:eastAsiaTheme="minorEastAsia" w:cstheme="minorEastAsia"/>
          <w:spacing w:val="-3"/>
          <w:sz w:val="24"/>
          <w:szCs w:val="24"/>
        </w:rPr>
        <w:t>按照本部分的顺序编制</w:t>
      </w:r>
      <w:r>
        <w:rPr>
          <w:rFonts w:hint="eastAsia" w:asciiTheme="minorEastAsia" w:hAnsiTheme="minorEastAsia" w:eastAsiaTheme="minorEastAsia" w:cstheme="minorEastAsia"/>
          <w:spacing w:val="-3"/>
          <w:sz w:val="24"/>
          <w:szCs w:val="24"/>
          <w:lang w:eastAsia="zh-CN"/>
        </w:rPr>
        <w:t>响应文件</w:t>
      </w:r>
      <w:r>
        <w:rPr>
          <w:rFonts w:hint="eastAsia" w:asciiTheme="minorEastAsia" w:hAnsiTheme="minorEastAsia" w:eastAsiaTheme="minorEastAsia" w:cstheme="minorEastAsia"/>
          <w:spacing w:val="-3"/>
          <w:sz w:val="24"/>
          <w:szCs w:val="24"/>
        </w:rPr>
        <w:t>（资格证明文件）、</w:t>
      </w:r>
      <w:r>
        <w:rPr>
          <w:rFonts w:hint="eastAsia" w:asciiTheme="minorEastAsia" w:hAnsiTheme="minorEastAsia" w:eastAsiaTheme="minorEastAsia" w:cstheme="minorEastAsia"/>
          <w:spacing w:val="-3"/>
          <w:sz w:val="24"/>
          <w:szCs w:val="24"/>
          <w:lang w:eastAsia="zh-CN"/>
        </w:rPr>
        <w:t>响应文件</w:t>
      </w:r>
      <w:r>
        <w:rPr>
          <w:rFonts w:hint="eastAsia" w:asciiTheme="minorEastAsia" w:hAnsiTheme="minorEastAsia" w:eastAsiaTheme="minorEastAsia" w:cstheme="minorEastAsia"/>
          <w:spacing w:val="-4"/>
          <w:sz w:val="24"/>
          <w:szCs w:val="24"/>
        </w:rPr>
        <w:t>（商务技术文</w:t>
      </w:r>
      <w:r>
        <w:rPr>
          <w:rFonts w:hint="eastAsia" w:asciiTheme="minorEastAsia" w:hAnsiTheme="minorEastAsia" w:eastAsiaTheme="minorEastAsia" w:cstheme="minorEastAsia"/>
          <w:spacing w:val="-8"/>
          <w:sz w:val="24"/>
          <w:szCs w:val="24"/>
        </w:rPr>
        <w:t>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14:paraId="15FE2657">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2.</w:t>
      </w:r>
      <w:r>
        <w:rPr>
          <w:rFonts w:hint="eastAsia" w:asciiTheme="minorEastAsia" w:hAnsiTheme="minorEastAsia" w:eastAsiaTheme="minorEastAsia" w:cstheme="minorEastAsia"/>
          <w:spacing w:val="-1"/>
          <w:sz w:val="24"/>
          <w:szCs w:val="24"/>
        </w:rPr>
        <w:t>全部声明和问题的回答及所附材料必须是真实的、准确的和完整</w:t>
      </w:r>
      <w:r>
        <w:rPr>
          <w:rFonts w:hint="eastAsia" w:asciiTheme="minorEastAsia" w:hAnsiTheme="minorEastAsia" w:eastAsiaTheme="minorEastAsia" w:cstheme="minorEastAsia"/>
          <w:spacing w:val="-2"/>
          <w:sz w:val="24"/>
          <w:szCs w:val="24"/>
        </w:rPr>
        <w:t>的。</w:t>
      </w:r>
    </w:p>
    <w:p w14:paraId="61AF0115">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sectPr>
          <w:headerReference r:id="rId10" w:type="default"/>
          <w:footerReference r:id="rId11" w:type="default"/>
          <w:pgSz w:w="11907" w:h="16840"/>
          <w:pgMar w:top="1440" w:right="1800" w:bottom="1440" w:left="1800" w:header="878" w:footer="886" w:gutter="0"/>
          <w:pgNumType w:fmt="decimal"/>
          <w:cols w:space="720" w:num="1"/>
        </w:sectPr>
      </w:pPr>
    </w:p>
    <w:p w14:paraId="27F2A298">
      <w:pPr>
        <w:pStyle w:val="5"/>
        <w:keepNext w:val="0"/>
        <w:keepLines w:val="0"/>
        <w:pageBreakBefore w:val="0"/>
        <w:kinsoku/>
        <w:wordWrap w:val="0"/>
        <w:overflowPunct/>
        <w:topLinePunct w:val="0"/>
        <w:bidi w:val="0"/>
        <w:spacing w:before="78" w:line="360" w:lineRule="auto"/>
        <w:ind w:left="13"/>
        <w:jc w:val="both"/>
        <w:outlineLvl w:val="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一、资格证明文件格式</w:t>
      </w:r>
    </w:p>
    <w:p w14:paraId="6CC75035">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1.开标一览表</w:t>
      </w:r>
    </w:p>
    <w:p w14:paraId="15ED7CB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p w14:paraId="2E86DAC5">
      <w:pPr>
        <w:keepNext w:val="0"/>
        <w:keepLines w:val="0"/>
        <w:pageBreakBefore w:val="0"/>
        <w:kinsoku/>
        <w:wordWrap w:val="0"/>
        <w:overflowPunct/>
        <w:topLinePunct w:val="0"/>
        <w:bidi w:val="0"/>
        <w:spacing w:line="360" w:lineRule="auto"/>
        <w:ind w:firstLine="576" w:firstLineChars="200"/>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开标一览表</w:t>
      </w:r>
    </w:p>
    <w:tbl>
      <w:tblPr>
        <w:tblStyle w:val="16"/>
        <w:tblW w:w="8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6807"/>
      </w:tblGrid>
      <w:tr w14:paraId="70FE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1998" w:type="dxa"/>
            <w:noWrap w:val="0"/>
            <w:vAlign w:val="center"/>
          </w:tcPr>
          <w:p w14:paraId="74D4CBF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6807" w:type="dxa"/>
            <w:noWrap w:val="0"/>
            <w:vAlign w:val="center"/>
          </w:tcPr>
          <w:p w14:paraId="11AB7C0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6BD8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trPr>
        <w:tc>
          <w:tcPr>
            <w:tcW w:w="1998" w:type="dxa"/>
            <w:noWrap w:val="0"/>
            <w:vAlign w:val="center"/>
          </w:tcPr>
          <w:p w14:paraId="3EB95B6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6807" w:type="dxa"/>
            <w:noWrap w:val="0"/>
            <w:vAlign w:val="center"/>
          </w:tcPr>
          <w:p w14:paraId="2A4CBF9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3A760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998" w:type="dxa"/>
            <w:noWrap w:val="0"/>
            <w:vAlign w:val="center"/>
          </w:tcPr>
          <w:p w14:paraId="36F0FF5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供应商</w:t>
            </w:r>
          </w:p>
        </w:tc>
        <w:tc>
          <w:tcPr>
            <w:tcW w:w="6807" w:type="dxa"/>
            <w:noWrap w:val="0"/>
            <w:vAlign w:val="center"/>
          </w:tcPr>
          <w:p w14:paraId="73B21FA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7A421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1998" w:type="dxa"/>
            <w:noWrap w:val="0"/>
            <w:vAlign w:val="center"/>
          </w:tcPr>
          <w:p w14:paraId="625EF2A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响应报价</w:t>
            </w:r>
          </w:p>
        </w:tc>
        <w:tc>
          <w:tcPr>
            <w:tcW w:w="6807" w:type="dxa"/>
            <w:noWrap w:val="0"/>
            <w:vAlign w:val="center"/>
          </w:tcPr>
          <w:p w14:paraId="463F861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采购需求中所规定“计费标准”的    %</w:t>
            </w:r>
          </w:p>
        </w:tc>
      </w:tr>
      <w:tr w14:paraId="48E15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998" w:type="dxa"/>
            <w:noWrap w:val="0"/>
            <w:vAlign w:val="center"/>
          </w:tcPr>
          <w:p w14:paraId="2BA7C1B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服务期限</w:t>
            </w:r>
          </w:p>
        </w:tc>
        <w:tc>
          <w:tcPr>
            <w:tcW w:w="6807" w:type="dxa"/>
            <w:noWrap w:val="0"/>
            <w:vAlign w:val="center"/>
          </w:tcPr>
          <w:p w14:paraId="5F94F41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75B26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998" w:type="dxa"/>
            <w:noWrap w:val="0"/>
            <w:vAlign w:val="center"/>
          </w:tcPr>
          <w:p w14:paraId="527ECA6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服务质量</w:t>
            </w:r>
          </w:p>
        </w:tc>
        <w:tc>
          <w:tcPr>
            <w:tcW w:w="6807" w:type="dxa"/>
            <w:noWrap w:val="0"/>
            <w:vAlign w:val="center"/>
          </w:tcPr>
          <w:p w14:paraId="7EBEDE2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64DD1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998" w:type="dxa"/>
            <w:noWrap w:val="0"/>
            <w:vAlign w:val="center"/>
          </w:tcPr>
          <w:p w14:paraId="03E84CE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6807" w:type="dxa"/>
            <w:noWrap w:val="0"/>
            <w:vAlign w:val="center"/>
          </w:tcPr>
          <w:p w14:paraId="5ED9451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bl>
    <w:p w14:paraId="0C3C7362">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注：本项目响应一览表中响应总报价指费率报价，例如按照计费标准的90%收取，响应总报价即为90%。</w:t>
      </w:r>
    </w:p>
    <w:p w14:paraId="43276B3E">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8"/>
          <w:kern w:val="0"/>
          <w:sz w:val="24"/>
          <w:szCs w:val="24"/>
          <w:lang w:val="en-US" w:eastAsia="zh-CN" w:bidi="ar-SA"/>
        </w:rPr>
      </w:pPr>
    </w:p>
    <w:p w14:paraId="1FDDC496">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供应商（公章）：法定代表人（负责人）或授权代表（签字）：</w:t>
      </w:r>
    </w:p>
    <w:p w14:paraId="4D853D18">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8"/>
          <w:kern w:val="0"/>
          <w:sz w:val="24"/>
          <w:szCs w:val="24"/>
          <w:lang w:val="en-US" w:eastAsia="zh-CN" w:bidi="ar-SA"/>
        </w:rPr>
      </w:pPr>
    </w:p>
    <w:p w14:paraId="407F020C">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58FB0B6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1F8B70E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sectPr>
          <w:pgSz w:w="11907" w:h="16840"/>
          <w:pgMar w:top="1440" w:right="1800" w:bottom="1440" w:left="1800" w:header="851" w:footer="992" w:gutter="0"/>
          <w:pgNumType w:fmt="decimal"/>
          <w:cols w:space="720" w:num="1"/>
        </w:sectPr>
      </w:pPr>
    </w:p>
    <w:p w14:paraId="3CE76AF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lang w:eastAsia="zh-CN"/>
        </w:rPr>
        <w:t>授权书格式</w:t>
      </w:r>
    </w:p>
    <w:p w14:paraId="0180FF6B">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b/>
          <w:sz w:val="24"/>
          <w:szCs w:val="24"/>
          <w:lang w:eastAsia="zh-CN"/>
        </w:rPr>
      </w:pPr>
    </w:p>
    <w:p w14:paraId="550E1842">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法定代表人（负责人）授权委托书</w:t>
      </w:r>
    </w:p>
    <w:p w14:paraId="099B8C8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0E8342A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w:t>
      </w:r>
    </w:p>
    <w:p w14:paraId="1D8FE68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地址：法定代表人（负责人）：</w:t>
      </w:r>
    </w:p>
    <w:p w14:paraId="37EEA11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授权代表姓名：性别：出生日期：年月日</w:t>
      </w:r>
    </w:p>
    <w:p w14:paraId="6233DCE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所在单位：职务：</w:t>
      </w:r>
    </w:p>
    <w:p w14:paraId="56B48CD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身份证：现住：</w:t>
      </w:r>
    </w:p>
    <w:p w14:paraId="78D6A407">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兹委托参加项目事宜，并授权其全权办理以下事宜：</w:t>
      </w:r>
    </w:p>
    <w:p w14:paraId="0153245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1、参加投标活动；</w:t>
      </w:r>
    </w:p>
    <w:p w14:paraId="128BA98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2、签订与</w:t>
      </w:r>
      <w:r>
        <w:rPr>
          <w:rFonts w:hint="eastAsia" w:asciiTheme="minorEastAsia" w:hAnsiTheme="minorEastAsia" w:eastAsiaTheme="minorEastAsia" w:cstheme="minorEastAsia"/>
          <w:sz w:val="24"/>
          <w:szCs w:val="24"/>
          <w:lang w:val="en-US" w:eastAsia="zh-CN"/>
        </w:rPr>
        <w:t>中标</w:t>
      </w:r>
      <w:r>
        <w:rPr>
          <w:rFonts w:hint="eastAsia" w:asciiTheme="minorEastAsia" w:hAnsiTheme="minorEastAsia" w:eastAsiaTheme="minorEastAsia" w:cstheme="minorEastAsia"/>
          <w:sz w:val="24"/>
          <w:szCs w:val="24"/>
          <w:lang w:eastAsia="zh-CN"/>
        </w:rPr>
        <w:t>事宜有关的合同。</w:t>
      </w:r>
    </w:p>
    <w:p w14:paraId="532D5A8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授权代表在办理上述事宜过程中以其自己的名义所签署的所有文件我均予以承认。</w:t>
      </w:r>
    </w:p>
    <w:p w14:paraId="3A1FBA2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授权代表无转委权。</w:t>
      </w:r>
    </w:p>
    <w:p w14:paraId="30C933C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委托期限：至上述事宜处理完毕止。</w:t>
      </w:r>
    </w:p>
    <w:p w14:paraId="72F3F656">
      <w:pPr>
        <w:pStyle w:val="15"/>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lang w:eastAsia="zh-CN"/>
        </w:rPr>
      </w:pPr>
    </w:p>
    <w:p w14:paraId="774E110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委托单位（公章）：</w:t>
      </w:r>
    </w:p>
    <w:p w14:paraId="4F304D6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法定代表人（负责人）（签字）：</w:t>
      </w:r>
    </w:p>
    <w:p w14:paraId="1392FAF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w:t>
      </w:r>
    </w:p>
    <w:p w14:paraId="6BE3FF7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560602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0FAD13E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附：法定代表人（负责人）的身份证及授权代表的身份证</w:t>
      </w:r>
    </w:p>
    <w:p w14:paraId="15426A2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35D6449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10BBDEE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3BF17B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5D8F8D3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56E2E6E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87E6DF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7BB635F1">
      <w:pPr>
        <w:keepNext w:val="0"/>
        <w:keepLines w:val="0"/>
        <w:pageBreakBefore w:val="0"/>
        <w:kinsoku/>
        <w:wordWrap w:val="0"/>
        <w:overflowPunct/>
        <w:topLinePunct w:val="0"/>
        <w:bidi w:val="0"/>
        <w:spacing w:line="360" w:lineRule="auto"/>
        <w:jc w:val="both"/>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lang w:eastAsia="zh-CN"/>
        </w:rPr>
        <w:t>资格声明函格式</w:t>
      </w:r>
    </w:p>
    <w:p w14:paraId="6246A1C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p>
    <w:p w14:paraId="15FF6C9B">
      <w:pPr>
        <w:keepNext w:val="0"/>
        <w:keepLines w:val="0"/>
        <w:pageBreakBefore w:val="0"/>
        <w:kinsoku/>
        <w:wordWrap w:val="0"/>
        <w:overflowPunct/>
        <w:topLinePunct w:val="0"/>
        <w:bidi w:val="0"/>
        <w:spacing w:line="360" w:lineRule="auto"/>
        <w:jc w:val="center"/>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eastAsia="zh-CN"/>
        </w:rPr>
        <w:t>关于资格的声明函</w:t>
      </w:r>
    </w:p>
    <w:p w14:paraId="3DF5ED6D">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4013179C">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征集人或代理机构名称</w:t>
      </w:r>
      <w:r>
        <w:rPr>
          <w:rFonts w:hint="eastAsia" w:asciiTheme="minorEastAsia" w:hAnsiTheme="minorEastAsia" w:eastAsiaTheme="minorEastAsia" w:cstheme="minorEastAsia"/>
          <w:spacing w:val="-3"/>
          <w:sz w:val="24"/>
          <w:szCs w:val="24"/>
          <w:lang w:eastAsia="zh-CN"/>
        </w:rPr>
        <w:t>：</w:t>
      </w:r>
    </w:p>
    <w:p w14:paraId="13B07575">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关于贵方编号为公开招标，本签字人愿意参加投标，提供“采购内容及要求”中规定的服务，并证明提交的下列文件和说明是准确的真实的。</w:t>
      </w:r>
    </w:p>
    <w:p w14:paraId="7B71AAC4">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1、由市场监管局签发的我方工商营业执照副本。</w:t>
      </w:r>
    </w:p>
    <w:p w14:paraId="59EABF90">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2、法定代表人（负责人）授权书。</w:t>
      </w:r>
    </w:p>
    <w:p w14:paraId="27F3D2E1">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3、法定代表人（负责人）或授权代表身份证（答疑时出示原件）。</w:t>
      </w:r>
    </w:p>
    <w:p w14:paraId="2F3C7E9D">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4、公司地址、联系电话、传真等。</w:t>
      </w:r>
    </w:p>
    <w:p w14:paraId="16F77953">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5、法定代表人（负责人）或授权代表的联系电话。</w:t>
      </w:r>
    </w:p>
    <w:p w14:paraId="1065AEE3">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6、招标项目要求的其他文件。</w:t>
      </w:r>
    </w:p>
    <w:p w14:paraId="5A898CD5">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7、本签字人确认资格文件中的说明是真实的、准确的。</w:t>
      </w:r>
    </w:p>
    <w:p w14:paraId="7334D500">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60ED65F8">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03F6385D">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供应商（公章）：法定代表人（负责人）或授权代表（签字）：</w:t>
      </w:r>
    </w:p>
    <w:p w14:paraId="47FCF99F">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086032CC">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日期</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53806145">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rPr>
      </w:pPr>
    </w:p>
    <w:p w14:paraId="01496484">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0" w:firstLineChars="200"/>
        <w:jc w:val="both"/>
        <w:textAlignment w:val="baseline"/>
        <w:rPr>
          <w:rFonts w:hint="eastAsia" w:asciiTheme="minorEastAsia" w:hAnsiTheme="minorEastAsia" w:eastAsiaTheme="minorEastAsia" w:cstheme="minorEastAsia"/>
          <w:sz w:val="24"/>
          <w:szCs w:val="24"/>
          <w:lang w:val="en-US" w:eastAsia="zh-CN"/>
        </w:rPr>
        <w:sectPr>
          <w:headerReference r:id="rId12" w:type="default"/>
          <w:footerReference r:id="rId13"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bCs/>
          <w:spacing w:val="-3"/>
          <w:sz w:val="24"/>
          <w:szCs w:val="24"/>
        </w:rPr>
        <w:t>说明：供应商承诺不实的，依据《</w:t>
      </w:r>
      <w:r>
        <w:rPr>
          <w:rFonts w:hint="eastAsia" w:asciiTheme="minorEastAsia" w:hAnsiTheme="minorEastAsia" w:eastAsiaTheme="minorEastAsia" w:cstheme="minorEastAsia"/>
          <w:b/>
          <w:bCs/>
          <w:spacing w:val="-3"/>
          <w:sz w:val="24"/>
          <w:szCs w:val="24"/>
          <w:lang w:val="en-US" w:eastAsia="zh-CN"/>
        </w:rPr>
        <w:t>中华人民共和国</w:t>
      </w:r>
      <w:r>
        <w:rPr>
          <w:rFonts w:hint="eastAsia" w:asciiTheme="minorEastAsia" w:hAnsiTheme="minorEastAsia" w:eastAsiaTheme="minorEastAsia" w:cstheme="minorEastAsia"/>
          <w:b/>
          <w:bCs/>
          <w:spacing w:val="-3"/>
          <w:sz w:val="24"/>
          <w:szCs w:val="24"/>
        </w:rPr>
        <w:t>政府采购法》第七十七条</w:t>
      </w:r>
      <w:r>
        <w:rPr>
          <w:rFonts w:hint="eastAsia" w:asciiTheme="minorEastAsia" w:hAnsiTheme="minorEastAsia" w:eastAsiaTheme="minorEastAsia" w:cstheme="minorEastAsia"/>
          <w:b/>
          <w:bCs/>
          <w:spacing w:val="-3"/>
          <w:sz w:val="24"/>
          <w:szCs w:val="24"/>
          <w:lang w:val="en-US" w:eastAsia="zh-CN"/>
        </w:rPr>
        <w:t>提</w:t>
      </w:r>
      <w:r>
        <w:rPr>
          <w:rFonts w:hint="eastAsia" w:asciiTheme="minorEastAsia" w:hAnsiTheme="minorEastAsia" w:eastAsiaTheme="minorEastAsia" w:cstheme="minorEastAsia"/>
          <w:b/>
          <w:bCs/>
          <w:spacing w:val="8"/>
          <w:sz w:val="24"/>
          <w:szCs w:val="24"/>
        </w:rPr>
        <w:t>供虚假材料谋取中标、</w:t>
      </w:r>
      <w:r>
        <w:rPr>
          <w:rFonts w:hint="eastAsia" w:asciiTheme="minorEastAsia" w:hAnsiTheme="minorEastAsia" w:eastAsiaTheme="minorEastAsia" w:cstheme="minorEastAsia"/>
          <w:b/>
          <w:bCs/>
          <w:spacing w:val="-4"/>
          <w:sz w:val="24"/>
          <w:szCs w:val="24"/>
        </w:rPr>
        <w:t>成交的</w:t>
      </w:r>
      <w:r>
        <w:rPr>
          <w:rFonts w:hint="eastAsia" w:asciiTheme="minorEastAsia" w:hAnsiTheme="minorEastAsia" w:eastAsiaTheme="minorEastAsia" w:cstheme="minorEastAsia"/>
          <w:b/>
          <w:bCs/>
          <w:position w:val="11"/>
          <w:sz w:val="24"/>
          <w:szCs w:val="24"/>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9"/>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spacing w:val="-4"/>
          <w:sz w:val="24"/>
          <w:szCs w:val="24"/>
        </w:rPr>
        <w:t>有关规定予以</w:t>
      </w:r>
      <w:r>
        <w:rPr>
          <w:rFonts w:hint="eastAsia" w:asciiTheme="minorEastAsia" w:hAnsiTheme="minorEastAsia" w:eastAsiaTheme="minorEastAsia" w:cstheme="minorEastAsia"/>
          <w:b/>
          <w:bCs/>
          <w:spacing w:val="-4"/>
          <w:sz w:val="24"/>
          <w:szCs w:val="24"/>
          <w:lang w:val="en-US" w:eastAsia="zh-CN"/>
        </w:rPr>
        <w:t>处理。</w:t>
      </w:r>
    </w:p>
    <w:p w14:paraId="4E46E139">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49996BB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eastAsia="zh-CN"/>
        </w:rPr>
        <w:t>承诺函格式</w:t>
      </w:r>
    </w:p>
    <w:p w14:paraId="55705DA0">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val="en-US" w:eastAsia="zh-CN"/>
        </w:rPr>
      </w:pPr>
    </w:p>
    <w:p w14:paraId="7E5BA25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供应商</w:t>
      </w:r>
      <w:r>
        <w:rPr>
          <w:rFonts w:hint="eastAsia" w:asciiTheme="minorEastAsia" w:hAnsiTheme="minorEastAsia" w:eastAsiaTheme="minorEastAsia" w:cstheme="minorEastAsia"/>
          <w:b/>
          <w:bCs/>
          <w:sz w:val="24"/>
          <w:szCs w:val="24"/>
          <w:lang w:eastAsia="zh-CN"/>
        </w:rPr>
        <w:t>承诺函</w:t>
      </w:r>
    </w:p>
    <w:p w14:paraId="44D33DBA">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051D58F9">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征集人或代理机构名称</w:t>
      </w:r>
      <w:r>
        <w:rPr>
          <w:rFonts w:hint="eastAsia" w:asciiTheme="minorEastAsia" w:hAnsiTheme="minorEastAsia" w:eastAsiaTheme="minorEastAsia" w:cstheme="minorEastAsia"/>
          <w:spacing w:val="-3"/>
          <w:sz w:val="24"/>
          <w:szCs w:val="24"/>
          <w:lang w:eastAsia="zh-CN"/>
        </w:rPr>
        <w:t>：</w:t>
      </w:r>
    </w:p>
    <w:p w14:paraId="3D014ED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很荣幸能参与项目编号为项目的投标。</w:t>
      </w:r>
    </w:p>
    <w:p w14:paraId="03B24B6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我代表（供应商名称），在此作如下承诺：</w:t>
      </w:r>
    </w:p>
    <w:p w14:paraId="0B1C68E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1、完全理解和接受本项目征集文件的一切规定和要求；</w:t>
      </w:r>
    </w:p>
    <w:p w14:paraId="302A314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2、我方递交的响应文件中所有的资料均为真实的、准确的，无任何虚假内容。若存在有虚假内容，我方愿意承担法律责任。</w:t>
      </w:r>
    </w:p>
    <w:p w14:paraId="7AB607D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3、若中标，我方将按照征集文件的具体规定与征集人签订供货安装调试</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lang w:eastAsia="zh-CN"/>
        </w:rPr>
        <w:t>服务合同，并且严格按合同履行义务，按时交付使用，保证设备</w:t>
      </w:r>
      <w:r>
        <w:rPr>
          <w:rFonts w:hint="eastAsia" w:asciiTheme="minorEastAsia" w:hAnsiTheme="minorEastAsia" w:eastAsiaTheme="minorEastAsia" w:cstheme="minorEastAsia"/>
          <w:sz w:val="24"/>
          <w:szCs w:val="24"/>
          <w:lang w:val="en-US" w:eastAsia="zh-CN"/>
        </w:rPr>
        <w:t>或服务</w:t>
      </w:r>
      <w:r>
        <w:rPr>
          <w:rFonts w:hint="eastAsia" w:asciiTheme="minorEastAsia" w:hAnsiTheme="minorEastAsia" w:eastAsiaTheme="minorEastAsia" w:cstheme="minorEastAsia"/>
          <w:sz w:val="24"/>
          <w:szCs w:val="24"/>
          <w:lang w:eastAsia="zh-CN"/>
        </w:rPr>
        <w:t>质量符合征集文件要求，并提供优质服务。如果在合同执行过程中，发现问题，我方一定尽快对其进行调整，并承担相应的经济责任；</w:t>
      </w:r>
    </w:p>
    <w:p w14:paraId="1BF6FA1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4、若中标，本承诺将成为合同不可分割的一部分，与合同具有同等的法律效力。</w:t>
      </w:r>
    </w:p>
    <w:p w14:paraId="086549E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5、我方同意征集文件所附的合同文本作为与采购方签约的合同文本，非经双方一致同意，不得改变原合同文本的条款。</w:t>
      </w:r>
    </w:p>
    <w:p w14:paraId="1B67AFD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6、我方保证，严格遵守《</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政府采购法实施条例》《政府采购货物和服务招标投标管理办法》及其他相关法律法规的规定，若有违反上述法律法规的行为，愿意接受处罚并承担相应的法律责任。</w:t>
      </w:r>
    </w:p>
    <w:p w14:paraId="19FCC08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p>
    <w:p w14:paraId="64F8191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供应商（公章）：法定代表人（负责人）或授权代表（签字）：</w:t>
      </w:r>
    </w:p>
    <w:p w14:paraId="08A7F17E">
      <w:pPr>
        <w:keepNext w:val="0"/>
        <w:keepLines w:val="0"/>
        <w:pageBreakBefore w:val="0"/>
        <w:kinsoku/>
        <w:wordWrap w:val="0"/>
        <w:overflowPunct/>
        <w:topLinePunct w:val="0"/>
        <w:bidi w:val="0"/>
        <w:spacing w:line="360" w:lineRule="auto"/>
        <w:ind w:firstLine="720" w:firstLineChars="3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79C59B9">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59EB7F4C">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4A315BA8">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35AAB97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365B0A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4817A1B3">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营业执照副本</w:t>
      </w:r>
      <w:r>
        <w:rPr>
          <w:rFonts w:hint="eastAsia" w:asciiTheme="minorEastAsia" w:hAnsiTheme="minorEastAsia" w:eastAsiaTheme="minorEastAsia" w:cstheme="minorEastAsia"/>
          <w:b/>
          <w:bCs/>
          <w:sz w:val="24"/>
          <w:szCs w:val="24"/>
          <w:lang w:val="en-US" w:eastAsia="zh-CN"/>
        </w:rPr>
        <w:t>或其他资格证明文件</w:t>
      </w:r>
    </w:p>
    <w:p w14:paraId="6A8A8E1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lang w:eastAsia="zh-CN"/>
        </w:rPr>
        <w:t>具有履行合同所必需的设备和专业技术能力的承诺</w:t>
      </w:r>
    </w:p>
    <w:p w14:paraId="56FFA2C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7.</w:t>
      </w:r>
      <w:r>
        <w:rPr>
          <w:rFonts w:hint="eastAsia" w:asciiTheme="minorEastAsia" w:hAnsiTheme="minorEastAsia" w:eastAsiaTheme="minorEastAsia" w:cstheme="minorEastAsia"/>
          <w:b/>
          <w:bCs/>
          <w:sz w:val="24"/>
          <w:szCs w:val="24"/>
          <w:lang w:eastAsia="zh-CN"/>
        </w:rPr>
        <w:t>依法缴纳税收和社会保障资金的缴费凭证</w:t>
      </w:r>
    </w:p>
    <w:p w14:paraId="5C129D8E">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说明：</w:t>
      </w:r>
      <w:r>
        <w:rPr>
          <w:rFonts w:hint="eastAsia" w:asciiTheme="minorEastAsia" w:hAnsiTheme="minorEastAsia" w:eastAsiaTheme="minorEastAsia" w:cstheme="minorEastAsia"/>
          <w:b w:val="0"/>
          <w:bCs w:val="0"/>
          <w:sz w:val="24"/>
          <w:szCs w:val="24"/>
          <w:lang w:eastAsia="zh-CN"/>
        </w:rPr>
        <w:t>提供2024年6月1日以来任意一个月依法缴纳税收和社会保障资金的证明资料。依法免税或不需要缴纳社会保障资金的供应商，应提供相应行政部门出具的证明文件，证明其依法免税或依法不需要缴纳社会保障资金。</w:t>
      </w:r>
    </w:p>
    <w:p w14:paraId="2BE6CC0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eastAsia="zh-CN"/>
        </w:rPr>
        <w:t>良好的商业信誉和健全的财务会计制度的证明文件</w:t>
      </w:r>
    </w:p>
    <w:p w14:paraId="323013F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说明：</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供应商是企业法人的须提供2023年度或2024年度经审计的财务状况报告（成立不足一年的提供公司成立以来的财务报表，即：资产负债表、利润表、现金流量表)；其他组织和自然人，没有经审计的财务报告，可以提供银行出具的资信证明。（</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）供应商提供企业有关财务会计制度。</w:t>
      </w:r>
    </w:p>
    <w:p w14:paraId="7362D73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供应商出具参加政府采购活动前三年内，</w:t>
      </w:r>
      <w:r>
        <w:rPr>
          <w:rFonts w:hint="eastAsia" w:asciiTheme="minorEastAsia" w:hAnsiTheme="minorEastAsia" w:eastAsiaTheme="minorEastAsia" w:cstheme="minorEastAsia"/>
          <w:b/>
          <w:bCs/>
          <w:snapToGrid w:val="0"/>
          <w:color w:val="000000"/>
          <w:kern w:val="0"/>
          <w:sz w:val="24"/>
          <w:szCs w:val="24"/>
          <w:lang w:val="en-US" w:eastAsia="zh-CN" w:bidi="ar-SA"/>
        </w:rPr>
        <w:t>在经营活动中没有重大违法记录</w:t>
      </w:r>
      <w:r>
        <w:rPr>
          <w:rFonts w:hint="eastAsia" w:asciiTheme="minorEastAsia" w:hAnsiTheme="minorEastAsia" w:eastAsiaTheme="minorEastAsia" w:cstheme="minorEastAsia"/>
          <w:b/>
          <w:bCs/>
          <w:sz w:val="24"/>
          <w:szCs w:val="24"/>
          <w:lang w:eastAsia="zh-CN"/>
        </w:rPr>
        <w:t>的书面声明（加盖单位公章）</w:t>
      </w:r>
    </w:p>
    <w:p w14:paraId="06676A7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CD0515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4D5C2C5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2085D0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467AEFA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5B6D4F6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41CC789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6AFE6B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76D7DA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5FD399F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4B630B7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953D8A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FF20C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E04C73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85B3A7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B267F6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10.</w:t>
      </w:r>
      <w:r>
        <w:rPr>
          <w:rFonts w:hint="eastAsia" w:asciiTheme="minorEastAsia" w:hAnsiTheme="minorEastAsia" w:eastAsiaTheme="minorEastAsia" w:cstheme="minorEastAsia"/>
          <w:b/>
          <w:bCs/>
          <w:sz w:val="24"/>
          <w:szCs w:val="24"/>
          <w:lang w:eastAsia="zh-CN"/>
        </w:rPr>
        <w:t>供应商诚信承诺书</w:t>
      </w:r>
    </w:p>
    <w:p w14:paraId="08913D31">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p>
    <w:p w14:paraId="24EC9686">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诚信承诺书</w:t>
      </w:r>
    </w:p>
    <w:p w14:paraId="202733E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50EF1F5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14:paraId="0E1819F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投标在电子响应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7FE372B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14:paraId="6FC389D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5BE025E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14:paraId="132F2B7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承诺人法定地址：</w:t>
      </w:r>
    </w:p>
    <w:p w14:paraId="3EE5F99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授权代表（签字或盖章）：</w:t>
      </w:r>
    </w:p>
    <w:p w14:paraId="0E05719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w:t>
      </w:r>
    </w:p>
    <w:p w14:paraId="567F20D2">
      <w:pPr>
        <w:keepNext w:val="0"/>
        <w:keepLines w:val="0"/>
        <w:pageBreakBefore w:val="0"/>
        <w:kinsoku/>
        <w:wordWrap w:val="0"/>
        <w:overflowPunct/>
        <w:topLinePunct w:val="0"/>
        <w:bidi w:val="0"/>
        <w:spacing w:line="360" w:lineRule="auto"/>
        <w:ind w:firstLine="672" w:firstLineChars="3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8AA6C34">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3755BF1F">
      <w:pPr>
        <w:keepNext w:val="0"/>
        <w:keepLines w:val="0"/>
        <w:pageBreakBefore w:val="0"/>
        <w:numPr>
          <w:ilvl w:val="0"/>
          <w:numId w:val="8"/>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符合《第三方机构预算绩效评价业务监督管理暂行办法》</w:t>
      </w:r>
      <w:r>
        <w:rPr>
          <w:rFonts w:hint="eastAsia" w:asciiTheme="minorEastAsia" w:hAnsiTheme="minorEastAsia" w:eastAsiaTheme="minorEastAsia" w:cstheme="minorEastAsia"/>
          <w:b/>
          <w:bCs/>
          <w:snapToGrid w:val="0"/>
          <w:color w:val="000000"/>
          <w:spacing w:val="-14"/>
          <w:kern w:val="0"/>
          <w:sz w:val="24"/>
          <w:szCs w:val="24"/>
          <w:lang w:val="en-US" w:eastAsia="zh-CN" w:bidi="ar-SA"/>
        </w:rPr>
        <w:t>（财监[2021]4号）</w:t>
      </w:r>
      <w:r>
        <w:rPr>
          <w:rFonts w:hint="eastAsia" w:asciiTheme="minorEastAsia" w:hAnsiTheme="minorEastAsia" w:eastAsiaTheme="minorEastAsia" w:cstheme="minorEastAsia"/>
          <w:b/>
          <w:bCs/>
          <w:sz w:val="24"/>
          <w:szCs w:val="24"/>
          <w:lang w:val="en-US" w:eastAsia="zh-CN"/>
        </w:rPr>
        <w:t>第二条、第七条规定，提供相应的资格证明材料及承诺函，格式自拟。</w:t>
      </w:r>
    </w:p>
    <w:p w14:paraId="08FAF0E5">
      <w:pPr>
        <w:keepNext w:val="0"/>
        <w:keepLines w:val="0"/>
        <w:pageBreakBefore w:val="0"/>
        <w:numPr>
          <w:ilvl w:val="0"/>
          <w:numId w:val="8"/>
        </w:numPr>
        <w:kinsoku/>
        <w:wordWrap w:val="0"/>
        <w:overflowPunct/>
        <w:topLinePunct w:val="0"/>
        <w:bidi w:val="0"/>
        <w:spacing w:line="360" w:lineRule="auto"/>
        <w:jc w:val="both"/>
        <w:rPr>
          <w:rFonts w:hint="default" w:asciiTheme="minorEastAsia" w:hAnsiTheme="minorEastAsia" w:eastAsiaTheme="minorEastAsia" w:cstheme="minorEastAsia"/>
          <w:b/>
          <w:bCs/>
          <w:sz w:val="24"/>
          <w:szCs w:val="24"/>
          <w:lang w:val="en-US" w:eastAsia="zh-CN"/>
        </w:rPr>
      </w:pPr>
      <w:r>
        <w:rPr>
          <w:rFonts w:hint="default" w:asciiTheme="minorEastAsia" w:hAnsiTheme="minorEastAsia" w:eastAsiaTheme="minorEastAsia" w:cstheme="minorEastAsia"/>
          <w:b/>
          <w:bCs/>
          <w:sz w:val="24"/>
          <w:szCs w:val="24"/>
          <w:lang w:val="en-US" w:eastAsia="zh-CN"/>
        </w:rPr>
        <w:t>单位负责人为同一人或者存在直接控股、管理关系的不同供应商，不得参加同一合同项下的政府采购活动。提供承诺函，格式自拟；</w:t>
      </w:r>
    </w:p>
    <w:p w14:paraId="7AE848D8">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13.</w:t>
      </w:r>
      <w:r>
        <w:rPr>
          <w:rFonts w:hint="eastAsia" w:asciiTheme="minorEastAsia" w:hAnsiTheme="minorEastAsia" w:eastAsiaTheme="minorEastAsia" w:cstheme="minorEastAsia"/>
          <w:b/>
          <w:bCs/>
          <w:sz w:val="24"/>
          <w:szCs w:val="24"/>
          <w:lang w:eastAsia="zh-CN"/>
        </w:rPr>
        <w:t>供应商出具信用记录查询结果网页截图</w:t>
      </w:r>
    </w:p>
    <w:p w14:paraId="19D5E783">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14.其他资格证明</w:t>
      </w:r>
    </w:p>
    <w:p w14:paraId="75BC3FD1">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5A24E57C">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eastAsia="zh-CN"/>
        </w:rPr>
      </w:pPr>
    </w:p>
    <w:p w14:paraId="06B97395">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napToGrid w:val="0"/>
          <w:color w:val="000000"/>
          <w:kern w:val="0"/>
          <w:sz w:val="24"/>
          <w:szCs w:val="24"/>
          <w:lang w:val="zh-CN" w:eastAsia="zh-CN" w:bidi="ar-SA"/>
        </w:rPr>
      </w:pPr>
      <w:r>
        <w:rPr>
          <w:rFonts w:hint="eastAsia" w:asciiTheme="minorEastAsia" w:hAnsiTheme="minorEastAsia" w:eastAsiaTheme="minorEastAsia" w:cstheme="minorEastAsia"/>
          <w:b/>
          <w:bCs/>
          <w:sz w:val="24"/>
          <w:szCs w:val="24"/>
          <w:lang w:eastAsia="zh-CN"/>
        </w:rPr>
        <w:t>按照南阳市财政局《关于在政府采购活动中施行供应商资格信用承诺制的通知》宛财购〔2023〕4号的要求，</w:t>
      </w:r>
      <w:r>
        <w:rPr>
          <w:rFonts w:hint="eastAsia" w:asciiTheme="minorEastAsia" w:hAnsiTheme="minorEastAsia" w:eastAsiaTheme="minorEastAsia" w:cstheme="minorEastAsia"/>
          <w:b/>
          <w:bCs/>
          <w:sz w:val="24"/>
          <w:szCs w:val="24"/>
          <w:lang w:val="en-US" w:eastAsia="zh-CN"/>
        </w:rPr>
        <w:t>对于市本级政府采购项目，全部实施供应商资格信用承诺，供应商</w:t>
      </w:r>
      <w:r>
        <w:rPr>
          <w:rFonts w:hint="eastAsia" w:asciiTheme="minorEastAsia" w:hAnsiTheme="minorEastAsia" w:eastAsiaTheme="minorEastAsia" w:cstheme="minorEastAsia"/>
          <w:b/>
          <w:bCs/>
          <w:sz w:val="24"/>
          <w:szCs w:val="24"/>
          <w:lang w:eastAsia="zh-CN"/>
        </w:rPr>
        <w:t>在投标时，按照规定提供“南阳市政府采购供应商信用承诺函”（详见附件）的，无需再提交上述</w:t>
      </w: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项证明材料”。</w:t>
      </w:r>
      <w:r>
        <w:rPr>
          <w:rFonts w:hint="eastAsia" w:asciiTheme="minorEastAsia" w:hAnsiTheme="minorEastAsia" w:eastAsiaTheme="minorEastAsia" w:cstheme="minorEastAsia"/>
          <w:b/>
          <w:bCs/>
          <w:sz w:val="24"/>
          <w:szCs w:val="24"/>
          <w:lang w:val="en-US" w:eastAsia="zh-CN"/>
        </w:rPr>
        <w:t>供应商</w:t>
      </w:r>
      <w:r>
        <w:rPr>
          <w:rFonts w:hint="eastAsia" w:asciiTheme="minorEastAsia" w:hAnsiTheme="minorEastAsia" w:eastAsiaTheme="minorEastAsia" w:cstheme="minorEastAsia"/>
          <w:b/>
          <w:bCs/>
          <w:sz w:val="24"/>
          <w:szCs w:val="24"/>
          <w:lang w:val="zh-CN" w:eastAsia="zh-CN"/>
        </w:rPr>
        <w:t>在</w:t>
      </w:r>
      <w:r>
        <w:rPr>
          <w:rFonts w:hint="eastAsia" w:asciiTheme="minorEastAsia" w:hAnsiTheme="minorEastAsia" w:eastAsiaTheme="minorEastAsia" w:cstheme="minorEastAsia"/>
          <w:b/>
          <w:bCs/>
          <w:sz w:val="24"/>
          <w:szCs w:val="24"/>
          <w:lang w:val="en-US" w:eastAsia="zh-CN"/>
        </w:rPr>
        <w:t>入围</w:t>
      </w:r>
      <w:r>
        <w:rPr>
          <w:rFonts w:hint="eastAsia" w:asciiTheme="minorEastAsia" w:hAnsiTheme="minorEastAsia" w:eastAsiaTheme="minorEastAsia" w:cstheme="minorEastAsia"/>
          <w:b/>
          <w:bCs/>
          <w:sz w:val="24"/>
          <w:szCs w:val="24"/>
          <w:lang w:val="zh-CN" w:eastAsia="zh-CN"/>
        </w:rPr>
        <w:t>后，应将上述由信用承诺书替代的证明材料提交征集人或采购代理机构，证明材料将随公告一并公示。</w:t>
      </w:r>
    </w:p>
    <w:p w14:paraId="712E4720">
      <w:pPr>
        <w:pStyle w:val="5"/>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p>
    <w:p w14:paraId="72633D2A">
      <w:pPr>
        <w:pStyle w:val="5"/>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p>
    <w:p w14:paraId="1B659B57">
      <w:pPr>
        <w:pStyle w:val="5"/>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r>
        <w:rPr>
          <w:rFonts w:hint="eastAsia" w:asciiTheme="minorEastAsia" w:hAnsiTheme="minorEastAsia" w:eastAsiaTheme="minorEastAsia" w:cstheme="minorEastAsia"/>
          <w:b/>
          <w:bCs/>
          <w:snapToGrid w:val="0"/>
          <w:color w:val="000000"/>
          <w:kern w:val="0"/>
          <w:sz w:val="32"/>
          <w:szCs w:val="32"/>
          <w:lang w:val="zh-CN" w:eastAsia="zh-CN" w:bidi="ar-SA"/>
        </w:rPr>
        <w:t>南阳市政府采购供应商信用承诺函</w:t>
      </w:r>
    </w:p>
    <w:p w14:paraId="3F8A5FE1">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kern w:val="0"/>
          <w:sz w:val="24"/>
          <w:szCs w:val="24"/>
          <w:lang w:val="zh-CN" w:eastAsia="zh-CN" w:bidi="ar-SA"/>
        </w:rPr>
      </w:pPr>
    </w:p>
    <w:p w14:paraId="3DA84D5E">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致（征集人或</w:t>
      </w:r>
      <w:r>
        <w:rPr>
          <w:rFonts w:hint="eastAsia" w:asciiTheme="minorEastAsia" w:hAnsiTheme="minorEastAsia" w:eastAsiaTheme="minorEastAsia" w:cstheme="minorEastAsia"/>
          <w:b w:val="0"/>
          <w:bCs w:val="0"/>
          <w:snapToGrid w:val="0"/>
          <w:color w:val="000000"/>
          <w:kern w:val="0"/>
          <w:sz w:val="24"/>
          <w:szCs w:val="24"/>
          <w:lang w:val="en-US" w:eastAsia="zh-CN" w:bidi="ar-SA"/>
        </w:rPr>
        <w:t>采购代理机构</w:t>
      </w:r>
      <w:r>
        <w:rPr>
          <w:rFonts w:hint="eastAsia" w:asciiTheme="minorEastAsia" w:hAnsiTheme="minorEastAsia" w:eastAsiaTheme="minorEastAsia" w:cstheme="minorEastAsia"/>
          <w:b w:val="0"/>
          <w:bCs w:val="0"/>
          <w:snapToGrid w:val="0"/>
          <w:color w:val="000000"/>
          <w:kern w:val="0"/>
          <w:sz w:val="24"/>
          <w:szCs w:val="24"/>
          <w:lang w:val="zh-CN" w:eastAsia="zh-CN" w:bidi="ar-SA"/>
        </w:rPr>
        <w:t>）：</w:t>
      </w:r>
    </w:p>
    <w:p w14:paraId="1A61FB23">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单位名称：</w:t>
      </w:r>
    </w:p>
    <w:p w14:paraId="02134E8F">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统一社会信用代码：</w:t>
      </w:r>
    </w:p>
    <w:p w14:paraId="35CED6A7">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w:t>
      </w:r>
    </w:p>
    <w:p w14:paraId="52DD6DE1">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联系地址和电话：</w:t>
      </w:r>
    </w:p>
    <w:p w14:paraId="725B8DEF">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1F143AEB">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（一）具有独立承担民事责任的能力；</w:t>
      </w:r>
    </w:p>
    <w:p w14:paraId="729AFD11">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（二）具有良好的商业信誉和健全的财务会计制度；</w:t>
      </w:r>
    </w:p>
    <w:p w14:paraId="095B96F2">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（三）具有履行合同所必需的设备和专业技术能力；</w:t>
      </w:r>
    </w:p>
    <w:p w14:paraId="77E9EFCB">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（四）有依法缴纳税收和社会保障资金的良好记录；</w:t>
      </w:r>
    </w:p>
    <w:p w14:paraId="488CCE59">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（五）参加政府采购活动前三年内，在经营活动中没有重大违法记录；</w:t>
      </w:r>
    </w:p>
    <w:p w14:paraId="7CAA2964">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（六）法律、行政法规规定的其他条件。</w:t>
      </w:r>
    </w:p>
    <w:p w14:paraId="457F442D">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我单位保证上述承诺事项的真实性，如有弄虚作假或其他违法违规行为，愿意承担一切法律责任，并承担因此所造成的一切损失。</w:t>
      </w:r>
    </w:p>
    <w:p w14:paraId="083D4303">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en-US" w:eastAsia="zh-CN" w:bidi="ar-SA"/>
        </w:rPr>
      </w:pPr>
    </w:p>
    <w:p w14:paraId="5702C640">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en-US" w:eastAsia="zh-CN" w:bidi="ar-SA"/>
        </w:rPr>
      </w:pPr>
    </w:p>
    <w:p w14:paraId="6E52B6F7">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供应商（企业电子章）：</w:t>
      </w:r>
    </w:p>
    <w:p w14:paraId="6089B4DA">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法定代表人或授权代表（签字或电子印章）：</w:t>
      </w:r>
    </w:p>
    <w:p w14:paraId="480239B6">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0553C974">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注：</w:t>
      </w:r>
    </w:p>
    <w:p w14:paraId="6583B126">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1、供应商须在响应文件中按此模板提供承诺函，未提供视为未实质性响应征集文件要求，按无效响应处理。</w:t>
      </w:r>
    </w:p>
    <w:p w14:paraId="3C6CF6A4">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kern w:val="0"/>
          <w:sz w:val="24"/>
          <w:szCs w:val="24"/>
          <w:lang w:val="zh-CN" w:eastAsia="zh-CN" w:bidi="ar-SA"/>
        </w:rPr>
        <w:t>2、供应商的法定代表人或者授权代表的签字或盖章应真实、有效，如由授权代表签字或盖章的，应提供“法定代表人授权书”。</w:t>
      </w:r>
    </w:p>
    <w:p w14:paraId="4C25038F">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14:paraId="7EF1E72F">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14:paraId="38A8B699">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14:paraId="4CE2911F">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14:paraId="73CC2296">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14:paraId="7D191F74">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14:paraId="5F465AEB">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14:paraId="27614E39">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14:paraId="77463BB8">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14:paraId="28ABC4A0">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14:paraId="6D58E215">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14:paraId="1ECF8363">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14:paraId="56DD5436">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14:paraId="046E796E">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14:paraId="2F52FF81">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14:paraId="2BDB487E">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14:paraId="2C1F2FE9">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二、技术文件格式</w:t>
      </w:r>
      <w:r>
        <w:rPr>
          <w:rFonts w:hint="eastAsia" w:asciiTheme="minorEastAsia" w:hAnsiTheme="minorEastAsia" w:eastAsiaTheme="minorEastAsia" w:cstheme="minorEastAsia"/>
          <w:spacing w:val="24"/>
          <w:sz w:val="24"/>
          <w:szCs w:val="24"/>
          <w:lang w:eastAsia="zh-CN"/>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t>暗标</w:t>
      </w:r>
      <w:r>
        <w:rPr>
          <w:rFonts w:hint="eastAsia" w:asciiTheme="minorEastAsia" w:hAnsiTheme="minorEastAsia" w:eastAsiaTheme="minorEastAsia" w:cstheme="minorEastAsia"/>
          <w:spacing w:val="24"/>
          <w:sz w:val="24"/>
          <w:szCs w:val="24"/>
          <w:lang w:eastAsia="zh-CN"/>
          <w14:textOutline w14:w="1537" w14:cap="flat" w14:cmpd="sng">
            <w14:solidFill>
              <w14:srgbClr w14:val="000000"/>
            </w14:solidFill>
            <w14:prstDash w14:val="solid"/>
            <w14:miter w14:val="0"/>
          </w14:textOutline>
        </w:rPr>
        <w:t>）</w:t>
      </w:r>
    </w:p>
    <w:p w14:paraId="58C88BEA">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服务方案（严格按照暗标制作要求编写，不得出现供应商的名称和其它可识别供应商身份的字符、徽标、人员信息以及其他特殊标记等）：</w:t>
      </w:r>
    </w:p>
    <w:p w14:paraId="286530BB">
      <w:pPr>
        <w:pStyle w:val="5"/>
        <w:keepNext w:val="0"/>
        <w:keepLines w:val="0"/>
        <w:pageBreakBefore w:val="0"/>
        <w:numPr>
          <w:ilvl w:val="0"/>
          <w:numId w:val="0"/>
        </w:numPr>
        <w:kinsoku/>
        <w:wordWrap w:val="0"/>
        <w:overflowPunct/>
        <w:topLinePunct w:val="0"/>
        <w:bidi w:val="0"/>
        <w:spacing w:before="78" w:line="360" w:lineRule="auto"/>
        <w:jc w:val="both"/>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napToGrid w:val="0"/>
          <w:color w:val="000000"/>
          <w:kern w:val="0"/>
          <w:sz w:val="24"/>
          <w:szCs w:val="24"/>
          <w:lang w:val="en-US" w:eastAsia="zh-CN" w:bidi="ar-SA"/>
        </w:rPr>
        <w:t>1.</w:t>
      </w:r>
      <w:r>
        <w:rPr>
          <w:rFonts w:hint="eastAsia" w:asciiTheme="minorEastAsia" w:hAnsiTheme="minorEastAsia" w:eastAsiaTheme="minorEastAsia" w:cstheme="minorEastAsia"/>
          <w:b w:val="0"/>
          <w:bCs w:val="0"/>
          <w:sz w:val="24"/>
          <w:szCs w:val="24"/>
          <w:lang w:val="en-US" w:eastAsia="zh-CN"/>
        </w:rPr>
        <w:t>预算绩效管理服务的认识和理解</w:t>
      </w:r>
    </w:p>
    <w:p w14:paraId="25D8D878">
      <w:pPr>
        <w:pStyle w:val="5"/>
        <w:keepNext w:val="0"/>
        <w:keepLines w:val="0"/>
        <w:pageBreakBefore w:val="0"/>
        <w:numPr>
          <w:ilvl w:val="0"/>
          <w:numId w:val="0"/>
        </w:numPr>
        <w:kinsoku/>
        <w:wordWrap w:val="0"/>
        <w:overflowPunct/>
        <w:topLinePunct w:val="0"/>
        <w:bidi w:val="0"/>
        <w:spacing w:before="78" w:line="360" w:lineRule="auto"/>
        <w:jc w:val="both"/>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2.服务实施方案</w:t>
      </w:r>
    </w:p>
    <w:p w14:paraId="22D2688A">
      <w:pPr>
        <w:pStyle w:val="5"/>
        <w:keepNext w:val="0"/>
        <w:keepLines w:val="0"/>
        <w:pageBreakBefore w:val="0"/>
        <w:numPr>
          <w:ilvl w:val="0"/>
          <w:numId w:val="0"/>
        </w:numPr>
        <w:kinsoku/>
        <w:wordWrap w:val="0"/>
        <w:overflowPunct/>
        <w:topLinePunct w:val="0"/>
        <w:bidi w:val="0"/>
        <w:spacing w:before="78" w:line="360" w:lineRule="auto"/>
        <w:jc w:val="both"/>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3.服务质量保障措施</w:t>
      </w:r>
    </w:p>
    <w:p w14:paraId="381CE543">
      <w:pPr>
        <w:pStyle w:val="5"/>
        <w:keepNext w:val="0"/>
        <w:keepLines w:val="0"/>
        <w:pageBreakBefore w:val="0"/>
        <w:numPr>
          <w:ilvl w:val="0"/>
          <w:numId w:val="0"/>
        </w:numPr>
        <w:kinsoku/>
        <w:wordWrap w:val="0"/>
        <w:overflowPunct/>
        <w:topLinePunct w:val="0"/>
        <w:bidi w:val="0"/>
        <w:spacing w:before="78" w:line="360" w:lineRule="auto"/>
        <w:jc w:val="both"/>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4.履约服务便利度保障措施</w:t>
      </w:r>
    </w:p>
    <w:p w14:paraId="0E9A0C18">
      <w:pPr>
        <w:pStyle w:val="5"/>
        <w:keepNext w:val="0"/>
        <w:keepLines w:val="0"/>
        <w:pageBreakBefore w:val="0"/>
        <w:numPr>
          <w:ilvl w:val="0"/>
          <w:numId w:val="0"/>
        </w:numPr>
        <w:kinsoku/>
        <w:wordWrap w:val="0"/>
        <w:overflowPunct/>
        <w:topLinePunct w:val="0"/>
        <w:bidi w:val="0"/>
        <w:spacing w:before="78" w:line="360" w:lineRule="auto"/>
        <w:jc w:val="both"/>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5.内部管理制度</w:t>
      </w:r>
    </w:p>
    <w:p w14:paraId="67530FE4">
      <w:pPr>
        <w:pStyle w:val="5"/>
        <w:keepNext w:val="0"/>
        <w:keepLines w:val="0"/>
        <w:pageBreakBefore w:val="0"/>
        <w:numPr>
          <w:ilvl w:val="0"/>
          <w:numId w:val="0"/>
        </w:numPr>
        <w:kinsoku/>
        <w:wordWrap w:val="0"/>
        <w:overflowPunct/>
        <w:topLinePunct w:val="0"/>
        <w:bidi w:val="0"/>
        <w:spacing w:before="78" w:line="360" w:lineRule="auto"/>
        <w:jc w:val="both"/>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6.进度保障措施</w:t>
      </w:r>
    </w:p>
    <w:p w14:paraId="6325CE49">
      <w:pPr>
        <w:pStyle w:val="5"/>
        <w:keepNext w:val="0"/>
        <w:keepLines w:val="0"/>
        <w:pageBreakBefore w:val="0"/>
        <w:numPr>
          <w:ilvl w:val="0"/>
          <w:numId w:val="0"/>
        </w:numPr>
        <w:kinsoku/>
        <w:wordWrap w:val="0"/>
        <w:overflowPunct/>
        <w:topLinePunct w:val="0"/>
        <w:bidi w:val="0"/>
        <w:spacing w:before="78" w:line="360" w:lineRule="auto"/>
        <w:jc w:val="both"/>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7.业务操作流程</w:t>
      </w:r>
    </w:p>
    <w:p w14:paraId="5CAAF4F9">
      <w:pPr>
        <w:pStyle w:val="5"/>
        <w:keepNext w:val="0"/>
        <w:keepLines w:val="0"/>
        <w:pageBreakBefore w:val="0"/>
        <w:numPr>
          <w:ilvl w:val="0"/>
          <w:numId w:val="0"/>
        </w:numPr>
        <w:kinsoku/>
        <w:wordWrap w:val="0"/>
        <w:overflowPunct/>
        <w:topLinePunct w:val="0"/>
        <w:bidi w:val="0"/>
        <w:spacing w:before="78" w:line="360" w:lineRule="auto"/>
        <w:jc w:val="both"/>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8.风险管控措施</w:t>
      </w:r>
    </w:p>
    <w:p w14:paraId="586FE557">
      <w:pPr>
        <w:pStyle w:val="5"/>
        <w:keepNext w:val="0"/>
        <w:keepLines w:val="0"/>
        <w:pageBreakBefore w:val="0"/>
        <w:numPr>
          <w:ilvl w:val="0"/>
          <w:numId w:val="0"/>
        </w:numPr>
        <w:kinsoku/>
        <w:wordWrap w:val="0"/>
        <w:overflowPunct/>
        <w:topLinePunct w:val="0"/>
        <w:bidi w:val="0"/>
        <w:spacing w:before="78" w:line="360" w:lineRule="auto"/>
        <w:jc w:val="both"/>
        <w:outlineLvl w:val="2"/>
        <w:rPr>
          <w:rFonts w:hint="default" w:asciiTheme="minorEastAsia" w:hAnsiTheme="minorEastAsia" w:eastAsiaTheme="minorEastAsia" w:cstheme="minorEastAsia"/>
          <w:spacing w:val="24"/>
          <w:sz w:val="24"/>
          <w:szCs w:val="24"/>
          <w:lang w:val="en-US"/>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z w:val="24"/>
          <w:szCs w:val="24"/>
          <w:lang w:val="en-US" w:eastAsia="zh-CN"/>
        </w:rPr>
        <w:t>9.档案管理措施</w:t>
      </w:r>
    </w:p>
    <w:p w14:paraId="2197410C">
      <w:pPr>
        <w:pStyle w:val="5"/>
        <w:keepNext w:val="0"/>
        <w:keepLines w:val="0"/>
        <w:pageBreakBefore w:val="0"/>
        <w:kinsoku/>
        <w:wordWrap w:val="0"/>
        <w:overflowPunct/>
        <w:topLinePunct w:val="0"/>
        <w:bidi w:val="0"/>
        <w:spacing w:before="78" w:line="360" w:lineRule="auto"/>
        <w:jc w:val="both"/>
        <w:outlineLvl w:val="2"/>
        <w:rPr>
          <w:rFonts w:hint="default"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5862B53D">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14:paraId="00DE50D6">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444695EC">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5C92CDE8">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B2E9712">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4FE87FCC">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4A508AF">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9BAC7D3">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2D049178">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1D5B201">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244E86F0">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81C201A">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BC9AA49">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、商务文件格式</w:t>
      </w:r>
    </w:p>
    <w:p w14:paraId="68193D9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1.响应书格式</w:t>
      </w:r>
    </w:p>
    <w:p w14:paraId="31D06B0F">
      <w:pPr>
        <w:keepNext w:val="0"/>
        <w:keepLines w:val="0"/>
        <w:pageBreakBefore w:val="0"/>
        <w:kinsoku/>
        <w:wordWrap w:val="0"/>
        <w:overflowPunct/>
        <w:topLinePunct w:val="0"/>
        <w:bidi w:val="0"/>
        <w:spacing w:line="360" w:lineRule="auto"/>
        <w:ind w:firstLine="607" w:firstLineChars="252"/>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4"/>
          <w:szCs w:val="24"/>
          <w:lang w:eastAsia="zh-CN"/>
        </w:rPr>
        <w:t>响应书</w:t>
      </w:r>
    </w:p>
    <w:p w14:paraId="6B09B8B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71B463F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致：征集人或采购代理机构</w:t>
      </w:r>
    </w:p>
    <w:p w14:paraId="3553A91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根据贵方招标编号为（）的公开招标公告，签字代表（全名、职务）经正式授权并代表供应商（供应商名称、地址）提交电子响应文件一份，并对之负法律责任。</w:t>
      </w:r>
    </w:p>
    <w:p w14:paraId="0789E25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响应文件组成资格证明文件第1至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，商务技术文件第1</w:t>
      </w:r>
      <w:r>
        <w:rPr>
          <w:rFonts w:hint="eastAsia" w:asciiTheme="minorEastAsia" w:hAnsiTheme="minorEastAsia" w:eastAsiaTheme="minorEastAsia" w:cstheme="minorEastAsia"/>
          <w:b w:val="0"/>
          <w:bCs w:val="0"/>
          <w:color w:val="auto"/>
          <w:sz w:val="24"/>
          <w:szCs w:val="24"/>
          <w:lang w:eastAsia="zh-CN"/>
        </w:rPr>
        <w:t>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w:t>
      </w:r>
    </w:p>
    <w:p w14:paraId="7340543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据此函，签字代表宣布同意如下：</w:t>
      </w:r>
    </w:p>
    <w:p w14:paraId="7BEA287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1、所附服务报价为以开标一览表为准。</w:t>
      </w:r>
    </w:p>
    <w:p w14:paraId="3B5ED6F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2、如果我们的响应书被接受，我们将履行征集文件中规定的每一项要求，按期、按质、按量履行合同。</w:t>
      </w:r>
    </w:p>
    <w:p w14:paraId="08F05B3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3、我方愿按《中华人民共和国政府采购法》和《中华人民共和国民法典》履行我方的全部责任。</w:t>
      </w:r>
    </w:p>
    <w:p w14:paraId="37E1038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4、我方已详细审查全部征集文件，包括修改文件以及全部参考资料和有关附件。我们完全理解并同意放弃对这方面有不明白及误解的权力。</w:t>
      </w:r>
    </w:p>
    <w:p w14:paraId="4F4DCB1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5、本响应自开标之日起有效期为60天。</w:t>
      </w:r>
    </w:p>
    <w:p w14:paraId="44DE88E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地址：</w:t>
      </w:r>
    </w:p>
    <w:p w14:paraId="5C6F738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电话（传真）：</w:t>
      </w:r>
    </w:p>
    <w:p w14:paraId="0F7CE20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法定代表人（负责人）或授权代表（签字）：</w:t>
      </w:r>
    </w:p>
    <w:p w14:paraId="0846F73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供应商名称（公章）：</w:t>
      </w:r>
    </w:p>
    <w:p w14:paraId="49339262">
      <w:pPr>
        <w:keepNext w:val="0"/>
        <w:keepLines w:val="0"/>
        <w:pageBreakBefore w:val="0"/>
        <w:kinsoku/>
        <w:wordWrap w:val="0"/>
        <w:overflowPunct/>
        <w:topLinePunct w:val="0"/>
        <w:bidi w:val="0"/>
        <w:spacing w:line="360" w:lineRule="auto"/>
        <w:ind w:firstLine="604" w:firstLineChars="252"/>
        <w:jc w:val="both"/>
        <w:rPr>
          <w:rFonts w:hint="default" w:asciiTheme="minorEastAsia" w:hAnsiTheme="minorEastAsia" w:eastAsiaTheme="minorEastAsia" w:cstheme="minorEastAsia"/>
          <w:sz w:val="24"/>
          <w:szCs w:val="24"/>
          <w:lang w:val="en-US" w:eastAsia="zh-CN"/>
        </w:rPr>
        <w:sectPr>
          <w:headerReference r:id="rId14" w:type="default"/>
          <w:footerReference r:id="rId15" w:type="default"/>
          <w:pgSz w:w="11907" w:h="16840"/>
          <w:pgMar w:top="1800" w:right="1440" w:bottom="1800" w:left="1440" w:header="851" w:footer="992" w:gutter="0"/>
          <w:pgNumType w:fmt="decimal"/>
          <w:cols w:space="720" w:num="1"/>
          <w:docGrid w:linePitch="332" w:charSpace="0"/>
        </w:sectPr>
      </w:pPr>
      <w:r>
        <w:rPr>
          <w:rFonts w:hint="eastAsia" w:asciiTheme="minorEastAsia" w:hAnsiTheme="minorEastAsia" w:eastAsiaTheme="minorEastAsia" w:cstheme="minorEastAsia"/>
          <w:b w:val="0"/>
          <w:bCs w:val="0"/>
          <w:sz w:val="24"/>
          <w:szCs w:val="24"/>
          <w:lang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lang w:val="en-US" w:eastAsia="zh-CN"/>
        </w:rPr>
        <w:t>日</w:t>
      </w:r>
    </w:p>
    <w:p w14:paraId="2E9D2EAD">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lang w:val="en-US" w:eastAsia="zh-CN"/>
          <w14:textFill>
            <w14:solidFill>
              <w14:schemeClr w14:val="tx1"/>
            </w14:solidFill>
          </w14:textFill>
        </w:rPr>
        <w:t>2.项目负责人（主评人）及拟派项目团队成员、具备的专业能力及证书等；（以上均须附相关证明材料）</w:t>
      </w:r>
    </w:p>
    <w:p w14:paraId="7410539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lang w:eastAsia="zh-CN"/>
        </w:rPr>
        <w:t>商务偏差表格式</w:t>
      </w:r>
    </w:p>
    <w:p w14:paraId="5D7201A9">
      <w:pPr>
        <w:keepNext w:val="0"/>
        <w:keepLines w:val="0"/>
        <w:pageBreakBefore w:val="0"/>
        <w:kinsoku/>
        <w:wordWrap w:val="0"/>
        <w:overflowPunct/>
        <w:topLinePunct w:val="0"/>
        <w:bidi w:val="0"/>
        <w:ind w:firstLine="482"/>
        <w:jc w:val="both"/>
        <w:rPr>
          <w:rFonts w:hint="eastAsia" w:asciiTheme="minorEastAsia" w:hAnsiTheme="minorEastAsia" w:eastAsiaTheme="minorEastAsia" w:cstheme="minorEastAsia"/>
          <w:b/>
          <w:sz w:val="24"/>
          <w:szCs w:val="24"/>
          <w:lang w:eastAsia="zh-CN"/>
        </w:rPr>
      </w:pPr>
    </w:p>
    <w:p w14:paraId="491043FF">
      <w:pPr>
        <w:keepNext w:val="0"/>
        <w:keepLines w:val="0"/>
        <w:pageBreakBefore w:val="0"/>
        <w:kinsoku/>
        <w:wordWrap w:val="0"/>
        <w:overflowPunct/>
        <w:topLinePunct w:val="0"/>
        <w:bidi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商务偏差表</w:t>
      </w:r>
    </w:p>
    <w:p w14:paraId="6B0FF52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429DD8C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项目名称：项目编号：</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73D4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14:paraId="496E785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14:paraId="6527AF3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征集文件</w:t>
            </w:r>
          </w:p>
          <w:p w14:paraId="6E8AEF4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14:paraId="5103054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响应文件商务条款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2155C77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54B44C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14:paraId="172A3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13960E8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4375745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59D9DD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E93B8A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35B6F8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11E2A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3B6928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4F5F6CE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4C64F1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1C0AB8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83421C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464C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A4A374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AFFB3C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517F57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04A796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466754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8F8F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71776A9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8297B4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48808C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73BA87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E22B4E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B9B4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20AD3EB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0D1869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1E1666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72B3C1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BAB2D2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4070B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40FC5C1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82D53B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73A9F58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5DDE73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9FCB85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DFB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F63DC7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BA9088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7221B3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2368C4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96ED4E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EF9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7CC67BD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E88062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D324E5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F8EBD2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7E65C8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B541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56DE81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5FDDF5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DC53AF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2514FF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76F6FC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42170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2790F0C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81B9C0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C71D70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994E7F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3E6BD1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4815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CDD7D5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4C49761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7D656E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2A1B4C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D48696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bl>
    <w:p w14:paraId="3A58120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供应商（公章）：法定代表人（负责人）或授权代表（签字）：</w:t>
      </w:r>
    </w:p>
    <w:p w14:paraId="0CA8525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日期</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79E641F0">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48958004">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4EBDDF8B">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32DC860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
          <w:sz w:val="24"/>
          <w:szCs w:val="24"/>
          <w:lang w:val="en-US" w:eastAsia="zh-CN"/>
        </w:rPr>
        <w:t>4.</w:t>
      </w:r>
      <w:r>
        <w:rPr>
          <w:rFonts w:hint="eastAsia" w:asciiTheme="minorEastAsia" w:hAnsiTheme="minorEastAsia" w:eastAsiaTheme="minorEastAsia" w:cstheme="minorEastAsia"/>
          <w:b/>
          <w:sz w:val="24"/>
          <w:szCs w:val="24"/>
          <w:lang w:eastAsia="zh-CN"/>
        </w:rPr>
        <w:t>供应商业绩</w:t>
      </w:r>
    </w:p>
    <w:p w14:paraId="56008522">
      <w:pPr>
        <w:pStyle w:val="5"/>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r>
        <w:rPr>
          <w:rFonts w:hint="eastAsia" w:eastAsia="Arial" w:cs="Arial"/>
          <w:b/>
          <w:snapToGrid w:val="0"/>
          <w:color w:val="000000"/>
          <w:kern w:val="0"/>
          <w:sz w:val="24"/>
          <w:szCs w:val="24"/>
          <w:lang w:val="en-US" w:eastAsia="zh-CN" w:bidi="ar-SA"/>
        </w:rPr>
        <w:t>5</w:t>
      </w:r>
      <w:r>
        <w:rPr>
          <w:rFonts w:hint="eastAsia" w:ascii="宋体" w:hAnsi="宋体" w:eastAsia="Arial" w:cs="Arial"/>
          <w:b/>
          <w:snapToGrid w:val="0"/>
          <w:color w:val="000000"/>
          <w:kern w:val="0"/>
          <w:sz w:val="24"/>
          <w:szCs w:val="24"/>
          <w:lang w:val="en-US" w:eastAsia="zh-CN" w:bidi="ar-SA"/>
        </w:rPr>
        <w:t>.中小企业、监狱企业或残疾人福利性单位声明函</w:t>
      </w:r>
      <w:r>
        <w:rPr>
          <w:rFonts w:hint="eastAsia" w:eastAsia="Arial" w:cs="Arial"/>
          <w:b/>
          <w:snapToGrid w:val="0"/>
          <w:color w:val="000000"/>
          <w:kern w:val="0"/>
          <w:sz w:val="24"/>
          <w:szCs w:val="24"/>
          <w:lang w:val="en-US" w:eastAsia="zh-CN" w:bidi="ar-SA"/>
        </w:rPr>
        <w:t>（对于专门面向中小企业采购的项目必须提供，不专门面向的项目可选择提供）</w:t>
      </w:r>
    </w:p>
    <w:p w14:paraId="5227B6CB">
      <w:pPr>
        <w:pStyle w:val="21"/>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2"/>
          <w:sz w:val="36"/>
          <w:szCs w:val="36"/>
          <w14:textOutline w14:w="2306" w14:cap="flat" w14:cmpd="sng">
            <w14:solidFill>
              <w14:srgbClr w14:val="000000"/>
            </w14:solidFill>
            <w14:prstDash w14:val="solid"/>
            <w14:miter w14:val="0"/>
          </w14:textOutline>
        </w:rPr>
        <w:t>中小企业声明函（服务）格式</w:t>
      </w:r>
    </w:p>
    <w:p w14:paraId="415D0FC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183A226F">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sz w:val="24"/>
          <w:szCs w:val="24"/>
        </w:rPr>
        <w:t>库﹝2020﹞46 号）</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0"/>
          <w:sz w:val="24"/>
          <w:szCs w:val="24"/>
        </w:rPr>
        <w:t>的规定，本公司（联合体）参加（单位名称）</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10"/>
          <w:sz w:val="24"/>
          <w:szCs w:val="24"/>
        </w:rPr>
        <w:t>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采购活动，工程的施工单位全部为符合政策要求</w:t>
      </w:r>
      <w:r>
        <w:rPr>
          <w:rFonts w:hint="eastAsia" w:asciiTheme="minorEastAsia" w:hAnsiTheme="minorEastAsia" w:eastAsiaTheme="minorEastAsia" w:cstheme="minorEastAsia"/>
          <w:spacing w:val="11"/>
          <w:sz w:val="24"/>
          <w:szCs w:val="24"/>
        </w:rPr>
        <w:t>的中小企业（或者：服务全部由符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合政策要求的中小企业承接）。相关企业（含联合体中的中小企业</w:t>
      </w:r>
      <w:r>
        <w:rPr>
          <w:rFonts w:hint="eastAsia" w:asciiTheme="minorEastAsia" w:hAnsiTheme="minorEastAsia" w:eastAsiaTheme="minorEastAsia" w:cstheme="minorEastAsia"/>
          <w:spacing w:val="4"/>
          <w:sz w:val="24"/>
          <w:szCs w:val="24"/>
        </w:rPr>
        <w:t>、签订分包意向协</w:t>
      </w:r>
    </w:p>
    <w:p w14:paraId="6B2E7E1E">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议的中小企业）</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6"/>
          <w:sz w:val="24"/>
          <w:szCs w:val="24"/>
        </w:rPr>
        <w:t>的具体情况如下：</w:t>
      </w:r>
    </w:p>
    <w:p w14:paraId="6B15C511">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w:t>
      </w:r>
      <w:r>
        <w:rPr>
          <w:rFonts w:hint="eastAsia" w:asciiTheme="minorEastAsia" w:hAnsiTheme="minorEastAsia" w:eastAsiaTheme="minorEastAsia" w:cstheme="minorEastAsia"/>
          <w:spacing w:val="7"/>
          <w:sz w:val="24"/>
          <w:szCs w:val="24"/>
        </w:rPr>
        <w:t>（承接）企业</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8"/>
          <w:sz w:val="24"/>
          <w:szCs w:val="24"/>
        </w:rPr>
        <w:t>万元</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8"/>
          <w:position w:val="6"/>
          <w:sz w:val="16"/>
          <w:szCs w:val="16"/>
        </w:rPr>
        <w:t>1</w:t>
      </w:r>
      <w:r>
        <w:rPr>
          <w:rFonts w:hint="eastAsia" w:asciiTheme="minorEastAsia" w:hAnsiTheme="minorEastAsia" w:eastAsiaTheme="minorEastAsia" w:cstheme="minorEastAsia"/>
          <w:spacing w:val="-12"/>
          <w:position w:val="6"/>
          <w:sz w:val="16"/>
          <w:szCs w:val="16"/>
        </w:rPr>
        <w:t xml:space="preserve"> </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（中型企业、小型企业、微型企业</w:t>
      </w:r>
      <w:r>
        <w:rPr>
          <w:rFonts w:hint="eastAsia" w:asciiTheme="minorEastAsia" w:hAnsiTheme="minorEastAsia" w:eastAsiaTheme="minorEastAsia" w:cstheme="minorEastAsia"/>
          <w:spacing w:val="-50"/>
          <w:sz w:val="24"/>
          <w:szCs w:val="24"/>
          <w:u w:val="single" w:color="auto"/>
        </w:rPr>
        <w:t>）</w:t>
      </w:r>
      <w:r>
        <w:rPr>
          <w:rFonts w:hint="eastAsia" w:asciiTheme="minorEastAsia" w:hAnsiTheme="minorEastAsia" w:eastAsiaTheme="minorEastAsia" w:cstheme="minorEastAsia"/>
          <w:spacing w:val="-50"/>
          <w:sz w:val="24"/>
          <w:szCs w:val="24"/>
        </w:rPr>
        <w:t>；</w:t>
      </w:r>
    </w:p>
    <w:p w14:paraId="556EFE5D">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行业；承建（承接）企业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0"/>
          <w:sz w:val="24"/>
          <w:szCs w:val="24"/>
        </w:rPr>
        <w:t>万元，属于</w:t>
      </w:r>
      <w:r>
        <w:rPr>
          <w:rFonts w:hint="eastAsia" w:asciiTheme="minorEastAsia" w:hAnsiTheme="minorEastAsia" w:eastAsiaTheme="minorEastAsia" w:cstheme="minorEastAsia"/>
          <w:spacing w:val="10"/>
          <w:sz w:val="24"/>
          <w:szCs w:val="24"/>
          <w:u w:val="single" w:color="auto"/>
        </w:rPr>
        <w:t>（中型企业、小型企业、微型企业</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p>
    <w:p w14:paraId="04C5ED8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106F73F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14:paraId="4AB2A9D4">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24" w:firstLineChars="200"/>
        <w:jc w:val="both"/>
        <w:textAlignment w:val="baseline"/>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position w:val="17"/>
          <w:sz w:val="24"/>
          <w:szCs w:val="24"/>
        </w:rPr>
        <w:t>以上企业，不属于大企业的分支机构，不存在控股股东</w:t>
      </w:r>
      <w:r>
        <w:rPr>
          <w:rFonts w:hint="eastAsia" w:asciiTheme="minorEastAsia" w:hAnsiTheme="minorEastAsia" w:eastAsiaTheme="minorEastAsia" w:cstheme="minorEastAsia"/>
          <w:spacing w:val="10"/>
          <w:position w:val="17"/>
          <w:sz w:val="24"/>
          <w:szCs w:val="24"/>
        </w:rPr>
        <w:t>为大企业的情形，也</w:t>
      </w:r>
      <w:r>
        <w:rPr>
          <w:rFonts w:hint="eastAsia" w:asciiTheme="minorEastAsia" w:hAnsiTheme="minorEastAsia" w:eastAsiaTheme="minorEastAsia" w:cstheme="minorEastAsia"/>
          <w:spacing w:val="10"/>
          <w:position w:val="17"/>
          <w:sz w:val="24"/>
          <w:szCs w:val="24"/>
          <w:lang w:val="en-US" w:eastAsia="zh-CN"/>
        </w:rPr>
        <w:t>不存在与大企业的负责让你为同一人的情形。</w:t>
      </w:r>
    </w:p>
    <w:p w14:paraId="4429CD85">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本企业对上述声明内容的真实性负责。如有虚假，将依法承担相应责任。</w:t>
      </w:r>
    </w:p>
    <w:p w14:paraId="30C6B71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17358AE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85FC70A">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u w:val="single" w:color="auto"/>
        </w:rPr>
        <w:t xml:space="preserve">         </w:t>
      </w:r>
    </w:p>
    <w:p w14:paraId="309FEB7E">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578FD1A5">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lang w:val="en-US" w:eastAsia="zh-CN"/>
        </w:rPr>
      </w:pPr>
    </w:p>
    <w:p w14:paraId="6A6C2038">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5"/>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p>
    <w:p w14:paraId="08A6ADAF">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pPr>
    </w:p>
    <w:p w14:paraId="0C589BE0">
      <w:pPr>
        <w:rPr>
          <w:rFonts w:hint="eastAsia"/>
        </w:rPr>
      </w:pPr>
    </w:p>
    <w:p w14:paraId="4DA5D733">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pPr>
    </w:p>
    <w:p w14:paraId="4999C46A">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t>残疾人福利性单位声明函格式</w:t>
      </w:r>
    </w:p>
    <w:p w14:paraId="3A31DA5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347CF7D7">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14:paraId="2CDEFD39">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14:paraId="7971A1BA">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14:paraId="481EA6C7">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且本单位参加单位的项目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14:paraId="2F64DB4A">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14:paraId="6302F65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0BA3685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6BD54C9E">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14:paraId="1526BCA4">
      <w:pPr>
        <w:keepNext w:val="0"/>
        <w:keepLines w:val="0"/>
        <w:pageBreakBefore w:val="0"/>
        <w:widowControl w:val="0"/>
        <w:kinsoku/>
        <w:wordWrap w:val="0"/>
        <w:overflowPunct/>
        <w:topLinePunct w:val="0"/>
        <w:autoSpaceDE w:val="0"/>
        <w:autoSpaceDN w:val="0"/>
        <w:bidi w:val="0"/>
        <w:adjustRightInd w:val="0"/>
        <w:spacing w:line="360" w:lineRule="auto"/>
        <w:ind w:firstLine="5152" w:firstLineChars="23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39969F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2F2E55E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16C4E22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523D547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B3F3B8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67C56DE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103D5EE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745542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05B6AE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6B98AA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6D8E9B4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t>监狱企业声明函格式</w:t>
      </w:r>
    </w:p>
    <w:p w14:paraId="752ED1B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18F8A4F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10A958E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14:paraId="4F3EA9BE">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p>
    <w:p w14:paraId="05C2CDBE">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企业名称（盖章）： </w:t>
      </w:r>
    </w:p>
    <w:p w14:paraId="1A074632">
      <w:pPr>
        <w:keepNext w:val="0"/>
        <w:keepLines w:val="0"/>
        <w:pageBreakBefore w:val="0"/>
        <w:kinsoku/>
        <w:wordWrap w:val="0"/>
        <w:overflowPunct/>
        <w:topLinePunct w:val="0"/>
        <w:bidi w:val="0"/>
        <w:spacing w:line="360" w:lineRule="auto"/>
        <w:ind w:firstLine="4320" w:firstLineChars="18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0ED2610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en-US" w:bidi="ar-SA"/>
        </w:rPr>
      </w:pPr>
      <w:r>
        <w:rPr>
          <w:rFonts w:hint="eastAsia" w:asciiTheme="minorEastAsia" w:hAnsiTheme="minorEastAsia" w:eastAsiaTheme="minorEastAsia" w:cstheme="minorEastAsia"/>
          <w:b/>
          <w:bCs/>
          <w:snapToGrid w:val="0"/>
          <w:color w:val="000000"/>
          <w:spacing w:val="8"/>
          <w:kern w:val="0"/>
          <w:position w:val="26"/>
          <w:sz w:val="24"/>
          <w:szCs w:val="24"/>
          <w:lang w:val="en-US" w:eastAsia="zh-CN" w:bidi="ar-SA"/>
        </w:rPr>
        <w:t>6.征集文件要求的其它材料及供应商认为有必要提供的材料</w:t>
      </w:r>
    </w:p>
    <w:sectPr>
      <w:headerReference r:id="rId16" w:type="default"/>
      <w:footerReference r:id="rId17"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ACB36">
    <w:pPr>
      <w:spacing w:line="189" w:lineRule="auto"/>
      <w:rPr>
        <w:rFonts w:ascii="Arial" w:hAnsi="Arial" w:eastAsia="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491C9">
    <w:pPr>
      <w:spacing w:line="189" w:lineRule="auto"/>
      <w:rPr>
        <w:rFonts w:ascii="Arial" w:hAnsi="Arial" w:eastAsia="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3ABE4">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E041D">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DE041D">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34A79">
    <w:pPr>
      <w:pStyle w:val="31"/>
      <w:jc w:val="right"/>
      <w:rPr>
        <w:rFonts w:ascii="宋体"/>
        <w:sz w:val="2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14:paraId="1D45A857">
                          <w:pPr>
                            <w:pStyle w:val="31"/>
                            <w:jc w:val="right"/>
                            <w:rPr>
                              <w:rFonts w:hint="eastAsia" w:ascii="宋体" w:hAnsi="宋体" w:eastAsia="宋体" w:cs="宋体"/>
                              <w:szCs w:val="18"/>
                            </w:rPr>
                          </w:pPr>
                          <w:r>
                            <w:rPr>
                              <w:rFonts w:hint="eastAsia" w:ascii="宋体" w:hAnsi="宋体" w:eastAsia="宋体" w:cs="宋体"/>
                              <w:szCs w:val="18"/>
                            </w:rPr>
                            <w:fldChar w:fldCharType="begin"/>
                          </w:r>
                          <w:r>
                            <w:rPr>
                              <w:rFonts w:hint="eastAsia" w:ascii="宋体" w:hAnsi="宋体" w:eastAsia="宋体" w:cs="宋体"/>
                              <w:szCs w:val="18"/>
                            </w:rPr>
                            <w:instrText xml:space="preserve"> PAGE  \* MERGEFORMAT </w:instrText>
                          </w:r>
                          <w:r>
                            <w:rPr>
                              <w:rFonts w:hint="eastAsia" w:ascii="宋体" w:hAnsi="宋体" w:eastAsia="宋体" w:cs="宋体"/>
                              <w:szCs w:val="18"/>
                            </w:rPr>
                            <w:fldChar w:fldCharType="separate"/>
                          </w:r>
                          <w:r>
                            <w:rPr>
                              <w:rFonts w:ascii="宋体" w:hAnsi="宋体" w:eastAsia="宋体" w:cs="宋体"/>
                              <w:szCs w:val="18"/>
                            </w:rPr>
                            <w:t>8</w:t>
                          </w:r>
                          <w:r>
                            <w:rPr>
                              <w:rFonts w:hint="eastAsia" w:ascii="宋体" w:hAnsi="宋体" w:eastAsia="宋体" w:cs="宋体"/>
                              <w:szCs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60288;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6W/D9EAAAADAQAADwAAAAAAAAABACAAAAAiAAAAZHJzL2Rv&#10;d25yZXYueG1sUEsBAhQAFAAAAAgAh07iQAsV1wDPAQAAlwMAAA4AAAAAAAAAAQAgAAAAIAEAAGRy&#10;cy9lMm9Eb2MueG1sUEsFBgAAAAAGAAYAWQEAAGEFAAAAAA==&#10;">
              <v:fill on="f" focussize="0,0"/>
              <v:stroke on="f"/>
              <v:imagedata o:title=""/>
              <o:lock v:ext="edit" aspectratio="f"/>
              <v:textbox inset="0mm,0mm,0mm,0mm" style="mso-fit-shape-to-text:t;">
                <w:txbxContent>
                  <w:p w14:paraId="1D45A857">
                    <w:pPr>
                      <w:pStyle w:val="31"/>
                      <w:jc w:val="right"/>
                      <w:rPr>
                        <w:rFonts w:hint="eastAsia" w:ascii="宋体" w:hAnsi="宋体" w:eastAsia="宋体" w:cs="宋体"/>
                        <w:szCs w:val="18"/>
                      </w:rPr>
                    </w:pPr>
                    <w:r>
                      <w:rPr>
                        <w:rFonts w:hint="eastAsia" w:ascii="宋体" w:hAnsi="宋体" w:eastAsia="宋体" w:cs="宋体"/>
                        <w:szCs w:val="18"/>
                      </w:rPr>
                      <w:fldChar w:fldCharType="begin"/>
                    </w:r>
                    <w:r>
                      <w:rPr>
                        <w:rFonts w:hint="eastAsia" w:ascii="宋体" w:hAnsi="宋体" w:eastAsia="宋体" w:cs="宋体"/>
                        <w:szCs w:val="18"/>
                      </w:rPr>
                      <w:instrText xml:space="preserve"> PAGE  \* MERGEFORMAT </w:instrText>
                    </w:r>
                    <w:r>
                      <w:rPr>
                        <w:rFonts w:hint="eastAsia" w:ascii="宋体" w:hAnsi="宋体" w:eastAsia="宋体" w:cs="宋体"/>
                        <w:szCs w:val="18"/>
                      </w:rPr>
                      <w:fldChar w:fldCharType="separate"/>
                    </w:r>
                    <w:r>
                      <w:rPr>
                        <w:rFonts w:ascii="宋体" w:hAnsi="宋体" w:eastAsia="宋体" w:cs="宋体"/>
                        <w:szCs w:val="18"/>
                      </w:rPr>
                      <w:t>8</w:t>
                    </w:r>
                    <w:r>
                      <w:rPr>
                        <w:rFonts w:hint="eastAsia" w:ascii="宋体" w:hAnsi="宋体" w:eastAsia="宋体" w:cs="宋体"/>
                        <w:szCs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F2B9E">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573A2D">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1573A2D">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66AA7">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1FAF85">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81FAF85">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161B3">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DAA2C0">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0DAA2C0">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E4185">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7424C">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547424C">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E27B1">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156FD">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D22FE">
    <w:pPr>
      <w:pStyle w:val="1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0288F">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6E85F">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D5771"/>
    <w:multiLevelType w:val="singleLevel"/>
    <w:tmpl w:val="B3ED5771"/>
    <w:lvl w:ilvl="0" w:tentative="0">
      <w:start w:val="1"/>
      <w:numFmt w:val="decimal"/>
      <w:suff w:val="nothing"/>
      <w:lvlText w:val="（%1）"/>
      <w:lvlJc w:val="left"/>
    </w:lvl>
  </w:abstractNum>
  <w:abstractNum w:abstractNumId="1">
    <w:nsid w:val="E8B0BC76"/>
    <w:multiLevelType w:val="singleLevel"/>
    <w:tmpl w:val="E8B0BC76"/>
    <w:lvl w:ilvl="0" w:tentative="0">
      <w:start w:val="4"/>
      <w:numFmt w:val="chineseCounting"/>
      <w:suff w:val="space"/>
      <w:lvlText w:val="第%1条"/>
      <w:lvlJc w:val="left"/>
      <w:rPr>
        <w:rFonts w:hint="eastAsia"/>
      </w:rPr>
    </w:lvl>
  </w:abstractNum>
  <w:abstractNum w:abstractNumId="2">
    <w:nsid w:val="36D0A5F3"/>
    <w:multiLevelType w:val="singleLevel"/>
    <w:tmpl w:val="36D0A5F3"/>
    <w:lvl w:ilvl="0" w:tentative="0">
      <w:start w:val="5"/>
      <w:numFmt w:val="chineseCounting"/>
      <w:suff w:val="space"/>
      <w:lvlText w:val="第%1章"/>
      <w:lvlJc w:val="left"/>
      <w:rPr>
        <w:rFonts w:hint="eastAsia"/>
      </w:rPr>
    </w:lvl>
  </w:abstractNum>
  <w:abstractNum w:abstractNumId="3">
    <w:nsid w:val="541836FF"/>
    <w:multiLevelType w:val="singleLevel"/>
    <w:tmpl w:val="541836FF"/>
    <w:lvl w:ilvl="0" w:tentative="0">
      <w:start w:val="11"/>
      <w:numFmt w:val="decimal"/>
      <w:lvlText w:val="%1."/>
      <w:lvlJc w:val="left"/>
      <w:pPr>
        <w:tabs>
          <w:tab w:val="left" w:pos="312"/>
        </w:tabs>
      </w:pPr>
    </w:lvl>
  </w:abstractNum>
  <w:abstractNum w:abstractNumId="4">
    <w:nsid w:val="5D7BE5FA"/>
    <w:multiLevelType w:val="singleLevel"/>
    <w:tmpl w:val="5D7BE5FA"/>
    <w:lvl w:ilvl="0" w:tentative="0">
      <w:start w:val="1"/>
      <w:numFmt w:val="decimal"/>
      <w:suff w:val="nothing"/>
      <w:lvlText w:val="%1、"/>
      <w:lvlJc w:val="left"/>
    </w:lvl>
  </w:abstractNum>
  <w:abstractNum w:abstractNumId="5">
    <w:nsid w:val="68B948D7"/>
    <w:multiLevelType w:val="singleLevel"/>
    <w:tmpl w:val="68B948D7"/>
    <w:lvl w:ilvl="0" w:tentative="0">
      <w:start w:val="1"/>
      <w:numFmt w:val="chineseCounting"/>
      <w:suff w:val="nothing"/>
      <w:lvlText w:val="%1、"/>
      <w:lvlJc w:val="left"/>
      <w:rPr>
        <w:rFonts w:hint="eastAsia"/>
      </w:rPr>
    </w:lvl>
  </w:abstractNum>
  <w:abstractNum w:abstractNumId="6">
    <w:nsid w:val="7159AD3A"/>
    <w:multiLevelType w:val="singleLevel"/>
    <w:tmpl w:val="7159AD3A"/>
    <w:lvl w:ilvl="0" w:tentative="0">
      <w:start w:val="2"/>
      <w:numFmt w:val="decimal"/>
      <w:suff w:val="nothing"/>
      <w:lvlText w:val="%1、"/>
      <w:lvlJc w:val="left"/>
    </w:lvl>
  </w:abstractNum>
  <w:abstractNum w:abstractNumId="7">
    <w:nsid w:val="77F29011"/>
    <w:multiLevelType w:val="singleLevel"/>
    <w:tmpl w:val="77F29011"/>
    <w:lvl w:ilvl="0" w:tentative="0">
      <w:start w:val="2"/>
      <w:numFmt w:val="chineseCounting"/>
      <w:suff w:val="nothing"/>
      <w:lvlText w:val="（%1）"/>
      <w:lvlJc w:val="left"/>
      <w:rPr>
        <w:rFonts w:hint="eastAsia"/>
      </w:rPr>
    </w:lvl>
  </w:abstractNum>
  <w:num w:numId="1">
    <w:abstractNumId w:val="7"/>
  </w:num>
  <w:num w:numId="2">
    <w:abstractNumId w:val="4"/>
  </w:num>
  <w:num w:numId="3">
    <w:abstractNumId w:val="0"/>
  </w:num>
  <w:num w:numId="4">
    <w:abstractNumId w:val="5"/>
  </w:num>
  <w:num w:numId="5">
    <w:abstractNumId w:val="2"/>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DU5ODFjOGEyNWRlYTNkMjA0OTNkYmM2YTBlNjc3YTEifQ=="/>
  </w:docVars>
  <w:rsids>
    <w:rsidRoot w:val="00000000"/>
    <w:rsid w:val="0096273C"/>
    <w:rsid w:val="00D24FF0"/>
    <w:rsid w:val="014E35A1"/>
    <w:rsid w:val="023E759B"/>
    <w:rsid w:val="027730B6"/>
    <w:rsid w:val="02B11699"/>
    <w:rsid w:val="02FA03F5"/>
    <w:rsid w:val="03217B69"/>
    <w:rsid w:val="03A74512"/>
    <w:rsid w:val="03C26B83"/>
    <w:rsid w:val="03CC315E"/>
    <w:rsid w:val="03DF5A69"/>
    <w:rsid w:val="043020CF"/>
    <w:rsid w:val="044921B6"/>
    <w:rsid w:val="04685E24"/>
    <w:rsid w:val="046E59EF"/>
    <w:rsid w:val="050D556D"/>
    <w:rsid w:val="05234F67"/>
    <w:rsid w:val="05545C1C"/>
    <w:rsid w:val="055748A3"/>
    <w:rsid w:val="05751C1B"/>
    <w:rsid w:val="059A3EA8"/>
    <w:rsid w:val="06593C39"/>
    <w:rsid w:val="06787E06"/>
    <w:rsid w:val="06AF4861"/>
    <w:rsid w:val="06B0495B"/>
    <w:rsid w:val="06C93A28"/>
    <w:rsid w:val="06E37C8B"/>
    <w:rsid w:val="06FC4B75"/>
    <w:rsid w:val="072C2E4D"/>
    <w:rsid w:val="076721B4"/>
    <w:rsid w:val="08CB596A"/>
    <w:rsid w:val="092D385C"/>
    <w:rsid w:val="09684744"/>
    <w:rsid w:val="09A129E2"/>
    <w:rsid w:val="09CC6764"/>
    <w:rsid w:val="09E3271C"/>
    <w:rsid w:val="0A29644D"/>
    <w:rsid w:val="0A437032"/>
    <w:rsid w:val="0A633B33"/>
    <w:rsid w:val="0AB46C2A"/>
    <w:rsid w:val="0ABC7CF1"/>
    <w:rsid w:val="0ABE6FC5"/>
    <w:rsid w:val="0AD86A92"/>
    <w:rsid w:val="0B3B7AF5"/>
    <w:rsid w:val="0B3C24F6"/>
    <w:rsid w:val="0BC76E66"/>
    <w:rsid w:val="0BF0521B"/>
    <w:rsid w:val="0C2A5CE1"/>
    <w:rsid w:val="0CB101B0"/>
    <w:rsid w:val="0CBD4DA7"/>
    <w:rsid w:val="0CF900A3"/>
    <w:rsid w:val="0DA859D3"/>
    <w:rsid w:val="0DCD726B"/>
    <w:rsid w:val="0DD30B7C"/>
    <w:rsid w:val="0DF93BBD"/>
    <w:rsid w:val="0E307EEE"/>
    <w:rsid w:val="0EE83F9D"/>
    <w:rsid w:val="0F0D035A"/>
    <w:rsid w:val="0FB87AA7"/>
    <w:rsid w:val="0FE34B24"/>
    <w:rsid w:val="102C0845"/>
    <w:rsid w:val="104F3F68"/>
    <w:rsid w:val="10B145AD"/>
    <w:rsid w:val="115A7068"/>
    <w:rsid w:val="117D2D56"/>
    <w:rsid w:val="11B43A6A"/>
    <w:rsid w:val="11B5429E"/>
    <w:rsid w:val="122675E2"/>
    <w:rsid w:val="12417927"/>
    <w:rsid w:val="125C25AB"/>
    <w:rsid w:val="126E021D"/>
    <w:rsid w:val="12C549DA"/>
    <w:rsid w:val="12D9220E"/>
    <w:rsid w:val="12FD5FFB"/>
    <w:rsid w:val="1380268A"/>
    <w:rsid w:val="13C5707D"/>
    <w:rsid w:val="13F07810"/>
    <w:rsid w:val="140E658A"/>
    <w:rsid w:val="1446371A"/>
    <w:rsid w:val="146A5814"/>
    <w:rsid w:val="14EC3DCF"/>
    <w:rsid w:val="14F37C6D"/>
    <w:rsid w:val="15037E2D"/>
    <w:rsid w:val="156B2323"/>
    <w:rsid w:val="15803BE3"/>
    <w:rsid w:val="15AC3C0A"/>
    <w:rsid w:val="15B05882"/>
    <w:rsid w:val="15B8507C"/>
    <w:rsid w:val="15E04F64"/>
    <w:rsid w:val="164A7458"/>
    <w:rsid w:val="164E3CA4"/>
    <w:rsid w:val="16B163CA"/>
    <w:rsid w:val="16F45CE8"/>
    <w:rsid w:val="16FC049F"/>
    <w:rsid w:val="174C193E"/>
    <w:rsid w:val="179B0D80"/>
    <w:rsid w:val="17B27393"/>
    <w:rsid w:val="181B6E25"/>
    <w:rsid w:val="183D23CB"/>
    <w:rsid w:val="18510AEB"/>
    <w:rsid w:val="18610CDC"/>
    <w:rsid w:val="19161B44"/>
    <w:rsid w:val="19723E0D"/>
    <w:rsid w:val="19D46BD3"/>
    <w:rsid w:val="19E260C0"/>
    <w:rsid w:val="1A302F49"/>
    <w:rsid w:val="1A464AA0"/>
    <w:rsid w:val="1A6B22E0"/>
    <w:rsid w:val="1AAC0209"/>
    <w:rsid w:val="1AC47924"/>
    <w:rsid w:val="1AF57E02"/>
    <w:rsid w:val="1B4F168F"/>
    <w:rsid w:val="1B6F0841"/>
    <w:rsid w:val="1D391455"/>
    <w:rsid w:val="1D72498F"/>
    <w:rsid w:val="1D9D7C75"/>
    <w:rsid w:val="1DDB508D"/>
    <w:rsid w:val="1E0754FF"/>
    <w:rsid w:val="1E2712E1"/>
    <w:rsid w:val="1E7249AF"/>
    <w:rsid w:val="1F8737CC"/>
    <w:rsid w:val="1FE61854"/>
    <w:rsid w:val="1FF31541"/>
    <w:rsid w:val="20670E5A"/>
    <w:rsid w:val="20F10837"/>
    <w:rsid w:val="210939CE"/>
    <w:rsid w:val="212D6A29"/>
    <w:rsid w:val="217E2260"/>
    <w:rsid w:val="21DC7625"/>
    <w:rsid w:val="21E33D7D"/>
    <w:rsid w:val="21EF55AB"/>
    <w:rsid w:val="22937C80"/>
    <w:rsid w:val="22E737AC"/>
    <w:rsid w:val="23C6058D"/>
    <w:rsid w:val="23D34A58"/>
    <w:rsid w:val="24C8734D"/>
    <w:rsid w:val="24E94D19"/>
    <w:rsid w:val="25052271"/>
    <w:rsid w:val="255045B2"/>
    <w:rsid w:val="256253DA"/>
    <w:rsid w:val="25722260"/>
    <w:rsid w:val="257A4289"/>
    <w:rsid w:val="25A83616"/>
    <w:rsid w:val="25D07317"/>
    <w:rsid w:val="260373D2"/>
    <w:rsid w:val="263A5FE5"/>
    <w:rsid w:val="265713EE"/>
    <w:rsid w:val="266177F8"/>
    <w:rsid w:val="26734FA1"/>
    <w:rsid w:val="275A6F9B"/>
    <w:rsid w:val="27EF7E63"/>
    <w:rsid w:val="27F6032D"/>
    <w:rsid w:val="2944096C"/>
    <w:rsid w:val="29462E99"/>
    <w:rsid w:val="29C94933"/>
    <w:rsid w:val="29EF5E58"/>
    <w:rsid w:val="2A5E573D"/>
    <w:rsid w:val="2A870159"/>
    <w:rsid w:val="2ABA04F6"/>
    <w:rsid w:val="2AD7512C"/>
    <w:rsid w:val="2B296C36"/>
    <w:rsid w:val="2B32017A"/>
    <w:rsid w:val="2B4C1378"/>
    <w:rsid w:val="2B6A4948"/>
    <w:rsid w:val="2BD35370"/>
    <w:rsid w:val="2CB368C6"/>
    <w:rsid w:val="2CE542E8"/>
    <w:rsid w:val="2D4C797B"/>
    <w:rsid w:val="2D854259"/>
    <w:rsid w:val="2DB54B23"/>
    <w:rsid w:val="2DD5743D"/>
    <w:rsid w:val="2DF6291A"/>
    <w:rsid w:val="2E037ECE"/>
    <w:rsid w:val="2E123636"/>
    <w:rsid w:val="2EDE4089"/>
    <w:rsid w:val="2F01691D"/>
    <w:rsid w:val="2F795793"/>
    <w:rsid w:val="2F7E5B21"/>
    <w:rsid w:val="2FAF3423"/>
    <w:rsid w:val="305F18E8"/>
    <w:rsid w:val="311741D6"/>
    <w:rsid w:val="3119309A"/>
    <w:rsid w:val="312A5594"/>
    <w:rsid w:val="312C625F"/>
    <w:rsid w:val="31C81974"/>
    <w:rsid w:val="32230959"/>
    <w:rsid w:val="3322495F"/>
    <w:rsid w:val="337450B5"/>
    <w:rsid w:val="342E4350"/>
    <w:rsid w:val="344C700B"/>
    <w:rsid w:val="34C22FEC"/>
    <w:rsid w:val="34EB0670"/>
    <w:rsid w:val="34F86C33"/>
    <w:rsid w:val="357D65D2"/>
    <w:rsid w:val="36266C69"/>
    <w:rsid w:val="36B765C5"/>
    <w:rsid w:val="374E72FE"/>
    <w:rsid w:val="37512649"/>
    <w:rsid w:val="37C036A0"/>
    <w:rsid w:val="37D664EB"/>
    <w:rsid w:val="37E776C2"/>
    <w:rsid w:val="382A08F7"/>
    <w:rsid w:val="383C09C6"/>
    <w:rsid w:val="38704382"/>
    <w:rsid w:val="388B2F38"/>
    <w:rsid w:val="399D1B1E"/>
    <w:rsid w:val="3A046503"/>
    <w:rsid w:val="3B35724B"/>
    <w:rsid w:val="3BB63ADA"/>
    <w:rsid w:val="3BDC4EDA"/>
    <w:rsid w:val="3C050DB3"/>
    <w:rsid w:val="3C2C3D72"/>
    <w:rsid w:val="3C37498E"/>
    <w:rsid w:val="3C860462"/>
    <w:rsid w:val="3C94450B"/>
    <w:rsid w:val="3CD83A9C"/>
    <w:rsid w:val="3D051AB3"/>
    <w:rsid w:val="3D13022E"/>
    <w:rsid w:val="3D9C0E9C"/>
    <w:rsid w:val="3DCD44AD"/>
    <w:rsid w:val="3DDE7B24"/>
    <w:rsid w:val="3E1779D0"/>
    <w:rsid w:val="3E2733CF"/>
    <w:rsid w:val="3E353902"/>
    <w:rsid w:val="3E60285C"/>
    <w:rsid w:val="3E7A6E5F"/>
    <w:rsid w:val="3E807399"/>
    <w:rsid w:val="3E923BF9"/>
    <w:rsid w:val="3ED454B4"/>
    <w:rsid w:val="3F0A4EA1"/>
    <w:rsid w:val="3F487C50"/>
    <w:rsid w:val="3F814E1B"/>
    <w:rsid w:val="3FC65745"/>
    <w:rsid w:val="3FCE3BC4"/>
    <w:rsid w:val="40274071"/>
    <w:rsid w:val="405D1A2A"/>
    <w:rsid w:val="407F405E"/>
    <w:rsid w:val="409370B0"/>
    <w:rsid w:val="40D41902"/>
    <w:rsid w:val="40E446B9"/>
    <w:rsid w:val="41884B35"/>
    <w:rsid w:val="41BF6788"/>
    <w:rsid w:val="423849B8"/>
    <w:rsid w:val="435F746A"/>
    <w:rsid w:val="4372309F"/>
    <w:rsid w:val="44093E52"/>
    <w:rsid w:val="444E5D13"/>
    <w:rsid w:val="446F3136"/>
    <w:rsid w:val="44790C24"/>
    <w:rsid w:val="453A628D"/>
    <w:rsid w:val="45CF0C25"/>
    <w:rsid w:val="45D109A0"/>
    <w:rsid w:val="45DD7715"/>
    <w:rsid w:val="467852BF"/>
    <w:rsid w:val="468E6891"/>
    <w:rsid w:val="47503B46"/>
    <w:rsid w:val="475145CB"/>
    <w:rsid w:val="47C562E2"/>
    <w:rsid w:val="47C81344"/>
    <w:rsid w:val="483B0352"/>
    <w:rsid w:val="488A3088"/>
    <w:rsid w:val="48DF1625"/>
    <w:rsid w:val="48F078C5"/>
    <w:rsid w:val="49320965"/>
    <w:rsid w:val="49AC2E6D"/>
    <w:rsid w:val="49D70E7A"/>
    <w:rsid w:val="4A3F3154"/>
    <w:rsid w:val="4A4562D3"/>
    <w:rsid w:val="4A52328E"/>
    <w:rsid w:val="4B050440"/>
    <w:rsid w:val="4B227F62"/>
    <w:rsid w:val="4B6545C2"/>
    <w:rsid w:val="4B6F02A0"/>
    <w:rsid w:val="4BBC369E"/>
    <w:rsid w:val="4CEC4659"/>
    <w:rsid w:val="4D493511"/>
    <w:rsid w:val="4DF21FC2"/>
    <w:rsid w:val="4DF932EA"/>
    <w:rsid w:val="4E0E2265"/>
    <w:rsid w:val="4E201C1D"/>
    <w:rsid w:val="4E7A34EC"/>
    <w:rsid w:val="4E861641"/>
    <w:rsid w:val="4EAA305C"/>
    <w:rsid w:val="4EC562FF"/>
    <w:rsid w:val="4FAB04B3"/>
    <w:rsid w:val="4FB426AD"/>
    <w:rsid w:val="4FEE2DC9"/>
    <w:rsid w:val="50F27460"/>
    <w:rsid w:val="51346287"/>
    <w:rsid w:val="51850890"/>
    <w:rsid w:val="519F1DA4"/>
    <w:rsid w:val="525210BA"/>
    <w:rsid w:val="52A90328"/>
    <w:rsid w:val="52DC3333"/>
    <w:rsid w:val="53036690"/>
    <w:rsid w:val="53376A7B"/>
    <w:rsid w:val="537441A1"/>
    <w:rsid w:val="53B1020C"/>
    <w:rsid w:val="54065481"/>
    <w:rsid w:val="55204788"/>
    <w:rsid w:val="557169CF"/>
    <w:rsid w:val="557D5D2A"/>
    <w:rsid w:val="55A41C2D"/>
    <w:rsid w:val="56682D63"/>
    <w:rsid w:val="56905D0D"/>
    <w:rsid w:val="56FB4C08"/>
    <w:rsid w:val="574153BB"/>
    <w:rsid w:val="589A668A"/>
    <w:rsid w:val="58AC00F0"/>
    <w:rsid w:val="58C46E3D"/>
    <w:rsid w:val="58D971B2"/>
    <w:rsid w:val="59042C0B"/>
    <w:rsid w:val="59272568"/>
    <w:rsid w:val="59576FB6"/>
    <w:rsid w:val="59927FEE"/>
    <w:rsid w:val="59BC1D1A"/>
    <w:rsid w:val="59C142A0"/>
    <w:rsid w:val="59C641E6"/>
    <w:rsid w:val="59D65347"/>
    <w:rsid w:val="5A2D5C94"/>
    <w:rsid w:val="5A2E3043"/>
    <w:rsid w:val="5A89319F"/>
    <w:rsid w:val="5A9763C3"/>
    <w:rsid w:val="5A9920D7"/>
    <w:rsid w:val="5AEA63E6"/>
    <w:rsid w:val="5B2C7B17"/>
    <w:rsid w:val="5BCB0AF4"/>
    <w:rsid w:val="5C2D5181"/>
    <w:rsid w:val="5C9B1B86"/>
    <w:rsid w:val="5CA02E79"/>
    <w:rsid w:val="5CEA5B79"/>
    <w:rsid w:val="5D150553"/>
    <w:rsid w:val="5D3550FB"/>
    <w:rsid w:val="5D902A97"/>
    <w:rsid w:val="5E3606EF"/>
    <w:rsid w:val="5EAB402C"/>
    <w:rsid w:val="5ED90EDE"/>
    <w:rsid w:val="5EDA32DC"/>
    <w:rsid w:val="5F321771"/>
    <w:rsid w:val="5F3A0F0C"/>
    <w:rsid w:val="5F412CC2"/>
    <w:rsid w:val="5F5A15AE"/>
    <w:rsid w:val="5F9E76ED"/>
    <w:rsid w:val="5FE2771E"/>
    <w:rsid w:val="600E6D7C"/>
    <w:rsid w:val="607F1E09"/>
    <w:rsid w:val="60BD2923"/>
    <w:rsid w:val="60C26324"/>
    <w:rsid w:val="618C2692"/>
    <w:rsid w:val="622D31D4"/>
    <w:rsid w:val="62A74B0A"/>
    <w:rsid w:val="62E015B0"/>
    <w:rsid w:val="63510510"/>
    <w:rsid w:val="639D4CC6"/>
    <w:rsid w:val="642053CC"/>
    <w:rsid w:val="646A5DEF"/>
    <w:rsid w:val="646F5EF6"/>
    <w:rsid w:val="65785E0F"/>
    <w:rsid w:val="658A75F4"/>
    <w:rsid w:val="65CF7A95"/>
    <w:rsid w:val="66A23F66"/>
    <w:rsid w:val="672526A7"/>
    <w:rsid w:val="6805711E"/>
    <w:rsid w:val="680D3662"/>
    <w:rsid w:val="68222C97"/>
    <w:rsid w:val="68333F9A"/>
    <w:rsid w:val="683858D3"/>
    <w:rsid w:val="68645FE7"/>
    <w:rsid w:val="69391070"/>
    <w:rsid w:val="69413090"/>
    <w:rsid w:val="697332CA"/>
    <w:rsid w:val="69855FCD"/>
    <w:rsid w:val="69BC17E8"/>
    <w:rsid w:val="69DD77FF"/>
    <w:rsid w:val="6AE37CE3"/>
    <w:rsid w:val="6B0625EA"/>
    <w:rsid w:val="6B5442BA"/>
    <w:rsid w:val="6C593408"/>
    <w:rsid w:val="6C68544B"/>
    <w:rsid w:val="6C785167"/>
    <w:rsid w:val="6CA35BE0"/>
    <w:rsid w:val="6D0715D4"/>
    <w:rsid w:val="6DDB2C74"/>
    <w:rsid w:val="6E0E0C0F"/>
    <w:rsid w:val="6E7E1055"/>
    <w:rsid w:val="6E8E7670"/>
    <w:rsid w:val="6EEB0447"/>
    <w:rsid w:val="6F361AD3"/>
    <w:rsid w:val="6FAF3250"/>
    <w:rsid w:val="6FC71762"/>
    <w:rsid w:val="70312E6C"/>
    <w:rsid w:val="703F6560"/>
    <w:rsid w:val="70725ED5"/>
    <w:rsid w:val="70B362F9"/>
    <w:rsid w:val="71653340"/>
    <w:rsid w:val="71F347D3"/>
    <w:rsid w:val="71FC098F"/>
    <w:rsid w:val="72415D05"/>
    <w:rsid w:val="72603DC3"/>
    <w:rsid w:val="7296241B"/>
    <w:rsid w:val="732A300A"/>
    <w:rsid w:val="73803FEB"/>
    <w:rsid w:val="73AB4C27"/>
    <w:rsid w:val="73CE2CA8"/>
    <w:rsid w:val="743A4414"/>
    <w:rsid w:val="747F7695"/>
    <w:rsid w:val="748C5DD6"/>
    <w:rsid w:val="75157FF9"/>
    <w:rsid w:val="754937FF"/>
    <w:rsid w:val="754A398B"/>
    <w:rsid w:val="75622B13"/>
    <w:rsid w:val="75857AA3"/>
    <w:rsid w:val="758D5DE2"/>
    <w:rsid w:val="75943299"/>
    <w:rsid w:val="76017BAF"/>
    <w:rsid w:val="7635781D"/>
    <w:rsid w:val="767A5F36"/>
    <w:rsid w:val="76837B47"/>
    <w:rsid w:val="76B97261"/>
    <w:rsid w:val="772D4414"/>
    <w:rsid w:val="7744228A"/>
    <w:rsid w:val="781E668F"/>
    <w:rsid w:val="788C166D"/>
    <w:rsid w:val="78AC0934"/>
    <w:rsid w:val="78BD4DDD"/>
    <w:rsid w:val="78E700F4"/>
    <w:rsid w:val="78EE7B24"/>
    <w:rsid w:val="7907377A"/>
    <w:rsid w:val="792E7F96"/>
    <w:rsid w:val="793B1352"/>
    <w:rsid w:val="79AB21E7"/>
    <w:rsid w:val="79AD76AE"/>
    <w:rsid w:val="79CC501C"/>
    <w:rsid w:val="79F12DE4"/>
    <w:rsid w:val="7B0E17E2"/>
    <w:rsid w:val="7B3E48AE"/>
    <w:rsid w:val="7C6203C7"/>
    <w:rsid w:val="7CB47DAA"/>
    <w:rsid w:val="7CE24C65"/>
    <w:rsid w:val="7D076A17"/>
    <w:rsid w:val="7D462131"/>
    <w:rsid w:val="7DC26844"/>
    <w:rsid w:val="7DC974CD"/>
    <w:rsid w:val="7E4B00B1"/>
    <w:rsid w:val="7EA62275"/>
    <w:rsid w:val="7F005876"/>
    <w:rsid w:val="7F034C8E"/>
    <w:rsid w:val="7F235328"/>
    <w:rsid w:val="7F640382"/>
    <w:rsid w:val="7FB30C7B"/>
    <w:rsid w:val="7FB346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33"/>
      <w:szCs w:val="33"/>
      <w:lang w:val="en-US" w:eastAsia="zh-CN" w:bidi="ar"/>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w:basedOn w:val="1"/>
    <w:next w:val="1"/>
    <w:autoRedefine/>
    <w:qFormat/>
    <w:uiPriority w:val="0"/>
    <w:rPr>
      <w:rFonts w:ascii="宋体" w:hAnsi="宋体" w:eastAsia="宋体" w:cs="宋体"/>
      <w:sz w:val="31"/>
      <w:szCs w:val="31"/>
      <w:lang w:val="en-US" w:eastAsia="en-US" w:bidi="ar-SA"/>
    </w:rPr>
  </w:style>
  <w:style w:type="paragraph" w:styleId="6">
    <w:name w:val="Body Text Indent"/>
    <w:basedOn w:val="1"/>
    <w:next w:val="7"/>
    <w:autoRedefine/>
    <w:qFormat/>
    <w:uiPriority w:val="99"/>
    <w:pPr>
      <w:spacing w:after="120" w:afterLines="0"/>
      <w:ind w:left="420" w:leftChars="200"/>
    </w:pPr>
    <w:rPr>
      <w:kern w:val="2"/>
      <w:sz w:val="21"/>
      <w:lang w:eastAsia="zh-CN" w:bidi="ar-SA"/>
    </w:rPr>
  </w:style>
  <w:style w:type="paragraph" w:styleId="7">
    <w:name w:val="envelope return"/>
    <w:basedOn w:val="1"/>
    <w:autoRedefine/>
    <w:qFormat/>
    <w:uiPriority w:val="0"/>
    <w:pPr>
      <w:snapToGrid w:val="0"/>
    </w:pPr>
    <w:rPr>
      <w:rFonts w:ascii="Arial" w:hAnsi="Arial"/>
    </w:rPr>
  </w:style>
  <w:style w:type="paragraph" w:styleId="8">
    <w:name w:val="Date"/>
    <w:basedOn w:val="1"/>
    <w:next w:val="1"/>
    <w:autoRedefine/>
    <w:qFormat/>
    <w:uiPriority w:val="0"/>
    <w:rPr>
      <w:kern w:val="2"/>
      <w:sz w:val="21"/>
      <w:lang w:eastAsia="zh-CN" w:bidi="ar-SA"/>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footnote text"/>
    <w:basedOn w:val="1"/>
    <w:qFormat/>
    <w:uiPriority w:val="0"/>
    <w:pPr>
      <w:snapToGrid w:val="0"/>
      <w:jc w:val="left"/>
    </w:pPr>
    <w:rPr>
      <w:sz w:val="18"/>
      <w:szCs w:val="18"/>
    </w:rPr>
  </w:style>
  <w:style w:type="paragraph" w:styleId="12">
    <w:name w:val="Body Text 2"/>
    <w:basedOn w:val="1"/>
    <w:autoRedefine/>
    <w:qFormat/>
    <w:uiPriority w:val="0"/>
    <w:pPr>
      <w:spacing w:after="120" w:line="480" w:lineRule="auto"/>
    </w:pPr>
    <w:rPr>
      <w:rFonts w:ascii="Tahoma" w:hAnsi="Tahoma"/>
    </w:rPr>
  </w:style>
  <w:style w:type="paragraph" w:styleId="13">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6"/>
    <w:next w:val="1"/>
    <w:autoRedefine/>
    <w:qFormat/>
    <w:uiPriority w:val="0"/>
    <w:pPr>
      <w:ind w:firstLine="200" w:firstLineChars="200"/>
    </w:pPr>
    <w:rPr>
      <w:kern w:val="2"/>
      <w:sz w:val="28"/>
      <w:lang w:eastAsia="zh-CN" w:bidi="ar-SA"/>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autoRedefine/>
    <w:qFormat/>
    <w:uiPriority w:val="0"/>
    <w:rPr>
      <w:color w:val="444444"/>
      <w:sz w:val="16"/>
      <w:szCs w:val="16"/>
      <w:u w:val="none"/>
    </w:rPr>
  </w:style>
  <w:style w:type="character" w:styleId="20">
    <w:name w:val="Hyperlink"/>
    <w:basedOn w:val="18"/>
    <w:autoRedefine/>
    <w:qFormat/>
    <w:uiPriority w:val="0"/>
    <w:rPr>
      <w:color w:val="0000FF"/>
      <w:u w:val="single"/>
    </w:rPr>
  </w:style>
  <w:style w:type="paragraph" w:customStyle="1" w:styleId="21">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2">
    <w:name w:val="Table Normal"/>
    <w:autoRedefine/>
    <w:semiHidden/>
    <w:unhideWhenUsed/>
    <w:qFormat/>
    <w:uiPriority w:val="0"/>
    <w:tblPr>
      <w:tblCellMar>
        <w:top w:w="0" w:type="dxa"/>
        <w:left w:w="0" w:type="dxa"/>
        <w:bottom w:w="0" w:type="dxa"/>
        <w:right w:w="0" w:type="dxa"/>
      </w:tblCellMar>
    </w:tblPr>
  </w:style>
  <w:style w:type="paragraph" w:customStyle="1" w:styleId="23">
    <w:name w:val="Table Text"/>
    <w:basedOn w:val="1"/>
    <w:autoRedefine/>
    <w:semiHidden/>
    <w:qFormat/>
    <w:uiPriority w:val="0"/>
    <w:rPr>
      <w:rFonts w:ascii="Arial" w:hAnsi="Arial" w:eastAsia="Arial" w:cs="Arial"/>
      <w:sz w:val="21"/>
      <w:szCs w:val="21"/>
      <w:lang w:val="en-US" w:eastAsia="en-US" w:bidi="ar-SA"/>
    </w:rPr>
  </w:style>
  <w:style w:type="paragraph" w:customStyle="1" w:styleId="24">
    <w:name w:val="Default"/>
    <w:next w:val="25"/>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25">
    <w:name w:val="Char Char10 Char Char Char Char"/>
    <w:basedOn w:val="1"/>
    <w:next w:val="26"/>
    <w:autoRedefine/>
    <w:qFormat/>
    <w:uiPriority w:val="99"/>
    <w:pPr>
      <w:autoSpaceDE w:val="0"/>
      <w:autoSpaceDN w:val="0"/>
      <w:jc w:val="left"/>
    </w:pPr>
    <w:rPr>
      <w:rFonts w:ascii="宋体" w:hAnsi="宋体" w:cs="宋体"/>
      <w:lang w:val="zh-CN" w:bidi="zh-CN"/>
    </w:rPr>
  </w:style>
  <w:style w:type="paragraph" w:customStyle="1" w:styleId="26">
    <w:name w:val="xl87"/>
    <w:basedOn w:val="1"/>
    <w:next w:val="27"/>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bidi="ar-SA"/>
    </w:rPr>
  </w:style>
  <w:style w:type="paragraph" w:customStyle="1" w:styleId="27">
    <w:name w:val="xl72"/>
    <w:basedOn w:val="1"/>
    <w:next w:val="8"/>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bidi="ar-SA"/>
    </w:rPr>
  </w:style>
  <w:style w:type="paragraph" w:customStyle="1" w:styleId="28">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textAlignment w:val="baseline"/>
    </w:pPr>
    <w:rPr>
      <w:rFonts w:ascii="Calibri Light" w:hAnsi="Calibri Light" w:eastAsia="宋体"/>
      <w:kern w:val="2"/>
      <w:sz w:val="21"/>
      <w:szCs w:val="24"/>
      <w:lang w:val="en-US" w:eastAsia="zh-CN" w:bidi="ar-SA"/>
    </w:rPr>
  </w:style>
  <w:style w:type="character" w:customStyle="1" w:styleId="29">
    <w:name w:val="hover18"/>
    <w:basedOn w:val="18"/>
    <w:autoRedefine/>
    <w:qFormat/>
    <w:uiPriority w:val="0"/>
  </w:style>
  <w:style w:type="paragraph" w:customStyle="1" w:styleId="30">
    <w:name w:val="正文首行缩进 21"/>
    <w:basedOn w:val="6"/>
    <w:next w:val="1"/>
    <w:qFormat/>
    <w:uiPriority w:val="0"/>
    <w:pPr>
      <w:spacing w:before="100" w:beforeAutospacing="1"/>
      <w:ind w:firstLine="420" w:firstLineChars="200"/>
    </w:pPr>
    <w:rPr>
      <w:rFonts w:ascii="Times New Roman" w:hAnsi="Times New Roman" w:cs="Times New Roman"/>
      <w:szCs w:val="21"/>
    </w:rPr>
  </w:style>
  <w:style w:type="paragraph" w:customStyle="1" w:styleId="31">
    <w:name w:val="页脚1"/>
    <w:basedOn w:val="1"/>
    <w:qFormat/>
    <w:uiPriority w:val="0"/>
    <w:pPr>
      <w:tabs>
        <w:tab w:val="center" w:pos="4153"/>
        <w:tab w:val="right" w:pos="8306"/>
      </w:tabs>
      <w:snapToGrid w:val="0"/>
      <w:jc w:val="left"/>
    </w:pPr>
    <w:rPr>
      <w:rFonts w:eastAsia="等线" w:cs="Times New Roman"/>
      <w:sz w:val="18"/>
      <w:szCs w:val="22"/>
    </w:rPr>
  </w:style>
  <w:style w:type="paragraph" w:customStyle="1" w:styleId="32">
    <w:name w:val="样式1"/>
    <w:basedOn w:val="1"/>
    <w:qFormat/>
    <w:uiPriority w:val="0"/>
    <w:pPr>
      <w:spacing w:line="240" w:lineRule="auto"/>
      <w:jc w:val="both"/>
    </w:pPr>
    <w:rPr>
      <w:rFonts w:ascii="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85</Pages>
  <Words>4821</Words>
  <Characters>5419</Characters>
  <TotalTime>93</TotalTime>
  <ScaleCrop>false</ScaleCrop>
  <LinksUpToDate>false</LinksUpToDate>
  <CharactersWithSpaces>5560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JJoey</cp:lastModifiedBy>
  <cp:lastPrinted>2024-08-01T01:08:00Z</cp:lastPrinted>
  <dcterms:modified xsi:type="dcterms:W3CDTF">2025-07-09T07:14:24Z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2052-12.1.0.21915</vt:lpwstr>
  </property>
  <property fmtid="{D5CDD505-2E9C-101B-9397-08002B2CF9AE}" pid="5" name="ICV">
    <vt:lpwstr>6C4F3D3BAD0D40F7B31F563D8D0C6934_13</vt:lpwstr>
  </property>
  <property fmtid="{D5CDD505-2E9C-101B-9397-08002B2CF9AE}" pid="6" name="KSOTemplateDocerSaveRecord">
    <vt:lpwstr>eyJoZGlkIjoiYTUyM2UwYjBmYzc3YmM3ZjI1ODg2NTk3ZGJhZGNiNGIiLCJ1c2VySWQiOiI0MTY3MTE2MDgifQ==</vt:lpwstr>
  </property>
</Properties>
</file>