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4811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7D35A8D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643EA85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09E2719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公开招标文件示范文本</w:t>
      </w:r>
    </w:p>
    <w:p w14:paraId="45953C88">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717FF2D">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0CEA789B">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466B8C5A">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4BEF327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C9BCC4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南阳医学高等专科学校校园安保服务项目    </w:t>
      </w:r>
    </w:p>
    <w:p w14:paraId="5915338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南阳政采公开-2024-61              </w:t>
      </w:r>
    </w:p>
    <w:p w14:paraId="4DEF7E8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南阳医学高等专科学校             </w:t>
      </w:r>
    </w:p>
    <w:p w14:paraId="17B0005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19A9293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72D2E676">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67A1CBDA">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64C33B83">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C03230B">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5EF0ACA">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293CE1AB">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5F2D8E51">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68BE4D68">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57B5B80C">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68BCF41">
      <w:pPr>
        <w:pStyle w:val="2"/>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sdt>
      <w:sdtPr>
        <w:rPr>
          <w:rFonts w:hint="eastAsia" w:asciiTheme="minorEastAsia" w:hAnsiTheme="minorEastAsia" w:eastAsiaTheme="minorEastAsia" w:cstheme="minorEastAsia"/>
          <w:sz w:val="21"/>
          <w:szCs w:val="21"/>
        </w:rPr>
        <w:id w:val="147479779"/>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132620F6">
          <w:pPr>
            <w:pStyle w:val="2"/>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33BE67B4">
          <w:pPr>
            <w:pStyle w:val="2"/>
            <w:keepNext w:val="0"/>
            <w:keepLines w:val="0"/>
            <w:pageBreakBefore w:val="0"/>
            <w:kinsoku/>
            <w:wordWrap w:val="0"/>
            <w:overflowPunct/>
            <w:topLinePunct w:val="0"/>
            <w:bidi w:val="0"/>
            <w:jc w:val="both"/>
            <w:rPr>
              <w:rFonts w:hint="eastAsia"/>
              <w:shd w:val="clear" w:color="FFFFFF" w:fill="D9D9D9"/>
            </w:rPr>
          </w:pPr>
        </w:p>
        <w:p w14:paraId="340D19F6">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06C1536C">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31018E7">
          <w:pPr>
            <w:pStyle w:val="2"/>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23717690">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33472932">
          <w:pPr>
            <w:pStyle w:val="2"/>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530DAE4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rPr>
            <w:sectPr>
              <w:footerReference r:id="rId7" w:type="default"/>
              <w:pgSz w:w="11907" w:h="16840"/>
              <w:pgMar w:top="1440" w:right="1800" w:bottom="1440" w:left="1800" w:header="878" w:footer="886" w:gutter="0"/>
              <w:pgNumType w:fmt="decimal" w:start="1"/>
              <w:cols w:space="720" w:num="1"/>
            </w:sect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0528F6D8">
      <w:pPr>
        <w:pStyle w:val="2"/>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67A60C6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03FAF8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3CB0F3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4BD0C0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14"/>
          <w:sz w:val="24"/>
          <w:szCs w:val="24"/>
          <w:u w:val="single"/>
          <w:lang w:val="en-US" w:eastAsia="zh-CN"/>
        </w:rPr>
        <w:t xml:space="preserve">南阳政采公开-2024-61 </w:t>
      </w:r>
    </w:p>
    <w:p w14:paraId="134C6C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14"/>
          <w:sz w:val="24"/>
          <w:szCs w:val="24"/>
          <w:u w:val="single"/>
          <w:lang w:val="en-US" w:eastAsia="zh-CN"/>
        </w:rPr>
        <w:t xml:space="preserve">南阳医学高等专科学校校园安保服务项目 </w:t>
      </w:r>
    </w:p>
    <w:p w14:paraId="1A42C7C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530.01  </w:t>
      </w:r>
      <w:r>
        <w:rPr>
          <w:rFonts w:hint="eastAsia" w:asciiTheme="minorEastAsia" w:hAnsiTheme="minorEastAsia" w:eastAsiaTheme="minorEastAsia" w:cstheme="minorEastAsia"/>
          <w:spacing w:val="-14"/>
          <w:sz w:val="24"/>
          <w:szCs w:val="24"/>
        </w:rPr>
        <w:t>万元、项目最高限价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u w:val="single"/>
          <w:lang w:val="en-US" w:eastAsia="zh-CN"/>
        </w:rPr>
        <w:t xml:space="preserve"> 530.01</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14:paraId="23D0B4B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5"/>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2"/>
        <w:gridCol w:w="3018"/>
        <w:gridCol w:w="2321"/>
      </w:tblGrid>
      <w:tr w14:paraId="5B15E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832" w:type="dxa"/>
            <w:vAlign w:val="center"/>
          </w:tcPr>
          <w:p w14:paraId="51C24B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3018" w:type="dxa"/>
            <w:vAlign w:val="center"/>
          </w:tcPr>
          <w:p w14:paraId="330FAC2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3A24BAA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1C385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832" w:type="dxa"/>
            <w:vAlign w:val="top"/>
          </w:tcPr>
          <w:p w14:paraId="0BC9BA18">
            <w:pPr>
              <w:pStyle w:val="2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val="en-US" w:eastAsia="zh-CN"/>
              </w:rPr>
              <w:t xml:space="preserve">南阳政采公开-2024-61 </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3018" w:type="dxa"/>
            <w:vAlign w:val="top"/>
          </w:tcPr>
          <w:p w14:paraId="1010773F">
            <w:pPr>
              <w:pStyle w:val="2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val="en-US" w:eastAsia="zh-CN"/>
              </w:rPr>
              <w:t>南阳医学高等专科学校校园安保服务项目</w:t>
            </w:r>
          </w:p>
        </w:tc>
        <w:tc>
          <w:tcPr>
            <w:tcW w:w="2321" w:type="dxa"/>
            <w:vAlign w:val="top"/>
          </w:tcPr>
          <w:p w14:paraId="51F7E150">
            <w:pPr>
              <w:pStyle w:val="2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val="en-US" w:eastAsia="zh-CN"/>
              </w:rPr>
              <w:t>530.01</w:t>
            </w:r>
          </w:p>
        </w:tc>
      </w:tr>
    </w:tbl>
    <w:p w14:paraId="11B4325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60" w:firstLineChars="200"/>
        <w:jc w:val="both"/>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1CF98D4D">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本项目服务包括校区的校门值守、巡逻、消防控制、图书馆、大型活动安保、消防施救、灾害抢险、校内接出警、监控、校内车辆交通管理等工作。协助学校处理治安、火警、交通、反恐防爆、应急处突、特殊天气等。在法律范围内完成学校要求协助的其他工作。</w:t>
      </w:r>
    </w:p>
    <w:p w14:paraId="59A518A5">
      <w:pPr>
        <w:numPr>
          <w:ilvl w:val="0"/>
          <w:numId w:val="0"/>
        </w:numPr>
        <w:rPr>
          <w:rFonts w:hint="default"/>
          <w:lang w:val="en-US" w:eastAsia="zh-CN"/>
        </w:rPr>
      </w:pPr>
    </w:p>
    <w:p w14:paraId="76AE2F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三年（合同一年一签）</w:t>
      </w:r>
    </w:p>
    <w:p w14:paraId="2CFF5FB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1"/>
          <w:szCs w:val="21"/>
        </w:rPr>
        <w:sectPr>
          <w:footerReference r:id="rId8"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1374298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1"/>
        </w:rPr>
      </w:pPr>
    </w:p>
    <w:p w14:paraId="6826256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57394D14">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64E56104">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0543782">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14FF4B2B">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FF1774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1601A35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DBA919C">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500D49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2C61460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1BBBB92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2B4CDB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3748AB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447972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1CB8C9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6EFCF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69E685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44B1772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5E3F57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41059A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2FF460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3DB41C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2024年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31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18：00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4D57D50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2476942C">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入库办理请参见南阳市公共资源交易中心网https://ggzyjy.nanyang.gov.cn下载专区《诚信库申报操作手册》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14:paraId="05D392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3092E41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BF36B8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526DB4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文件视为无效文件。</w:t>
      </w:r>
    </w:p>
    <w:p w14:paraId="4050E589">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14:paraId="01683C43">
      <w:pPr>
        <w:pStyle w:val="24"/>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04D0881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0571C4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11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20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55A7848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245B2FB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Theme="minorEastAsia" w:hAnsiTheme="minorEastAsia" w:eastAsiaTheme="minorEastAsia" w:cstheme="minorEastAsia"/>
          <w:spacing w:val="-17"/>
          <w:sz w:val="24"/>
          <w:szCs w:val="24"/>
          <w:lang w:eastAsia="zh-CN"/>
        </w:rPr>
        <w:t>不见面开标大厅（</w:t>
      </w:r>
      <w:r>
        <w:rPr>
          <w:rFonts w:hint="eastAsia"/>
          <w:sz w:val="24"/>
          <w:szCs w:val="24"/>
        </w:rPr>
        <w:t>http://111.6.77.187:8081/ggzy/</w:t>
      </w:r>
      <w:r>
        <w:rPr>
          <w:rFonts w:hint="eastAsia"/>
          <w:sz w:val="24"/>
          <w:szCs w:val="24"/>
          <w:lang w:eastAsia="zh-CN"/>
        </w:rPr>
        <w:t>）</w:t>
      </w:r>
      <w:r>
        <w:rPr>
          <w:rFonts w:hint="eastAsia" w:asciiTheme="minorEastAsia" w:hAnsiTheme="minorEastAsia" w:eastAsiaTheme="minorEastAsia" w:cstheme="minorEastAsia"/>
          <w:spacing w:val="-17"/>
          <w:sz w:val="24"/>
          <w:szCs w:val="24"/>
        </w:rPr>
        <w:t>。</w:t>
      </w:r>
    </w:p>
    <w:p w14:paraId="6A6EC31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D6BC01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654B9F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31  </w:t>
      </w:r>
      <w:r>
        <w:rPr>
          <w:rFonts w:hint="eastAsia" w:asciiTheme="minorEastAsia" w:hAnsiTheme="minorEastAsia" w:eastAsiaTheme="minorEastAsia" w:cstheme="minorEastAsia"/>
          <w:spacing w:val="-13"/>
          <w:sz w:val="24"/>
          <w:szCs w:val="24"/>
        </w:rPr>
        <w:t>日至__</w:t>
      </w:r>
      <w:r>
        <w:rPr>
          <w:rFonts w:hint="eastAsia" w:asciiTheme="minorEastAsia" w:hAnsiTheme="minorEastAsia" w:eastAsiaTheme="minorEastAsia" w:cstheme="minorEastAsia"/>
          <w:spacing w:val="-13"/>
          <w:sz w:val="24"/>
          <w:szCs w:val="24"/>
          <w:lang w:val="en-US" w:eastAsia="zh-CN"/>
        </w:rPr>
        <w:t>2024</w:t>
      </w:r>
      <w:r>
        <w:rPr>
          <w:rFonts w:hint="eastAsia" w:asciiTheme="minorEastAsia" w:hAnsiTheme="minorEastAsia" w:eastAsiaTheme="minorEastAsia" w:cstheme="minorEastAsia"/>
          <w:spacing w:val="-13"/>
          <w:sz w:val="24"/>
          <w:szCs w:val="24"/>
        </w:rPr>
        <w:t>__年</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6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7BE9FA8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552AE1E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1F2C3E65">
      <w:pPr>
        <w:pStyle w:val="2"/>
        <w:spacing w:line="360" w:lineRule="auto"/>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sz w:val="24"/>
          <w:szCs w:val="24"/>
          <w:lang w:eastAsia="zh-CN"/>
        </w:rPr>
        <w:t>本次招标公告在河南省政府采购网、南阳市公共资源交易中心网发布</w:t>
      </w:r>
      <w:r>
        <w:rPr>
          <w:rFonts w:hint="eastAsia" w:asciiTheme="minorEastAsia" w:hAnsiTheme="minorEastAsia" w:eastAsiaTheme="minorEastAsia" w:cstheme="minorEastAsia"/>
          <w:spacing w:val="-9"/>
          <w:sz w:val="24"/>
          <w:szCs w:val="24"/>
          <w:lang w:eastAsia="zh-CN"/>
        </w:rPr>
        <w:t>。</w:t>
      </w:r>
    </w:p>
    <w:p w14:paraId="53ABAC8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7AAE19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5A030B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6FF4C28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南阳医学高等专科学校</w:t>
      </w:r>
    </w:p>
    <w:p w14:paraId="5A87528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南阳市北京大道106号</w:t>
      </w:r>
    </w:p>
    <w:p w14:paraId="6482C73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联系人：何老师</w:t>
      </w:r>
    </w:p>
    <w:p w14:paraId="3AC10AB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0377-63526305</w:t>
      </w:r>
    </w:p>
    <w:p w14:paraId="2A649F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E6067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725DA7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none" w:color="auto"/>
          <w:lang w:val="en-US" w:eastAsia="zh-CN"/>
        </w:rPr>
        <w:t>南阳市范蠡东路与南都路交叉口市民服务中心中区3号楼5楼</w:t>
      </w:r>
    </w:p>
    <w:p w14:paraId="48128CD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联系人：潘高</w:t>
      </w:r>
    </w:p>
    <w:p w14:paraId="39D8C33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asciiTheme="minorEastAsia" w:hAnsiTheme="minorEastAsia" w:eastAsiaTheme="minorEastAsia" w:cstheme="minorEastAsia"/>
          <w:b/>
          <w:bCs/>
          <w:spacing w:val="5"/>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0377-61176178</w:t>
      </w:r>
    </w:p>
    <w:p w14:paraId="6A36E87B">
      <w:pPr>
        <w:pStyle w:val="2"/>
        <w:kinsoku/>
        <w:wordWrap w:val="0"/>
        <w:spacing w:line="360" w:lineRule="auto"/>
        <w:jc w:val="both"/>
        <w:outlineLvl w:val="1"/>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fldChar w:fldCharType="begin"/>
      </w:r>
      <w:r>
        <w:instrText xml:space="preserve"> HYPERLINK "https://ggzyjy.nanyang.gov.cn" </w:instrText>
      </w:r>
      <w:r>
        <w:fldChar w:fldCharType="separate"/>
      </w:r>
      <w:r>
        <w:rPr>
          <w:rStyle w:val="22"/>
          <w:rFonts w:hint="eastAsia" w:asciiTheme="minorEastAsia" w:hAnsiTheme="minorEastAsia" w:eastAsiaTheme="minorEastAsia" w:cstheme="minorEastAsia"/>
          <w:spacing w:val="-15"/>
          <w:sz w:val="24"/>
          <w:szCs w:val="24"/>
          <w:lang w:eastAsia="zh-CN"/>
        </w:rPr>
        <w:t>https://ggzyjy.nanyang.gov.cn</w:t>
      </w:r>
      <w:r>
        <w:rPr>
          <w:rStyle w:val="22"/>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w:t>
      </w:r>
      <w:r>
        <w:rPr>
          <w:rFonts w:hint="eastAsia" w:asciiTheme="minorEastAsia" w:hAnsiTheme="minorEastAsia" w:eastAsiaTheme="minorEastAsia" w:cstheme="minorEastAsia"/>
          <w:spacing w:val="-15"/>
          <w:sz w:val="24"/>
          <w:szCs w:val="24"/>
          <w:lang w:val="en-US" w:eastAsia="zh-CN"/>
        </w:rPr>
        <w:t xml:space="preserve">nyszfcgzx@126.com </w:t>
      </w:r>
    </w:p>
    <w:p w14:paraId="1F458CBD">
      <w:pPr>
        <w:pStyle w:val="2"/>
        <w:spacing w:line="360" w:lineRule="auto"/>
        <w:ind w:firstLine="5250" w:firstLineChars="2500"/>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23269A6A">
      <w:pPr>
        <w:pStyle w:val="2"/>
        <w:spacing w:line="360" w:lineRule="auto"/>
        <w:ind w:firstLine="5778" w:firstLineChars="2700"/>
        <w:outlineLvl w:val="1"/>
        <w:rPr>
          <w:rFonts w:asciiTheme="minorEastAsia" w:hAnsiTheme="minorEastAsia" w:eastAsiaTheme="minorEastAsia" w:cstheme="minorEastAsia"/>
          <w:spacing w:val="-15"/>
          <w:sz w:val="24"/>
          <w:szCs w:val="24"/>
          <w:highlight w:val="none"/>
          <w:lang w:eastAsia="zh-CN"/>
        </w:rPr>
      </w:pPr>
      <w:bookmarkStart w:id="2" w:name="_Toc3159"/>
      <w:bookmarkStart w:id="3" w:name="_Toc7916"/>
      <w:r>
        <w:rPr>
          <w:rFonts w:hint="eastAsia" w:asciiTheme="minorEastAsia" w:hAnsiTheme="minorEastAsia" w:eastAsiaTheme="minorEastAsia" w:cstheme="minorEastAsia"/>
          <w:spacing w:val="-13"/>
          <w:sz w:val="24"/>
          <w:szCs w:val="24"/>
          <w:highlight w:val="none"/>
          <w:lang w:eastAsia="zh-CN"/>
        </w:rPr>
        <w:t>2024年</w:t>
      </w:r>
      <w:r>
        <w:rPr>
          <w:rFonts w:hint="eastAsia" w:asciiTheme="minorEastAsia" w:hAnsiTheme="minorEastAsia" w:eastAsiaTheme="minorEastAsia" w:cstheme="minorEastAsia"/>
          <w:spacing w:val="-13"/>
          <w:sz w:val="24"/>
          <w:szCs w:val="24"/>
          <w:highlight w:val="none"/>
          <w:lang w:val="en-US" w:eastAsia="zh-CN"/>
        </w:rPr>
        <w:t>10</w:t>
      </w:r>
      <w:r>
        <w:rPr>
          <w:rFonts w:hint="eastAsia" w:asciiTheme="minorEastAsia" w:hAnsiTheme="minorEastAsia" w:eastAsiaTheme="minorEastAsia" w:cstheme="minorEastAsia"/>
          <w:spacing w:val="-13"/>
          <w:sz w:val="24"/>
          <w:szCs w:val="24"/>
          <w:highlight w:val="none"/>
          <w:lang w:eastAsia="zh-CN"/>
        </w:rPr>
        <w:t>月</w:t>
      </w:r>
      <w:r>
        <w:rPr>
          <w:rFonts w:hint="eastAsia" w:asciiTheme="minorEastAsia" w:hAnsiTheme="minorEastAsia" w:eastAsiaTheme="minorEastAsia" w:cstheme="minorEastAsia"/>
          <w:spacing w:val="-13"/>
          <w:sz w:val="24"/>
          <w:szCs w:val="24"/>
          <w:highlight w:val="none"/>
          <w:lang w:val="en-US" w:eastAsia="zh-CN"/>
        </w:rPr>
        <w:t xml:space="preserve"> 29  </w:t>
      </w:r>
      <w:r>
        <w:rPr>
          <w:rFonts w:hint="eastAsia" w:asciiTheme="minorEastAsia" w:hAnsiTheme="minorEastAsia" w:eastAsiaTheme="minorEastAsia" w:cstheme="minorEastAsia"/>
          <w:spacing w:val="-13"/>
          <w:sz w:val="24"/>
          <w:szCs w:val="24"/>
          <w:highlight w:val="none"/>
          <w:lang w:eastAsia="zh-CN"/>
        </w:rPr>
        <w:t>日</w:t>
      </w:r>
      <w:bookmarkEnd w:id="2"/>
      <w:bookmarkEnd w:id="3"/>
    </w:p>
    <w:p w14:paraId="1023A65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3DA5BB5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68F362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70FA45C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1、安保人员及服务总体要求</w:t>
      </w:r>
    </w:p>
    <w:p w14:paraId="5CDD754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投标方的管理及安保员的通用要求,须符合国家有关法律法规（如《安保服务管理条例》等）和国家标准（如《安保员国家职业标准（试行）》、《安保服务操作规程与质量控制（标准）》等）。招标方对安保公司提供的服务及安保员的要求如下：</w:t>
      </w:r>
    </w:p>
    <w:p w14:paraId="0906938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（1）投标方应提供安保员 65名。需提供姓名、身份证号码、从业经历等；安保人员要求年龄在 18 周岁以上 60 周岁以下，身体健康，面貌端正。</w:t>
      </w:r>
    </w:p>
    <w:p w14:paraId="2A1C4B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（2）安保人员应具有国家安保员上岗证。</w:t>
      </w:r>
    </w:p>
    <w:p w14:paraId="6EAB3B4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（3）安保人员执行勤务时，着统一的安保服装，佩戴统一的安保标志。</w:t>
      </w:r>
    </w:p>
    <w:p w14:paraId="20C350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安保人员要具有坚定的政治觉悟，热爱本职工作，认真履行职责，忠于职守，在紧急关头能够挺身而出，保护师生安全；文明值勤，礼貌待人；具备基本法律知识，熟悉安保相关的政策、规定；具备一定语言和文字表达能力；具备与岗位职责相应的观察、发现、处置问题能力；具备使用消防设施设备、通讯器材、技术防范设施设备和相关防卫器械技能。</w:t>
      </w:r>
    </w:p>
    <w:p w14:paraId="09586A3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（5）安保人员要遵守和执行安保行业及学校有关制度。</w:t>
      </w:r>
    </w:p>
    <w:p w14:paraId="1FDF54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（6）安保公司除完成日常安保工作之外，还必须在大型活动,如: 上级视察、迎新、校庆、考试、维稳及突发情况下无条件临时另行选派人员，无偿协助保卫处搞好保障工作。</w:t>
      </w:r>
    </w:p>
    <w:p w14:paraId="536B631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所有安保人员入校服务前必须进行政治审查,确保无犯罪前科，无纹身，个人信用记录良好，不属于失信被执行人。所有安保人员的身份证复印件、安保员证复印件、个人简历、身体健康证明、政审材料等交由保卫处备案。</w:t>
      </w:r>
    </w:p>
    <w:p w14:paraId="109F77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（8）安保服务公司必须保证安保人员与安保公司劳务关系合法有效，若安保人员与安保公司发生劳资纠纷，由该公司全责应对，不能影响学校的正常工作和教学秩序。</w:t>
      </w:r>
    </w:p>
    <w:p w14:paraId="4DDD444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2、安保岗位安排</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850"/>
        <w:gridCol w:w="1000"/>
        <w:gridCol w:w="3047"/>
      </w:tblGrid>
      <w:tr w14:paraId="474E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41" w:type="dxa"/>
            <w:noWrap w:val="0"/>
            <w:vAlign w:val="top"/>
          </w:tcPr>
          <w:p w14:paraId="5DA7F9D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序号</w:t>
            </w:r>
          </w:p>
        </w:tc>
        <w:tc>
          <w:tcPr>
            <w:tcW w:w="2850" w:type="dxa"/>
            <w:noWrap w:val="0"/>
            <w:vAlign w:val="top"/>
          </w:tcPr>
          <w:p w14:paraId="28E24E8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执勤岗位</w:t>
            </w:r>
          </w:p>
        </w:tc>
        <w:tc>
          <w:tcPr>
            <w:tcW w:w="1000" w:type="dxa"/>
            <w:noWrap w:val="0"/>
            <w:vAlign w:val="top"/>
          </w:tcPr>
          <w:p w14:paraId="44662E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人数（个）</w:t>
            </w:r>
          </w:p>
        </w:tc>
        <w:tc>
          <w:tcPr>
            <w:tcW w:w="3047" w:type="dxa"/>
            <w:noWrap w:val="0"/>
            <w:vAlign w:val="top"/>
          </w:tcPr>
          <w:p w14:paraId="49F7178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上午岗、下午岗、晚岗</w:t>
            </w:r>
          </w:p>
        </w:tc>
      </w:tr>
      <w:tr w14:paraId="26C5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42C97C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w:t>
            </w:r>
          </w:p>
        </w:tc>
        <w:tc>
          <w:tcPr>
            <w:tcW w:w="2850" w:type="dxa"/>
            <w:noWrap w:val="0"/>
            <w:vAlign w:val="top"/>
          </w:tcPr>
          <w:p w14:paraId="625F228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仲景西区东门</w:t>
            </w:r>
          </w:p>
        </w:tc>
        <w:tc>
          <w:tcPr>
            <w:tcW w:w="1000" w:type="dxa"/>
            <w:noWrap w:val="0"/>
            <w:vAlign w:val="top"/>
          </w:tcPr>
          <w:p w14:paraId="754463E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w:t>
            </w:r>
          </w:p>
        </w:tc>
        <w:tc>
          <w:tcPr>
            <w:tcW w:w="3047" w:type="dxa"/>
            <w:noWrap w:val="0"/>
            <w:vAlign w:val="top"/>
          </w:tcPr>
          <w:p w14:paraId="511271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4、4、2</w:t>
            </w:r>
          </w:p>
        </w:tc>
      </w:tr>
      <w:tr w14:paraId="13B2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0906B93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w:t>
            </w:r>
          </w:p>
        </w:tc>
        <w:tc>
          <w:tcPr>
            <w:tcW w:w="2850" w:type="dxa"/>
            <w:noWrap w:val="0"/>
            <w:vAlign w:val="top"/>
          </w:tcPr>
          <w:p w14:paraId="1A633D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仲景西区北门</w:t>
            </w:r>
          </w:p>
        </w:tc>
        <w:tc>
          <w:tcPr>
            <w:tcW w:w="1000" w:type="dxa"/>
            <w:noWrap w:val="0"/>
            <w:vAlign w:val="top"/>
          </w:tcPr>
          <w:p w14:paraId="212CB0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w:t>
            </w:r>
          </w:p>
        </w:tc>
        <w:tc>
          <w:tcPr>
            <w:tcW w:w="3047" w:type="dxa"/>
            <w:noWrap w:val="0"/>
            <w:vAlign w:val="top"/>
          </w:tcPr>
          <w:p w14:paraId="1912D0C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3、3、2</w:t>
            </w:r>
          </w:p>
        </w:tc>
      </w:tr>
      <w:tr w14:paraId="23F2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38C85C3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w:t>
            </w:r>
          </w:p>
        </w:tc>
        <w:tc>
          <w:tcPr>
            <w:tcW w:w="2850" w:type="dxa"/>
            <w:noWrap w:val="0"/>
            <w:vAlign w:val="top"/>
          </w:tcPr>
          <w:p w14:paraId="5E6017B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仲景西区南门</w:t>
            </w:r>
          </w:p>
        </w:tc>
        <w:tc>
          <w:tcPr>
            <w:tcW w:w="1000" w:type="dxa"/>
            <w:noWrap w:val="0"/>
            <w:vAlign w:val="top"/>
          </w:tcPr>
          <w:p w14:paraId="6A2BF0C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w:t>
            </w:r>
          </w:p>
        </w:tc>
        <w:tc>
          <w:tcPr>
            <w:tcW w:w="3047" w:type="dxa"/>
            <w:noWrap w:val="0"/>
            <w:vAlign w:val="top"/>
          </w:tcPr>
          <w:p w14:paraId="3F158F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w:t>
            </w:r>
          </w:p>
        </w:tc>
      </w:tr>
      <w:tr w14:paraId="59B4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0912588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w:t>
            </w:r>
          </w:p>
        </w:tc>
        <w:tc>
          <w:tcPr>
            <w:tcW w:w="2850" w:type="dxa"/>
            <w:noWrap w:val="0"/>
            <w:vAlign w:val="top"/>
          </w:tcPr>
          <w:p w14:paraId="6BE8782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仲景西区一号办公楼</w:t>
            </w:r>
          </w:p>
        </w:tc>
        <w:tc>
          <w:tcPr>
            <w:tcW w:w="1000" w:type="dxa"/>
            <w:noWrap w:val="0"/>
            <w:vAlign w:val="top"/>
          </w:tcPr>
          <w:p w14:paraId="157202F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w:t>
            </w:r>
          </w:p>
        </w:tc>
        <w:tc>
          <w:tcPr>
            <w:tcW w:w="3047" w:type="dxa"/>
            <w:noWrap w:val="0"/>
            <w:vAlign w:val="top"/>
          </w:tcPr>
          <w:p w14:paraId="41507B0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1、1、1</w:t>
            </w:r>
          </w:p>
        </w:tc>
      </w:tr>
      <w:tr w14:paraId="5EFA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6EA137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w:t>
            </w:r>
          </w:p>
        </w:tc>
        <w:tc>
          <w:tcPr>
            <w:tcW w:w="2850" w:type="dxa"/>
            <w:noWrap w:val="0"/>
            <w:vAlign w:val="top"/>
          </w:tcPr>
          <w:p w14:paraId="463EEE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仲景西区图书馆</w:t>
            </w:r>
          </w:p>
        </w:tc>
        <w:tc>
          <w:tcPr>
            <w:tcW w:w="1000" w:type="dxa"/>
            <w:noWrap w:val="0"/>
            <w:vAlign w:val="top"/>
          </w:tcPr>
          <w:p w14:paraId="572E8FD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w:t>
            </w:r>
          </w:p>
        </w:tc>
        <w:tc>
          <w:tcPr>
            <w:tcW w:w="3047" w:type="dxa"/>
            <w:noWrap w:val="0"/>
            <w:vAlign w:val="top"/>
          </w:tcPr>
          <w:p w14:paraId="4C8E73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2、2、2</w:t>
            </w:r>
          </w:p>
        </w:tc>
      </w:tr>
      <w:tr w14:paraId="6177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4D58EB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w:t>
            </w:r>
          </w:p>
        </w:tc>
        <w:tc>
          <w:tcPr>
            <w:tcW w:w="2850" w:type="dxa"/>
            <w:noWrap w:val="0"/>
            <w:vAlign w:val="top"/>
          </w:tcPr>
          <w:p w14:paraId="0E52CC7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东区仲景文化中心</w:t>
            </w:r>
          </w:p>
        </w:tc>
        <w:tc>
          <w:tcPr>
            <w:tcW w:w="1000" w:type="dxa"/>
            <w:noWrap w:val="0"/>
            <w:vAlign w:val="top"/>
          </w:tcPr>
          <w:p w14:paraId="65FAD16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w:t>
            </w:r>
          </w:p>
        </w:tc>
        <w:tc>
          <w:tcPr>
            <w:tcW w:w="3047" w:type="dxa"/>
            <w:noWrap w:val="0"/>
            <w:vAlign w:val="top"/>
          </w:tcPr>
          <w:p w14:paraId="02639F0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1、1、1</w:t>
            </w:r>
          </w:p>
        </w:tc>
      </w:tr>
      <w:tr w14:paraId="4776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33D16C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7</w:t>
            </w:r>
          </w:p>
        </w:tc>
        <w:tc>
          <w:tcPr>
            <w:tcW w:w="2850" w:type="dxa"/>
            <w:noWrap w:val="0"/>
            <w:vAlign w:val="top"/>
          </w:tcPr>
          <w:p w14:paraId="63A41F3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仲景东区大门</w:t>
            </w:r>
          </w:p>
        </w:tc>
        <w:tc>
          <w:tcPr>
            <w:tcW w:w="1000" w:type="dxa"/>
            <w:noWrap w:val="0"/>
            <w:vAlign w:val="top"/>
          </w:tcPr>
          <w:p w14:paraId="5EE773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w:t>
            </w:r>
          </w:p>
        </w:tc>
        <w:tc>
          <w:tcPr>
            <w:tcW w:w="3047" w:type="dxa"/>
            <w:noWrap w:val="0"/>
            <w:vAlign w:val="top"/>
          </w:tcPr>
          <w:p w14:paraId="065EE5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3、3、2</w:t>
            </w:r>
          </w:p>
        </w:tc>
      </w:tr>
      <w:tr w14:paraId="065E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4ED0A5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w:t>
            </w:r>
          </w:p>
        </w:tc>
        <w:tc>
          <w:tcPr>
            <w:tcW w:w="2850" w:type="dxa"/>
            <w:noWrap w:val="0"/>
            <w:vAlign w:val="top"/>
          </w:tcPr>
          <w:p w14:paraId="16DF95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孔明校区图书馆</w:t>
            </w:r>
          </w:p>
        </w:tc>
        <w:tc>
          <w:tcPr>
            <w:tcW w:w="1000" w:type="dxa"/>
            <w:noWrap w:val="0"/>
            <w:vAlign w:val="top"/>
          </w:tcPr>
          <w:p w14:paraId="78E13A0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w:t>
            </w:r>
          </w:p>
        </w:tc>
        <w:tc>
          <w:tcPr>
            <w:tcW w:w="3047" w:type="dxa"/>
            <w:noWrap w:val="0"/>
            <w:vAlign w:val="top"/>
          </w:tcPr>
          <w:p w14:paraId="39CEBB0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1、1、1</w:t>
            </w:r>
          </w:p>
        </w:tc>
      </w:tr>
      <w:tr w14:paraId="7512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2FBA1D1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9</w:t>
            </w:r>
          </w:p>
        </w:tc>
        <w:tc>
          <w:tcPr>
            <w:tcW w:w="2850" w:type="dxa"/>
            <w:noWrap w:val="0"/>
            <w:vAlign w:val="top"/>
          </w:tcPr>
          <w:p w14:paraId="7AD7D50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孔明校区大门</w:t>
            </w:r>
          </w:p>
        </w:tc>
        <w:tc>
          <w:tcPr>
            <w:tcW w:w="1000" w:type="dxa"/>
            <w:noWrap w:val="0"/>
            <w:vAlign w:val="top"/>
          </w:tcPr>
          <w:p w14:paraId="1E61C09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8</w:t>
            </w:r>
          </w:p>
        </w:tc>
        <w:tc>
          <w:tcPr>
            <w:tcW w:w="3047" w:type="dxa"/>
            <w:noWrap w:val="0"/>
            <w:vAlign w:val="top"/>
          </w:tcPr>
          <w:p w14:paraId="21C30A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3、3、2</w:t>
            </w:r>
          </w:p>
        </w:tc>
      </w:tr>
      <w:tr w14:paraId="41A7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29E2D6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10</w:t>
            </w:r>
          </w:p>
        </w:tc>
        <w:tc>
          <w:tcPr>
            <w:tcW w:w="2850" w:type="dxa"/>
            <w:noWrap w:val="0"/>
            <w:vAlign w:val="top"/>
          </w:tcPr>
          <w:p w14:paraId="4D72416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孔明校区巡逻</w:t>
            </w:r>
          </w:p>
        </w:tc>
        <w:tc>
          <w:tcPr>
            <w:tcW w:w="1000" w:type="dxa"/>
            <w:noWrap w:val="0"/>
            <w:vAlign w:val="top"/>
          </w:tcPr>
          <w:p w14:paraId="2F70E36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w:t>
            </w:r>
          </w:p>
        </w:tc>
        <w:tc>
          <w:tcPr>
            <w:tcW w:w="3047" w:type="dxa"/>
            <w:noWrap w:val="0"/>
            <w:vAlign w:val="top"/>
          </w:tcPr>
          <w:p w14:paraId="43CABA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2、2、2</w:t>
            </w:r>
          </w:p>
        </w:tc>
      </w:tr>
      <w:tr w14:paraId="0F4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160638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w:t>
            </w:r>
          </w:p>
        </w:tc>
        <w:tc>
          <w:tcPr>
            <w:tcW w:w="2850" w:type="dxa"/>
            <w:noWrap w:val="0"/>
            <w:vAlign w:val="top"/>
          </w:tcPr>
          <w:p w14:paraId="79ACF8C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队长</w:t>
            </w:r>
          </w:p>
        </w:tc>
        <w:tc>
          <w:tcPr>
            <w:tcW w:w="1000" w:type="dxa"/>
            <w:noWrap w:val="0"/>
            <w:vAlign w:val="top"/>
          </w:tcPr>
          <w:p w14:paraId="2D7F43E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w:t>
            </w:r>
          </w:p>
        </w:tc>
        <w:tc>
          <w:tcPr>
            <w:tcW w:w="3047" w:type="dxa"/>
            <w:noWrap w:val="0"/>
            <w:vAlign w:val="top"/>
          </w:tcPr>
          <w:p w14:paraId="1CD88E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w:t>
            </w:r>
          </w:p>
        </w:tc>
      </w:tr>
      <w:tr w14:paraId="0E9B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4B0981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12</w:t>
            </w:r>
          </w:p>
        </w:tc>
        <w:tc>
          <w:tcPr>
            <w:tcW w:w="2850" w:type="dxa"/>
            <w:noWrap w:val="0"/>
            <w:vAlign w:val="top"/>
          </w:tcPr>
          <w:p w14:paraId="4DED5C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消防控制室</w:t>
            </w:r>
          </w:p>
        </w:tc>
        <w:tc>
          <w:tcPr>
            <w:tcW w:w="1000" w:type="dxa"/>
            <w:noWrap w:val="0"/>
            <w:vAlign w:val="top"/>
          </w:tcPr>
          <w:p w14:paraId="117B5A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3</w:t>
            </w:r>
          </w:p>
        </w:tc>
        <w:tc>
          <w:tcPr>
            <w:tcW w:w="3047" w:type="dxa"/>
            <w:noWrap w:val="0"/>
            <w:vAlign w:val="top"/>
          </w:tcPr>
          <w:p w14:paraId="1B977B4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1、1、1</w:t>
            </w:r>
          </w:p>
        </w:tc>
      </w:tr>
      <w:tr w14:paraId="16CD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2858D7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13</w:t>
            </w:r>
          </w:p>
        </w:tc>
        <w:tc>
          <w:tcPr>
            <w:tcW w:w="2850" w:type="dxa"/>
            <w:noWrap w:val="0"/>
            <w:vAlign w:val="top"/>
          </w:tcPr>
          <w:p w14:paraId="2A9F9DD5">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校警联动</w:t>
            </w:r>
          </w:p>
        </w:tc>
        <w:tc>
          <w:tcPr>
            <w:tcW w:w="1000" w:type="dxa"/>
            <w:noWrap w:val="0"/>
            <w:vAlign w:val="top"/>
          </w:tcPr>
          <w:p w14:paraId="35F179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w:t>
            </w:r>
          </w:p>
        </w:tc>
        <w:tc>
          <w:tcPr>
            <w:tcW w:w="3047" w:type="dxa"/>
            <w:noWrap w:val="0"/>
            <w:vAlign w:val="top"/>
          </w:tcPr>
          <w:p w14:paraId="0188D4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w:t>
            </w:r>
          </w:p>
        </w:tc>
      </w:tr>
      <w:tr w14:paraId="1AC9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top"/>
          </w:tcPr>
          <w:p w14:paraId="72477CE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合计</w:t>
            </w:r>
          </w:p>
        </w:tc>
        <w:tc>
          <w:tcPr>
            <w:tcW w:w="2850" w:type="dxa"/>
            <w:noWrap w:val="0"/>
            <w:vAlign w:val="top"/>
          </w:tcPr>
          <w:p w14:paraId="7190EEE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p>
        </w:tc>
        <w:tc>
          <w:tcPr>
            <w:tcW w:w="1000" w:type="dxa"/>
            <w:noWrap w:val="0"/>
            <w:vAlign w:val="top"/>
          </w:tcPr>
          <w:p w14:paraId="4F34341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65</w:t>
            </w:r>
          </w:p>
        </w:tc>
        <w:tc>
          <w:tcPr>
            <w:tcW w:w="3047" w:type="dxa"/>
            <w:noWrap w:val="0"/>
            <w:vAlign w:val="top"/>
          </w:tcPr>
          <w:p w14:paraId="30CE8E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p>
        </w:tc>
      </w:tr>
    </w:tbl>
    <w:p w14:paraId="0091AE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门岗服务：</w:t>
      </w:r>
      <w:bookmarkStart w:id="4" w:name="_Hlk110350953"/>
      <w:r>
        <w:rPr>
          <w:rFonts w:hint="eastAsia" w:asciiTheme="minorEastAsia" w:hAnsiTheme="minorEastAsia" w:eastAsiaTheme="minorEastAsia" w:cstheme="minorEastAsia"/>
          <w:spacing w:val="-1"/>
          <w:sz w:val="24"/>
          <w:szCs w:val="24"/>
          <w:lang w:val="en-US" w:eastAsia="zh-CN"/>
        </w:rPr>
        <w:t>各校区门岗</w:t>
      </w:r>
      <w:bookmarkStart w:id="5" w:name="_Hlk110349268"/>
      <w:r>
        <w:rPr>
          <w:rFonts w:hint="eastAsia" w:asciiTheme="minorEastAsia" w:hAnsiTheme="minorEastAsia" w:eastAsiaTheme="minorEastAsia" w:cstheme="minorEastAsia"/>
          <w:spacing w:val="-1"/>
          <w:sz w:val="24"/>
          <w:szCs w:val="24"/>
          <w:lang w:val="en-US" w:eastAsia="zh-CN"/>
        </w:rPr>
        <w:t>实行</w:t>
      </w:r>
      <w:bookmarkEnd w:id="4"/>
      <w:r>
        <w:rPr>
          <w:rFonts w:hint="eastAsia" w:asciiTheme="minorEastAsia" w:hAnsiTheme="minorEastAsia" w:eastAsiaTheme="minorEastAsia" w:cstheme="minorEastAsia"/>
          <w:spacing w:val="-1"/>
          <w:sz w:val="24"/>
          <w:szCs w:val="24"/>
          <w:lang w:val="en-US" w:eastAsia="zh-CN"/>
        </w:rPr>
        <w:t>24小时值班（夜班实行坐班制，禁止躺值），人员每天实行三班8小时制，对进出人员、车辆进出核查、检验，来访登记、秩序维护、对各大门口车辆进行指挥疏导，保证大门口畅通等工作。</w:t>
      </w:r>
    </w:p>
    <w:p w14:paraId="285A139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治安消防巡逻：持消防资格证上岗，熟练掌握消防器材操作使用方法及自动消防设施操作方法。</w:t>
      </w:r>
      <w:bookmarkEnd w:id="5"/>
      <w:r>
        <w:rPr>
          <w:rFonts w:hint="eastAsia" w:asciiTheme="minorEastAsia" w:hAnsiTheme="minorEastAsia" w:eastAsiaTheme="minorEastAsia" w:cstheme="minorEastAsia"/>
          <w:spacing w:val="-1"/>
          <w:sz w:val="24"/>
          <w:szCs w:val="24"/>
          <w:lang w:val="en-US" w:eastAsia="zh-CN"/>
        </w:rPr>
        <w:t>治安巡逻岗全天候对校区院内公共区域及学生公寓进行治安、交通、车辆停放和消防进行巡查，能及时发现各种安全和事故隐患，迅速妥善有效处置突发事件。</w:t>
      </w:r>
    </w:p>
    <w:p w14:paraId="0636DCC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 xml:space="preserve">车辆指挥：对各大门口车辆进行指挥疏导，保证大门口畅通；学校大型活动及会务工作的安保服务，必要时全员上岗；突发性事件处置；出现疫情期间公司须向安保队员提供口罩、防护服、消毒酒精等；各门卫及巡逻须配备对讲设备，安保队员服装整洁统一；必须执行学校和保卫处的管理规定，服从学校和保卫处工作指令。 </w:t>
      </w:r>
    </w:p>
    <w:p w14:paraId="5CEB8E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bookmarkStart w:id="6" w:name="_Hlk110350976"/>
      <w:r>
        <w:rPr>
          <w:rFonts w:hint="eastAsia" w:asciiTheme="minorEastAsia" w:hAnsiTheme="minorEastAsia" w:eastAsiaTheme="minorEastAsia" w:cstheme="minorEastAsia"/>
          <w:spacing w:val="-1"/>
          <w:sz w:val="24"/>
          <w:szCs w:val="24"/>
          <w:lang w:val="en-US" w:eastAsia="zh-CN"/>
        </w:rPr>
        <w:t>夜巡岗</w:t>
      </w:r>
      <w:bookmarkEnd w:id="6"/>
      <w:r>
        <w:rPr>
          <w:rFonts w:hint="eastAsia" w:asciiTheme="minorEastAsia" w:hAnsiTheme="minorEastAsia" w:eastAsiaTheme="minorEastAsia" w:cstheme="minorEastAsia"/>
          <w:spacing w:val="-1"/>
          <w:sz w:val="24"/>
          <w:szCs w:val="24"/>
          <w:lang w:val="en-US" w:eastAsia="zh-CN"/>
        </w:rPr>
        <w:t>服务</w:t>
      </w:r>
      <w:bookmarkStart w:id="7" w:name="_Hlk110351022"/>
      <w:r>
        <w:rPr>
          <w:rFonts w:hint="eastAsia" w:asciiTheme="minorEastAsia" w:hAnsiTheme="minorEastAsia" w:eastAsiaTheme="minorEastAsia" w:cstheme="minorEastAsia"/>
          <w:spacing w:val="-1"/>
          <w:sz w:val="24"/>
          <w:szCs w:val="24"/>
          <w:lang w:val="en-US" w:eastAsia="zh-CN"/>
        </w:rPr>
        <w:t>：</w:t>
      </w:r>
      <w:bookmarkEnd w:id="7"/>
      <w:r>
        <w:rPr>
          <w:rFonts w:hint="eastAsia" w:asciiTheme="minorEastAsia" w:hAnsiTheme="minorEastAsia" w:eastAsiaTheme="minorEastAsia" w:cstheme="minorEastAsia"/>
          <w:spacing w:val="-1"/>
          <w:sz w:val="24"/>
          <w:szCs w:val="24"/>
          <w:lang w:val="en-US" w:eastAsia="zh-CN"/>
        </w:rPr>
        <w:t>各校区夜巡岗实行12小时，下午18时至次日6时，对校区院内公共区域及学生公寓进行治安和消防巡查，能及时发现各种安全和事故隐患，迅速妥善有效处置突发事件。</w:t>
      </w:r>
    </w:p>
    <w:p w14:paraId="457EBF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项目概述</w:t>
      </w:r>
    </w:p>
    <w:p w14:paraId="2EE7B7B4">
      <w:pPr>
        <w:spacing w:beforeLines="0" w:afterLines="0" w:line="360" w:lineRule="auto"/>
        <w:ind w:firstLine="476" w:firstLineChars="200"/>
        <w:rPr>
          <w:rFonts w:hint="eastAsia"/>
        </w:rPr>
      </w:pPr>
      <w:r>
        <w:rPr>
          <w:rFonts w:hint="eastAsia" w:asciiTheme="minorEastAsia" w:hAnsiTheme="minorEastAsia" w:eastAsiaTheme="minorEastAsia" w:cstheme="minorEastAsia"/>
          <w:snapToGrid w:val="0"/>
          <w:color w:val="000000"/>
          <w:spacing w:val="-1"/>
          <w:kern w:val="0"/>
          <w:sz w:val="24"/>
          <w:szCs w:val="24"/>
          <w:lang w:val="en-US" w:eastAsia="en-US" w:bidi="ar-SA"/>
        </w:rPr>
        <w:t>本项目服务包括校区的校门值守、巡逻、消防控制、图书馆、大型活动安保、消防施救、灾害抢险、校内接出警、监控、校内车辆交通管理等工作。协助学校处理治安、火警、交通、反恐防爆、应急处突、特殊天气等。在法律范围内完成学校要求协助的其他工作。</w:t>
      </w:r>
    </w:p>
    <w:p w14:paraId="366A0E7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1ABB14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14:paraId="683814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□本项目/包为非单一产品采购项目，核心产品为</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1"/>
          <w:sz w:val="24"/>
          <w:szCs w:val="24"/>
          <w:lang w:eastAsia="zh-CN"/>
        </w:rPr>
        <w:t>。</w:t>
      </w:r>
    </w:p>
    <w:p w14:paraId="00FAAFE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1223C11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4A8EB4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35E6C9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三年</w:t>
      </w:r>
    </w:p>
    <w:p w14:paraId="1B35028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rPr>
        <w:t>范围</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lang w:val="en-US" w:eastAsia="zh-CN"/>
        </w:rPr>
        <w:t>采购人指定服务范围</w:t>
      </w:r>
    </w:p>
    <w:p w14:paraId="210ADF0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2.付款方式：暂定三年，合同每年一签，考核通过后，续签次年合同。（若考核不通过或发生重大校园事故，甲方有权单方面终止合同）</w:t>
      </w:r>
    </w:p>
    <w:p w14:paraId="0DE6E47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.验收标准</w:t>
      </w:r>
      <w:r>
        <w:rPr>
          <w:rFonts w:hint="eastAsia" w:asciiTheme="minorEastAsia" w:hAnsiTheme="minorEastAsia" w:eastAsiaTheme="minorEastAsia" w:cstheme="minorEastAsia"/>
          <w:sz w:val="24"/>
          <w:szCs w:val="24"/>
          <w:highlight w:val="none"/>
          <w:lang w:val="en-US" w:eastAsia="zh-CN"/>
        </w:rPr>
        <w:t>及方式：按照合同约定条款进行验收</w:t>
      </w:r>
    </w:p>
    <w:p w14:paraId="1FA6FAD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66ECD9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4897DFF5">
      <w:pPr>
        <w:ind w:firstLine="472" w:firstLineChars="200"/>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6.投标人应提供服务方案，包括但不限于安保服务固定岗服务的方案、安保巡逻岗服务方案、学校大型活动消防、安保方案、消防控制室日常管理方案、应急管理方案、项目规章制度等。</w:t>
      </w:r>
    </w:p>
    <w:p w14:paraId="18DBC4C8">
      <w:pPr>
        <w:ind w:firstLine="472" w:firstLineChars="200"/>
        <w:rPr>
          <w:rFonts w:hint="default"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7.投标人应提供服务人员情况信息，包括但不限于人员基本信息、岗位配套设置、人员培训与考核方案等。</w:t>
      </w:r>
    </w:p>
    <w:p w14:paraId="530ED1FA">
      <w:pPr>
        <w:pStyle w:val="23"/>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0541AD39">
      <w:pPr>
        <w:pStyle w:val="23"/>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9AE4406">
      <w:pPr>
        <w:pStyle w:val="24"/>
        <w:rPr>
          <w:rFonts w:hint="eastAsia"/>
          <w:lang w:val="en-US" w:eastAsia="zh-CN"/>
        </w:rPr>
      </w:pPr>
    </w:p>
    <w:p w14:paraId="7CB6D546">
      <w:pPr>
        <w:pStyle w:val="2"/>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2223CBC1">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8E17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5CBC3C5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64E321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4A640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76023B4">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971722C">
            <w:pPr>
              <w:pStyle w:val="26"/>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454C9777">
            <w:pPr>
              <w:pStyle w:val="26"/>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363BF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7BD69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8FC8BD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250E282">
            <w:pPr>
              <w:pStyle w:val="26"/>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4C330684">
            <w:pPr>
              <w:pStyle w:val="26"/>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2E6D7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3845AED">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6A9FF789">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5919F62">
            <w:pPr>
              <w:pStyle w:val="26"/>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320EA08F">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2C5EC6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C374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7DD7EF7">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3087B73">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227D0D4C">
            <w:pPr>
              <w:pStyle w:val="26"/>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48849F2C">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B5EC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469A7B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269AD6A">
            <w:pPr>
              <w:pStyle w:val="26"/>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其他未列明行业   </w:t>
            </w:r>
          </w:p>
          <w:p w14:paraId="4BCCFD2E">
            <w:pPr>
              <w:pStyle w:val="26"/>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36810F7C">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360C5AB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24C8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8259AA1">
            <w:pPr>
              <w:pStyle w:val="26"/>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29683B9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70A8618">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0CD2996A">
            <w:pPr>
              <w:pStyle w:val="26"/>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50CF7C8E">
            <w:pPr>
              <w:pStyle w:val="26"/>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6E53CE64">
            <w:pPr>
              <w:pStyle w:val="26"/>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B779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B1DBD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5A5140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530.01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0610B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3C74C8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8FE673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959C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25979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E49095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74674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88D78D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8BE9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11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20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3B18B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AD5872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52FAE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11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20</w:t>
            </w:r>
            <w:bookmarkStart w:id="8" w:name="_GoBack"/>
            <w:bookmarkEnd w:id="8"/>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75B6F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386F6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DF692B9">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本项目不适用</w:t>
            </w:r>
          </w:p>
        </w:tc>
      </w:tr>
      <w:tr w14:paraId="38CDD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48FA8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4FDA64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2D6EC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CF07E6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C19C8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7C76A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4D09EBB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FCCCE95">
            <w:pPr>
              <w:pStyle w:val="26"/>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7D9D0AFA">
            <w:pPr>
              <w:pStyle w:val="26"/>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3AE8D974">
            <w:pPr>
              <w:pStyle w:val="26"/>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14:paraId="1ADB0909">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00ED8716">
      <w:pPr>
        <w:pStyle w:val="2"/>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6DF951D2">
      <w:pPr>
        <w:pStyle w:val="2"/>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2351DCFF">
      <w:pPr>
        <w:pStyle w:val="2"/>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6CF1DAD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7DE74A7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32C24A0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1242C1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CD4073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0BD22F3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w:t>
      </w:r>
      <w:r>
        <w:rPr>
          <w:rFonts w:hint="eastAsia" w:asciiTheme="minorEastAsia" w:hAnsiTheme="minorEastAsia" w:eastAsiaTheme="minorEastAsia" w:cstheme="minorEastAsia"/>
          <w:spacing w:val="7"/>
          <w:sz w:val="24"/>
          <w:szCs w:val="24"/>
          <w:lang w:val="en-US" w:eastAsia="zh-CN"/>
        </w:rPr>
        <w:t>自筹</w:t>
      </w:r>
      <w:r>
        <w:rPr>
          <w:rFonts w:hint="eastAsia" w:asciiTheme="minorEastAsia" w:hAnsiTheme="minorEastAsia" w:eastAsiaTheme="minorEastAsia" w:cstheme="minorEastAsia"/>
          <w:spacing w:val="7"/>
          <w:sz w:val="24"/>
          <w:szCs w:val="24"/>
        </w:rPr>
        <w:t>资金</w:t>
      </w:r>
      <w:r>
        <w:rPr>
          <w:rFonts w:hint="eastAsia" w:asciiTheme="minorEastAsia" w:hAnsiTheme="minorEastAsia" w:eastAsiaTheme="minorEastAsia" w:cstheme="minorEastAsia"/>
          <w:spacing w:val="7"/>
          <w:sz w:val="24"/>
          <w:szCs w:val="24"/>
          <w:u w:val="single"/>
          <w:lang w:val="en-US" w:eastAsia="zh-CN"/>
        </w:rPr>
        <w:t xml:space="preserve"> 530.01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1CD1998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0DEBCB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0CAF88F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09FBE0F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0E6985F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09E14686">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71FF1E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2B47DBE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DBA37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70A3EB2E">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356B1491">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31FBB25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2E0FC092">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741279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567F2AC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4775E16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612D032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11197C2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0EB7F0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7577D78">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7FCA75E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58F0654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1611921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6B1753B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31AB6E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6E442E0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66AE296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12F7E0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D6D3BA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146F244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73DCB4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4C200DB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764162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CD19B4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CF41BD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529D371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4B6B5F2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937D05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6EB43F7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138F11A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836943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7FE994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1ADFE1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2EE343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680906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39B0F7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7C32B1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5AE4B00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6B1E2A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502174C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440E332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4E3CA27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安保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59A30370">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0DE5784C">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3D4DEA5">
      <w:pPr>
        <w:pStyle w:val="2"/>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6625EA6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67330949">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40F61A8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1AFD6F0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05D380C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7583B8C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761D1B7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5AF05BC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292BFE7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20DD16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7380135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3CCE786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12275FA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0A482BA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47541B8C">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6B5E95B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43F8E077">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462E460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20916B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1F4988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D977D0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13C70EC6">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33E2E2D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4DE413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1AB8B66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67372C5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1A07EA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44E271F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2E1C58C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36562A9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1D9B0BA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262029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5411811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2D699A5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188B38B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396B52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37B5323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B0BA9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738FA71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5D3AD83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284BA90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0BADA29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393F26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电子营业执照</w:t>
      </w:r>
      <w:r>
        <w:rPr>
          <w:rFonts w:hint="eastAsia" w:asciiTheme="minorEastAsia" w:hAnsiTheme="minorEastAsia" w:eastAsiaTheme="minorEastAsia" w:cstheme="minorEastAsia"/>
          <w:sz w:val="24"/>
          <w:szCs w:val="24"/>
        </w:rPr>
        <w:t>加盖电子签章。</w:t>
      </w:r>
    </w:p>
    <w:p w14:paraId="2C29CB1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1525B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0954CE5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370F7E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电子营业执照应用平台系统在投标截止时间前完成制作软件生成的加密电子投标文件的上传。未在投标截止时间前完成上传的，视为逾期提交。逾期提交的投标文件，招标人不予受理。</w:t>
      </w:r>
    </w:p>
    <w:p w14:paraId="695B20D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150252A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0A65C05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06AD24E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35DB95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00FDE39C">
      <w:pPr>
        <w:pStyle w:val="2"/>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EE46135">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9C019E2">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B57602A">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B11B4A4">
      <w:pPr>
        <w:pStyle w:val="2"/>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282BA870">
      <w:pPr>
        <w:pStyle w:val="2"/>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0E5B6A9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5AE98C2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3F446A6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01C489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或电子营业执照进行加密，投标人在开标前须自行检查电子营业执照的有效性。在解密时间到达后，系统做出解密提示，请各投标人自行解密即可。开标解密时未在规定时间（30分钟）内进行解密的视为撤销其投标文件（因电子开标系统原因除外）。</w:t>
      </w:r>
    </w:p>
    <w:p w14:paraId="38E067C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4A97AD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6B10520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4769F95E">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429D1FCF">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4B5E555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45D4FE4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5537B9A5">
      <w:pPr>
        <w:pStyle w:val="24"/>
        <w:rPr>
          <w:rFonts w:hint="eastAsia"/>
          <w:lang w:val="en-US" w:eastAsia="zh-CN"/>
        </w:rPr>
      </w:pPr>
    </w:p>
    <w:p w14:paraId="293D838A">
      <w:pPr>
        <w:pStyle w:val="2"/>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28162544">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5"/>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7DD92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2EE1F447">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1A5BD173">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280531C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0B515CFF">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60392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1DDB1CF7">
            <w:pPr>
              <w:pStyle w:val="26"/>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522EBE70">
            <w:pPr>
              <w:pStyle w:val="26"/>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05F1695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0C1829B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120640C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1ACB12A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2CF274B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1D4C8FA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2BCC875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7357C9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593B6D55">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F51B57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1ACA194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126F560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3AE7948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B2D5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089CC405">
            <w:pPr>
              <w:pStyle w:val="26"/>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5BF40941">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868A2AD">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291655D8">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096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731D9943">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05E3639">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8B93297">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6A4B780F">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4D017D2">
            <w:pPr>
              <w:pStyle w:val="26"/>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C78031">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FA00633">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65F94E4">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727C866D">
            <w:pPr>
              <w:pStyle w:val="26"/>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9B38BE4">
            <w:pPr>
              <w:pStyle w:val="26"/>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232C7F81">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09911D6">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FBD79D2">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3C48BF2">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6BA586">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89AC446">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AD3F340">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AFCA48B">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71C84A6">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64A2301">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5641B3CC">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0D507956">
            <w:pPr>
              <w:pStyle w:val="26"/>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5DFD68D1">
            <w:pPr>
              <w:pStyle w:val="26"/>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3D0A77E7">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CEB679">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D278486">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413D55D">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8D6758C">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60AFDBD">
            <w:pPr>
              <w:pStyle w:val="26"/>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B6E90EA">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A4C638A">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BC042D7">
            <w:pPr>
              <w:pStyle w:val="26"/>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06CBA13">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6E097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1B2D228B">
            <w:pPr>
              <w:pStyle w:val="26"/>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1A57989B">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5143D581">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3A021635">
            <w:pPr>
              <w:pStyle w:val="26"/>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1796C509">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E35F61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2BE6CCEE">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2928BEE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193EF28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76561FF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2D4FC6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24640AE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2636BA0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539D7E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523EE0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17DCA0D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131D758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56B315A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037A956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6677F8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1747225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61D0FB0D">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06C815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745575B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131C3D52">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775DA3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D7DA771">
      <w:pPr>
        <w:pStyle w:val="2"/>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69A20379">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598C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5B5377B1">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211DAF4B">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785BDD55">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44F1B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155AC90">
            <w:pPr>
              <w:pStyle w:val="26"/>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0583C674">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3F50B3F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71BA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884657E">
            <w:pPr>
              <w:pStyle w:val="26"/>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7CF9996E">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2E7B4E75">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0676490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59773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8DC27D0">
            <w:pPr>
              <w:pStyle w:val="26"/>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6E91D40F">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5757C6A3">
            <w:pPr>
              <w:pStyle w:val="26"/>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7835F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FDC7513">
            <w:pPr>
              <w:pStyle w:val="26"/>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12583F75">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068DF563">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20E0E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002A3D1E">
            <w:pPr>
              <w:pStyle w:val="26"/>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6D1182EB">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26C1FA22">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32B9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112DDA1">
            <w:pPr>
              <w:pStyle w:val="26"/>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331551E">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1D90BFB1">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350AC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96CC644">
            <w:pPr>
              <w:pStyle w:val="26"/>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55E14949">
            <w:pPr>
              <w:pStyle w:val="26"/>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3A77CAFE">
            <w:pPr>
              <w:pStyle w:val="26"/>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0748EF7D">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0F9001CB">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68970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169246C7">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4387F8A1">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交货时间</w:t>
            </w:r>
          </w:p>
          <w:p w14:paraId="72E6B484">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7F3D40EB">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47654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06027806">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493A7B63">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4AE0FF0E">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60E7141C">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47719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3BFF899F">
            <w:pPr>
              <w:pStyle w:val="26"/>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216C21D4">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top"/>
          </w:tcPr>
          <w:p w14:paraId="1EA07175">
            <w:pPr>
              <w:pStyle w:val="26"/>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2733757">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6A72B8D4">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4622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66F391D6">
            <w:pPr>
              <w:pStyle w:val="26"/>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7042B88A">
            <w:pPr>
              <w:pStyle w:val="26"/>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1894DA39">
            <w:pPr>
              <w:pStyle w:val="26"/>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B6AE288">
            <w:pPr>
              <w:pStyle w:val="26"/>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61AEF9C4">
            <w:pPr>
              <w:pStyle w:val="26"/>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71D13288">
            <w:pPr>
              <w:pStyle w:val="26"/>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13DF63A5">
            <w:pPr>
              <w:pStyle w:val="26"/>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67569248">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6BAC870A">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B56B462">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3C41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3A38DD52">
            <w:pPr>
              <w:pStyle w:val="26"/>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76F0631C">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19E02F1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64DB1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DCE5ECE">
            <w:pPr>
              <w:pStyle w:val="26"/>
              <w:keepNext w:val="0"/>
              <w:keepLines w:val="0"/>
              <w:pageBreakBefore w:val="0"/>
              <w:kinsoku/>
              <w:wordWrap w:val="0"/>
              <w:overflowPunct/>
              <w:topLinePunct w:val="0"/>
              <w:bidi w:val="0"/>
              <w:spacing w:before="248" w:line="202"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7B25BCF3">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0DC06CAE">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19253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1018FFC6">
            <w:pPr>
              <w:pStyle w:val="26"/>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0448BD0C">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1764C6C3">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606E0D6E">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703D54C9">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p>
    <w:p w14:paraId="570E7BF4">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525972D7">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□货物类，审查投标设备的技术指标、技术性能或产品技术说明、项目供货方案、培训计划和强制节能产品证明文件等是否符合招标要求。</w:t>
      </w:r>
    </w:p>
    <w:p w14:paraId="6B852C2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安保服务固定岗服务的方案、安保巡逻岗服务方案、学校大型活动消防、安保方案、消防控制室日常管理方案、应急管理方案、项目规章制度等）、人员配备情况（人员基本信息、岗位配套设置、人员培训与考核方案）等是否符合招标要求。</w:t>
      </w:r>
    </w:p>
    <w:p w14:paraId="12DBA55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1A1B320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E16C6D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25A3D5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4A97827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515E5C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556130E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63C61F8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1FF2DC4">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11BD15EC">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69773E5">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72D794F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66E3C8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29B60993">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5B55B3F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09883202">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4DA0DAD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49FC364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1C4411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6321BE2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2314AE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72F174C1">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1EF5799B">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2A03C7E0">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256C2097">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2989C0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14177CE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E6D4F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6F281A3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68B50C34">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49EE9DF3">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57CF06B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15CBC8A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61E8361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2E6D6A1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77948442">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4AE0EC9B">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5D7C820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4A3BF1A4">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722158B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0947037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3BF4B9F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6DD022D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3200D77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494089B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60C7718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9F8BD1F">
      <w:pPr>
        <w:pStyle w:val="2"/>
        <w:rPr>
          <w:rFonts w:hint="eastAsia" w:asciiTheme="minorEastAsia" w:hAnsiTheme="minorEastAsia" w:eastAsiaTheme="minorEastAsia" w:cstheme="minorEastAsia"/>
          <w:sz w:val="21"/>
        </w:rPr>
      </w:pPr>
    </w:p>
    <w:p w14:paraId="588D8246">
      <w:pPr>
        <w:pStyle w:val="3"/>
        <w:rPr>
          <w:rFonts w:hint="eastAsia" w:asciiTheme="minorEastAsia" w:hAnsiTheme="minorEastAsia" w:eastAsiaTheme="minorEastAsia" w:cstheme="minorEastAsia"/>
          <w:sz w:val="21"/>
        </w:rPr>
      </w:pPr>
    </w:p>
    <w:p w14:paraId="5958C87E">
      <w:pPr>
        <w:rPr>
          <w:rFonts w:hint="eastAsia" w:asciiTheme="minorEastAsia" w:hAnsiTheme="minorEastAsia" w:eastAsiaTheme="minorEastAsia" w:cstheme="minorEastAsia"/>
          <w:sz w:val="21"/>
        </w:rPr>
      </w:pPr>
    </w:p>
    <w:p w14:paraId="7A233C6B">
      <w:pPr>
        <w:pStyle w:val="2"/>
        <w:rPr>
          <w:rFonts w:hint="eastAsia" w:asciiTheme="minorEastAsia" w:hAnsiTheme="minorEastAsia" w:eastAsiaTheme="minorEastAsia" w:cstheme="minorEastAsia"/>
          <w:sz w:val="21"/>
        </w:rPr>
      </w:pPr>
    </w:p>
    <w:p w14:paraId="41CA5D94">
      <w:pPr>
        <w:pStyle w:val="3"/>
        <w:rPr>
          <w:rFonts w:hint="eastAsia" w:asciiTheme="minorEastAsia" w:hAnsiTheme="minorEastAsia" w:eastAsiaTheme="minorEastAsia" w:cstheme="minorEastAsia"/>
          <w:sz w:val="21"/>
        </w:rPr>
      </w:pPr>
    </w:p>
    <w:p w14:paraId="3F42E280">
      <w:pPr>
        <w:rPr>
          <w:rFonts w:hint="eastAsia"/>
        </w:rPr>
      </w:pPr>
    </w:p>
    <w:p w14:paraId="32497DEB">
      <w:pPr>
        <w:pStyle w:val="2"/>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2D69993F">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4"/>
        <w:gridCol w:w="1283"/>
        <w:gridCol w:w="467"/>
        <w:gridCol w:w="5427"/>
      </w:tblGrid>
      <w:tr w14:paraId="221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095" w:type="dxa"/>
            <w:gridSpan w:val="4"/>
            <w:shd w:val="clear" w:color="auto" w:fill="auto"/>
            <w:vAlign w:val="center"/>
          </w:tcPr>
          <w:p w14:paraId="3876499B">
            <w:pPr>
              <w:pStyle w:val="33"/>
              <w:widowControl w:val="0"/>
              <w:ind w:firstLine="480" w:firstLineChars="0"/>
              <w:rPr>
                <w:rFonts w:hint="eastAsia" w:ascii="仿宋" w:hAnsi="仿宋" w:eastAsia="仿宋" w:cs="仿宋"/>
                <w:color w:val="auto"/>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条款内容</w:t>
            </w:r>
          </w:p>
        </w:tc>
        <w:tc>
          <w:tcPr>
            <w:tcW w:w="5427" w:type="dxa"/>
            <w:shd w:val="clear" w:color="auto" w:fill="auto"/>
            <w:vAlign w:val="center"/>
          </w:tcPr>
          <w:p w14:paraId="074BE102">
            <w:pPr>
              <w:pStyle w:val="33"/>
              <w:widowControl w:val="0"/>
              <w:ind w:firstLine="480" w:firstLineChars="0"/>
              <w:rPr>
                <w:rFonts w:hint="eastAsia" w:ascii="仿宋" w:hAnsi="仿宋" w:eastAsia="仿宋" w:cs="仿宋"/>
                <w:color w:val="auto"/>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编列内容</w:t>
            </w:r>
          </w:p>
        </w:tc>
      </w:tr>
      <w:tr w14:paraId="2D42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95" w:type="dxa"/>
            <w:gridSpan w:val="4"/>
            <w:shd w:val="clear" w:color="auto" w:fill="auto"/>
            <w:vAlign w:val="center"/>
          </w:tcPr>
          <w:p w14:paraId="0321FAA5">
            <w:pPr>
              <w:pStyle w:val="33"/>
              <w:widowControl w:val="0"/>
              <w:ind w:firstLine="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分值构成</w:t>
            </w:r>
          </w:p>
          <w:p w14:paraId="3E930A22">
            <w:pPr>
              <w:pStyle w:val="33"/>
              <w:widowControl w:val="0"/>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（总分100分）</w:t>
            </w:r>
          </w:p>
        </w:tc>
        <w:tc>
          <w:tcPr>
            <w:tcW w:w="5427" w:type="dxa"/>
            <w:shd w:val="clear" w:color="auto" w:fill="auto"/>
            <w:vAlign w:val="center"/>
          </w:tcPr>
          <w:p w14:paraId="39E8692D">
            <w:pPr>
              <w:pStyle w:val="33"/>
              <w:widowControl w:val="0"/>
              <w:ind w:firstLine="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1.投标报价：20分；</w:t>
            </w:r>
          </w:p>
          <w:p w14:paraId="5AFD7580">
            <w:pPr>
              <w:pStyle w:val="33"/>
              <w:widowControl w:val="0"/>
              <w:ind w:firstLine="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2.技术部分：57分；</w:t>
            </w:r>
          </w:p>
          <w:p w14:paraId="70AF5B2B">
            <w:pPr>
              <w:pStyle w:val="33"/>
              <w:widowControl w:val="0"/>
              <w:ind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3.商务部分：23分；</w:t>
            </w:r>
          </w:p>
        </w:tc>
      </w:tr>
      <w:tr w14:paraId="7609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1261" w:type="dxa"/>
            <w:shd w:val="clear" w:color="auto" w:fill="auto"/>
            <w:vAlign w:val="center"/>
          </w:tcPr>
          <w:p w14:paraId="34A2BE08">
            <w:pPr>
              <w:pStyle w:val="33"/>
              <w:widowControl w:val="0"/>
              <w:ind w:firstLine="0" w:firstLineChars="0"/>
              <w:jc w:val="center"/>
              <w:rPr>
                <w:rFonts w:hint="eastAsia" w:ascii="仿宋" w:hAnsi="仿宋" w:eastAsia="仿宋" w:cs="仿宋"/>
                <w:color w:val="auto"/>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投标报价</w:t>
            </w:r>
          </w:p>
        </w:tc>
        <w:tc>
          <w:tcPr>
            <w:tcW w:w="1834" w:type="dxa"/>
            <w:gridSpan w:val="3"/>
            <w:shd w:val="clear" w:color="auto" w:fill="auto"/>
            <w:vAlign w:val="center"/>
          </w:tcPr>
          <w:p w14:paraId="09E63979">
            <w:pPr>
              <w:pStyle w:val="33"/>
              <w:widowControl w:val="0"/>
              <w:ind w:firstLine="0" w:firstLineChars="0"/>
              <w:jc w:val="center"/>
              <w:rPr>
                <w:rFonts w:hint="eastAsia" w:ascii="仿宋" w:hAnsi="仿宋" w:eastAsia="仿宋" w:cs="仿宋"/>
                <w:color w:val="auto"/>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报价（20分）</w:t>
            </w:r>
          </w:p>
        </w:tc>
        <w:tc>
          <w:tcPr>
            <w:tcW w:w="5427" w:type="dxa"/>
            <w:shd w:val="clear" w:color="auto" w:fill="auto"/>
            <w:vAlign w:val="top"/>
          </w:tcPr>
          <w:p w14:paraId="09E0E678">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设有最高投标限价，高于投标限价视为无效投标。满足招标文件要求且投标价格最低的投标报价为评标基准价，其价格分为满分。其他投标人的价格分统一按下列公式计算：投标报价得分=（评标基准价／投标报价）×</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0%×100，计算分数时四舍五入取小数点后两位数。</w:t>
            </w:r>
          </w:p>
          <w:p w14:paraId="199A0BB9">
            <w:pPr>
              <w:widowControl w:val="0"/>
              <w:rPr>
                <w:rFonts w:hint="eastAsia" w:ascii="仿宋" w:hAnsi="仿宋" w:eastAsia="仿宋" w:cs="仿宋"/>
                <w:color w:val="auto"/>
                <w:kern w:val="2"/>
                <w:sz w:val="24"/>
                <w:szCs w:val="24"/>
                <w:lang w:val="en-US" w:eastAsia="zh-CN" w:bidi="ar-SA"/>
              </w:rPr>
            </w:pPr>
            <w:r>
              <w:rPr>
                <w:rFonts w:hint="eastAsia" w:asciiTheme="minorEastAsia" w:hAnsiTheme="minorEastAsia" w:eastAsiaTheme="minorEastAsia" w:cstheme="minorEastAsia"/>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%后参与评审。参与优惠企业的报价=投标报价*（1-1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%）。对于同时属于小微企业、监狱企业或残疾人福利性单位的，不重复进行投标报价扣除。</w:t>
            </w:r>
          </w:p>
        </w:tc>
      </w:tr>
      <w:tr w14:paraId="2E58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6" w:hRule="atLeast"/>
        </w:trPr>
        <w:tc>
          <w:tcPr>
            <w:tcW w:w="1261" w:type="dxa"/>
            <w:vMerge w:val="restart"/>
          </w:tcPr>
          <w:p w14:paraId="191D7ED6">
            <w:pPr>
              <w:widowControl w:val="0"/>
              <w:rPr>
                <w:vertAlign w:val="baseline"/>
              </w:rPr>
            </w:pPr>
            <w:r>
              <w:rPr>
                <w:rFonts w:hint="eastAsia" w:asciiTheme="minorEastAsia" w:hAnsiTheme="minorEastAsia" w:eastAsiaTheme="minorEastAsia" w:cstheme="minorEastAsia"/>
                <w:sz w:val="24"/>
                <w:szCs w:val="24"/>
                <w:lang w:eastAsia="zh-CN"/>
              </w:rPr>
              <w:t>技术部分</w:t>
            </w:r>
          </w:p>
        </w:tc>
        <w:tc>
          <w:tcPr>
            <w:tcW w:w="1834" w:type="dxa"/>
            <w:gridSpan w:val="3"/>
          </w:tcPr>
          <w:p w14:paraId="6B0C18B4">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项目实施方案</w:t>
            </w:r>
          </w:p>
          <w:p w14:paraId="27F19782">
            <w:pPr>
              <w:widowControl w:val="0"/>
              <w:rPr>
                <w:vertAlign w:val="baseline"/>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57</w:t>
            </w:r>
            <w:r>
              <w:rPr>
                <w:rFonts w:hint="eastAsia" w:asciiTheme="minorEastAsia" w:hAnsiTheme="minorEastAsia" w:eastAsiaTheme="minorEastAsia" w:cstheme="minorEastAsia"/>
                <w:sz w:val="24"/>
                <w:szCs w:val="24"/>
              </w:rPr>
              <w:t>分）</w:t>
            </w:r>
          </w:p>
        </w:tc>
        <w:tc>
          <w:tcPr>
            <w:tcW w:w="5427" w:type="dxa"/>
          </w:tcPr>
          <w:p w14:paraId="026EA8E9">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项目实施方案（30分）</w:t>
            </w:r>
          </w:p>
          <w:p w14:paraId="0FB0776C">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 安保服务固定岗服务的方案（6分）；</w:t>
            </w:r>
          </w:p>
          <w:p w14:paraId="44EFF566">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1CC27460">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b、方案比较科学、合理，有一定</w:t>
            </w:r>
            <w:r>
              <w:rPr>
                <w:rFonts w:hint="eastAsia" w:asciiTheme="minorEastAsia" w:hAnsiTheme="minorEastAsia" w:eastAsiaTheme="minorEastAsia" w:cstheme="minorEastAsia"/>
                <w:sz w:val="24"/>
                <w:szCs w:val="24"/>
                <w:lang w:val="en-US" w:eastAsia="zh-CN"/>
              </w:rPr>
              <w:t>可行性</w:t>
            </w:r>
            <w:r>
              <w:rPr>
                <w:rFonts w:hint="eastAsia" w:asciiTheme="minorEastAsia" w:hAnsiTheme="minorEastAsia" w:eastAsiaTheme="minorEastAsia" w:cstheme="minorEastAsia"/>
                <w:sz w:val="24"/>
                <w:szCs w:val="24"/>
              </w:rPr>
              <w:t>的得4分；</w:t>
            </w:r>
          </w:p>
          <w:p w14:paraId="66F3C696">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c、方案简单、不尽合理的打2分；</w:t>
            </w:r>
          </w:p>
          <w:p w14:paraId="30B1937F">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5FAAA6C6">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安保巡逻岗服务方案（6分）；</w:t>
            </w:r>
          </w:p>
          <w:p w14:paraId="1515B89C">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5458B32E">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b、方案比较科学、合理，有一定</w:t>
            </w:r>
            <w:r>
              <w:rPr>
                <w:rFonts w:hint="eastAsia" w:asciiTheme="minorEastAsia" w:hAnsiTheme="minorEastAsia" w:eastAsiaTheme="minorEastAsia" w:cstheme="minorEastAsia"/>
                <w:sz w:val="24"/>
                <w:szCs w:val="24"/>
                <w:lang w:val="en-US" w:eastAsia="zh-CN"/>
              </w:rPr>
              <w:t>可行性</w:t>
            </w:r>
            <w:r>
              <w:rPr>
                <w:rFonts w:hint="eastAsia" w:asciiTheme="minorEastAsia" w:hAnsiTheme="minorEastAsia" w:eastAsiaTheme="minorEastAsia" w:cstheme="minorEastAsia"/>
                <w:sz w:val="24"/>
                <w:szCs w:val="24"/>
              </w:rPr>
              <w:t>的得4分；</w:t>
            </w:r>
          </w:p>
          <w:p w14:paraId="2CD436CA">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c、方案简单、不尽合理的打2分；</w:t>
            </w:r>
          </w:p>
          <w:p w14:paraId="7090F21C">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4A1CE610">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 学校大型活动消防、安保方案（6分）；</w:t>
            </w:r>
          </w:p>
          <w:p w14:paraId="61DF727C">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1B486BCB">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b、方案比较科学、合理，有一定</w:t>
            </w:r>
            <w:r>
              <w:rPr>
                <w:rFonts w:hint="eastAsia" w:asciiTheme="minorEastAsia" w:hAnsiTheme="minorEastAsia" w:eastAsiaTheme="minorEastAsia" w:cstheme="minorEastAsia"/>
                <w:sz w:val="24"/>
                <w:szCs w:val="24"/>
                <w:lang w:val="en-US" w:eastAsia="zh-CN"/>
              </w:rPr>
              <w:t>可行性</w:t>
            </w:r>
            <w:r>
              <w:rPr>
                <w:rFonts w:hint="eastAsia" w:asciiTheme="minorEastAsia" w:hAnsiTheme="minorEastAsia" w:eastAsiaTheme="minorEastAsia" w:cstheme="minorEastAsia"/>
                <w:sz w:val="24"/>
                <w:szCs w:val="24"/>
              </w:rPr>
              <w:t>的得4分；</w:t>
            </w:r>
          </w:p>
          <w:p w14:paraId="49F188BE">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c、方案简单、不尽合理的打2分；</w:t>
            </w:r>
          </w:p>
          <w:p w14:paraId="5A6A0B76">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5394BAA9">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 消防控制室日常管理方案（6分）；</w:t>
            </w:r>
          </w:p>
          <w:p w14:paraId="40977077">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199BD141">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b、方案比较科学、合理，有一定</w:t>
            </w:r>
            <w:r>
              <w:rPr>
                <w:rFonts w:hint="eastAsia" w:asciiTheme="minorEastAsia" w:hAnsiTheme="minorEastAsia" w:eastAsiaTheme="minorEastAsia" w:cstheme="minorEastAsia"/>
                <w:sz w:val="24"/>
                <w:szCs w:val="24"/>
                <w:lang w:val="en-US" w:eastAsia="zh-CN"/>
              </w:rPr>
              <w:t>可行性</w:t>
            </w:r>
            <w:r>
              <w:rPr>
                <w:rFonts w:hint="eastAsia" w:asciiTheme="minorEastAsia" w:hAnsiTheme="minorEastAsia" w:eastAsiaTheme="minorEastAsia" w:cstheme="minorEastAsia"/>
                <w:sz w:val="24"/>
                <w:szCs w:val="24"/>
              </w:rPr>
              <w:t>的得4分；</w:t>
            </w:r>
          </w:p>
          <w:p w14:paraId="46AA6E0E">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c、方案简单、不尽合理的打2分；</w:t>
            </w:r>
          </w:p>
          <w:p w14:paraId="5408EAD0">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136D256E">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 应急管理方案：包括治安、消防、暴恐事件、自然灾害，群体性事件等（6分）。</w:t>
            </w:r>
          </w:p>
          <w:p w14:paraId="61608D7E">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a、方案科学、先进、合理、有针对性的得6分；</w:t>
            </w:r>
          </w:p>
          <w:p w14:paraId="5AB68DD1">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b、方案比较科学、合理，有一定</w:t>
            </w:r>
            <w:r>
              <w:rPr>
                <w:rFonts w:hint="eastAsia" w:asciiTheme="minorEastAsia" w:hAnsiTheme="minorEastAsia" w:eastAsiaTheme="minorEastAsia" w:cstheme="minorEastAsia"/>
                <w:sz w:val="24"/>
                <w:szCs w:val="24"/>
                <w:lang w:val="en-US" w:eastAsia="zh-CN"/>
              </w:rPr>
              <w:t>可行性</w:t>
            </w:r>
            <w:r>
              <w:rPr>
                <w:rFonts w:hint="eastAsia" w:asciiTheme="minorEastAsia" w:hAnsiTheme="minorEastAsia" w:eastAsiaTheme="minorEastAsia" w:cstheme="minorEastAsia"/>
                <w:sz w:val="24"/>
                <w:szCs w:val="24"/>
              </w:rPr>
              <w:t>的得4分；</w:t>
            </w:r>
          </w:p>
          <w:p w14:paraId="54ADAF72">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c、方案简单、不尽合理的打2分；</w:t>
            </w:r>
          </w:p>
          <w:p w14:paraId="094655E4">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d、没有相应内容的得0分。</w:t>
            </w:r>
          </w:p>
          <w:p w14:paraId="15786B53">
            <w:pPr>
              <w:widowControl w:val="0"/>
              <w:rPr>
                <w:vertAlign w:val="baseline"/>
              </w:rPr>
            </w:pPr>
          </w:p>
        </w:tc>
      </w:tr>
      <w:tr w14:paraId="0B2B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1261" w:type="dxa"/>
            <w:vMerge w:val="continue"/>
          </w:tcPr>
          <w:p w14:paraId="33C04F3D">
            <w:pPr>
              <w:widowControl w:val="0"/>
              <w:rPr>
                <w:vertAlign w:val="baseline"/>
              </w:rPr>
            </w:pPr>
          </w:p>
        </w:tc>
        <w:tc>
          <w:tcPr>
            <w:tcW w:w="1834" w:type="dxa"/>
            <w:gridSpan w:val="3"/>
          </w:tcPr>
          <w:p w14:paraId="06C46F3C">
            <w:pPr>
              <w:widowControl w:val="0"/>
              <w:rPr>
                <w:vertAlign w:val="baseline"/>
              </w:rPr>
            </w:pPr>
            <w:r>
              <w:rPr>
                <w:rFonts w:hint="eastAsia" w:asciiTheme="minorEastAsia" w:hAnsiTheme="minorEastAsia" w:eastAsiaTheme="minorEastAsia" w:cstheme="minorEastAsia"/>
                <w:kern w:val="2"/>
                <w:sz w:val="24"/>
                <w:szCs w:val="24"/>
                <w:lang w:val="en-US" w:eastAsia="zh-CN" w:bidi="ar-SA"/>
              </w:rPr>
              <w:t>项目规章制度（10分）</w:t>
            </w:r>
          </w:p>
        </w:tc>
        <w:tc>
          <w:tcPr>
            <w:tcW w:w="5427" w:type="dxa"/>
          </w:tcPr>
          <w:p w14:paraId="1218FC2C">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依据各供应商安保管理制度（各项工作制度、岗位责任制度、考核监督制度等）、档案管理制度及其他综合管理制度是否科学合理、健全完备，是否体现高标准、高质量要求等方面进行评审，分为三个档次。</w:t>
            </w:r>
          </w:p>
          <w:p w14:paraId="22D9FFD8">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措施合理科学可行，管理标准高，得 10 分；</w:t>
            </w:r>
          </w:p>
          <w:p w14:paraId="02FA975A">
            <w:pPr>
              <w:widowContro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相对合理有可操作性，管理标准一般，得 7 分；</w:t>
            </w:r>
          </w:p>
          <w:p w14:paraId="5F2A95A1">
            <w:pPr>
              <w:widowControl w:val="0"/>
              <w:rPr>
                <w:vertAlign w:val="baseline"/>
              </w:rPr>
            </w:pPr>
            <w:r>
              <w:rPr>
                <w:rFonts w:hint="eastAsia" w:asciiTheme="minorEastAsia" w:hAnsiTheme="minorEastAsia" w:eastAsiaTheme="minorEastAsia" w:cstheme="minorEastAsia"/>
                <w:sz w:val="24"/>
                <w:szCs w:val="24"/>
              </w:rPr>
              <w:t>方案和措施内容单一，管理标准较低，得 4 分；此项未提供不得分。</w:t>
            </w:r>
          </w:p>
        </w:tc>
      </w:tr>
      <w:tr w14:paraId="290F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1261" w:type="dxa"/>
            <w:vMerge w:val="continue"/>
            <w:shd w:val="clear" w:color="auto" w:fill="auto"/>
            <w:vAlign w:val="top"/>
          </w:tcPr>
          <w:p w14:paraId="594D97BC">
            <w:pPr>
              <w:widowControl w:val="0"/>
              <w:rPr>
                <w:rFonts w:ascii="Calibri" w:hAnsi="Calibri" w:eastAsia="宋体" w:cs="Times New Roman"/>
                <w:kern w:val="2"/>
                <w:sz w:val="21"/>
                <w:vertAlign w:val="baseline"/>
                <w:lang w:val="en-US" w:eastAsia="zh-CN" w:bidi="ar-SA"/>
              </w:rPr>
            </w:pPr>
          </w:p>
        </w:tc>
        <w:tc>
          <w:tcPr>
            <w:tcW w:w="1834" w:type="dxa"/>
            <w:gridSpan w:val="3"/>
          </w:tcPr>
          <w:p w14:paraId="56A9753D">
            <w:pPr>
              <w:widowControl w:val="0"/>
              <w:rPr>
                <w:vertAlign w:val="baseline"/>
              </w:rPr>
            </w:pPr>
            <w:r>
              <w:rPr>
                <w:rFonts w:hint="eastAsia" w:asciiTheme="minorEastAsia" w:hAnsiTheme="minorEastAsia" w:eastAsiaTheme="minorEastAsia" w:cstheme="minorEastAsia"/>
                <w:kern w:val="2"/>
                <w:sz w:val="24"/>
                <w:szCs w:val="24"/>
                <w:lang w:val="en-US" w:eastAsia="zh-CN" w:bidi="ar-SA"/>
              </w:rPr>
              <w:t>人员配备（17分）</w:t>
            </w:r>
          </w:p>
        </w:tc>
        <w:tc>
          <w:tcPr>
            <w:tcW w:w="5427" w:type="dxa"/>
            <w:shd w:val="clear" w:color="auto" w:fill="auto"/>
            <w:vAlign w:val="center"/>
          </w:tcPr>
          <w:p w14:paraId="7A5BC7A8">
            <w:pPr>
              <w:widowControl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① </w:t>
            </w:r>
            <w:r>
              <w:rPr>
                <w:rFonts w:hint="eastAsia" w:asciiTheme="minorEastAsia" w:hAnsiTheme="minorEastAsia" w:eastAsiaTheme="minorEastAsia" w:cstheme="minorEastAsia"/>
                <w:sz w:val="24"/>
                <w:szCs w:val="24"/>
                <w:lang w:val="en-US" w:eastAsia="zh-CN"/>
              </w:rPr>
              <w:t>项目负责人配备（5分）</w:t>
            </w:r>
          </w:p>
          <w:p w14:paraId="29CD21F6">
            <w:pPr>
              <w:widowControl w:val="0"/>
              <w:bidi w:val="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评审小组依据供应商提供的拟派本项目的主要负责人取得国家保安员上岗证，大专及以上学历，在高等院校任职不少于5年的保安工作经验，</w:t>
            </w:r>
            <w:r>
              <w:rPr>
                <w:rFonts w:hint="eastAsia" w:asciiTheme="minorEastAsia" w:hAnsiTheme="minorEastAsia" w:eastAsiaTheme="minorEastAsia" w:cstheme="minorEastAsia"/>
                <w:color w:val="auto"/>
                <w:sz w:val="24"/>
                <w:szCs w:val="24"/>
                <w:lang w:val="en-US" w:eastAsia="zh-CN"/>
              </w:rPr>
              <w:t>年龄50岁以下，</w:t>
            </w:r>
            <w:r>
              <w:rPr>
                <w:rFonts w:hint="eastAsia" w:asciiTheme="minorEastAsia" w:hAnsiTheme="minorEastAsia" w:eastAsiaTheme="minorEastAsia" w:cstheme="minorEastAsia"/>
                <w:color w:val="auto"/>
                <w:sz w:val="24"/>
                <w:szCs w:val="24"/>
              </w:rPr>
              <w:t>获得过市级以上主管部门颁发的荣誉，以上</w:t>
            </w: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项，每满足一项得1分，最多</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分。开标时须提供相关证件原件，未提供的不得分。</w:t>
            </w:r>
          </w:p>
          <w:p w14:paraId="7A6EA228">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lang w:val="en-US" w:eastAsia="zh-CN"/>
              </w:rPr>
              <w:t>服务人员配备（5分）</w:t>
            </w:r>
          </w:p>
          <w:p w14:paraId="57658946">
            <w:pPr>
              <w:widowControl w:val="0"/>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服务团队人员配备、身体状况、结构比例（学历、年龄、退伍兵比例）、具体岗位设置、专业配套、安防设备配备等，人员配备及结构合理的得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分；人员配备及结构较合理的得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分；人员配备及结构一般化的的</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分；未提供的不得分。</w:t>
            </w:r>
          </w:p>
          <w:p w14:paraId="047F323B">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lang w:val="en-US" w:eastAsia="zh-CN"/>
              </w:rPr>
              <w:t>服务人员培训机制（7分）</w:t>
            </w:r>
          </w:p>
          <w:p w14:paraId="4C30EFFA">
            <w:pPr>
              <w:widowControl w:val="0"/>
              <w:bidi w:val="0"/>
              <w:rPr>
                <w:rFonts w:hint="eastAsia" w:ascii="仿宋" w:hAnsi="仿宋" w:eastAsia="仿宋" w:cs="仿宋"/>
                <w:color w:val="auto"/>
                <w:kern w:val="2"/>
                <w:sz w:val="24"/>
                <w:szCs w:val="24"/>
                <w:lang w:val="en-US" w:eastAsia="zh-CN" w:bidi="ar-SA"/>
              </w:rPr>
            </w:pPr>
            <w:r>
              <w:rPr>
                <w:rFonts w:hint="eastAsia" w:asciiTheme="minorEastAsia" w:hAnsiTheme="minorEastAsia" w:eastAsiaTheme="minorEastAsia" w:cstheme="minorEastAsia"/>
                <w:sz w:val="24"/>
                <w:szCs w:val="24"/>
              </w:rPr>
              <w:t>服务人员培训：根据供应商的人员培训、监督考核机制，机制完整、合理、可行的得7分，机制较完整、合理的得4分；机构设置一般化的得1分；未提供的不得分。</w:t>
            </w:r>
          </w:p>
        </w:tc>
      </w:tr>
      <w:tr w14:paraId="385B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345" w:type="dxa"/>
            <w:gridSpan w:val="2"/>
            <w:vMerge w:val="restart"/>
          </w:tcPr>
          <w:p w14:paraId="068F0E7E">
            <w:pPr>
              <w:widowControl w:val="0"/>
              <w:rPr>
                <w:vertAlign w:val="baseline"/>
              </w:rPr>
            </w:pPr>
            <w:r>
              <w:rPr>
                <w:rFonts w:hint="eastAsia" w:asciiTheme="minorEastAsia" w:hAnsiTheme="minorEastAsia" w:eastAsiaTheme="minorEastAsia" w:cstheme="minorEastAsia"/>
                <w:sz w:val="24"/>
                <w:szCs w:val="24"/>
                <w:lang w:eastAsia="zh-CN"/>
              </w:rPr>
              <w:t>商务部分（</w:t>
            </w:r>
            <w:r>
              <w:rPr>
                <w:rFonts w:hint="eastAsia" w:asciiTheme="minorEastAsia" w:hAnsiTheme="minorEastAsia" w:eastAsiaTheme="minorEastAsia" w:cstheme="minorEastAsia"/>
                <w:sz w:val="24"/>
                <w:szCs w:val="24"/>
                <w:lang w:val="en-US" w:eastAsia="zh-CN"/>
              </w:rPr>
              <w:t>23分</w:t>
            </w:r>
            <w:r>
              <w:rPr>
                <w:rFonts w:hint="eastAsia" w:asciiTheme="minorEastAsia" w:hAnsiTheme="minorEastAsia" w:eastAsiaTheme="minorEastAsia" w:cstheme="minorEastAsia"/>
                <w:sz w:val="24"/>
                <w:szCs w:val="24"/>
                <w:lang w:eastAsia="zh-CN"/>
              </w:rPr>
              <w:t>）</w:t>
            </w:r>
          </w:p>
        </w:tc>
        <w:tc>
          <w:tcPr>
            <w:tcW w:w="1283" w:type="dxa"/>
          </w:tcPr>
          <w:p w14:paraId="76A5FFCB">
            <w:pPr>
              <w:widowControl w:val="0"/>
              <w:rPr>
                <w:color w:val="auto"/>
                <w:vertAlign w:val="baseline"/>
              </w:rPr>
            </w:pPr>
            <w:r>
              <w:rPr>
                <w:rFonts w:hint="eastAsia" w:asciiTheme="minorEastAsia" w:hAnsiTheme="minorEastAsia" w:eastAsiaTheme="minorEastAsia" w:cstheme="minorEastAsia"/>
                <w:color w:val="auto"/>
                <w:sz w:val="24"/>
                <w:szCs w:val="24"/>
                <w:lang w:val="en-US" w:eastAsia="zh-CN"/>
              </w:rPr>
              <w:t>投标文件响应程度（3分</w:t>
            </w:r>
          </w:p>
        </w:tc>
        <w:tc>
          <w:tcPr>
            <w:tcW w:w="5894" w:type="dxa"/>
            <w:gridSpan w:val="2"/>
          </w:tcPr>
          <w:p w14:paraId="60E37F3B">
            <w:pPr>
              <w:widowControl w:val="0"/>
              <w:bidi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投标文件符合招标文件所有条款，标书制作规范最多得3分；若投标文件与招标文件要求有偏离，但不影响到实质性响应，评委会根据情况扣1-2分；</w:t>
            </w:r>
          </w:p>
          <w:p w14:paraId="5C8D73D8">
            <w:pPr>
              <w:widowControl w:val="0"/>
              <w:rPr>
                <w:color w:val="auto"/>
                <w:vertAlign w:val="baseline"/>
              </w:rPr>
            </w:pPr>
          </w:p>
        </w:tc>
      </w:tr>
      <w:tr w14:paraId="1B4E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45" w:type="dxa"/>
            <w:gridSpan w:val="2"/>
            <w:vMerge w:val="continue"/>
          </w:tcPr>
          <w:p w14:paraId="1FDA464F">
            <w:pPr>
              <w:widowControl w:val="0"/>
              <w:rPr>
                <w:vertAlign w:val="baseline"/>
              </w:rPr>
            </w:pPr>
          </w:p>
        </w:tc>
        <w:tc>
          <w:tcPr>
            <w:tcW w:w="1283" w:type="dxa"/>
          </w:tcPr>
          <w:p w14:paraId="2CE7095D">
            <w:pPr>
              <w:widowControl w:val="0"/>
              <w:rPr>
                <w:vertAlign w:val="baseline"/>
              </w:rPr>
            </w:pPr>
            <w:r>
              <w:rPr>
                <w:rFonts w:hint="eastAsia" w:asciiTheme="minorEastAsia" w:hAnsiTheme="minorEastAsia" w:eastAsiaTheme="minorEastAsia" w:cstheme="minorEastAsia"/>
                <w:sz w:val="24"/>
                <w:szCs w:val="24"/>
                <w:lang w:val="en-US" w:eastAsia="zh-CN"/>
              </w:rPr>
              <w:t>同类业绩（4分）</w:t>
            </w:r>
          </w:p>
        </w:tc>
        <w:tc>
          <w:tcPr>
            <w:tcW w:w="5894" w:type="dxa"/>
            <w:gridSpan w:val="2"/>
          </w:tcPr>
          <w:p w14:paraId="4C7BC8F0">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供应商提供 2022年 1 月 1 日至今(合同签订时间)安保合同案例，每提供一份合同得 2 分，最多得 4分；</w:t>
            </w:r>
          </w:p>
          <w:p w14:paraId="050DC7B2">
            <w:pPr>
              <w:widowControl w:val="0"/>
              <w:rPr>
                <w:vertAlign w:val="baseline"/>
              </w:rPr>
            </w:pPr>
          </w:p>
        </w:tc>
      </w:tr>
      <w:tr w14:paraId="02C5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1345" w:type="dxa"/>
            <w:gridSpan w:val="2"/>
            <w:vMerge w:val="continue"/>
          </w:tcPr>
          <w:p w14:paraId="1375080E">
            <w:pPr>
              <w:widowControl w:val="0"/>
              <w:rPr>
                <w:vertAlign w:val="baseline"/>
              </w:rPr>
            </w:pPr>
          </w:p>
        </w:tc>
        <w:tc>
          <w:tcPr>
            <w:tcW w:w="1283" w:type="dxa"/>
          </w:tcPr>
          <w:p w14:paraId="24B2D4CB">
            <w:pPr>
              <w:widowControl w:val="0"/>
              <w:rPr>
                <w:vertAlign w:val="baseline"/>
              </w:rPr>
            </w:pPr>
            <w:r>
              <w:rPr>
                <w:rFonts w:hint="eastAsia" w:asciiTheme="minorEastAsia" w:hAnsiTheme="minorEastAsia" w:eastAsiaTheme="minorEastAsia" w:cstheme="minorEastAsia"/>
                <w:sz w:val="24"/>
                <w:szCs w:val="24"/>
                <w:lang w:val="en-US" w:eastAsia="zh-CN"/>
              </w:rPr>
              <w:t>供应商荣誉表彰（4分）</w:t>
            </w:r>
          </w:p>
        </w:tc>
        <w:tc>
          <w:tcPr>
            <w:tcW w:w="5894" w:type="dxa"/>
            <w:gridSpan w:val="2"/>
          </w:tcPr>
          <w:p w14:paraId="458565F3">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供应商2022年1月1日以来获得过的国家有关行政部门表彰的（国家级荣誉），得4分；获得过省有关行政部门表彰的（省级荣誉）的得2分；获得过地、市有关行政部门表彰的（地市级荣誉）的得1分。本项不累计得分，按最高项得分。（需提供行政部门颁发的荣誉证书或文件或牌匾等证明材料扫描件）。</w:t>
            </w:r>
          </w:p>
          <w:p w14:paraId="4F7B28EA">
            <w:pPr>
              <w:widowControl w:val="0"/>
              <w:rPr>
                <w:vertAlign w:val="baseline"/>
              </w:rPr>
            </w:pPr>
          </w:p>
        </w:tc>
      </w:tr>
      <w:tr w14:paraId="3B13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345" w:type="dxa"/>
            <w:gridSpan w:val="2"/>
            <w:vMerge w:val="continue"/>
          </w:tcPr>
          <w:p w14:paraId="7CAD6B3F">
            <w:pPr>
              <w:widowControl w:val="0"/>
              <w:rPr>
                <w:vertAlign w:val="baseline"/>
              </w:rPr>
            </w:pPr>
          </w:p>
        </w:tc>
        <w:tc>
          <w:tcPr>
            <w:tcW w:w="1283" w:type="dxa"/>
          </w:tcPr>
          <w:p w14:paraId="1257AEB0">
            <w:pPr>
              <w:widowControl w:val="0"/>
              <w:rPr>
                <w:vertAlign w:val="baseline"/>
              </w:rPr>
            </w:pPr>
            <w:r>
              <w:rPr>
                <w:rFonts w:hint="eastAsia" w:asciiTheme="minorEastAsia" w:hAnsiTheme="minorEastAsia" w:eastAsiaTheme="minorEastAsia" w:cstheme="minorEastAsia"/>
                <w:sz w:val="24"/>
                <w:szCs w:val="24"/>
                <w:lang w:val="en-US" w:eastAsia="zh-CN"/>
              </w:rPr>
              <w:t>项目负责人荣誉表彰（4分）</w:t>
            </w:r>
          </w:p>
        </w:tc>
        <w:tc>
          <w:tcPr>
            <w:tcW w:w="5894" w:type="dxa"/>
            <w:gridSpan w:val="2"/>
          </w:tcPr>
          <w:p w14:paraId="39F7DC7C">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1月1日以来，项目负责人获得省或省级以上有关行政部门表彰的（省级荣誉）的得4分；获得过地、市有关行政部门表彰的（地市级荣誉）的得2分。本项不累计得分，按最高项得分。（需提供行政部门颁发的荣誉证书或文件或牌匾等证明材料扫描件）。</w:t>
            </w:r>
          </w:p>
          <w:p w14:paraId="3EA44BF9">
            <w:pPr>
              <w:widowControl w:val="0"/>
              <w:rPr>
                <w:vertAlign w:val="baseline"/>
              </w:rPr>
            </w:pPr>
          </w:p>
        </w:tc>
      </w:tr>
      <w:tr w14:paraId="04E2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45" w:type="dxa"/>
            <w:gridSpan w:val="2"/>
            <w:vMerge w:val="continue"/>
          </w:tcPr>
          <w:p w14:paraId="0C83CEE5">
            <w:pPr>
              <w:widowControl w:val="0"/>
              <w:rPr>
                <w:vertAlign w:val="baseline"/>
              </w:rPr>
            </w:pPr>
          </w:p>
        </w:tc>
        <w:tc>
          <w:tcPr>
            <w:tcW w:w="1283" w:type="dxa"/>
          </w:tcPr>
          <w:p w14:paraId="2EA81D5A">
            <w:pPr>
              <w:widowControl w:val="0"/>
              <w:rPr>
                <w:vertAlign w:val="baseline"/>
              </w:rPr>
            </w:pPr>
            <w:r>
              <w:rPr>
                <w:rFonts w:hint="eastAsia" w:asciiTheme="minorEastAsia" w:hAnsiTheme="minorEastAsia" w:eastAsiaTheme="minorEastAsia" w:cstheme="minorEastAsia"/>
                <w:sz w:val="24"/>
                <w:szCs w:val="24"/>
                <w:lang w:val="en-US" w:eastAsia="zh-CN"/>
              </w:rPr>
              <w:t>企业信用（3分）</w:t>
            </w:r>
          </w:p>
        </w:tc>
        <w:tc>
          <w:tcPr>
            <w:tcW w:w="5894" w:type="dxa"/>
            <w:gridSpan w:val="2"/>
          </w:tcPr>
          <w:p w14:paraId="10D106B4">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企业信用等级AAA级得3分；AA级得1分；否则不得分。</w:t>
            </w:r>
          </w:p>
          <w:p w14:paraId="6B3D0633">
            <w:pPr>
              <w:widowControl w:val="0"/>
              <w:rPr>
                <w:vertAlign w:val="baseline"/>
              </w:rPr>
            </w:pPr>
          </w:p>
        </w:tc>
      </w:tr>
      <w:tr w14:paraId="3891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345" w:type="dxa"/>
            <w:gridSpan w:val="2"/>
            <w:vMerge w:val="continue"/>
          </w:tcPr>
          <w:p w14:paraId="6E04AAEA">
            <w:pPr>
              <w:widowControl w:val="0"/>
              <w:rPr>
                <w:vertAlign w:val="baseline"/>
              </w:rPr>
            </w:pPr>
          </w:p>
        </w:tc>
        <w:tc>
          <w:tcPr>
            <w:tcW w:w="1283" w:type="dxa"/>
          </w:tcPr>
          <w:p w14:paraId="3A82F374">
            <w:pPr>
              <w:widowControl w:val="0"/>
              <w:rPr>
                <w:vertAlign w:val="baseline"/>
              </w:rPr>
            </w:pPr>
            <w:r>
              <w:rPr>
                <w:rFonts w:hint="eastAsia" w:asciiTheme="minorEastAsia" w:hAnsiTheme="minorEastAsia" w:eastAsiaTheme="minorEastAsia" w:cstheme="minorEastAsia"/>
                <w:sz w:val="24"/>
                <w:szCs w:val="24"/>
                <w:lang w:val="en-US" w:eastAsia="zh-CN"/>
              </w:rPr>
              <w:t>信用评价（2分）</w:t>
            </w:r>
          </w:p>
        </w:tc>
        <w:tc>
          <w:tcPr>
            <w:tcW w:w="5894" w:type="dxa"/>
            <w:gridSpan w:val="2"/>
          </w:tcPr>
          <w:p w14:paraId="2CC823BD">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根据《南阳市政府采购信用评价实施办法》，投标人登录“南阳市政府采购信用管理系统”打印并提交《南阳市政府采购供应商信用记录表》，诚信评价为三星级的加 1 分，四星级的加 2 分，其他不得分；</w:t>
            </w:r>
          </w:p>
          <w:p w14:paraId="08ED913D">
            <w:pPr>
              <w:widowControl w:val="0"/>
              <w:rPr>
                <w:vertAlign w:val="baseline"/>
              </w:rPr>
            </w:pPr>
          </w:p>
        </w:tc>
      </w:tr>
      <w:tr w14:paraId="2416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345" w:type="dxa"/>
            <w:gridSpan w:val="2"/>
            <w:vMerge w:val="continue"/>
          </w:tcPr>
          <w:p w14:paraId="058DA92A">
            <w:pPr>
              <w:widowControl w:val="0"/>
              <w:rPr>
                <w:vertAlign w:val="baseline"/>
              </w:rPr>
            </w:pPr>
          </w:p>
        </w:tc>
        <w:tc>
          <w:tcPr>
            <w:tcW w:w="1283" w:type="dxa"/>
          </w:tcPr>
          <w:p w14:paraId="40A5147B">
            <w:pPr>
              <w:widowControl w:val="0"/>
              <w:rPr>
                <w:vertAlign w:val="baseline"/>
              </w:rPr>
            </w:pPr>
            <w:r>
              <w:rPr>
                <w:rFonts w:hint="eastAsia" w:asciiTheme="minorEastAsia" w:hAnsiTheme="minorEastAsia" w:eastAsiaTheme="minorEastAsia" w:cstheme="minorEastAsia"/>
                <w:sz w:val="24"/>
                <w:szCs w:val="24"/>
                <w:lang w:val="en-US" w:eastAsia="zh-CN"/>
              </w:rPr>
              <w:t>体系认证（3分）</w:t>
            </w:r>
          </w:p>
        </w:tc>
        <w:tc>
          <w:tcPr>
            <w:tcW w:w="5894" w:type="dxa"/>
            <w:gridSpan w:val="2"/>
          </w:tcPr>
          <w:p w14:paraId="562342F1">
            <w:pPr>
              <w:widowControl w:val="0"/>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投标人具有质量管理体系认证、环境管理体系认证，职业健康安全管理体系认证证书，每有一项得1分，最多得3分。</w:t>
            </w:r>
          </w:p>
          <w:p w14:paraId="5B3F883E">
            <w:pPr>
              <w:widowControl w:val="0"/>
              <w:rPr>
                <w:vertAlign w:val="baseline"/>
              </w:rPr>
            </w:pPr>
          </w:p>
        </w:tc>
      </w:tr>
    </w:tbl>
    <w:p w14:paraId="6EB6749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szCs w:val="21"/>
        </w:rPr>
      </w:pPr>
    </w:p>
    <w:p w14:paraId="45EB267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6ADD9C5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6BFC0E16">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380D1E5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08999B9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《中标通知书》发放办法：政府采购项目通过“电子营业执照应用平台”向中标人发出电子《中标通知书》后，中标供应商可登录电子营业执照应用平台，自行打印加盖电子签章的《中标通知书》。</w:t>
      </w:r>
    </w:p>
    <w:p w14:paraId="5E6DBB0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0423E746">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3992807B">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7A25168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45DAB6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3421987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D649B5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58A663A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06057D4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在线接收，请质疑人上传质疑函原件扫描件到南阳市公共资源电子营业执照应用平台并电话通知到项目负责人。</w:t>
      </w:r>
    </w:p>
    <w:p w14:paraId="0C515602">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4658EE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28C9340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3852F09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38E892B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2C7E2AA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7EC28F4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39D0018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2E091D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400BFB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29A2ED1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3989AD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122C83B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630F3B1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4529362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0D1CBE5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0E996D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2E83912B">
      <w:pPr>
        <w:pStyle w:val="24"/>
        <w:keepNext w:val="0"/>
        <w:keepLines w:val="0"/>
        <w:pageBreakBefore w:val="0"/>
        <w:kinsoku/>
        <w:wordWrap w:val="0"/>
        <w:overflowPunct/>
        <w:topLinePunct w:val="0"/>
        <w:bidi w:val="0"/>
        <w:jc w:val="both"/>
        <w:rPr>
          <w:rFonts w:hint="eastAsia"/>
          <w:lang w:val="en-US" w:eastAsia="zh-CN"/>
        </w:rPr>
        <w:sectPr>
          <w:footerReference r:id="rId9" w:type="default"/>
          <w:pgSz w:w="11907" w:h="16840"/>
          <w:pgMar w:top="1440" w:right="1800" w:bottom="1440" w:left="1800" w:header="878" w:footer="886" w:gutter="0"/>
          <w:pgNumType w:fmt="decimal" w:start="1"/>
          <w:cols w:space="720" w:num="1"/>
        </w:sectPr>
      </w:pPr>
    </w:p>
    <w:p w14:paraId="2FE9BB40">
      <w:pPr>
        <w:pStyle w:val="2"/>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04B0B39C">
      <w:pPr>
        <w:pStyle w:val="24"/>
        <w:jc w:val="both"/>
        <w:rPr>
          <w:rFonts w:hint="eastAsia"/>
        </w:rPr>
      </w:pPr>
    </w:p>
    <w:p w14:paraId="696A816E">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55FCD4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54C6D68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18FD83AE">
      <w:pPr>
        <w:pStyle w:val="2"/>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405B2109">
      <w:pPr>
        <w:pStyle w:val="2"/>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1C8317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41C44EA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7C62AE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593B776B">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5060FEF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4DA0E1E">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577C562B">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20BCC98">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83B5D06">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343C24E"/>
    <w:p w14:paraId="42CEF019">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5FA63450">
      <w:pPr>
        <w:pStyle w:val="2"/>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6C71598A">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76E9C02E">
      <w:pPr>
        <w:pStyle w:val="2"/>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4A177F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4ACD6F9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6F4D686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74754ED9">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12" w:type="default"/>
          <w:footerReference r:id="rId13" w:type="default"/>
          <w:pgSz w:w="11907" w:h="16840"/>
          <w:pgMar w:top="1440" w:right="1800" w:bottom="1440" w:left="1800" w:header="878" w:footer="886" w:gutter="0"/>
          <w:pgNumType w:fmt="decimal"/>
          <w:cols w:space="720" w:num="1"/>
        </w:sectPr>
      </w:pPr>
    </w:p>
    <w:p w14:paraId="11ED60BC">
      <w:pPr>
        <w:pStyle w:val="2"/>
        <w:keepNext w:val="0"/>
        <w:keepLines w:val="0"/>
        <w:pageBreakBefore w:val="0"/>
        <w:numPr>
          <w:ilvl w:val="0"/>
          <w:numId w:val="2"/>
        </w:numPr>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资格证明文件格式</w:t>
      </w:r>
    </w:p>
    <w:p w14:paraId="737236B7">
      <w:pPr>
        <w:numPr>
          <w:ilvl w:val="0"/>
          <w:numId w:val="0"/>
        </w:numPr>
        <w:rPr>
          <w:rFonts w:hint="eastAsia"/>
          <w:lang w:eastAsia="zh-CN"/>
        </w:rPr>
      </w:pPr>
    </w:p>
    <w:p w14:paraId="2405F940">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1.2开标一览表格式</w:t>
      </w:r>
    </w:p>
    <w:p w14:paraId="00DDE50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E74D26E">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1041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D917B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BA89A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8A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76C24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28CEC49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77B8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3388A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BA7E6A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65A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B9590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3CF44A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w:t>
            </w:r>
          </w:p>
        </w:tc>
      </w:tr>
      <w:tr w14:paraId="1C25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83AE2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068B3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001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BA9D1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977AC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7B9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FBDD6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627A7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9DEA5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3578D2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02EEEE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1B66E5DE">
      <w:pPr>
        <w:keepNext w:val="0"/>
        <w:keepLines w:val="0"/>
        <w:pageBreakBefore w:val="0"/>
        <w:kinsoku/>
        <w:wordWrap w:val="0"/>
        <w:overflowPunct/>
        <w:topLinePunct w:val="0"/>
        <w:bidi w:val="0"/>
        <w:spacing w:line="360" w:lineRule="auto"/>
        <w:jc w:val="both"/>
        <w:rPr>
          <w:rFonts w:hint="eastAsia"/>
          <w:lang w:val="en-US" w:eastAsia="zh-CN"/>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FA661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72A144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1AA080DB">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39617E97">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0A5551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133275A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1D79963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3760520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0858BDB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654B522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4AAF2C1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88C282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61DEF68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42FB2A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605C41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7BE8B3C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7F14C58E">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0D792DB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42E6816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2906BE1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67B682E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9F520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0E6C54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79A799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D3F480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88A9D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4B77D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30C1E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A9FFA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3245EE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E7EE2B7">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3EB0FBC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111D3D29">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73B9591D">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924A3A9">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7A2AA07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515B4A0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2E99AF3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3C5C1885">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0B7BA8D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267C4D98">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426CD61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2127696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64C5A18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214AEE9E">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971FE7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5C0D13A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39F602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3035E5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1C54B749">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4" w:type="default"/>
          <w:footerReference r:id="rId15"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1"/>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63343E5E">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AE51E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73CEF43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69DDAE3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660DCBFB">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672105DF">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3ABEB74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662CF3F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47E97CC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1701A1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6DA9B37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51C5058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106766C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10D1F7B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70CE3F3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0563AE0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9B40686">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0A95186">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55E32D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BB3D9A4">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87A96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66A9A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3CA9D93">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768C5B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39FEA35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41861A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32B2F7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2DCB87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6D4A4A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5F195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9FD52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4D79A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2CB69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49833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81E47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82439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B8BCD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C92C14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0E2BC9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BEE0F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47ADAE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34A06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CE77C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EAB0CD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447E1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8FC01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FDB4D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7441D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3864537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4DC8224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230FDC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467C94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3247C0D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E9D29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04CCDC0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9D05ED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4A4E87C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446B59F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3786A5A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1B7C1916">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75DD55C">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B6DE11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704640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3D7CBA3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7EF4138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FBB3B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2437CFF2">
      <w:pPr>
        <w:pStyle w:val="2"/>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1A9961E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29F08BB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33E887E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1471ECC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17D5BF7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1732664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195AFED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6A5147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79AD384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37F708F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0513D95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85F7B4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4B4E32A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3A4D3A7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23E9B7B9">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034525C4">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5A5121E0">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6A95EDB5">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2FB42F99">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F43E073">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A02B740">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A1B19E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5E1F0244">
      <w:pPr>
        <w:pStyle w:val="2"/>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458546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2CF005D0">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54A0922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83F84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55B37EA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410BC9E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51BF2BD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400FDBE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22A1740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5A8DC92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340C1C5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1949668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69B8CF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77A18A5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744856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3CDEED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0190989C">
      <w:pPr>
        <w:keepNext w:val="0"/>
        <w:keepLines w:val="0"/>
        <w:pageBreakBefore w:val="0"/>
        <w:kinsoku/>
        <w:wordWrap w:val="0"/>
        <w:overflowPunct/>
        <w:topLinePunct w:val="0"/>
        <w:bidi w:val="0"/>
        <w:spacing w:line="360" w:lineRule="auto"/>
        <w:ind w:firstLine="604" w:firstLineChars="252"/>
        <w:jc w:val="both"/>
        <w:rPr>
          <w:rFonts w:hint="default" w:asciiTheme="minorEastAsia" w:hAnsiTheme="minorEastAsia" w:eastAsiaTheme="minorEastAsia" w:cstheme="minorEastAsia"/>
          <w:b w:val="0"/>
          <w:bCs w:val="0"/>
          <w:sz w:val="24"/>
          <w:szCs w:val="24"/>
          <w:lang w:val="en-US" w:eastAsia="zh-CN"/>
        </w:rPr>
        <w:sectPr>
          <w:headerReference r:id="rId16" w:type="default"/>
          <w:footerReference r:id="rId17"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p>
    <w:p w14:paraId="5C92DE3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D7EE3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1B2375EA">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59C21940">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15F71B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B252F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2B6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260B50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4F9C7B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0B479F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A3BB4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425F4E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1AA7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7923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2AEEF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E194CB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1EDBC6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9199C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3ED86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D2F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03C8AE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6239F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8FBE9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26DE21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5D6D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905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2D5939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850253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511BB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FF8C8C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B3EECD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C36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35E427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35C820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805077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790772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03A238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743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F118D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478E8D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57D023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597797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C2A281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255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67052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61221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0A03C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F5D7A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9ED86A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AF3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0AC36A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BA7F4E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924029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4283C7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D0A68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B55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4438F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8F25DC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E8D630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A706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5084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CC0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D834D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FBCCD1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2DAA72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59A7EC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4EF6F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5F4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ADE2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40EA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1CCD90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E9E0F1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CB119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993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F40E3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59297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5BB88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4B591D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AF49B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152740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13A84A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391D4B9">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4C703BE">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D49AB80">
      <w:pPr>
        <w:keepNext w:val="0"/>
        <w:keepLines w:val="0"/>
        <w:pageBreakBefore w:val="0"/>
        <w:numPr>
          <w:ilvl w:val="0"/>
          <w:numId w:val="3"/>
        </w:numPr>
        <w:kinsoku/>
        <w:wordWrap w:val="0"/>
        <w:overflowPunct/>
        <w:topLinePunct w:val="0"/>
        <w:bidi w:val="0"/>
        <w:spacing w:line="360" w:lineRule="auto"/>
        <w:jc w:val="both"/>
        <w:rPr>
          <w:rFonts w:hint="eastAsia" w:ascii="宋体" w:hAnsi="宋体"/>
          <w:b/>
          <w:sz w:val="24"/>
          <w:szCs w:val="24"/>
          <w:lang w:val="en-US" w:eastAsia="zh-CN"/>
        </w:rPr>
      </w:pPr>
      <w:r>
        <w:rPr>
          <w:rFonts w:hint="eastAsia" w:ascii="宋体" w:hAnsi="宋体"/>
          <w:b/>
          <w:sz w:val="24"/>
          <w:szCs w:val="24"/>
          <w:lang w:val="en-US" w:eastAsia="zh-CN"/>
        </w:rPr>
        <w:t>服务方案（安保服务固定岗服务的方案、安保巡逻岗服务方案、学校大型活动消防、安保方案、消防控制室日常管理方案、应急管理方案、项目规章制度等）</w:t>
      </w:r>
    </w:p>
    <w:p w14:paraId="72778ACF">
      <w:pPr>
        <w:keepNext w:val="0"/>
        <w:keepLines w:val="0"/>
        <w:pageBreakBefore w:val="0"/>
        <w:numPr>
          <w:ilvl w:val="0"/>
          <w:numId w:val="3"/>
        </w:numPr>
        <w:kinsoku/>
        <w:wordWrap w:val="0"/>
        <w:overflowPunct/>
        <w:topLinePunct w:val="0"/>
        <w:bidi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服务人员情况（人员基本信息、岗位配套设置、人员培训与考核方案等）</w:t>
      </w:r>
    </w:p>
    <w:p w14:paraId="1AF5D7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lang w:eastAsia="zh-CN"/>
        </w:rPr>
        <w:t>投标人业绩</w:t>
      </w:r>
    </w:p>
    <w:p w14:paraId="5F6C57D8">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5CE7C884">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val="en-US" w:eastAsia="zh-CN"/>
        </w:rPr>
      </w:pPr>
    </w:p>
    <w:p w14:paraId="0A9990E0">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3725BE0D">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187B3D5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12263781">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1CFC7790">
      <w:pPr>
        <w:pStyle w:val="2"/>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4F31D5F">
      <w:pPr>
        <w:pStyle w:val="2"/>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6</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3573252D">
      <w:pPr>
        <w:pStyle w:val="2"/>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2A6902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FB0BB3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ECEA7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2CF4F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8B1AE7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8E6234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928EC90">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443DF41">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C25E3B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8E200A5">
      <w:pPr>
        <w:pStyle w:val="24"/>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p>
    <w:p w14:paraId="0C086CD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424" w:firstLineChars="400"/>
        <w:jc w:val="both"/>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09CBED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D6427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0B9D8BD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3784816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38A1BD5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73D8F4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045523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4B6E457F">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2A4FC824">
      <w:pPr>
        <w:pStyle w:val="2"/>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604100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E6C14E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E34654B">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0193BC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1EDDF5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228CD7B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0D1CE1F6">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154DFAE3">
      <w:pPr>
        <w:rPr>
          <w:rFonts w:hint="eastAsia"/>
        </w:rPr>
      </w:pPr>
    </w:p>
    <w:p w14:paraId="36BC5DAC">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7CA4413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DB0AAB4">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3D39A267">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507EFBE2">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6242A293">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8A9FF1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3157A1C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4ABCFD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D6C2D7A">
      <w:pPr>
        <w:pStyle w:val="2"/>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5B2D4293">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8EAB42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FFDEF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EF9030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65F1DF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A4E45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DACD5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BF19EB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519082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1149D2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E3AC76F">
      <w:pPr>
        <w:bidi w:val="0"/>
        <w:rPr>
          <w:rFonts w:hint="eastAsia"/>
          <w:lang w:val="en-US" w:eastAsia="zh-CN"/>
        </w:rPr>
      </w:pPr>
    </w:p>
    <w:p w14:paraId="59EEA33D">
      <w:pPr>
        <w:bidi w:val="0"/>
        <w:rPr>
          <w:rFonts w:hint="eastAsia"/>
          <w:lang w:val="en-US" w:eastAsia="zh-CN"/>
        </w:rPr>
      </w:pPr>
    </w:p>
    <w:p w14:paraId="21F90FE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09040E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6DA704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21674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5116E26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119715D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7AAC322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60DB9CBE">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73D827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7.招标文件要求的其它材料及投标人认为有必要提供的材料</w:t>
      </w:r>
    </w:p>
    <w:sectPr>
      <w:headerReference r:id="rId18" w:type="default"/>
      <w:footerReference r:id="rId19"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BF2C">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0C2E">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BBD6">
    <w:pPr>
      <w:spacing w:line="189" w:lineRule="auto"/>
      <w:rPr>
        <w:rFonts w:ascii="Arial" w:hAnsi="Arial" w:eastAsia="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D575">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55C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755CE9">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5767">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CEB3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03CEB3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CBB0B">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F2EB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9EF2EB6">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18C2">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5292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AB52927">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EE58">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43AD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2143AD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015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C636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9BC6364">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A7E4D">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3CC0">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A64B">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94B0">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DEBEF">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3850D">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1DA5D"/>
    <w:multiLevelType w:val="singleLevel"/>
    <w:tmpl w:val="8081DA5D"/>
    <w:lvl w:ilvl="0" w:tentative="0">
      <w:start w:val="1"/>
      <w:numFmt w:val="chineseCounting"/>
      <w:suff w:val="nothing"/>
      <w:lvlText w:val="%1、"/>
      <w:lvlJc w:val="left"/>
      <w:rPr>
        <w:rFonts w:hint="eastAsia"/>
      </w:rPr>
    </w:lvl>
  </w:abstractNum>
  <w:abstractNum w:abstractNumId="1">
    <w:nsid w:val="DA03449A"/>
    <w:multiLevelType w:val="singleLevel"/>
    <w:tmpl w:val="DA03449A"/>
    <w:lvl w:ilvl="0" w:tentative="0">
      <w:start w:val="3"/>
      <w:numFmt w:val="decimal"/>
      <w:suff w:val="space"/>
      <w:lvlText w:val="%1."/>
      <w:lvlJc w:val="left"/>
    </w:lvl>
  </w:abstractNum>
  <w:abstractNum w:abstractNumId="2">
    <w:nsid w:val="5D7BE5FA"/>
    <w:multiLevelType w:val="singleLevel"/>
    <w:tmpl w:val="5D7BE5F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217B69"/>
    <w:rsid w:val="03C26B83"/>
    <w:rsid w:val="03CC315E"/>
    <w:rsid w:val="03DF5A69"/>
    <w:rsid w:val="044921B6"/>
    <w:rsid w:val="046E59EF"/>
    <w:rsid w:val="050D556D"/>
    <w:rsid w:val="05234F67"/>
    <w:rsid w:val="05545C1C"/>
    <w:rsid w:val="055748A3"/>
    <w:rsid w:val="059A3EA8"/>
    <w:rsid w:val="059E36F3"/>
    <w:rsid w:val="05BC1DCB"/>
    <w:rsid w:val="06593C39"/>
    <w:rsid w:val="06787E06"/>
    <w:rsid w:val="0680104B"/>
    <w:rsid w:val="06AF4861"/>
    <w:rsid w:val="06B0495B"/>
    <w:rsid w:val="06C93A28"/>
    <w:rsid w:val="06E37C8B"/>
    <w:rsid w:val="071023CF"/>
    <w:rsid w:val="076721B4"/>
    <w:rsid w:val="081C4DA3"/>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2F32F7"/>
    <w:rsid w:val="0CB101B0"/>
    <w:rsid w:val="0CBD4DA7"/>
    <w:rsid w:val="0CF900A3"/>
    <w:rsid w:val="0D9A718E"/>
    <w:rsid w:val="0DA859D3"/>
    <w:rsid w:val="0DD30B7C"/>
    <w:rsid w:val="0E307EEE"/>
    <w:rsid w:val="0E6C00DD"/>
    <w:rsid w:val="0EE83F9D"/>
    <w:rsid w:val="0F0D035A"/>
    <w:rsid w:val="0FB87AA7"/>
    <w:rsid w:val="0FE34B24"/>
    <w:rsid w:val="102C0845"/>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263231"/>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4B6B28"/>
    <w:rsid w:val="265713EE"/>
    <w:rsid w:val="266177F8"/>
    <w:rsid w:val="26734FA1"/>
    <w:rsid w:val="267811A0"/>
    <w:rsid w:val="27EF7E63"/>
    <w:rsid w:val="27F6032D"/>
    <w:rsid w:val="27FD20A3"/>
    <w:rsid w:val="2944096C"/>
    <w:rsid w:val="29462E99"/>
    <w:rsid w:val="29C94933"/>
    <w:rsid w:val="29EF5E58"/>
    <w:rsid w:val="2A5E573D"/>
    <w:rsid w:val="2A870159"/>
    <w:rsid w:val="2ABA04F6"/>
    <w:rsid w:val="2ABC7FF4"/>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0963095"/>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8B16CBE"/>
    <w:rsid w:val="399D1B1E"/>
    <w:rsid w:val="3A046503"/>
    <w:rsid w:val="3B35724B"/>
    <w:rsid w:val="3BB63ADA"/>
    <w:rsid w:val="3BDC4EDA"/>
    <w:rsid w:val="3C141FE2"/>
    <w:rsid w:val="3C37498E"/>
    <w:rsid w:val="3C860462"/>
    <w:rsid w:val="3C94450B"/>
    <w:rsid w:val="3CD83A9C"/>
    <w:rsid w:val="3D051AB3"/>
    <w:rsid w:val="3D13022E"/>
    <w:rsid w:val="3D9C0E9C"/>
    <w:rsid w:val="3DDE7B24"/>
    <w:rsid w:val="3E353902"/>
    <w:rsid w:val="3E60285C"/>
    <w:rsid w:val="3E7A6E5F"/>
    <w:rsid w:val="3E807399"/>
    <w:rsid w:val="3E923BF9"/>
    <w:rsid w:val="3ED454B4"/>
    <w:rsid w:val="3ED74FA5"/>
    <w:rsid w:val="3F0A4EA1"/>
    <w:rsid w:val="3F487C50"/>
    <w:rsid w:val="3F814E1B"/>
    <w:rsid w:val="3FC65745"/>
    <w:rsid w:val="3FCE3BC4"/>
    <w:rsid w:val="40274071"/>
    <w:rsid w:val="405D1A2A"/>
    <w:rsid w:val="407F405E"/>
    <w:rsid w:val="409370B0"/>
    <w:rsid w:val="40D41902"/>
    <w:rsid w:val="41884B35"/>
    <w:rsid w:val="423849B8"/>
    <w:rsid w:val="435F746A"/>
    <w:rsid w:val="4372309F"/>
    <w:rsid w:val="43E3619A"/>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050755"/>
    <w:rsid w:val="4A3F3154"/>
    <w:rsid w:val="4A4562D3"/>
    <w:rsid w:val="4A52328E"/>
    <w:rsid w:val="4B050440"/>
    <w:rsid w:val="4B227F62"/>
    <w:rsid w:val="4B6545C2"/>
    <w:rsid w:val="4BBC369E"/>
    <w:rsid w:val="4CEC4659"/>
    <w:rsid w:val="4D493511"/>
    <w:rsid w:val="4DF21FC2"/>
    <w:rsid w:val="4DF932EA"/>
    <w:rsid w:val="4E201C1D"/>
    <w:rsid w:val="4E7A34EC"/>
    <w:rsid w:val="4E7C785E"/>
    <w:rsid w:val="4E861641"/>
    <w:rsid w:val="4FAB04B3"/>
    <w:rsid w:val="4FB426AD"/>
    <w:rsid w:val="4FEE2DC9"/>
    <w:rsid w:val="51346287"/>
    <w:rsid w:val="51850890"/>
    <w:rsid w:val="519F1DA4"/>
    <w:rsid w:val="525210BA"/>
    <w:rsid w:val="52A90328"/>
    <w:rsid w:val="52DC3333"/>
    <w:rsid w:val="52E95FEE"/>
    <w:rsid w:val="53036690"/>
    <w:rsid w:val="53376A7B"/>
    <w:rsid w:val="537441A1"/>
    <w:rsid w:val="53B1020C"/>
    <w:rsid w:val="54065481"/>
    <w:rsid w:val="557169CF"/>
    <w:rsid w:val="557D5D2A"/>
    <w:rsid w:val="55A41C2D"/>
    <w:rsid w:val="56682D63"/>
    <w:rsid w:val="56905D0D"/>
    <w:rsid w:val="56FB4C08"/>
    <w:rsid w:val="57122BC6"/>
    <w:rsid w:val="574153BB"/>
    <w:rsid w:val="575E5E0B"/>
    <w:rsid w:val="57BC404C"/>
    <w:rsid w:val="589A668A"/>
    <w:rsid w:val="58AC00F0"/>
    <w:rsid w:val="58B73A25"/>
    <w:rsid w:val="58C46E3D"/>
    <w:rsid w:val="58D971B2"/>
    <w:rsid w:val="59042C0B"/>
    <w:rsid w:val="59272568"/>
    <w:rsid w:val="59576FB6"/>
    <w:rsid w:val="59BC1D1A"/>
    <w:rsid w:val="59C142A0"/>
    <w:rsid w:val="59C641E6"/>
    <w:rsid w:val="59D65347"/>
    <w:rsid w:val="5A2E3043"/>
    <w:rsid w:val="5A780C8E"/>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4D29F9"/>
    <w:rsid w:val="65785E0F"/>
    <w:rsid w:val="658A75F4"/>
    <w:rsid w:val="65CF7A95"/>
    <w:rsid w:val="66A23F66"/>
    <w:rsid w:val="672526A7"/>
    <w:rsid w:val="680D3662"/>
    <w:rsid w:val="68222C97"/>
    <w:rsid w:val="68333F9A"/>
    <w:rsid w:val="683858D3"/>
    <w:rsid w:val="68645FE7"/>
    <w:rsid w:val="68E91BEA"/>
    <w:rsid w:val="69413090"/>
    <w:rsid w:val="69855FCD"/>
    <w:rsid w:val="69BC17E8"/>
    <w:rsid w:val="69DD77FF"/>
    <w:rsid w:val="69DE0ED0"/>
    <w:rsid w:val="6AE37CE3"/>
    <w:rsid w:val="6B0625EA"/>
    <w:rsid w:val="6B5442BA"/>
    <w:rsid w:val="6C0528A2"/>
    <w:rsid w:val="6C593408"/>
    <w:rsid w:val="6C68544B"/>
    <w:rsid w:val="6C785167"/>
    <w:rsid w:val="6D0668D1"/>
    <w:rsid w:val="6D0715D4"/>
    <w:rsid w:val="6D1649E7"/>
    <w:rsid w:val="6DDB2C74"/>
    <w:rsid w:val="6E0E0C0F"/>
    <w:rsid w:val="6E8E7670"/>
    <w:rsid w:val="6EEB0447"/>
    <w:rsid w:val="6FAF3250"/>
    <w:rsid w:val="6FC71762"/>
    <w:rsid w:val="70312E6C"/>
    <w:rsid w:val="703F6560"/>
    <w:rsid w:val="70725ED5"/>
    <w:rsid w:val="70B362F9"/>
    <w:rsid w:val="7161057A"/>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960FDD"/>
    <w:rsid w:val="79AB21E7"/>
    <w:rsid w:val="79CC501C"/>
    <w:rsid w:val="79F12DE4"/>
    <w:rsid w:val="7A8552D9"/>
    <w:rsid w:val="7AB24C40"/>
    <w:rsid w:val="7B0E17E2"/>
    <w:rsid w:val="7B3E48AE"/>
    <w:rsid w:val="7C6203C7"/>
    <w:rsid w:val="7CB47DAA"/>
    <w:rsid w:val="7D076A17"/>
    <w:rsid w:val="7D462131"/>
    <w:rsid w:val="7DC974CD"/>
    <w:rsid w:val="7E4B00B1"/>
    <w:rsid w:val="7EA62275"/>
    <w:rsid w:val="7F034C8E"/>
    <w:rsid w:val="7F235328"/>
    <w:rsid w:val="7F5259A6"/>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5">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1"/>
      <w:szCs w:val="31"/>
      <w:lang w:val="en-US" w:eastAsia="en-US" w:bidi="ar-SA"/>
    </w:rPr>
  </w:style>
  <w:style w:type="paragraph" w:customStyle="1" w:styleId="3">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styleId="7">
    <w:name w:val="annotation text"/>
    <w:basedOn w:val="1"/>
    <w:autoRedefine/>
    <w:qFormat/>
    <w:uiPriority w:val="0"/>
    <w:pPr>
      <w:jc w:val="left"/>
    </w:p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next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1"/>
    <w:autoRedefine/>
    <w:qFormat/>
    <w:uiPriority w:val="0"/>
    <w:pPr>
      <w:ind w:firstLine="200" w:firstLineChars="200"/>
    </w:pPr>
    <w:rPr>
      <w:kern w:val="2"/>
      <w:sz w:val="28"/>
      <w:lang w:eastAsia="zh-CN" w:bidi="ar-SA"/>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qFormat/>
    <w:uiPriority w:val="0"/>
    <w:rPr>
      <w:color w:val="444444"/>
      <w:sz w:val="16"/>
      <w:szCs w:val="16"/>
      <w:u w:val="none"/>
    </w:rPr>
  </w:style>
  <w:style w:type="character" w:styleId="22">
    <w:name w:val="Hyperlink"/>
    <w:basedOn w:val="20"/>
    <w:autoRedefine/>
    <w:qFormat/>
    <w:uiPriority w:val="0"/>
    <w:rPr>
      <w:color w:val="0000FF"/>
      <w:u w:val="single"/>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rPr>
      <w:rFonts w:ascii="Arial" w:hAnsi="Arial" w:eastAsia="Arial" w:cs="Arial"/>
      <w:sz w:val="21"/>
      <w:szCs w:val="21"/>
      <w:lang w:val="en-US" w:eastAsia="en-US" w:bidi="ar-SA"/>
    </w:rPr>
  </w:style>
  <w:style w:type="paragraph" w:customStyle="1" w:styleId="27">
    <w:name w:val="Char Char10 Char Char Char Char"/>
    <w:basedOn w:val="1"/>
    <w:next w:val="28"/>
    <w:autoRedefine/>
    <w:qFormat/>
    <w:uiPriority w:val="99"/>
    <w:pPr>
      <w:autoSpaceDE w:val="0"/>
      <w:autoSpaceDN w:val="0"/>
      <w:jc w:val="left"/>
    </w:pPr>
    <w:rPr>
      <w:rFonts w:ascii="宋体" w:hAnsi="宋体" w:cs="宋体"/>
      <w:lang w:val="zh-CN" w:bidi="zh-CN"/>
    </w:rPr>
  </w:style>
  <w:style w:type="paragraph" w:customStyle="1" w:styleId="28">
    <w:name w:val="xl87"/>
    <w:basedOn w:val="1"/>
    <w:next w:val="29"/>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20"/>
    <w:autoRedefine/>
    <w:qFormat/>
    <w:uiPriority w:val="0"/>
  </w:style>
  <w:style w:type="paragraph" w:customStyle="1" w:styleId="32">
    <w:name w:val="列出段落1"/>
    <w:basedOn w:val="1"/>
    <w:autoRedefine/>
    <w:qFormat/>
    <w:uiPriority w:val="0"/>
    <w:pPr>
      <w:ind w:firstLine="420" w:firstLineChars="200"/>
    </w:pPr>
    <w:rPr>
      <w:szCs w:val="21"/>
    </w:rPr>
  </w:style>
  <w:style w:type="paragraph" w:customStyle="1" w:styleId="33">
    <w:name w:val="首行缩进"/>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3001</Words>
  <Characters>3413</Characters>
  <TotalTime>95</TotalTime>
  <ScaleCrop>false</ScaleCrop>
  <LinksUpToDate>false</LinksUpToDate>
  <CharactersWithSpaces>3577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2024-04-07T03:01:00Z</cp:lastPrinted>
  <dcterms:modified xsi:type="dcterms:W3CDTF">2024-10-30T00:34:38Z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B7712AB16C29454F81FCD8FAB8CBDEF7_13</vt:lpwstr>
  </property>
</Properties>
</file>