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kinsoku/>
        <w:overflowPunct/>
        <w:topLinePunct w:val="0"/>
        <w:bidi w:val="0"/>
        <w:snapToGrid/>
        <w:spacing w:line="360" w:lineRule="auto"/>
        <w:jc w:val="center"/>
        <w:textAlignment w:val="auto"/>
        <w:rPr>
          <w:rFonts w:hint="eastAsia" w:ascii="仿宋" w:hAnsi="仿宋" w:eastAsia="仿宋" w:cs="仿宋"/>
          <w:b/>
          <w:bCs/>
          <w:color w:val="auto"/>
          <w:sz w:val="48"/>
          <w:szCs w:val="48"/>
          <w:lang w:eastAsia="zh-CN"/>
        </w:rPr>
      </w:pPr>
      <w:bookmarkStart w:id="0" w:name="EBef71a014a4ed4f57ac2894856c966783"/>
    </w:p>
    <w:p>
      <w:pPr>
        <w:pStyle w:val="29"/>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洛阳市城乡一体化示范区征迁安置服务中心郑州至洛阳高速公路伊滨区段电力迁</w:t>
      </w:r>
      <w:r>
        <w:rPr>
          <w:rFonts w:hint="eastAsia" w:ascii="仿宋" w:hAnsi="仿宋" w:eastAsia="仿宋" w:cs="仿宋"/>
          <w:b/>
          <w:bCs/>
          <w:color w:val="auto"/>
          <w:sz w:val="48"/>
          <w:szCs w:val="48"/>
          <w:lang w:val="en-US" w:eastAsia="zh-CN"/>
        </w:rPr>
        <w:t>改</w:t>
      </w:r>
      <w:r>
        <w:rPr>
          <w:rFonts w:hint="eastAsia" w:ascii="仿宋" w:hAnsi="仿宋" w:eastAsia="仿宋" w:cs="仿宋"/>
          <w:b/>
          <w:bCs/>
          <w:color w:val="auto"/>
          <w:sz w:val="48"/>
          <w:szCs w:val="48"/>
          <w:lang w:eastAsia="zh-CN"/>
        </w:rPr>
        <w:t>工程</w:t>
      </w:r>
    </w:p>
    <w:p>
      <w:pPr>
        <w:pStyle w:val="29"/>
        <w:jc w:val="center"/>
        <w:rPr>
          <w:rFonts w:hint="eastAsia" w:ascii="仿宋" w:hAnsi="仿宋" w:eastAsia="仿宋" w:cs="仿宋"/>
          <w:b/>
          <w:bCs/>
          <w:color w:val="auto"/>
          <w:sz w:val="48"/>
          <w:szCs w:val="48"/>
          <w:lang w:eastAsia="zh-CN"/>
        </w:rPr>
      </w:pPr>
    </w:p>
    <w:p>
      <w:pPr>
        <w:pStyle w:val="29"/>
        <w:jc w:val="center"/>
        <w:rPr>
          <w:rFonts w:hint="eastAsia" w:ascii="仿宋" w:hAnsi="仿宋" w:eastAsia="仿宋" w:cs="仿宋"/>
          <w:b/>
          <w:bCs/>
          <w:color w:val="auto"/>
          <w:sz w:val="48"/>
          <w:szCs w:val="48"/>
          <w:lang w:eastAsia="zh-CN"/>
        </w:rPr>
      </w:pPr>
    </w:p>
    <w:p>
      <w:pPr>
        <w:pStyle w:val="29"/>
        <w:rPr>
          <w:rFonts w:hint="default"/>
          <w:sz w:val="28"/>
          <w:szCs w:val="18"/>
          <w:lang w:val="en-US" w:eastAsia="zh-CN"/>
        </w:rPr>
      </w:pPr>
      <w:r>
        <w:rPr>
          <w:rFonts w:hint="eastAsia"/>
          <w:sz w:val="28"/>
          <w:szCs w:val="18"/>
          <w:lang w:val="en-US" w:eastAsia="zh-CN"/>
        </w:rPr>
        <w:t xml:space="preserve"> </w:t>
      </w:r>
    </w:p>
    <w:p>
      <w:pPr>
        <w:pStyle w:val="24"/>
        <w:keepNext w:val="0"/>
        <w:keepLines w:val="0"/>
        <w:pageBreakBefore w:val="0"/>
        <w:kinsoku/>
        <w:overflowPunct/>
        <w:topLinePunct w:val="0"/>
        <w:bidi w:val="0"/>
        <w:snapToGrid/>
        <w:spacing w:line="360" w:lineRule="auto"/>
        <w:jc w:val="center"/>
        <w:textAlignment w:val="auto"/>
        <w:rPr>
          <w:rFonts w:hint="eastAsia" w:ascii="仿宋" w:hAnsi="仿宋" w:eastAsia="仿宋" w:cs="仿宋"/>
          <w:b/>
          <w:color w:val="0000FF"/>
          <w:sz w:val="36"/>
          <w:szCs w:val="36"/>
          <w:shd w:val="clear" w:color="auto" w:fill="auto"/>
        </w:rPr>
      </w:pPr>
      <w:r>
        <w:rPr>
          <w:rFonts w:hint="eastAsia" w:ascii="仿宋" w:hAnsi="仿宋" w:eastAsia="仿宋" w:cs="仿宋"/>
          <w:b/>
          <w:bCs/>
          <w:color w:val="auto"/>
          <w:sz w:val="72"/>
          <w:szCs w:val="72"/>
          <w:lang w:eastAsia="zh-CN"/>
        </w:rPr>
        <w:t>招</w:t>
      </w:r>
      <w:r>
        <w:rPr>
          <w:rFonts w:hint="eastAsia" w:ascii="仿宋" w:hAnsi="仿宋" w:eastAsia="仿宋" w:cs="仿宋"/>
          <w:b/>
          <w:bCs/>
          <w:color w:val="auto"/>
          <w:sz w:val="72"/>
          <w:szCs w:val="72"/>
          <w:lang w:val="en-US" w:eastAsia="zh-CN"/>
        </w:rPr>
        <w:t xml:space="preserve"> </w:t>
      </w:r>
      <w:r>
        <w:rPr>
          <w:rFonts w:hint="eastAsia" w:ascii="仿宋" w:hAnsi="仿宋" w:eastAsia="仿宋" w:cs="仿宋"/>
          <w:b/>
          <w:bCs/>
          <w:color w:val="auto"/>
          <w:sz w:val="72"/>
          <w:szCs w:val="72"/>
          <w:lang w:eastAsia="zh-CN"/>
        </w:rPr>
        <w:t>标</w:t>
      </w:r>
      <w:r>
        <w:rPr>
          <w:rFonts w:hint="eastAsia" w:ascii="仿宋" w:hAnsi="仿宋" w:eastAsia="仿宋" w:cs="仿宋"/>
          <w:b/>
          <w:bCs/>
          <w:color w:val="auto"/>
          <w:sz w:val="72"/>
          <w:szCs w:val="72"/>
        </w:rPr>
        <w:t xml:space="preserve"> 文 件</w:t>
      </w:r>
    </w:p>
    <w:p>
      <w:pPr>
        <w:pStyle w:val="25"/>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 xml:space="preserve">项目编号：伊滨政采招标(2023)0157号  </w:t>
      </w:r>
    </w:p>
    <w:p>
      <w:pPr>
        <w:pStyle w:val="25"/>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仿宋" w:hAnsi="仿宋" w:eastAsia="仿宋" w:cs="仿宋"/>
          <w:b/>
          <w:bCs/>
          <w:color w:val="auto"/>
          <w:sz w:val="28"/>
          <w:szCs w:val="28"/>
          <w:shd w:val="clear" w:color="auto" w:fill="auto"/>
          <w:lang w:val="en-US" w:eastAsia="zh-CN"/>
        </w:rPr>
      </w:pPr>
      <w:r>
        <w:rPr>
          <w:rFonts w:hint="eastAsia" w:ascii="仿宋" w:hAnsi="仿宋" w:eastAsia="仿宋" w:cs="仿宋"/>
          <w:b/>
          <w:color w:val="auto"/>
          <w:sz w:val="28"/>
          <w:szCs w:val="28"/>
          <w:shd w:val="clear" w:color="auto" w:fill="auto"/>
        </w:rPr>
        <w:t>政府采购管理部门</w:t>
      </w:r>
      <w:r>
        <w:rPr>
          <w:rFonts w:hint="eastAsia" w:ascii="仿宋" w:hAnsi="仿宋" w:eastAsia="仿宋" w:cs="仿宋"/>
          <w:b/>
          <w:bCs/>
          <w:color w:val="auto"/>
          <w:sz w:val="28"/>
          <w:szCs w:val="28"/>
          <w:shd w:val="clear" w:color="auto" w:fill="auto"/>
        </w:rPr>
        <w:t>备案编号：</w:t>
      </w:r>
      <w:r>
        <w:rPr>
          <w:rFonts w:hint="eastAsia" w:ascii="仿宋" w:hAnsi="仿宋" w:eastAsia="仿宋" w:cs="仿宋"/>
          <w:b/>
          <w:bCs/>
          <w:color w:val="auto"/>
          <w:sz w:val="28"/>
          <w:szCs w:val="28"/>
          <w:shd w:val="clear" w:color="auto" w:fill="auto"/>
          <w:lang w:val="en-US" w:eastAsia="zh-CN"/>
        </w:rPr>
        <w:t>2023-09-20</w:t>
      </w:r>
    </w:p>
    <w:bookmarkEnd w:id="0"/>
    <w:p>
      <w:pPr>
        <w:pStyle w:val="25"/>
        <w:spacing w:line="360" w:lineRule="auto"/>
        <w:jc w:val="center"/>
        <w:rPr>
          <w:rFonts w:hint="eastAsia"/>
          <w:lang w:eastAsia="zh-CN"/>
        </w:rPr>
      </w:pPr>
      <w:bookmarkStart w:id="1" w:name="_Toc32576"/>
      <w:r>
        <w:rPr>
          <w:rFonts w:hint="default"/>
          <w:b w:val="0"/>
          <w:bCs w:val="0"/>
          <w:sz w:val="24"/>
          <w:szCs w:val="24"/>
          <w:vertAlign w:val="baseline"/>
          <w:lang w:val="en-US" w:eastAsia="zh-CN"/>
        </w:rPr>
        <w:drawing>
          <wp:inline distT="0" distB="0" distL="114300" distR="114300">
            <wp:extent cx="2475230" cy="1996440"/>
            <wp:effectExtent l="0" t="0" r="1270" b="3810"/>
            <wp:docPr id="4" name="图片 1" descr="jc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jc竖标"/>
                    <pic:cNvPicPr>
                      <a:picLocks noChangeAspect="1"/>
                    </pic:cNvPicPr>
                  </pic:nvPicPr>
                  <pic:blipFill>
                    <a:blip r:embed="rId11"/>
                    <a:stretch>
                      <a:fillRect/>
                    </a:stretch>
                  </pic:blipFill>
                  <pic:spPr>
                    <a:xfrm>
                      <a:off x="0" y="0"/>
                      <a:ext cx="2475230" cy="1996440"/>
                    </a:xfrm>
                    <a:prstGeom prst="rect">
                      <a:avLst/>
                    </a:prstGeom>
                    <a:noFill/>
                    <a:ln>
                      <a:noFill/>
                    </a:ln>
                  </pic:spPr>
                </pic:pic>
              </a:graphicData>
            </a:graphic>
          </wp:inline>
        </w:drawing>
      </w:r>
    </w:p>
    <w:p>
      <w:pPr>
        <w:pStyle w:val="29"/>
        <w:rPr>
          <w:rFonts w:hint="eastAsia"/>
          <w:lang w:eastAsia="zh-CN"/>
        </w:rPr>
      </w:pPr>
    </w:p>
    <w:p>
      <w:pPr>
        <w:pStyle w:val="29"/>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firstLine="964" w:firstLineChars="300"/>
        <w:jc w:val="both"/>
        <w:textAlignment w:val="auto"/>
        <w:rPr>
          <w:rFonts w:hint="eastAsia" w:ascii="仿宋" w:hAnsi="仿宋" w:eastAsia="仿宋" w:cs="仿宋"/>
          <w:b/>
          <w:bCs/>
          <w:color w:val="0000FF"/>
          <w:spacing w:val="0"/>
          <w:w w:val="100"/>
          <w:sz w:val="32"/>
          <w:szCs w:val="36"/>
          <w:highlight w:val="none"/>
          <w:lang w:val="en-US" w:eastAsia="zh-CN"/>
        </w:rPr>
      </w:pPr>
      <w:r>
        <w:rPr>
          <w:rFonts w:hint="eastAsia" w:ascii="仿宋" w:hAnsi="仿宋" w:eastAsia="仿宋" w:cs="仿宋"/>
          <w:b/>
          <w:caps w:val="0"/>
          <w:smallCaps w:val="0"/>
          <w:spacing w:val="0"/>
          <w:w w:val="100"/>
          <w:kern w:val="2"/>
          <w:sz w:val="32"/>
          <w:szCs w:val="32"/>
          <w:highlight w:val="none"/>
          <w:lang w:val="en-US" w:eastAsia="zh-CN" w:bidi="ar-SA"/>
        </w:rPr>
        <w:t xml:space="preserve">招  标  人：洛阳市城乡一体化示范区征迁安置服务中心 </w:t>
      </w:r>
      <w:r>
        <w:rPr>
          <w:rFonts w:hint="eastAsia" w:ascii="仿宋" w:hAnsi="仿宋" w:eastAsia="仿宋" w:cs="仿宋"/>
          <w:b/>
          <w:bCs/>
          <w:color w:val="0000FF"/>
          <w:spacing w:val="0"/>
          <w:w w:val="100"/>
          <w:sz w:val="32"/>
          <w:szCs w:val="36"/>
          <w:highlight w:val="none"/>
          <w:lang w:val="en-US" w:eastAsia="zh-CN"/>
        </w:rPr>
        <w:t xml:space="preserve"> </w:t>
      </w:r>
    </w:p>
    <w:p>
      <w:pPr>
        <w:spacing w:line="360" w:lineRule="auto"/>
        <w:jc w:val="center"/>
        <w:rPr>
          <w:rFonts w:hint="eastAsia" w:ascii="仿宋" w:hAnsi="仿宋" w:eastAsia="仿宋" w:cs="仿宋"/>
          <w:b/>
          <w:bCs/>
          <w:spacing w:val="0"/>
          <w:w w:val="100"/>
          <w:sz w:val="32"/>
          <w:szCs w:val="36"/>
          <w:highlight w:val="none"/>
          <w:lang w:eastAsia="zh-CN"/>
        </w:rPr>
      </w:pPr>
      <w:r>
        <w:rPr>
          <w:rFonts w:hint="eastAsia" w:ascii="仿宋" w:hAnsi="仿宋" w:eastAsia="仿宋" w:cs="仿宋"/>
          <w:b/>
          <w:bCs/>
          <w:spacing w:val="0"/>
          <w:w w:val="100"/>
          <w:sz w:val="32"/>
          <w:szCs w:val="36"/>
          <w:highlight w:val="none"/>
          <w:lang w:val="en-US" w:eastAsia="zh-CN"/>
        </w:rPr>
        <w:t xml:space="preserve">   </w:t>
      </w:r>
      <w:r>
        <w:rPr>
          <w:rFonts w:hint="eastAsia" w:ascii="仿宋" w:hAnsi="仿宋" w:eastAsia="仿宋" w:cs="仿宋"/>
          <w:b/>
          <w:bCs/>
          <w:spacing w:val="0"/>
          <w:w w:val="100"/>
          <w:sz w:val="32"/>
          <w:szCs w:val="36"/>
          <w:highlight w:val="none"/>
        </w:rPr>
        <w:t>代</w:t>
      </w:r>
      <w:r>
        <w:rPr>
          <w:rFonts w:hint="eastAsia" w:ascii="仿宋" w:hAnsi="仿宋" w:eastAsia="仿宋" w:cs="仿宋"/>
          <w:b/>
          <w:bCs/>
          <w:spacing w:val="0"/>
          <w:w w:val="100"/>
          <w:sz w:val="32"/>
          <w:szCs w:val="36"/>
          <w:highlight w:val="none"/>
          <w:lang w:val="en-US" w:eastAsia="zh-CN"/>
        </w:rPr>
        <w:t xml:space="preserve"> </w:t>
      </w:r>
      <w:r>
        <w:rPr>
          <w:rFonts w:hint="eastAsia" w:ascii="仿宋" w:hAnsi="仿宋" w:eastAsia="仿宋" w:cs="仿宋"/>
          <w:b/>
          <w:bCs/>
          <w:spacing w:val="0"/>
          <w:w w:val="100"/>
          <w:sz w:val="32"/>
          <w:szCs w:val="36"/>
          <w:highlight w:val="none"/>
        </w:rPr>
        <w:t>理</w:t>
      </w:r>
      <w:r>
        <w:rPr>
          <w:rFonts w:hint="eastAsia" w:ascii="仿宋" w:hAnsi="仿宋" w:eastAsia="仿宋" w:cs="仿宋"/>
          <w:b/>
          <w:bCs/>
          <w:spacing w:val="0"/>
          <w:w w:val="100"/>
          <w:sz w:val="32"/>
          <w:szCs w:val="36"/>
          <w:highlight w:val="none"/>
          <w:lang w:val="en-US" w:eastAsia="zh-CN"/>
        </w:rPr>
        <w:t xml:space="preserve"> </w:t>
      </w:r>
      <w:r>
        <w:rPr>
          <w:rFonts w:hint="eastAsia" w:ascii="仿宋" w:hAnsi="仿宋" w:eastAsia="仿宋" w:cs="仿宋"/>
          <w:b/>
          <w:bCs/>
          <w:spacing w:val="0"/>
          <w:w w:val="100"/>
          <w:sz w:val="32"/>
          <w:szCs w:val="36"/>
          <w:highlight w:val="none"/>
        </w:rPr>
        <w:t>机</w:t>
      </w:r>
      <w:r>
        <w:rPr>
          <w:rFonts w:hint="eastAsia" w:ascii="仿宋" w:hAnsi="仿宋" w:eastAsia="仿宋" w:cs="仿宋"/>
          <w:b/>
          <w:bCs/>
          <w:spacing w:val="0"/>
          <w:w w:val="100"/>
          <w:sz w:val="32"/>
          <w:szCs w:val="36"/>
          <w:highlight w:val="none"/>
          <w:lang w:val="en-US" w:eastAsia="zh-CN"/>
        </w:rPr>
        <w:t xml:space="preserve"> </w:t>
      </w:r>
      <w:r>
        <w:rPr>
          <w:rFonts w:hint="eastAsia" w:ascii="仿宋" w:hAnsi="仿宋" w:eastAsia="仿宋" w:cs="仿宋"/>
          <w:b/>
          <w:bCs/>
          <w:spacing w:val="0"/>
          <w:w w:val="100"/>
          <w:sz w:val="32"/>
          <w:szCs w:val="36"/>
          <w:highlight w:val="none"/>
        </w:rPr>
        <w:t>构：</w:t>
      </w:r>
      <w:r>
        <w:rPr>
          <w:rFonts w:hint="eastAsia" w:ascii="仿宋" w:hAnsi="仿宋" w:eastAsia="仿宋" w:cs="仿宋"/>
          <w:b/>
          <w:caps w:val="0"/>
          <w:smallCaps w:val="0"/>
          <w:spacing w:val="0"/>
          <w:w w:val="100"/>
          <w:kern w:val="2"/>
          <w:sz w:val="32"/>
          <w:szCs w:val="32"/>
          <w:highlight w:val="none"/>
          <w:lang w:val="en-US" w:eastAsia="zh-CN" w:bidi="ar-SA"/>
        </w:rPr>
        <w:t>清鸿工程咨询有限公司</w:t>
      </w:r>
    </w:p>
    <w:p>
      <w:pPr>
        <w:spacing w:line="5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spacing w:val="0"/>
          <w:w w:val="100"/>
          <w:sz w:val="32"/>
          <w:szCs w:val="36"/>
          <w:highlight w:val="none"/>
        </w:rPr>
        <w:t>日    期：二零二</w:t>
      </w:r>
      <w:r>
        <w:rPr>
          <w:rFonts w:hint="eastAsia" w:ascii="仿宋" w:hAnsi="仿宋" w:eastAsia="仿宋" w:cs="仿宋"/>
          <w:b/>
          <w:bCs/>
          <w:spacing w:val="0"/>
          <w:w w:val="100"/>
          <w:sz w:val="32"/>
          <w:szCs w:val="36"/>
          <w:highlight w:val="none"/>
          <w:lang w:eastAsia="zh-CN"/>
        </w:rPr>
        <w:t>三</w:t>
      </w:r>
      <w:r>
        <w:rPr>
          <w:rFonts w:hint="eastAsia" w:ascii="仿宋" w:hAnsi="仿宋" w:eastAsia="仿宋" w:cs="仿宋"/>
          <w:b/>
          <w:bCs/>
          <w:spacing w:val="0"/>
          <w:w w:val="100"/>
          <w:sz w:val="32"/>
          <w:szCs w:val="36"/>
          <w:highlight w:val="none"/>
        </w:rPr>
        <w:t>年</w:t>
      </w:r>
      <w:r>
        <w:rPr>
          <w:rFonts w:hint="eastAsia" w:ascii="仿宋" w:hAnsi="仿宋" w:eastAsia="仿宋" w:cs="仿宋"/>
          <w:b/>
          <w:bCs/>
          <w:spacing w:val="0"/>
          <w:w w:val="100"/>
          <w:sz w:val="32"/>
          <w:szCs w:val="36"/>
          <w:highlight w:val="none"/>
          <w:lang w:val="en-US" w:eastAsia="zh-CN"/>
        </w:rPr>
        <w:t>九</w:t>
      </w:r>
      <w:r>
        <w:rPr>
          <w:rFonts w:hint="eastAsia" w:ascii="仿宋" w:hAnsi="仿宋" w:eastAsia="仿宋" w:cs="仿宋"/>
          <w:b/>
          <w:bCs/>
          <w:spacing w:val="0"/>
          <w:w w:val="100"/>
          <w:sz w:val="32"/>
          <w:szCs w:val="36"/>
          <w:highlight w:val="none"/>
        </w:rPr>
        <w:t>月</w:t>
      </w:r>
    </w:p>
    <w:p>
      <w:pPr>
        <w:pStyle w:val="30"/>
        <w:jc w:val="center"/>
        <w:rPr>
          <w:rFonts w:hint="eastAsia" w:ascii="仿宋" w:hAnsi="仿宋" w:eastAsia="仿宋" w:cs="仿宋"/>
          <w:sz w:val="32"/>
          <w:szCs w:val="32"/>
        </w:rPr>
      </w:pPr>
    </w:p>
    <w:p>
      <w:pPr>
        <w:sectPr>
          <w:headerReference r:id="rId3" w:type="default"/>
          <w:pgSz w:w="11906" w:h="16838"/>
          <w:pgMar w:top="1440" w:right="1080" w:bottom="1440" w:left="1080" w:header="851" w:footer="992" w:gutter="0"/>
          <w:cols w:space="425" w:num="1"/>
          <w:docGrid w:type="lines" w:linePitch="312" w:charSpace="0"/>
        </w:sectPr>
      </w:pPr>
    </w:p>
    <w:p>
      <w:pPr>
        <w:pStyle w:val="33"/>
        <w:jc w:val="center"/>
        <w:rPr>
          <w:rFonts w:hint="eastAsia" w:ascii="仿宋" w:hAnsi="仿宋" w:eastAsia="仿宋" w:cs="仿宋"/>
          <w:b/>
          <w:spacing w:val="0"/>
          <w:w w:val="100"/>
          <w:sz w:val="32"/>
          <w:szCs w:val="32"/>
          <w:highlight w:val="none"/>
        </w:rPr>
      </w:pPr>
      <w:r>
        <w:rPr>
          <w:rFonts w:hint="eastAsia" w:ascii="仿宋" w:hAnsi="仿宋" w:eastAsia="仿宋" w:cs="仿宋"/>
          <w:b/>
          <w:spacing w:val="0"/>
          <w:w w:val="100"/>
          <w:sz w:val="32"/>
          <w:szCs w:val="32"/>
          <w:highlight w:val="none"/>
        </w:rPr>
        <w:t>特 别 提 示</w:t>
      </w:r>
    </w:p>
    <w:p>
      <w:pPr>
        <w:rPr>
          <w:rFonts w:hint="eastAsia" w:ascii="仿宋" w:hAnsi="仿宋" w:eastAsia="仿宋" w:cs="仿宋"/>
          <w:spacing w:val="0"/>
          <w:w w:val="10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1、投标文件制作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1.1投标人登录“洛阳市公共资源交易中心”网站，按要求下载“新点投标文件制作软件”。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1.3加密的电子投标文件为“洛阳市公共资源交易中心”网站提供的“新点投标文件制作软件”制作生成的加密版投标文件。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1.4投标文件格式所要求包含的全部资料应全部制作在投标文件内，严格按照本项目投标文件所有格式如实填写（不涉及的内容除外），不应存在漏项或缺项，否则将存在投标被否决的风险。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1.5投标文件所附证明材料为原件或复印件的扫描件，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2、投标文件的提交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2.1除电子投标文件外，投标时不再接受任何纸质文件、资料等。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2.2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2.3投标人因洛阳市电子招投标交易平台问题无法上传电子投标文件时，请在工作时间与交易中心联系。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3、招标文件的澄清、修改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3.1招标文件的澄清、修改将在与招标公告同步的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3.2因洛阳市电子招投标交易平台在开标前具有保密性，投标人在投标文件递交截止时间前须自行查看项目进展、变更通知、澄清及回复，因投标人未及时查看而造成的后果自负。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4、开标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4.1本项目采用远程不见面交易的模式。开标当日，投标人无需到开标现场参加开标会议，投标人应当在投标截止时间前，登录远程开标大厅选择洛阳市公共资源电子招投标系统进行登录（网址为http://www.lyggzyjy.cn/TPBidder），在线准时参加开标活动并进行投标文件解密等。因投标人原因未能解密、解密失败或解密超时的将被拒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4.2开标时，各投标人应在规定时间内对本单位的投标文件解密。开标时，招标代理机构将通过洛阳市电子招投标交易平台进行唱标。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5、开标异常处理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当出现以下情况时，应对未开标的中止电子开标，对原有资料及信息作出妥善保密处理，并在恢复正常后及时安排时间开标：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（1）系统服务器发生故障，无法访问或无法使用系统；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（2）系统的软件或数据库出现错误，不能进行正常操作；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（3）系统发现有安全漏洞，有潜在的泄密危险；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（4）出现断电事故且短时间内无法恢复供电；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szCs w:val="24"/>
          <w:highlight w:val="none"/>
        </w:rPr>
      </w:pPr>
      <w:r>
        <w:rPr>
          <w:rFonts w:hint="eastAsia" w:ascii="仿宋" w:hAnsi="仿宋" w:eastAsia="仿宋" w:cs="仿宋"/>
          <w:b w:val="0"/>
          <w:bCs/>
          <w:color w:val="auto"/>
          <w:spacing w:val="0"/>
          <w:w w:val="100"/>
          <w:sz w:val="24"/>
          <w:szCs w:val="24"/>
          <w:highlight w:val="none"/>
        </w:rPr>
        <w:t>（5）其他无法保证招投标过程正常进行的情形。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auto"/>
          <w:spacing w:val="0"/>
          <w:w w:val="100"/>
          <w:sz w:val="24"/>
          <w:highlight w:val="none"/>
          <w:shd w:val="pct10" w:color="auto" w:fill="FFFFFF"/>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 w:val="0"/>
          <w:bCs/>
          <w:color w:val="auto"/>
          <w:spacing w:val="0"/>
          <w:w w:val="100"/>
          <w:highlight w:val="none"/>
        </w:rPr>
        <w:sectPr>
          <w:pgSz w:w="11907" w:h="16840"/>
          <w:pgMar w:top="1440" w:right="1080" w:bottom="1440" w:left="1080" w:header="680" w:footer="680" w:gutter="0"/>
          <w:pgNumType w:fmt="decimal" w:start="1"/>
          <w:cols w:space="720" w:num="1"/>
          <w:rtlGutter w:val="0"/>
          <w:docGrid w:linePitch="312" w:charSpace="0"/>
        </w:sectPr>
      </w:pPr>
    </w:p>
    <w:p>
      <w:pPr>
        <w:pStyle w:val="15"/>
        <w:tabs>
          <w:tab w:val="right" w:leader="dot" w:pos="9750"/>
        </w:tabs>
        <w:ind w:firstLine="723" w:firstLineChars="200"/>
      </w:pPr>
      <w:r>
        <w:rPr>
          <w:rFonts w:hint="eastAsia" w:ascii="仿宋" w:hAnsi="仿宋" w:eastAsia="仿宋" w:cs="仿宋"/>
          <w:b/>
          <w:bCs/>
          <w:spacing w:val="0"/>
          <w:w w:val="100"/>
          <w:sz w:val="36"/>
          <w:szCs w:val="32"/>
          <w:highlight w:val="none"/>
        </w:rPr>
        <w:fldChar w:fldCharType="begin"/>
      </w:r>
      <w:r>
        <w:rPr>
          <w:rFonts w:hint="eastAsia" w:ascii="仿宋" w:hAnsi="仿宋" w:eastAsia="仿宋" w:cs="仿宋"/>
          <w:b/>
          <w:bCs/>
          <w:spacing w:val="0"/>
          <w:w w:val="100"/>
          <w:sz w:val="36"/>
          <w:szCs w:val="32"/>
          <w:highlight w:val="none"/>
        </w:rPr>
        <w:instrText xml:space="preserve">TOC \o "1-1" \h \u </w:instrText>
      </w:r>
      <w:r>
        <w:rPr>
          <w:rFonts w:hint="eastAsia" w:ascii="仿宋" w:hAnsi="仿宋" w:eastAsia="仿宋" w:cs="仿宋"/>
          <w:b/>
          <w:bCs/>
          <w:spacing w:val="0"/>
          <w:w w:val="100"/>
          <w:sz w:val="36"/>
          <w:szCs w:val="32"/>
          <w:highlight w:val="none"/>
        </w:rPr>
        <w:fldChar w:fldCharType="separate"/>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pacing w:val="0"/>
          <w:w w:val="100"/>
          <w:sz w:val="36"/>
          <w:szCs w:val="36"/>
          <w:highlight w:val="none"/>
          <w:lang w:eastAsia="zh-CN"/>
        </w:rPr>
      </w:pPr>
      <w:r>
        <w:rPr>
          <w:rFonts w:hint="eastAsia" w:ascii="仿宋" w:hAnsi="仿宋" w:eastAsia="仿宋" w:cs="仿宋"/>
          <w:b/>
          <w:bCs w:val="0"/>
          <w:spacing w:val="0"/>
          <w:w w:val="100"/>
          <w:sz w:val="36"/>
          <w:szCs w:val="36"/>
          <w:highlight w:val="none"/>
          <w:lang w:eastAsia="zh-CN"/>
        </w:rPr>
        <w:t>目</w:t>
      </w:r>
      <w:r>
        <w:rPr>
          <w:rFonts w:hint="eastAsia" w:ascii="仿宋" w:hAnsi="仿宋" w:eastAsia="仿宋" w:cs="仿宋"/>
          <w:b/>
          <w:bCs w:val="0"/>
          <w:spacing w:val="0"/>
          <w:w w:val="100"/>
          <w:sz w:val="36"/>
          <w:szCs w:val="36"/>
          <w:highlight w:val="none"/>
          <w:lang w:val="en-US" w:eastAsia="zh-CN"/>
        </w:rPr>
        <w:t xml:space="preserve">   </w:t>
      </w:r>
      <w:r>
        <w:rPr>
          <w:rFonts w:hint="eastAsia" w:ascii="仿宋" w:hAnsi="仿宋" w:eastAsia="仿宋" w:cs="仿宋"/>
          <w:b/>
          <w:bCs w:val="0"/>
          <w:spacing w:val="0"/>
          <w:w w:val="100"/>
          <w:sz w:val="36"/>
          <w:szCs w:val="36"/>
          <w:highlight w:val="none"/>
          <w:lang w:eastAsia="zh-CN"/>
        </w:rPr>
        <w:t>录</w:t>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rFonts w:hint="eastAsia" w:ascii="仿宋" w:hAnsi="仿宋" w:eastAsia="仿宋" w:cs="仿宋"/>
          <w:bCs/>
          <w:spacing w:val="0"/>
          <w:w w:val="100"/>
          <w:sz w:val="28"/>
          <w:szCs w:val="28"/>
          <w:highlight w:val="none"/>
        </w:rPr>
      </w:pP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_Toc3545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bCs/>
          <w:color w:val="auto"/>
          <w:spacing w:val="0"/>
          <w:w w:val="100"/>
          <w:sz w:val="28"/>
          <w:szCs w:val="28"/>
          <w:highlight w:val="none"/>
        </w:rPr>
        <w:t>第一章 招标公告</w:t>
      </w:r>
      <w:r>
        <w:rPr>
          <w:color w:val="auto"/>
          <w:sz w:val="28"/>
          <w:szCs w:val="28"/>
        </w:rPr>
        <w:tab/>
      </w:r>
      <w:r>
        <w:rPr>
          <w:color w:val="auto"/>
          <w:sz w:val="28"/>
          <w:szCs w:val="28"/>
        </w:rPr>
        <w:fldChar w:fldCharType="begin"/>
      </w:r>
      <w:r>
        <w:rPr>
          <w:color w:val="auto"/>
          <w:sz w:val="28"/>
          <w:szCs w:val="28"/>
        </w:rPr>
        <w:instrText xml:space="preserve"> PAGEREF _Toc3545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pos="2400"/>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_Toc831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bCs/>
          <w:color w:val="auto"/>
          <w:spacing w:val="0"/>
          <w:w w:val="100"/>
          <w:sz w:val="28"/>
          <w:szCs w:val="28"/>
        </w:rPr>
        <w:t>第二章</w:t>
      </w:r>
      <w:r>
        <w:rPr>
          <w:rFonts w:hint="eastAsia" w:ascii="仿宋" w:hAnsi="仿宋" w:eastAsia="仿宋" w:cs="仿宋"/>
          <w:bCs/>
          <w:color w:val="auto"/>
          <w:spacing w:val="0"/>
          <w:w w:val="100"/>
          <w:sz w:val="28"/>
          <w:szCs w:val="28"/>
        </w:rPr>
        <w:tab/>
      </w:r>
      <w:r>
        <w:rPr>
          <w:rFonts w:hint="eastAsia" w:ascii="仿宋" w:hAnsi="仿宋" w:eastAsia="仿宋" w:cs="仿宋"/>
          <w:bCs/>
          <w:color w:val="auto"/>
          <w:spacing w:val="0"/>
          <w:w w:val="100"/>
          <w:sz w:val="28"/>
          <w:szCs w:val="28"/>
        </w:rPr>
        <w:t>投标人须知</w:t>
      </w:r>
      <w:r>
        <w:rPr>
          <w:color w:val="auto"/>
          <w:sz w:val="28"/>
          <w:szCs w:val="28"/>
        </w:rPr>
        <w:tab/>
      </w:r>
      <w:r>
        <w:rPr>
          <w:color w:val="auto"/>
          <w:sz w:val="28"/>
          <w:szCs w:val="28"/>
        </w:rPr>
        <w:fldChar w:fldCharType="begin"/>
      </w:r>
      <w:r>
        <w:rPr>
          <w:color w:val="auto"/>
          <w:sz w:val="28"/>
          <w:szCs w:val="28"/>
        </w:rPr>
        <w:instrText xml:space="preserve"> PAGEREF _Toc831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_Toc25340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bCs/>
          <w:color w:val="auto"/>
          <w:kern w:val="0"/>
          <w:sz w:val="28"/>
          <w:szCs w:val="28"/>
          <w:highlight w:val="none"/>
        </w:rPr>
        <w:t>第三章 评标办法</w:t>
      </w:r>
      <w:r>
        <w:rPr>
          <w:color w:val="auto"/>
          <w:sz w:val="28"/>
          <w:szCs w:val="28"/>
        </w:rPr>
        <w:tab/>
      </w:r>
      <w:r>
        <w:rPr>
          <w:color w:val="auto"/>
          <w:sz w:val="28"/>
          <w:szCs w:val="28"/>
        </w:rPr>
        <w:fldChar w:fldCharType="begin"/>
      </w:r>
      <w:r>
        <w:rPr>
          <w:color w:val="auto"/>
          <w:sz w:val="28"/>
          <w:szCs w:val="28"/>
        </w:rPr>
        <w:instrText xml:space="preserve"> PAGEREF _Toc25340 \h </w:instrText>
      </w:r>
      <w:r>
        <w:rPr>
          <w:color w:val="auto"/>
          <w:sz w:val="28"/>
          <w:szCs w:val="28"/>
        </w:rPr>
        <w:fldChar w:fldCharType="separate"/>
      </w:r>
      <w:r>
        <w:rPr>
          <w:color w:val="auto"/>
          <w:sz w:val="28"/>
          <w:szCs w:val="28"/>
        </w:rPr>
        <w:t>30</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_Toc20702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bCs/>
          <w:color w:val="auto"/>
          <w:sz w:val="28"/>
          <w:szCs w:val="28"/>
        </w:rPr>
        <w:t>第四章 合同条款及格式</w:t>
      </w:r>
      <w:r>
        <w:rPr>
          <w:color w:val="auto"/>
          <w:sz w:val="28"/>
          <w:szCs w:val="28"/>
        </w:rPr>
        <w:tab/>
      </w:r>
      <w:r>
        <w:rPr>
          <w:color w:val="auto"/>
          <w:sz w:val="28"/>
          <w:szCs w:val="28"/>
        </w:rPr>
        <w:fldChar w:fldCharType="begin"/>
      </w:r>
      <w:r>
        <w:rPr>
          <w:color w:val="auto"/>
          <w:sz w:val="28"/>
          <w:szCs w:val="28"/>
        </w:rPr>
        <w:instrText xml:space="preserve"> PAGEREF _Toc20702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_Toc30270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color w:val="auto"/>
          <w:sz w:val="28"/>
          <w:szCs w:val="28"/>
        </w:rPr>
        <w:t>第五章 工程量清单</w:t>
      </w:r>
      <w:r>
        <w:rPr>
          <w:color w:val="auto"/>
          <w:sz w:val="28"/>
          <w:szCs w:val="28"/>
        </w:rPr>
        <w:tab/>
      </w:r>
      <w:r>
        <w:rPr>
          <w:color w:val="auto"/>
          <w:sz w:val="28"/>
          <w:szCs w:val="28"/>
        </w:rPr>
        <w:fldChar w:fldCharType="begin"/>
      </w:r>
      <w:r>
        <w:rPr>
          <w:color w:val="auto"/>
          <w:sz w:val="28"/>
          <w:szCs w:val="28"/>
        </w:rPr>
        <w:instrText xml:space="preserve"> PAGEREF _Toc30270 \h </w:instrText>
      </w:r>
      <w:r>
        <w:rPr>
          <w:color w:val="auto"/>
          <w:sz w:val="28"/>
          <w:szCs w:val="28"/>
        </w:rPr>
        <w:fldChar w:fldCharType="separate"/>
      </w:r>
      <w:r>
        <w:rPr>
          <w:color w:val="auto"/>
          <w:sz w:val="28"/>
          <w:szCs w:val="28"/>
        </w:rPr>
        <w:t>39</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_Toc20245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bCs/>
          <w:color w:val="auto"/>
          <w:sz w:val="28"/>
          <w:szCs w:val="28"/>
        </w:rPr>
        <w:t>第六章 图纸</w:t>
      </w:r>
      <w:r>
        <w:rPr>
          <w:color w:val="auto"/>
          <w:sz w:val="28"/>
          <w:szCs w:val="28"/>
        </w:rPr>
        <w:tab/>
      </w:r>
      <w:r>
        <w:rPr>
          <w:color w:val="auto"/>
          <w:sz w:val="28"/>
          <w:szCs w:val="28"/>
        </w:rPr>
        <w:fldChar w:fldCharType="begin"/>
      </w:r>
      <w:r>
        <w:rPr>
          <w:color w:val="auto"/>
          <w:sz w:val="28"/>
          <w:szCs w:val="28"/>
        </w:rPr>
        <w:instrText xml:space="preserve"> PAGEREF _Toc20245 \h </w:instrText>
      </w:r>
      <w:r>
        <w:rPr>
          <w:color w:val="auto"/>
          <w:sz w:val="28"/>
          <w:szCs w:val="28"/>
        </w:rPr>
        <w:fldChar w:fldCharType="separate"/>
      </w:r>
      <w:r>
        <w:rPr>
          <w:color w:val="auto"/>
          <w:sz w:val="28"/>
          <w:szCs w:val="28"/>
        </w:rPr>
        <w:t>40</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color w:val="auto"/>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_Toc24215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bCs/>
          <w:color w:val="auto"/>
          <w:sz w:val="28"/>
          <w:szCs w:val="28"/>
        </w:rPr>
        <w:t>第七章 技术标准和要求</w:t>
      </w:r>
      <w:r>
        <w:rPr>
          <w:color w:val="auto"/>
          <w:sz w:val="28"/>
          <w:szCs w:val="28"/>
        </w:rPr>
        <w:tab/>
      </w:r>
      <w:r>
        <w:rPr>
          <w:color w:val="auto"/>
          <w:sz w:val="28"/>
          <w:szCs w:val="28"/>
        </w:rPr>
        <w:fldChar w:fldCharType="begin"/>
      </w:r>
      <w:r>
        <w:rPr>
          <w:color w:val="auto"/>
          <w:sz w:val="28"/>
          <w:szCs w:val="28"/>
        </w:rPr>
        <w:instrText xml:space="preserve"> PAGEREF _Toc24215 \h </w:instrText>
      </w:r>
      <w:r>
        <w:rPr>
          <w:color w:val="auto"/>
          <w:sz w:val="28"/>
          <w:szCs w:val="28"/>
        </w:rPr>
        <w:fldChar w:fldCharType="separate"/>
      </w:r>
      <w:r>
        <w:rPr>
          <w:color w:val="auto"/>
          <w:sz w:val="28"/>
          <w:szCs w:val="28"/>
        </w:rPr>
        <w:t>41</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pStyle w:val="15"/>
        <w:keepNext w:val="0"/>
        <w:keepLines w:val="0"/>
        <w:pageBreakBefore w:val="0"/>
        <w:widowControl w:val="0"/>
        <w:tabs>
          <w:tab w:val="right" w:leader="dot" w:pos="9750"/>
        </w:tabs>
        <w:kinsoku/>
        <w:wordWrap/>
        <w:overflowPunct/>
        <w:topLinePunct w:val="0"/>
        <w:autoSpaceDE/>
        <w:autoSpaceDN/>
        <w:bidi w:val="0"/>
        <w:adjustRightInd/>
        <w:snapToGrid/>
        <w:spacing w:line="360" w:lineRule="auto"/>
        <w:textAlignment w:val="auto"/>
        <w:rPr>
          <w:sz w:val="28"/>
          <w:szCs w:val="28"/>
        </w:rPr>
      </w:pPr>
      <w:r>
        <w:rPr>
          <w:rFonts w:hint="eastAsia" w:ascii="仿宋" w:hAnsi="仿宋" w:eastAsia="仿宋" w:cs="仿宋"/>
          <w:bCs/>
          <w:color w:val="auto"/>
          <w:spacing w:val="0"/>
          <w:w w:val="100"/>
          <w:sz w:val="28"/>
          <w:szCs w:val="28"/>
          <w:highlight w:val="none"/>
        </w:rPr>
        <w:fldChar w:fldCharType="begin"/>
      </w:r>
      <w:r>
        <w:rPr>
          <w:rFonts w:hint="eastAsia" w:ascii="仿宋" w:hAnsi="仿宋" w:eastAsia="仿宋" w:cs="仿宋"/>
          <w:bCs/>
          <w:color w:val="auto"/>
          <w:spacing w:val="0"/>
          <w:w w:val="100"/>
          <w:sz w:val="28"/>
          <w:szCs w:val="28"/>
          <w:highlight w:val="none"/>
        </w:rPr>
        <w:instrText xml:space="preserve"> HYPERLINK \l _Toc17198 </w:instrText>
      </w:r>
      <w:r>
        <w:rPr>
          <w:rFonts w:hint="eastAsia" w:ascii="仿宋" w:hAnsi="仿宋" w:eastAsia="仿宋" w:cs="仿宋"/>
          <w:bCs/>
          <w:color w:val="auto"/>
          <w:spacing w:val="0"/>
          <w:w w:val="100"/>
          <w:sz w:val="28"/>
          <w:szCs w:val="28"/>
          <w:highlight w:val="none"/>
        </w:rPr>
        <w:fldChar w:fldCharType="separate"/>
      </w:r>
      <w:r>
        <w:rPr>
          <w:rFonts w:hint="eastAsia" w:ascii="仿宋" w:hAnsi="仿宋" w:eastAsia="仿宋" w:cs="仿宋"/>
          <w:color w:val="auto"/>
          <w:sz w:val="28"/>
          <w:szCs w:val="28"/>
        </w:rPr>
        <w:t>第八章 投标文件格式</w:t>
      </w:r>
      <w:r>
        <w:rPr>
          <w:color w:val="auto"/>
          <w:sz w:val="28"/>
          <w:szCs w:val="28"/>
        </w:rPr>
        <w:tab/>
      </w:r>
      <w:r>
        <w:rPr>
          <w:color w:val="auto"/>
          <w:sz w:val="28"/>
          <w:szCs w:val="28"/>
        </w:rPr>
        <w:fldChar w:fldCharType="begin"/>
      </w:r>
      <w:r>
        <w:rPr>
          <w:color w:val="auto"/>
          <w:sz w:val="28"/>
          <w:szCs w:val="28"/>
        </w:rPr>
        <w:instrText xml:space="preserve"> PAGEREF _Toc17198 \h </w:instrText>
      </w:r>
      <w:r>
        <w:rPr>
          <w:color w:val="auto"/>
          <w:sz w:val="28"/>
          <w:szCs w:val="28"/>
        </w:rPr>
        <w:fldChar w:fldCharType="separate"/>
      </w:r>
      <w:r>
        <w:rPr>
          <w:color w:val="auto"/>
          <w:sz w:val="28"/>
          <w:szCs w:val="28"/>
        </w:rPr>
        <w:t>44</w:t>
      </w:r>
      <w:r>
        <w:rPr>
          <w:color w:val="auto"/>
          <w:sz w:val="28"/>
          <w:szCs w:val="28"/>
        </w:rPr>
        <w:fldChar w:fldCharType="end"/>
      </w:r>
      <w:r>
        <w:rPr>
          <w:rFonts w:hint="eastAsia" w:ascii="仿宋" w:hAnsi="仿宋" w:eastAsia="仿宋" w:cs="仿宋"/>
          <w:bCs/>
          <w:color w:val="auto"/>
          <w:spacing w:val="0"/>
          <w:w w:val="100"/>
          <w:sz w:val="28"/>
          <w:szCs w:val="28"/>
          <w:highlight w:val="none"/>
        </w:rPr>
        <w:fldChar w:fldCharType="end"/>
      </w:r>
    </w:p>
    <w:p>
      <w:pPr>
        <w:jc w:val="center"/>
        <w:outlineLvl w:val="0"/>
        <w:rPr>
          <w:rFonts w:hint="eastAsia" w:ascii="仿宋" w:hAnsi="仿宋" w:eastAsia="仿宋" w:cs="仿宋"/>
          <w:b/>
          <w:bCs/>
          <w:spacing w:val="0"/>
          <w:w w:val="100"/>
          <w:sz w:val="36"/>
          <w:szCs w:val="32"/>
          <w:highlight w:val="none"/>
        </w:rPr>
        <w:sectPr>
          <w:headerReference r:id="rId4" w:type="default"/>
          <w:footerReference r:id="rId5" w:type="default"/>
          <w:pgSz w:w="11910" w:h="16850"/>
          <w:pgMar w:top="1440" w:right="1080" w:bottom="1440" w:left="1080" w:header="850" w:footer="781" w:gutter="0"/>
          <w:pgNumType w:fmt="decimal" w:start="1"/>
          <w:cols w:space="720" w:num="1"/>
          <w:rtlGutter w:val="0"/>
        </w:sectPr>
      </w:pPr>
      <w:r>
        <w:rPr>
          <w:rFonts w:hint="eastAsia" w:ascii="仿宋" w:hAnsi="仿宋" w:eastAsia="仿宋" w:cs="仿宋"/>
          <w:bCs/>
          <w:spacing w:val="0"/>
          <w:w w:val="100"/>
          <w:szCs w:val="32"/>
          <w:highlight w:val="none"/>
        </w:rPr>
        <w:fldChar w:fldCharType="end"/>
      </w:r>
    </w:p>
    <w:p>
      <w:pPr>
        <w:jc w:val="center"/>
        <w:outlineLvl w:val="0"/>
        <w:rPr>
          <w:rFonts w:hint="eastAsia" w:ascii="仿宋" w:hAnsi="仿宋" w:eastAsia="仿宋" w:cs="仿宋"/>
          <w:b/>
          <w:bCs/>
          <w:spacing w:val="0"/>
          <w:w w:val="100"/>
          <w:sz w:val="36"/>
          <w:szCs w:val="32"/>
          <w:highlight w:val="none"/>
        </w:rPr>
      </w:pPr>
      <w:bookmarkStart w:id="2" w:name="_Toc3545"/>
      <w:r>
        <w:rPr>
          <w:rFonts w:hint="eastAsia" w:ascii="仿宋" w:hAnsi="仿宋" w:eastAsia="仿宋" w:cs="仿宋"/>
          <w:b/>
          <w:bCs/>
          <w:spacing w:val="0"/>
          <w:w w:val="100"/>
          <w:sz w:val="36"/>
          <w:szCs w:val="32"/>
          <w:highlight w:val="none"/>
        </w:rPr>
        <w:t>第一章 招标公告</w:t>
      </w:r>
      <w:bookmarkEnd w:id="1"/>
      <w:bookmarkEnd w:id="2"/>
    </w:p>
    <w:p>
      <w:pPr>
        <w:pStyle w:val="2"/>
        <w:jc w:val="center"/>
        <w:rPr>
          <w:rFonts w:hint="eastAsia"/>
          <w:b/>
          <w:bCs/>
          <w:sz w:val="28"/>
          <w:szCs w:val="28"/>
          <w:lang w:eastAsia="zh-CN"/>
        </w:rPr>
      </w:pPr>
      <w:bookmarkStart w:id="3" w:name="_Toc14044"/>
      <w:bookmarkStart w:id="4" w:name="_Toc24935"/>
      <w:r>
        <w:rPr>
          <w:rFonts w:hint="eastAsia" w:ascii="仿宋" w:hAnsi="仿宋" w:eastAsia="仿宋" w:cs="仿宋"/>
          <w:b/>
          <w:bCs/>
          <w:color w:val="000000"/>
          <w:spacing w:val="0"/>
          <w:w w:val="100"/>
          <w:sz w:val="32"/>
          <w:szCs w:val="32"/>
          <w:highlight w:val="none"/>
          <w:lang w:eastAsia="zh-CN"/>
        </w:rPr>
        <w:t>洛阳市城乡一体化示范区征迁安置服务中心郑州至洛阳高速公路伊滨区段电力迁</w:t>
      </w:r>
      <w:r>
        <w:rPr>
          <w:rFonts w:hint="eastAsia" w:ascii="仿宋" w:hAnsi="仿宋" w:eastAsia="仿宋" w:cs="仿宋"/>
          <w:b/>
          <w:bCs/>
          <w:color w:val="000000"/>
          <w:spacing w:val="0"/>
          <w:w w:val="100"/>
          <w:sz w:val="32"/>
          <w:szCs w:val="32"/>
          <w:highlight w:val="none"/>
          <w:lang w:val="en-US" w:eastAsia="zh-CN"/>
        </w:rPr>
        <w:t>改</w:t>
      </w:r>
      <w:r>
        <w:rPr>
          <w:rFonts w:hint="eastAsia" w:ascii="仿宋" w:hAnsi="仿宋" w:eastAsia="仿宋" w:cs="仿宋"/>
          <w:b/>
          <w:bCs/>
          <w:color w:val="000000"/>
          <w:spacing w:val="0"/>
          <w:w w:val="100"/>
          <w:sz w:val="32"/>
          <w:szCs w:val="32"/>
          <w:highlight w:val="none"/>
          <w:lang w:eastAsia="zh-CN"/>
        </w:rPr>
        <w:t>工程</w:t>
      </w:r>
      <w:r>
        <w:rPr>
          <w:rFonts w:hint="eastAsia" w:ascii="仿宋" w:hAnsi="仿宋" w:eastAsia="仿宋" w:cs="仿宋"/>
          <w:b/>
          <w:bCs/>
          <w:color w:val="000000"/>
          <w:spacing w:val="0"/>
          <w:w w:val="100"/>
          <w:sz w:val="32"/>
          <w:szCs w:val="32"/>
          <w:highlight w:val="none"/>
        </w:rPr>
        <w:t>-招标公告</w:t>
      </w:r>
    </w:p>
    <w:bookmarkEnd w:id="3"/>
    <w:bookmarkEnd w:id="4"/>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pPr>
        <w:spacing w:line="460" w:lineRule="exact"/>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洛阳市城乡一体化示范区征迁安置服务中心郑州至洛阳高速公路伊滨区段电力迁改工程</w:t>
      </w:r>
      <w:r>
        <w:rPr>
          <w:rFonts w:hint="eastAsia" w:ascii="仿宋" w:hAnsi="仿宋" w:eastAsia="仿宋" w:cs="仿宋"/>
          <w:color w:val="auto"/>
          <w:kern w:val="0"/>
          <w:sz w:val="24"/>
          <w:szCs w:val="24"/>
          <w:lang w:val="en-US" w:eastAsia="zh-CN" w:bidi="ar-SA"/>
        </w:rPr>
        <w:t>招标项目的潜在投标人应在洛阳市公共资源交易中心网站（lyggzyjy.ly.gov.cn）获取招标文件，并于2023年10月17日09时20分（北京时间）前递交投标文件。</w:t>
      </w:r>
    </w:p>
    <w:p>
      <w:pPr>
        <w:spacing w:line="460" w:lineRule="exact"/>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一、项目基本情况</w:t>
      </w:r>
    </w:p>
    <w:p>
      <w:pPr>
        <w:spacing w:line="460" w:lineRule="exact"/>
        <w:ind w:firstLine="480" w:firstLineChars="20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1、项目编号：2023-09-20</w:t>
      </w:r>
    </w:p>
    <w:p>
      <w:pPr>
        <w:pStyle w:val="30"/>
        <w:spacing w:line="46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 xml:space="preserve">2、项目名称：洛阳市城乡一体化示范区征迁安置服务中心郑州至洛阳高速公路伊滨区段电力迁改工程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3、采购方式：公开招标</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4、预算金额：</w:t>
      </w:r>
      <w:r>
        <w:rPr>
          <w:rFonts w:hint="eastAsia" w:ascii="仿宋" w:hAnsi="仿宋" w:eastAsia="仿宋" w:cs="仿宋"/>
          <w:color w:val="auto"/>
          <w:sz w:val="24"/>
          <w:highlight w:val="none"/>
          <w:lang w:val="en-US" w:eastAsia="zh-CN"/>
        </w:rPr>
        <w:t xml:space="preserve">13983895.59元 </w:t>
      </w:r>
    </w:p>
    <w:p>
      <w:pPr>
        <w:pStyle w:val="3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highlight w:val="none"/>
          <w:lang w:val="en-US" w:eastAsia="zh-CN"/>
        </w:rPr>
        <w:t xml:space="preserve">13983895.59元 </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687"/>
        <w:gridCol w:w="4658"/>
        <w:gridCol w:w="1651"/>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noWrap w:val="0"/>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87" w:type="dxa"/>
            <w:noWrap w:val="0"/>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包号</w:t>
            </w:r>
          </w:p>
        </w:tc>
        <w:tc>
          <w:tcPr>
            <w:tcW w:w="4658" w:type="dxa"/>
            <w:noWrap w:val="0"/>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包名称</w:t>
            </w:r>
          </w:p>
        </w:tc>
        <w:tc>
          <w:tcPr>
            <w:tcW w:w="1651" w:type="dxa"/>
            <w:noWrap w:val="0"/>
            <w:vAlign w:val="center"/>
          </w:tcPr>
          <w:p>
            <w:pPr>
              <w:spacing w:line="460" w:lineRule="exact"/>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包预算（元）</w:t>
            </w:r>
          </w:p>
        </w:tc>
        <w:tc>
          <w:tcPr>
            <w:tcW w:w="1896" w:type="dxa"/>
            <w:noWrap w:val="0"/>
            <w:vAlign w:val="center"/>
          </w:tcPr>
          <w:p>
            <w:pPr>
              <w:spacing w:line="460" w:lineRule="exact"/>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19" w:type="dxa"/>
            <w:noWrap w:val="0"/>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87" w:type="dxa"/>
            <w:noWrap w:val="0"/>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p>
        </w:tc>
        <w:tc>
          <w:tcPr>
            <w:tcW w:w="4658" w:type="dxa"/>
            <w:noWrap w:val="0"/>
            <w:vAlign w:val="center"/>
          </w:tcPr>
          <w:p>
            <w:pPr>
              <w:pStyle w:val="30"/>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洛阳市城乡一体化示范区征迁安置服务中心郑州至洛阳高速公路伊滨区段电力迁</w:t>
            </w:r>
            <w:r>
              <w:rPr>
                <w:rFonts w:hint="eastAsia" w:ascii="仿宋" w:hAnsi="仿宋" w:eastAsia="仿宋" w:cs="仿宋"/>
                <w:color w:val="auto"/>
                <w:sz w:val="24"/>
                <w:highlight w:val="none"/>
                <w:lang w:val="en-US" w:eastAsia="zh-CN"/>
              </w:rPr>
              <w:t>改</w:t>
            </w:r>
            <w:r>
              <w:rPr>
                <w:rFonts w:hint="eastAsia" w:ascii="仿宋" w:hAnsi="仿宋" w:eastAsia="仿宋" w:cs="仿宋"/>
                <w:color w:val="auto"/>
                <w:sz w:val="24"/>
                <w:highlight w:val="none"/>
                <w:lang w:eastAsia="zh-CN"/>
              </w:rPr>
              <w:t>工程</w:t>
            </w:r>
          </w:p>
        </w:tc>
        <w:tc>
          <w:tcPr>
            <w:tcW w:w="16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 w:val="24"/>
                <w:highlight w:val="none"/>
                <w:lang w:val="en-US" w:eastAsia="zh-CN"/>
              </w:rPr>
              <w:t>13983895.59</w:t>
            </w:r>
          </w:p>
        </w:tc>
        <w:tc>
          <w:tcPr>
            <w:tcW w:w="1896"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 w:val="24"/>
                <w:highlight w:val="none"/>
                <w:lang w:val="en-US" w:eastAsia="zh-CN"/>
              </w:rPr>
              <w:t>13983895.59</w:t>
            </w:r>
          </w:p>
        </w:tc>
      </w:tr>
    </w:tbl>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5、采购需求（包括但不限于标的的名称、数量、简要技术需求或服务要求等）</w:t>
      </w:r>
    </w:p>
    <w:p>
      <w:pPr>
        <w:pStyle w:val="30"/>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（1）工程名称：</w:t>
      </w:r>
      <w:r>
        <w:rPr>
          <w:rFonts w:hint="eastAsia" w:ascii="仿宋" w:hAnsi="仿宋" w:eastAsia="仿宋" w:cs="仿宋"/>
          <w:color w:val="auto"/>
          <w:kern w:val="0"/>
          <w:sz w:val="24"/>
          <w:szCs w:val="24"/>
          <w:lang w:val="en-US" w:eastAsia="zh-CN" w:bidi="ar-SA"/>
        </w:rPr>
        <w:t xml:space="preserve">洛阳市城乡一体化示范区征迁安置服务中心郑州至洛阳高速公路伊滨区段电力迁改工程 </w:t>
      </w:r>
    </w:p>
    <w:p>
      <w:pPr>
        <w:spacing w:line="460" w:lineRule="exac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（2）项目编号：伊滨政采招标(2023)0157号  </w:t>
      </w:r>
    </w:p>
    <w:p>
      <w:pPr>
        <w:spacing w:line="460" w:lineRule="exact"/>
        <w:ind w:firstLine="960" w:firstLineChars="400"/>
        <w:jc w:val="left"/>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szCs w:val="24"/>
          <w:lang w:val="en-US" w:eastAsia="zh-CN" w:bidi="ar-SA"/>
        </w:rPr>
        <w:t>政府采购管理部门备案编号：2023-09-20</w:t>
      </w:r>
    </w:p>
    <w:p>
      <w:pPr>
        <w:numPr>
          <w:ilvl w:val="0"/>
          <w:numId w:val="1"/>
        </w:num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r>
        <w:rPr>
          <w:rFonts w:hint="eastAsia" w:ascii="仿宋" w:hAnsi="仿宋" w:eastAsia="仿宋" w:cs="仿宋"/>
          <w:color w:val="auto"/>
          <w:sz w:val="24"/>
          <w:highlight w:val="none"/>
          <w:lang w:eastAsia="zh-CN"/>
        </w:rPr>
        <w:t>财政资金（上级专项资金）；</w:t>
      </w:r>
    </w:p>
    <w:p>
      <w:pPr>
        <w:spacing w:line="460" w:lineRule="exact"/>
        <w:ind w:firstLine="480" w:firstLineChars="200"/>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z w:val="24"/>
          <w:highlight w:val="none"/>
        </w:rPr>
        <w:t>（4）工期：</w:t>
      </w:r>
      <w:r>
        <w:rPr>
          <w:rFonts w:hint="eastAsia" w:ascii="仿宋" w:hAnsi="仿宋" w:eastAsia="仿宋" w:cs="仿宋"/>
          <w:color w:val="auto"/>
          <w:sz w:val="24"/>
          <w:highlight w:val="none"/>
          <w:lang w:val="en-US" w:eastAsia="zh-CN"/>
        </w:rPr>
        <w:t>90日历天；</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）建设地点：</w:t>
      </w:r>
      <w:r>
        <w:rPr>
          <w:rFonts w:hint="eastAsia" w:ascii="仿宋" w:hAnsi="仿宋" w:eastAsia="仿宋" w:cs="仿宋"/>
          <w:color w:val="auto"/>
          <w:sz w:val="24"/>
          <w:szCs w:val="24"/>
          <w:lang w:val="en-US" w:eastAsia="zh-CN"/>
        </w:rPr>
        <w:t>洛阳市伊滨区境内</w:t>
      </w:r>
      <w:r>
        <w:rPr>
          <w:rFonts w:hint="eastAsia" w:ascii="仿宋" w:hAnsi="仿宋" w:eastAsia="仿宋" w:cs="仿宋"/>
          <w:color w:val="auto"/>
          <w:sz w:val="24"/>
          <w:szCs w:val="24"/>
          <w:highlight w:val="none"/>
          <w:lang w:eastAsia="zh-CN"/>
        </w:rPr>
        <w:t>；</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）工程概况：</w:t>
      </w:r>
      <w:r>
        <w:rPr>
          <w:rFonts w:hint="eastAsia" w:ascii="仿宋" w:hAnsi="仿宋" w:eastAsia="仿宋" w:cs="仿宋"/>
          <w:color w:val="auto"/>
          <w:sz w:val="24"/>
          <w:highlight w:val="none"/>
          <w:lang w:eastAsia="zh-CN"/>
        </w:rPr>
        <w:t>洛阳市城乡一体化示范区征迁安置服务中心郑州至洛阳高速公路伊滨区段电力迁改工程,</w:t>
      </w:r>
      <w:r>
        <w:rPr>
          <w:rFonts w:hint="eastAsia" w:ascii="仿宋" w:hAnsi="仿宋" w:eastAsia="仿宋" w:cs="仿宋"/>
          <w:color w:val="auto"/>
          <w:sz w:val="24"/>
          <w:highlight w:val="none"/>
          <w:lang w:val="en-US" w:eastAsia="zh-CN"/>
        </w:rPr>
        <w:t>主要内容</w:t>
      </w:r>
      <w:r>
        <w:rPr>
          <w:rFonts w:hint="eastAsia" w:ascii="仿宋" w:hAnsi="仿宋" w:eastAsia="仿宋" w:cs="仿宋"/>
          <w:color w:val="auto"/>
          <w:sz w:val="24"/>
          <w:highlight w:val="none"/>
          <w:lang w:eastAsia="zh-CN"/>
        </w:rPr>
        <w:t>为220kV海汉线和汉夷线迁建</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eastAsia="zh-CN"/>
        </w:rPr>
        <w:t>10kV及以下线路迁建；</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）招标范围：招标文件、施工图纸及工程量清单内全部内容</w:t>
      </w:r>
      <w:r>
        <w:rPr>
          <w:rFonts w:hint="eastAsia" w:ascii="仿宋" w:hAnsi="仿宋" w:eastAsia="仿宋" w:cs="仿宋"/>
          <w:color w:val="auto"/>
          <w:sz w:val="24"/>
          <w:highlight w:val="none"/>
          <w:lang w:eastAsia="zh-CN"/>
        </w:rPr>
        <w:t>；</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）质量要求：工程合格达到国家规范</w:t>
      </w:r>
      <w:r>
        <w:rPr>
          <w:rFonts w:hint="eastAsia" w:ascii="仿宋" w:hAnsi="仿宋" w:eastAsia="仿宋" w:cs="仿宋"/>
          <w:color w:val="auto"/>
          <w:sz w:val="24"/>
          <w:highlight w:val="none"/>
          <w:lang w:eastAsia="zh-CN"/>
        </w:rPr>
        <w:t>；</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）安全目标：杜绝死亡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重伤事故</w:t>
      </w:r>
      <w:r>
        <w:rPr>
          <w:rFonts w:hint="eastAsia" w:ascii="仿宋" w:hAnsi="仿宋" w:eastAsia="仿宋" w:cs="仿宋"/>
          <w:color w:val="auto"/>
          <w:sz w:val="24"/>
          <w:highlight w:val="none"/>
          <w:lang w:eastAsia="zh-CN"/>
        </w:rPr>
        <w:t>；</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）扬尘防治目标：做到“七个100%，八个必须”</w:t>
      </w:r>
      <w:r>
        <w:rPr>
          <w:rFonts w:hint="eastAsia" w:ascii="仿宋" w:hAnsi="仿宋" w:eastAsia="仿宋" w:cs="仿宋"/>
          <w:color w:val="auto"/>
          <w:sz w:val="24"/>
          <w:highlight w:val="none"/>
          <w:lang w:eastAsia="zh-CN"/>
        </w:rPr>
        <w:t>；</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）文明工地目标：达到市级安全文明工地</w:t>
      </w:r>
      <w:r>
        <w:rPr>
          <w:rFonts w:hint="eastAsia" w:ascii="仿宋" w:hAnsi="仿宋" w:eastAsia="仿宋" w:cs="仿宋"/>
          <w:color w:val="auto"/>
          <w:sz w:val="24"/>
          <w:highlight w:val="none"/>
          <w:lang w:eastAsia="zh-CN"/>
        </w:rPr>
        <w:t>；</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）标段划分：共</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个标段</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6、合同履行期限：</w:t>
      </w:r>
      <w:r>
        <w:rPr>
          <w:rFonts w:hint="eastAsia" w:ascii="仿宋" w:hAnsi="仿宋" w:eastAsia="仿宋" w:cs="仿宋"/>
          <w:color w:val="auto"/>
          <w:sz w:val="24"/>
          <w:highlight w:val="none"/>
          <w:lang w:val="en-US" w:eastAsia="zh-CN"/>
        </w:rPr>
        <w:t>90日历天</w:t>
      </w:r>
    </w:p>
    <w:p>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7、本项目是否接受联合体投标：否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8、是否接受进口产品：否 </w:t>
      </w:r>
    </w:p>
    <w:p>
      <w:pPr>
        <w:spacing w:line="4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9、是否专门面向中小企业：否</w:t>
      </w:r>
    </w:p>
    <w:p>
      <w:pPr>
        <w:spacing w:line="46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二、申请人资格要求</w:t>
      </w:r>
      <w:r>
        <w:rPr>
          <w:rFonts w:hint="eastAsia" w:ascii="仿宋" w:hAnsi="仿宋" w:eastAsia="仿宋" w:cs="仿宋"/>
          <w:b/>
          <w:bCs/>
          <w:color w:val="auto"/>
          <w:sz w:val="24"/>
          <w:highlight w:val="none"/>
          <w:lang w:eastAsia="zh-CN"/>
        </w:rPr>
        <w:t>：</w:t>
      </w:r>
    </w:p>
    <w:p>
      <w:pPr>
        <w:pStyle w:val="30"/>
        <w:spacing w:line="4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落实政府采购政策满足的资格要求：支持小微（监狱、残疾人福利）企业。节约能源，保护环境，落实绿色建筑、绿色建材，不发达、少数民族地区的企业，促进自主创新产业发展，支持脱贫攻坚。(2)根据豫财办【2020】33号文件要求，参加政府采购项目的供应商，可持中标（成交）通知书面向金融机构申请合同融资贷款；</w:t>
      </w:r>
    </w:p>
    <w:p>
      <w:pPr>
        <w:pStyle w:val="30"/>
        <w:spacing w:line="4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（1）投标人具有有效的营业执照；</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pacing w:val="0"/>
          <w:w w:val="100"/>
          <w:sz w:val="24"/>
          <w:highlight w:val="none"/>
          <w:lang w:val="en-US" w:eastAsia="zh-CN"/>
        </w:rPr>
        <w:t>（2</w:t>
      </w:r>
      <w:r>
        <w:rPr>
          <w:rFonts w:hint="eastAsia" w:ascii="仿宋" w:hAnsi="仿宋" w:eastAsia="仿宋" w:cs="仿宋"/>
          <w:color w:val="auto"/>
          <w:kern w:val="0"/>
          <w:sz w:val="24"/>
          <w:szCs w:val="24"/>
          <w:highlight w:val="none"/>
          <w:lang w:val="en-US" w:eastAsia="zh-CN" w:bidi="ar-SA"/>
        </w:rPr>
        <w:t>）投标人须具备电力工程施工总承包贰级及以上资质和有效的企业安全生产许可证；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人拟派项目经理须具备机电工程专业二级及以上注册建造师证书（不含临时执业资格），具备有效的安全生产考核合格证，且中标后未担任其他在施建设工程项目的项目经理；拟派技术负责人须具备相关专业中级及以上职称（项目经理与技术负责人不能为同一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4）投标人须按照洛财购[2021]11号文件要求在资格审查环节提供满足相应条件的书面承诺书，在编制投标文件时，按照规定提供《洛阳市政府采购供应商信用承诺函》（详见第八章投标文件格式），不再需要提供以下证明材料：</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1）符合国家相关规定的财务状况报告；</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2）依法缴纳税收的证明材料；</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3）依法缴纳社会保障资金的证明材料；</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4）具备履行政府采购合同所必需的设备和专业技术能力的证明材料；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5）参加政府采购活动前三年内在经营活动中没有重大违法记录的证明材料；</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default"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6）未被列入失信被执行人、重大税收违法案件当事人名单政府采购严重违法失信行为记录名单的证明材料;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注：招标人有权在签订合同前要求中标人提供相关证明材料以核实中标人承诺事项的真实性;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pacing w:val="0"/>
          <w:w w:val="100"/>
          <w:sz w:val="24"/>
          <w:highlight w:val="none"/>
          <w:lang w:val="en-US" w:eastAsia="zh-CN"/>
        </w:rPr>
      </w:pPr>
      <w:r>
        <w:rPr>
          <w:rFonts w:hint="eastAsia" w:ascii="仿宋" w:hAnsi="仿宋" w:eastAsia="仿宋" w:cs="仿宋"/>
          <w:spacing w:val="0"/>
          <w:w w:val="100"/>
          <w:sz w:val="24"/>
          <w:highlight w:val="none"/>
          <w:lang w:val="en-US" w:eastAsia="zh-CN"/>
        </w:rPr>
        <w:t>（5）外省企业进豫承揽业务的，应在递交响应文件截止时间前通过“河南省建筑市场监管公</w:t>
      </w:r>
      <w:r>
        <w:rPr>
          <w:rFonts w:hint="eastAsia" w:ascii="仿宋" w:hAnsi="仿宋" w:eastAsia="仿宋" w:cs="仿宋"/>
          <w:color w:val="auto"/>
          <w:spacing w:val="0"/>
          <w:w w:val="100"/>
          <w:sz w:val="24"/>
          <w:highlight w:val="none"/>
          <w:lang w:val="en-US" w:eastAsia="zh-CN"/>
        </w:rPr>
        <w:t>共服务平台（http://hngcjs.hnjs.gov.cn）”按规定报送企业基本信息；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（6）本项目不接受联合体投标；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（7）本次招标实行资格后审，资格审查不合格者，取消其投标资格。</w:t>
      </w:r>
    </w:p>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每天上午0:00至12:00，下午12:00至23:59（北京时间，法定节假日除外。）</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2.地点：洛阳市公共资源交易中心网站（lyggzyjy.ly.gov.cn）</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4.售价：0元</w:t>
      </w:r>
    </w:p>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四、投标截止时间</w:t>
      </w:r>
      <w:r>
        <w:rPr>
          <w:rFonts w:hint="eastAsia" w:ascii="仿宋" w:hAnsi="仿宋" w:eastAsia="仿宋" w:cs="仿宋"/>
          <w:b/>
          <w:bCs/>
          <w:color w:val="auto"/>
          <w:sz w:val="24"/>
          <w:highlight w:val="none"/>
          <w:lang w:eastAsia="zh-CN"/>
        </w:rPr>
        <w:t>及</w:t>
      </w:r>
      <w:r>
        <w:rPr>
          <w:rFonts w:hint="eastAsia" w:ascii="仿宋" w:hAnsi="仿宋" w:eastAsia="仿宋" w:cs="仿宋"/>
          <w:b/>
          <w:bCs/>
          <w:color w:val="auto"/>
          <w:sz w:val="24"/>
          <w:highlight w:val="none"/>
        </w:rPr>
        <w:t>地点</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日09时</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rPr>
        <w:t>（北京时间）</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五、开标时间及地点</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日09时</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分（北京时间）</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rPr>
        <w:t>洛阳市公共资源交易中心开标</w:t>
      </w:r>
      <w:r>
        <w:rPr>
          <w:rFonts w:hint="eastAsia" w:ascii="仿宋" w:hAnsi="仿宋" w:eastAsia="仿宋" w:cs="仿宋"/>
          <w:color w:val="auto"/>
          <w:sz w:val="24"/>
          <w:lang w:eastAsia="zh-CN"/>
        </w:rPr>
        <w:t>九</w:t>
      </w:r>
      <w:r>
        <w:rPr>
          <w:rFonts w:hint="eastAsia" w:ascii="仿宋" w:hAnsi="仿宋" w:eastAsia="仿宋" w:cs="仿宋"/>
          <w:color w:val="auto"/>
          <w:sz w:val="24"/>
        </w:rPr>
        <w:t>室</w:t>
      </w:r>
      <w:r>
        <w:rPr>
          <w:rFonts w:hint="eastAsia" w:ascii="仿宋" w:hAnsi="仿宋" w:eastAsia="仿宋" w:cs="仿宋"/>
          <w:color w:val="auto"/>
          <w:sz w:val="24"/>
        </w:rPr>
        <w:t>（洛龙区开元大道与永泰街交叉口西南角洛阳市民之家六楼）。</w:t>
      </w:r>
      <w:r>
        <w:rPr>
          <w:rFonts w:hint="eastAsia" w:ascii="仿宋" w:hAnsi="仿宋" w:eastAsia="仿宋" w:cs="仿宋"/>
          <w:color w:val="auto"/>
          <w:sz w:val="24"/>
          <w:highlight w:val="none"/>
        </w:rPr>
        <w:t>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六、发布公告的媒介及招标公告期限</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本次招标公告在《河南省政府采购网》、《中国招标投标公共服务平台》、《河南省电子招标投标公共服务平台》、《洛阳市公共资源交易中心网》上发布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招标公告期限为五个工作日。</w:t>
      </w:r>
    </w:p>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七、其他补充事宜</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b/>
          <w:bCs/>
          <w:color w:val="auto"/>
          <w:sz w:val="24"/>
        </w:rPr>
        <w:t>提出异议的渠道和方式</w:t>
      </w:r>
      <w:r>
        <w:rPr>
          <w:rFonts w:hint="eastAsia" w:ascii="仿宋" w:hAnsi="仿宋" w:eastAsia="仿宋" w:cs="仿宋"/>
          <w:b/>
          <w:bCs/>
          <w:color w:val="auto"/>
          <w:sz w:val="24"/>
          <w:lang w:eastAsia="zh-CN"/>
        </w:rPr>
        <w:t>：</w:t>
      </w:r>
      <w:r>
        <w:rPr>
          <w:rFonts w:hint="eastAsia" w:ascii="仿宋" w:hAnsi="仿宋" w:eastAsia="仿宋" w:cs="仿宋"/>
          <w:color w:val="auto"/>
          <w:sz w:val="24"/>
        </w:rPr>
        <w:t>投标人或者其他利害关系人对招标文件有异议的，应当在投标</w:t>
      </w:r>
      <w:r>
        <w:rPr>
          <w:rFonts w:hint="eastAsia" w:ascii="仿宋" w:hAnsi="仿宋" w:eastAsia="仿宋" w:cs="仿宋"/>
          <w:sz w:val="24"/>
        </w:rPr>
        <w:t>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投标人在参与本项目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活动期间应及时关注上述网站获取相关澄清或变更等信息（如果有）。</w:t>
      </w:r>
    </w:p>
    <w:p>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八、凡对本次招标提出询问，请按照以下方式联系</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 xml:space="preserve">洛阳市城乡一体化示范区征迁安置服务中心 </w:t>
      </w:r>
      <w:r>
        <w:rPr>
          <w:rFonts w:hint="eastAsia" w:ascii="仿宋" w:hAnsi="仿宋" w:eastAsia="仿宋" w:cs="仿宋"/>
          <w:sz w:val="24"/>
        </w:rPr>
        <w:t xml:space="preserve"> </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地址：洛阳市伊滨经开区（示范区）科技大厦7楼</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联系人：秦先生</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联系方式：0379-61277716 </w:t>
      </w:r>
    </w:p>
    <w:p>
      <w:pPr>
        <w:numPr>
          <w:ilvl w:val="0"/>
          <w:numId w:val="0"/>
        </w:numPr>
        <w:spacing w:line="4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采购代理机构信息</w:t>
      </w:r>
      <w:r>
        <w:rPr>
          <w:rFonts w:hint="eastAsia" w:ascii="仿宋" w:hAnsi="仿宋" w:eastAsia="仿宋" w:cs="仿宋"/>
          <w:color w:val="auto"/>
          <w:sz w:val="24"/>
          <w:highlight w:val="none"/>
          <w:lang w:eastAsia="zh-CN"/>
        </w:rPr>
        <w:t>（如有）</w:t>
      </w:r>
    </w:p>
    <w:p>
      <w:pPr>
        <w:pStyle w:val="12"/>
        <w:numPr>
          <w:ilvl w:val="0"/>
          <w:numId w:val="0"/>
        </w:numPr>
        <w:spacing w:line="460" w:lineRule="exact"/>
        <w:ind w:left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清鸿工程咨询有限公司</w:t>
      </w:r>
    </w:p>
    <w:p>
      <w:pPr>
        <w:pStyle w:val="12"/>
        <w:numPr>
          <w:ilvl w:val="0"/>
          <w:numId w:val="0"/>
        </w:numPr>
        <w:spacing w:line="460" w:lineRule="exact"/>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址：郑州市郑东新区平安大道与博学路交叉口东200米永和龙子湖广场A座南区1703</w:t>
      </w:r>
    </w:p>
    <w:p>
      <w:pPr>
        <w:pStyle w:val="12"/>
        <w:numPr>
          <w:ilvl w:val="0"/>
          <w:numId w:val="0"/>
        </w:numPr>
        <w:spacing w:line="460" w:lineRule="exact"/>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联系人：李女士</w:t>
      </w:r>
    </w:p>
    <w:p>
      <w:pPr>
        <w:pStyle w:val="12"/>
        <w:numPr>
          <w:ilvl w:val="0"/>
          <w:numId w:val="0"/>
        </w:numPr>
        <w:spacing w:line="460" w:lineRule="exact"/>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联系方式：0379-64316618</w:t>
      </w:r>
    </w:p>
    <w:p>
      <w:pPr>
        <w:pStyle w:val="12"/>
        <w:numPr>
          <w:ilvl w:val="0"/>
          <w:numId w:val="0"/>
        </w:numPr>
        <w:spacing w:line="460" w:lineRule="exact"/>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项目联系方式</w:t>
      </w:r>
    </w:p>
    <w:p>
      <w:pPr>
        <w:pStyle w:val="12"/>
        <w:numPr>
          <w:ilvl w:val="0"/>
          <w:numId w:val="0"/>
        </w:numPr>
        <w:spacing w:line="460" w:lineRule="exact"/>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项目联系人：李女士</w:t>
      </w:r>
    </w:p>
    <w:p>
      <w:pPr>
        <w:pStyle w:val="12"/>
        <w:numPr>
          <w:ilvl w:val="0"/>
          <w:numId w:val="0"/>
        </w:numPr>
        <w:spacing w:line="460" w:lineRule="exact"/>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联系方式：0379-64316618</w:t>
      </w:r>
    </w:p>
    <w:p>
      <w:pPr>
        <w:pStyle w:val="12"/>
        <w:numPr>
          <w:ilvl w:val="0"/>
          <w:numId w:val="0"/>
        </w:numPr>
        <w:spacing w:line="460" w:lineRule="exact"/>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4.监督部门：伊滨经开区（示范区）财政局</w:t>
      </w:r>
    </w:p>
    <w:p>
      <w:pPr>
        <w:pStyle w:val="12"/>
        <w:numPr>
          <w:ilvl w:val="0"/>
          <w:numId w:val="0"/>
        </w:numPr>
        <w:spacing w:line="460" w:lineRule="exact"/>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监管部门联系人：洛阳市城乡一体化示范区财政金融局</w:t>
      </w:r>
    </w:p>
    <w:p>
      <w:pPr>
        <w:pStyle w:val="12"/>
        <w:numPr>
          <w:ilvl w:val="0"/>
          <w:numId w:val="0"/>
        </w:numPr>
        <w:spacing w:line="460" w:lineRule="exact"/>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监管部门联系方式：0379-63335885</w:t>
      </w:r>
    </w:p>
    <w:p>
      <w:pPr>
        <w:pStyle w:val="10"/>
        <w:rPr>
          <w:rFonts w:hint="eastAsia"/>
        </w:rPr>
      </w:pPr>
    </w:p>
    <w:p>
      <w:pPr>
        <w:pStyle w:val="12"/>
        <w:ind w:left="0" w:leftChars="0" w:firstLine="0" w:firstLineChars="0"/>
        <w:rPr>
          <w:rFonts w:hint="eastAsia" w:ascii="仿宋" w:hAnsi="仿宋" w:eastAsia="仿宋" w:cs="仿宋"/>
          <w:color w:val="auto"/>
          <w:highlight w:val="none"/>
        </w:rPr>
      </w:pPr>
    </w:p>
    <w:p>
      <w:pPr>
        <w:pStyle w:val="3"/>
        <w:tabs>
          <w:tab w:val="left" w:pos="1684"/>
        </w:tabs>
        <w:jc w:val="center"/>
        <w:rPr>
          <w:rFonts w:hint="eastAsia" w:ascii="仿宋" w:hAnsi="仿宋" w:eastAsia="仿宋" w:cs="仿宋"/>
          <w:b/>
          <w:bCs/>
          <w:spacing w:val="0"/>
          <w:w w:val="100"/>
          <w:sz w:val="36"/>
          <w:szCs w:val="36"/>
        </w:rPr>
      </w:pPr>
      <w:bookmarkStart w:id="5" w:name="_Toc831"/>
      <w:r>
        <w:rPr>
          <w:rFonts w:hint="eastAsia" w:ascii="仿宋" w:hAnsi="仿宋" w:eastAsia="仿宋" w:cs="仿宋"/>
          <w:b/>
          <w:bCs/>
          <w:spacing w:val="0"/>
          <w:w w:val="100"/>
          <w:sz w:val="36"/>
          <w:szCs w:val="36"/>
        </w:rPr>
        <w:t>第二章</w:t>
      </w:r>
      <w:r>
        <w:rPr>
          <w:rFonts w:hint="eastAsia" w:ascii="仿宋" w:hAnsi="仿宋" w:eastAsia="仿宋" w:cs="仿宋"/>
          <w:b/>
          <w:bCs/>
          <w:spacing w:val="0"/>
          <w:w w:val="100"/>
          <w:sz w:val="36"/>
          <w:szCs w:val="36"/>
        </w:rPr>
        <w:tab/>
      </w:r>
      <w:r>
        <w:rPr>
          <w:rFonts w:hint="eastAsia" w:ascii="仿宋" w:hAnsi="仿宋" w:eastAsia="仿宋" w:cs="仿宋"/>
          <w:b/>
          <w:bCs/>
          <w:spacing w:val="0"/>
          <w:w w:val="100"/>
          <w:sz w:val="36"/>
          <w:szCs w:val="36"/>
        </w:rPr>
        <w:t>投标人须知</w:t>
      </w:r>
      <w:bookmarkEnd w:id="5"/>
    </w:p>
    <w:p>
      <w:pPr>
        <w:pStyle w:val="6"/>
        <w:spacing w:before="116"/>
        <w:ind w:left="552" w:right="520"/>
        <w:rPr>
          <w:rFonts w:hint="eastAsia"/>
        </w:rPr>
      </w:pPr>
      <w:bookmarkStart w:id="6" w:name="投标人须知前附表"/>
      <w:bookmarkEnd w:id="6"/>
      <w:r>
        <w:rPr>
          <w:rFonts w:hint="eastAsia" w:ascii="仿宋" w:hAnsi="仿宋" w:eastAsia="仿宋" w:cs="仿宋"/>
          <w:b/>
          <w:bCs/>
          <w:spacing w:val="0"/>
          <w:w w:val="100"/>
          <w:sz w:val="36"/>
          <w:szCs w:val="36"/>
        </w:rPr>
        <w:t>投标人须知前附表</w:t>
      </w:r>
      <w:r>
        <w:rPr>
          <w:rFonts w:hint="eastAsia" w:ascii="仿宋" w:hAnsi="仿宋" w:eastAsia="仿宋" w:cs="仿宋"/>
          <w:spacing w:val="0"/>
          <w:w w:val="100"/>
        </w:rPr>
        <w:t xml:space="preserve"> </w:t>
      </w:r>
    </w:p>
    <w:tbl>
      <w:tblPr>
        <w:tblStyle w:val="19"/>
        <w:tblpPr w:leftFromText="180" w:rightFromText="180" w:vertAnchor="text" w:horzAnchor="page" w:tblpX="946" w:tblpY="138"/>
        <w:tblOverlap w:val="never"/>
        <w:tblW w:w="998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2"/>
        <w:gridCol w:w="2756"/>
        <w:gridCol w:w="6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92" w:type="dxa"/>
            <w:noWrap w:val="0"/>
            <w:vAlign w:val="center"/>
          </w:tcPr>
          <w:p>
            <w:pPr>
              <w:pStyle w:val="34"/>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条款号</w:t>
            </w:r>
          </w:p>
        </w:tc>
        <w:tc>
          <w:tcPr>
            <w:tcW w:w="2756" w:type="dxa"/>
            <w:noWrap w:val="0"/>
            <w:vAlign w:val="center"/>
          </w:tcPr>
          <w:p>
            <w:pPr>
              <w:pStyle w:val="34"/>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条 款 名 称</w:t>
            </w:r>
          </w:p>
        </w:tc>
        <w:tc>
          <w:tcPr>
            <w:tcW w:w="6237" w:type="dxa"/>
            <w:noWrap w:val="0"/>
            <w:vAlign w:val="center"/>
          </w:tcPr>
          <w:p>
            <w:pPr>
              <w:pStyle w:val="34"/>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编 列 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p>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1.1.2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p>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招标人</w:t>
            </w:r>
          </w:p>
        </w:tc>
        <w:tc>
          <w:tcPr>
            <w:tcW w:w="6237" w:type="dxa"/>
            <w:noWrap w:val="0"/>
            <w:vAlign w:val="center"/>
          </w:tcPr>
          <w:p>
            <w:pPr>
              <w:spacing w:line="460" w:lineRule="exact"/>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 xml:space="preserve">名称：洛阳市城乡一体化示范区征迁安置服务中心  </w:t>
            </w:r>
          </w:p>
          <w:p>
            <w:pPr>
              <w:spacing w:line="460" w:lineRule="exact"/>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地址：洛阳市伊滨经开区（示范区）科技大厦7楼</w:t>
            </w:r>
          </w:p>
          <w:p>
            <w:pPr>
              <w:spacing w:line="460" w:lineRule="exact"/>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联系人：秦先生</w:t>
            </w:r>
          </w:p>
          <w:p>
            <w:pPr>
              <w:spacing w:line="460" w:lineRule="exact"/>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 xml:space="preserve">联系方式：0379-61277716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1.1.3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招标代理机构</w:t>
            </w:r>
          </w:p>
        </w:tc>
        <w:tc>
          <w:tcPr>
            <w:tcW w:w="6237" w:type="dxa"/>
            <w:noWrap w:val="0"/>
            <w:vAlign w:val="center"/>
          </w:tcPr>
          <w:p>
            <w:pPr>
              <w:pStyle w:val="12"/>
              <w:numPr>
                <w:ilvl w:val="0"/>
                <w:numId w:val="0"/>
              </w:numPr>
              <w:spacing w:line="460" w:lineRule="exact"/>
              <w:rPr>
                <w:rFonts w:hint="default" w:ascii="仿宋" w:hAnsi="仿宋" w:eastAsia="仿宋" w:cs="仿宋"/>
                <w:color w:val="auto"/>
                <w:spacing w:val="0"/>
                <w:w w:val="100"/>
                <w:sz w:val="24"/>
                <w:szCs w:val="24"/>
                <w:lang w:val="en-US" w:eastAsia="zh-CN"/>
              </w:rPr>
            </w:pPr>
            <w:r>
              <w:rPr>
                <w:rFonts w:hint="default" w:ascii="仿宋" w:hAnsi="仿宋" w:eastAsia="仿宋" w:cs="仿宋"/>
                <w:color w:val="auto"/>
                <w:spacing w:val="0"/>
                <w:w w:val="100"/>
                <w:sz w:val="24"/>
                <w:szCs w:val="24"/>
                <w:lang w:val="en-US" w:eastAsia="zh-CN"/>
              </w:rPr>
              <w:t>名  称：</w:t>
            </w:r>
            <w:r>
              <w:rPr>
                <w:rFonts w:hint="eastAsia" w:ascii="仿宋" w:hAnsi="仿宋" w:eastAsia="仿宋" w:cs="仿宋"/>
                <w:color w:val="auto"/>
                <w:spacing w:val="0"/>
                <w:w w:val="100"/>
                <w:sz w:val="24"/>
                <w:szCs w:val="24"/>
                <w:lang w:val="en-US" w:eastAsia="zh-CN"/>
              </w:rPr>
              <w:t>清鸿工程咨询有限公司</w:t>
            </w:r>
          </w:p>
          <w:p>
            <w:pPr>
              <w:pStyle w:val="12"/>
              <w:numPr>
                <w:ilvl w:val="0"/>
                <w:numId w:val="0"/>
              </w:numPr>
              <w:spacing w:line="460" w:lineRule="exact"/>
              <w:rPr>
                <w:rFonts w:hint="default" w:ascii="仿宋" w:hAnsi="仿宋" w:eastAsia="仿宋" w:cs="仿宋"/>
                <w:color w:val="auto"/>
                <w:spacing w:val="0"/>
                <w:w w:val="100"/>
                <w:sz w:val="24"/>
                <w:szCs w:val="24"/>
                <w:lang w:val="en-US" w:eastAsia="zh-CN"/>
              </w:rPr>
            </w:pPr>
            <w:r>
              <w:rPr>
                <w:rFonts w:hint="default" w:ascii="仿宋" w:hAnsi="仿宋" w:eastAsia="仿宋" w:cs="仿宋"/>
                <w:color w:val="auto"/>
                <w:spacing w:val="0"/>
                <w:w w:val="100"/>
                <w:sz w:val="24"/>
                <w:szCs w:val="24"/>
                <w:lang w:val="en-US" w:eastAsia="zh-CN"/>
              </w:rPr>
              <w:t>地  址：</w:t>
            </w:r>
            <w:r>
              <w:rPr>
                <w:rFonts w:hint="eastAsia" w:ascii="仿宋" w:hAnsi="仿宋" w:eastAsia="仿宋" w:cs="仿宋"/>
                <w:color w:val="auto"/>
                <w:sz w:val="24"/>
                <w:szCs w:val="24"/>
                <w:highlight w:val="none"/>
              </w:rPr>
              <w:t>郑州市郑东新区平安大道与博学路交叉口东200米永和龙子湖广场A座南区1703</w:t>
            </w:r>
          </w:p>
          <w:p>
            <w:pPr>
              <w:pStyle w:val="12"/>
              <w:numPr>
                <w:ilvl w:val="0"/>
                <w:numId w:val="0"/>
              </w:numPr>
              <w:spacing w:line="460" w:lineRule="exact"/>
              <w:rPr>
                <w:rFonts w:hint="default" w:ascii="仿宋" w:hAnsi="仿宋" w:eastAsia="仿宋" w:cs="仿宋"/>
                <w:color w:val="auto"/>
                <w:spacing w:val="0"/>
                <w:w w:val="100"/>
                <w:sz w:val="24"/>
                <w:szCs w:val="24"/>
                <w:lang w:val="en-US" w:eastAsia="zh-CN"/>
              </w:rPr>
            </w:pPr>
            <w:r>
              <w:rPr>
                <w:rFonts w:hint="default" w:ascii="仿宋" w:hAnsi="仿宋" w:eastAsia="仿宋" w:cs="仿宋"/>
                <w:color w:val="auto"/>
                <w:spacing w:val="0"/>
                <w:w w:val="100"/>
                <w:sz w:val="24"/>
                <w:szCs w:val="24"/>
                <w:lang w:val="en-US" w:eastAsia="zh-CN"/>
              </w:rPr>
              <w:t>联系人：</w:t>
            </w:r>
            <w:r>
              <w:rPr>
                <w:rFonts w:hint="eastAsia" w:ascii="仿宋" w:hAnsi="仿宋" w:eastAsia="仿宋" w:cs="仿宋"/>
                <w:color w:val="auto"/>
                <w:sz w:val="24"/>
                <w:szCs w:val="24"/>
                <w:highlight w:val="none"/>
                <w:lang w:val="en-US" w:eastAsia="zh-CN"/>
              </w:rPr>
              <w:t>李女士</w:t>
            </w:r>
          </w:p>
          <w:p>
            <w:pPr>
              <w:pStyle w:val="12"/>
              <w:numPr>
                <w:ilvl w:val="0"/>
                <w:numId w:val="0"/>
              </w:numPr>
              <w:spacing w:line="460" w:lineRule="exact"/>
              <w:rPr>
                <w:rFonts w:hint="default" w:ascii="仿宋" w:hAnsi="仿宋" w:eastAsia="仿宋" w:cs="仿宋"/>
                <w:color w:val="auto"/>
                <w:spacing w:val="0"/>
                <w:w w:val="100"/>
                <w:sz w:val="24"/>
                <w:szCs w:val="24"/>
                <w:lang w:val="en-US" w:eastAsia="zh-CN"/>
              </w:rPr>
            </w:pPr>
            <w:r>
              <w:rPr>
                <w:rFonts w:hint="default" w:ascii="仿宋" w:hAnsi="仿宋" w:eastAsia="仿宋" w:cs="仿宋"/>
                <w:color w:val="auto"/>
                <w:spacing w:val="0"/>
                <w:w w:val="100"/>
                <w:sz w:val="24"/>
                <w:szCs w:val="24"/>
                <w:lang w:val="en-US" w:eastAsia="zh-CN"/>
              </w:rPr>
              <w:t>联系方式：</w:t>
            </w:r>
            <w:r>
              <w:rPr>
                <w:rFonts w:hint="eastAsia" w:ascii="仿宋" w:hAnsi="仿宋" w:eastAsia="仿宋" w:cs="仿宋"/>
                <w:color w:val="auto"/>
                <w:sz w:val="24"/>
                <w:szCs w:val="24"/>
                <w:highlight w:val="none"/>
                <w:lang w:val="en-US" w:eastAsia="zh-CN"/>
              </w:rPr>
              <w:t>0379-64316618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1.1.4</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项目名称</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洛阳市城乡一体化示范区征迁安置服务中心郑州至洛阳高速公路伊滨区段电力迁</w:t>
            </w:r>
            <w:r>
              <w:rPr>
                <w:rFonts w:hint="eastAsia" w:ascii="仿宋" w:hAnsi="仿宋" w:eastAsia="仿宋" w:cs="仿宋"/>
                <w:color w:val="auto"/>
                <w:spacing w:val="0"/>
                <w:w w:val="100"/>
                <w:sz w:val="24"/>
                <w:szCs w:val="24"/>
                <w:lang w:val="en-US" w:eastAsia="zh-CN"/>
              </w:rPr>
              <w:t>改</w:t>
            </w:r>
            <w:r>
              <w:rPr>
                <w:rFonts w:hint="eastAsia" w:ascii="仿宋" w:hAnsi="仿宋" w:eastAsia="仿宋" w:cs="仿宋"/>
                <w:color w:val="auto"/>
                <w:spacing w:val="0"/>
                <w:w w:val="100"/>
                <w:sz w:val="24"/>
                <w:szCs w:val="24"/>
                <w:lang w:eastAsia="zh-CN"/>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1.1.</w:t>
            </w:r>
            <w:r>
              <w:rPr>
                <w:rFonts w:hint="eastAsia" w:ascii="仿宋" w:hAnsi="仿宋" w:eastAsia="仿宋" w:cs="仿宋"/>
                <w:color w:val="auto"/>
                <w:spacing w:val="0"/>
                <w:w w:val="100"/>
                <w:sz w:val="24"/>
                <w:szCs w:val="24"/>
                <w:lang w:val="en-US" w:eastAsia="zh-CN"/>
              </w:rPr>
              <w:t>5</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建设地点</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z w:val="24"/>
                <w:szCs w:val="24"/>
                <w:lang w:val="en-US" w:eastAsia="zh-CN"/>
              </w:rPr>
              <w:t>洛阳市伊滨区境内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1.1.6</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960" w:firstLineChars="40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项目编号</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 xml:space="preserve">伊滨政采招标(2023)0157号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1.1.</w:t>
            </w:r>
            <w:r>
              <w:rPr>
                <w:rFonts w:hint="eastAsia" w:ascii="仿宋" w:hAnsi="仿宋" w:eastAsia="仿宋" w:cs="仿宋"/>
                <w:color w:val="auto"/>
                <w:spacing w:val="0"/>
                <w:w w:val="100"/>
                <w:sz w:val="24"/>
                <w:szCs w:val="24"/>
                <w:lang w:val="en-US" w:eastAsia="zh-CN"/>
              </w:rPr>
              <w:t>7</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highlight w:val="none"/>
                <w:lang w:val="en-US" w:eastAsia="zh-CN"/>
              </w:rPr>
            </w:pPr>
            <w:r>
              <w:rPr>
                <w:rFonts w:hint="eastAsia" w:ascii="仿宋" w:hAnsi="仿宋" w:eastAsia="仿宋" w:cs="仿宋"/>
                <w:color w:val="auto"/>
                <w:spacing w:val="0"/>
                <w:w w:val="100"/>
                <w:sz w:val="24"/>
                <w:szCs w:val="24"/>
                <w:highlight w:val="none"/>
                <w:lang w:val="en-US" w:eastAsia="zh-CN"/>
              </w:rPr>
              <w:t>政府采购管理部门</w:t>
            </w:r>
          </w:p>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val="en-US" w:eastAsia="zh-CN"/>
              </w:rPr>
              <w:t>备案编号</w:t>
            </w:r>
            <w:bookmarkStart w:id="866" w:name="_GoBack"/>
            <w:bookmarkEnd w:id="866"/>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default" w:ascii="仿宋" w:hAnsi="仿宋" w:eastAsia="仿宋" w:cs="仿宋"/>
                <w:color w:val="auto"/>
                <w:spacing w:val="0"/>
                <w:w w:val="100"/>
                <w:sz w:val="24"/>
                <w:szCs w:val="24"/>
                <w:highlight w:val="none"/>
                <w:lang w:val="en-US" w:eastAsia="zh-CN"/>
              </w:rPr>
            </w:pPr>
            <w:r>
              <w:rPr>
                <w:rFonts w:hint="default" w:ascii="仿宋" w:hAnsi="仿宋" w:eastAsia="仿宋" w:cs="仿宋"/>
                <w:color w:val="auto"/>
                <w:spacing w:val="0"/>
                <w:w w:val="100"/>
                <w:sz w:val="24"/>
                <w:szCs w:val="24"/>
                <w:highlight w:val="none"/>
                <w:lang w:val="en-US" w:eastAsia="zh-CN"/>
              </w:rPr>
              <w:t>2023-09-20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rPr>
              <w:t>1.2.1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eastAsia="zh-CN"/>
              </w:rPr>
              <w:t>资金来源</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财政资金（上级专项资金）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1.2.2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eastAsia="zh-CN"/>
              </w:rPr>
              <w:t>出资比例</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val="en-US" w:eastAsia="zh-CN"/>
              </w:rPr>
              <w:t>1.2.3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eastAsia="zh-CN"/>
              </w:rPr>
              <w:t>资金落实情况</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eastAsia="zh-CN"/>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1.2.4</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承包方式</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中标价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1.3.1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标段划分</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本项目共划分为</w:t>
            </w:r>
            <w:r>
              <w:rPr>
                <w:rFonts w:hint="eastAsia" w:ascii="仿宋" w:hAnsi="仿宋" w:eastAsia="仿宋" w:cs="仿宋"/>
                <w:color w:val="auto"/>
                <w:spacing w:val="0"/>
                <w:w w:val="100"/>
                <w:sz w:val="24"/>
                <w:szCs w:val="24"/>
                <w:lang w:val="en-US" w:eastAsia="zh-CN"/>
              </w:rPr>
              <w:t>一</w:t>
            </w:r>
            <w:r>
              <w:rPr>
                <w:rFonts w:hint="eastAsia" w:ascii="仿宋" w:hAnsi="仿宋" w:eastAsia="仿宋" w:cs="仿宋"/>
                <w:color w:val="auto"/>
                <w:spacing w:val="0"/>
                <w:w w:val="100"/>
                <w:sz w:val="24"/>
                <w:szCs w:val="24"/>
                <w:lang w:eastAsia="zh-CN"/>
              </w:rPr>
              <w:t>个标段</w:t>
            </w:r>
            <w:r>
              <w:rPr>
                <w:rFonts w:hint="eastAsia" w:ascii="仿宋" w:hAnsi="仿宋" w:eastAsia="仿宋" w:cs="仿宋"/>
                <w:color w:val="auto"/>
                <w:sz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rPr>
              <w:t>1.3.2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eastAsia="zh-CN"/>
              </w:rPr>
              <w:t>招标范围</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val="en-US" w:eastAsia="zh-CN"/>
              </w:rPr>
              <w:t>招标文件、施工图纸及工程量清单所包含的内容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rPr>
              <w:t>1.3.</w:t>
            </w:r>
            <w:r>
              <w:rPr>
                <w:rFonts w:hint="eastAsia" w:ascii="仿宋" w:hAnsi="仿宋" w:eastAsia="仿宋" w:cs="仿宋"/>
                <w:color w:val="auto"/>
                <w:spacing w:val="0"/>
                <w:w w:val="100"/>
                <w:sz w:val="24"/>
                <w:szCs w:val="24"/>
                <w:lang w:val="en-US" w:eastAsia="zh-CN"/>
              </w:rPr>
              <w:t>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960" w:firstLineChars="400"/>
              <w:jc w:val="left"/>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工    期</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val="en-US" w:eastAsia="zh-CN"/>
              </w:rPr>
              <w:t>1.3.4</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质量要求</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工程合格达到国家规范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val="en-US" w:eastAsia="zh-CN"/>
              </w:rPr>
              <w:t>1.3.5</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rPr>
              <w:t>安全目标</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sz w:val="24"/>
                <w:highlight w:val="none"/>
              </w:rPr>
              <w:t>杜绝死亡</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重伤事故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val="en-US" w:eastAsia="zh-CN"/>
              </w:rPr>
              <w:t>1.3.6</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文明工地目标</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highlight w:val="none"/>
              </w:rPr>
              <w:t>达到市级安全文明工地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lang w:val="en-US" w:eastAsia="zh-CN"/>
              </w:rPr>
              <w:t>1.3.7</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扬尘防治目标</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做到“七个100%，八个必须”。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sz w:val="24"/>
                <w:szCs w:val="24"/>
                <w:lang w:val="en-US" w:eastAsia="zh-CN"/>
              </w:rPr>
              <w:t>1.3.8</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 xml:space="preserve">缺陷责任期 </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12个月（自竣工验收合格之日起）若竣工验收达不到合格要</w:t>
            </w:r>
          </w:p>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求标准的，缺陷责任期自动延长1年。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default"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sz w:val="24"/>
                <w:szCs w:val="24"/>
                <w:highlight w:val="none"/>
                <w:lang w:val="en-US" w:eastAsia="zh-CN"/>
              </w:rPr>
              <w:t>1.3.9</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履约验收</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招标人根据国家有关规定、招标文件、中标单位的投标文件以及合同约定的内容和验收标准进行验收。验收情况作为支付价款的依据。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default" w:ascii="仿宋" w:hAnsi="仿宋" w:eastAsia="仿宋" w:cs="仿宋"/>
                <w:color w:val="auto"/>
                <w:spacing w:val="0"/>
                <w:w w:val="100"/>
                <w:sz w:val="24"/>
                <w:szCs w:val="24"/>
                <w:highlight w:val="none"/>
                <w:lang w:val="en-US" w:eastAsia="zh-CN"/>
              </w:rPr>
            </w:pPr>
            <w:r>
              <w:rPr>
                <w:rFonts w:hint="eastAsia" w:ascii="仿宋" w:hAnsi="仿宋" w:eastAsia="仿宋" w:cs="仿宋"/>
                <w:color w:val="auto"/>
                <w:spacing w:val="0"/>
                <w:w w:val="100"/>
                <w:sz w:val="24"/>
                <w:szCs w:val="24"/>
                <w:highlight w:val="none"/>
                <w:lang w:val="en-US" w:eastAsia="zh-CN"/>
              </w:rPr>
              <w:t>1.3.10</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0000FF"/>
                <w:spacing w:val="0"/>
                <w:w w:val="100"/>
                <w:sz w:val="24"/>
                <w:szCs w:val="24"/>
                <w:highlight w:val="none"/>
              </w:rPr>
            </w:pPr>
            <w:r>
              <w:rPr>
                <w:rFonts w:hint="eastAsia" w:ascii="仿宋" w:hAnsi="仿宋" w:eastAsia="仿宋" w:cs="仿宋"/>
                <w:color w:val="auto"/>
                <w:spacing w:val="0"/>
                <w:w w:val="100"/>
                <w:sz w:val="24"/>
                <w:szCs w:val="24"/>
                <w:lang w:eastAsia="zh-CN"/>
              </w:rPr>
              <w:t>政府采购政策</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0000FF"/>
                <w:spacing w:val="0"/>
                <w:w w:val="100"/>
                <w:sz w:val="24"/>
                <w:szCs w:val="24"/>
                <w:highlight w:val="none"/>
                <w:lang w:val="en-US" w:eastAsia="zh-CN"/>
              </w:rPr>
            </w:pPr>
            <w:r>
              <w:rPr>
                <w:rFonts w:hint="eastAsia" w:ascii="仿宋" w:hAnsi="仿宋" w:eastAsia="仿宋" w:cs="仿宋"/>
                <w:color w:val="auto"/>
                <w:spacing w:val="0"/>
                <w:w w:val="100"/>
                <w:sz w:val="24"/>
                <w:szCs w:val="24"/>
                <w:lang w:val="en-US" w:eastAsia="zh-CN"/>
              </w:rPr>
              <w:t>(1)</w:t>
            </w:r>
            <w:r>
              <w:rPr>
                <w:rFonts w:hint="eastAsia" w:ascii="仿宋" w:hAnsi="仿宋" w:eastAsia="仿宋" w:cs="仿宋"/>
                <w:color w:val="auto"/>
                <w:spacing w:val="0"/>
                <w:w w:val="100"/>
                <w:sz w:val="24"/>
                <w:szCs w:val="24"/>
                <w:lang w:eastAsia="zh-CN"/>
              </w:rPr>
              <w:t>落实政府采购政策满足的资格要求：支持小微（监狱、残疾人福利）企业。</w:t>
            </w:r>
            <w:r>
              <w:rPr>
                <w:rFonts w:hint="eastAsia" w:ascii="仿宋" w:hAnsi="仿宋" w:eastAsia="仿宋" w:cs="仿宋"/>
                <w:color w:val="auto"/>
                <w:spacing w:val="0"/>
                <w:w w:val="100"/>
                <w:sz w:val="24"/>
                <w:szCs w:val="24"/>
                <w:lang w:val="en-US" w:eastAsia="zh-CN"/>
              </w:rPr>
              <w:t>节约能源，保护环境，落实绿色建筑、绿色建材，不发达、少数民族地区的企业，促进自主创新产业发展，支持脱贫攻坚。(2)根据豫财办【2020】33号文件要求，参加政府采购项目的供应商，可持中标（成交）通知书面向金融机构申请合同融资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sz w:val="24"/>
                <w:szCs w:val="24"/>
                <w:highlight w:val="none"/>
              </w:rPr>
              <w:t>1.4.1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sz w:val="24"/>
                <w:szCs w:val="24"/>
                <w:highlight w:val="none"/>
              </w:rPr>
              <w:t>投标人资质条件、能力和信誉</w:t>
            </w:r>
          </w:p>
        </w:tc>
        <w:tc>
          <w:tcPr>
            <w:tcW w:w="6237" w:type="dxa"/>
            <w:noWrap w:val="0"/>
            <w:vAlign w:val="center"/>
          </w:tcPr>
          <w:p>
            <w:pPr>
              <w:pStyle w:val="3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w w:val="100"/>
                <w:kern w:val="2"/>
                <w:sz w:val="24"/>
                <w:szCs w:val="24"/>
                <w:lang w:val="en-US" w:eastAsia="zh-CN" w:bidi="ar-SA"/>
              </w:rPr>
            </w:pPr>
            <w:r>
              <w:rPr>
                <w:rFonts w:hint="eastAsia" w:ascii="仿宋" w:hAnsi="仿宋" w:eastAsia="仿宋" w:cs="仿宋"/>
                <w:color w:val="auto"/>
                <w:spacing w:val="0"/>
                <w:w w:val="100"/>
                <w:sz w:val="24"/>
                <w:szCs w:val="24"/>
                <w:lang w:eastAsia="zh-CN"/>
              </w:rPr>
              <w:t>2、</w:t>
            </w:r>
            <w:r>
              <w:rPr>
                <w:rFonts w:hint="eastAsia" w:ascii="仿宋" w:hAnsi="仿宋" w:eastAsia="仿宋" w:cs="仿宋"/>
                <w:color w:val="auto"/>
                <w:spacing w:val="0"/>
                <w:w w:val="100"/>
                <w:sz w:val="24"/>
                <w:szCs w:val="24"/>
                <w:lang w:val="en-US" w:eastAsia="zh-CN"/>
              </w:rPr>
              <w:t>(1)</w:t>
            </w:r>
            <w:r>
              <w:rPr>
                <w:rFonts w:hint="eastAsia" w:ascii="仿宋" w:hAnsi="仿宋" w:eastAsia="仿宋" w:cs="仿宋"/>
                <w:color w:val="auto"/>
                <w:spacing w:val="0"/>
                <w:w w:val="100"/>
                <w:sz w:val="24"/>
                <w:szCs w:val="24"/>
                <w:lang w:eastAsia="zh-CN"/>
              </w:rPr>
              <w:t>落实政府采购政策满足的资格要求：支持小微（监狱、残疾人福利）企业。</w:t>
            </w:r>
            <w:r>
              <w:rPr>
                <w:rFonts w:hint="eastAsia" w:ascii="仿宋" w:hAnsi="仿宋" w:eastAsia="仿宋" w:cs="仿宋"/>
                <w:color w:val="auto"/>
                <w:spacing w:val="0"/>
                <w:w w:val="100"/>
                <w:sz w:val="24"/>
                <w:szCs w:val="24"/>
                <w:lang w:val="en-US" w:eastAsia="zh-CN"/>
              </w:rPr>
              <w:t>节约能源，保护环境，落实绿色建筑、绿色建材，不发达、少数民族地区的企业，促进自主创新产业发展，支持脱贫攻坚。(2)根据豫财办【2020】33号文件要求，参加政府采购项目的供应商，可持中标（成交）通知书面向金融机构申请合同融资贷款；</w:t>
            </w:r>
          </w:p>
          <w:p>
            <w:pPr>
              <w:pStyle w:val="3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（1）投标人具有有效的营业执照；</w:t>
            </w:r>
          </w:p>
          <w:p>
            <w:pPr>
              <w:pStyle w:val="30"/>
              <w:spacing w:line="4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spacing w:val="0"/>
                <w:w w:val="100"/>
                <w:sz w:val="24"/>
                <w:highlight w:val="none"/>
                <w:lang w:val="en-US" w:eastAsia="zh-CN"/>
              </w:rPr>
              <w:t>（2）</w:t>
            </w:r>
            <w:r>
              <w:rPr>
                <w:rFonts w:hint="eastAsia" w:ascii="仿宋" w:hAnsi="仿宋" w:eastAsia="仿宋" w:cs="仿宋"/>
                <w:color w:val="auto"/>
                <w:kern w:val="0"/>
                <w:sz w:val="24"/>
                <w:szCs w:val="24"/>
                <w:highlight w:val="none"/>
                <w:lang w:val="en-US" w:eastAsia="zh-CN"/>
              </w:rPr>
              <w:t>投标人须具备电力工程施工总承包</w:t>
            </w:r>
            <w:r>
              <w:rPr>
                <w:rFonts w:hint="eastAsia" w:ascii="仿宋" w:hAnsi="仿宋" w:eastAsia="仿宋" w:cs="仿宋"/>
                <w:color w:val="auto"/>
                <w:kern w:val="0"/>
                <w:sz w:val="24"/>
                <w:szCs w:val="24"/>
                <w:highlight w:val="none"/>
                <w:lang w:val="en-US" w:eastAsia="zh-CN" w:bidi="ar-SA"/>
              </w:rPr>
              <w:t>贰</w:t>
            </w:r>
            <w:r>
              <w:rPr>
                <w:rFonts w:hint="eastAsia" w:ascii="仿宋" w:hAnsi="仿宋" w:eastAsia="仿宋" w:cs="仿宋"/>
                <w:color w:val="auto"/>
                <w:kern w:val="0"/>
                <w:sz w:val="24"/>
                <w:szCs w:val="24"/>
                <w:highlight w:val="none"/>
                <w:lang w:val="en-US" w:eastAsia="zh-CN"/>
              </w:rPr>
              <w:t>级及以上资质和有效的企业安全生产许可证；</w:t>
            </w:r>
          </w:p>
          <w:p>
            <w:pPr>
              <w:pStyle w:val="30"/>
              <w:spacing w:line="460" w:lineRule="exact"/>
              <w:rPr>
                <w:rFonts w:hint="eastAsia" w:ascii="仿宋" w:hAnsi="仿宋" w:eastAsia="仿宋" w:cs="仿宋"/>
                <w:color w:val="0000FF"/>
                <w:spacing w:val="0"/>
                <w:w w:val="100"/>
                <w:sz w:val="24"/>
                <w:highlight w:val="none"/>
                <w:lang w:val="en-US" w:eastAsia="zh-CN"/>
              </w:rPr>
            </w:pPr>
            <w:r>
              <w:rPr>
                <w:rFonts w:hint="eastAsia" w:ascii="仿宋" w:hAnsi="仿宋" w:eastAsia="仿宋" w:cs="仿宋"/>
                <w:color w:val="auto"/>
                <w:kern w:val="0"/>
                <w:sz w:val="24"/>
                <w:szCs w:val="24"/>
                <w:highlight w:val="none"/>
                <w:lang w:val="en-US" w:eastAsia="zh-CN"/>
              </w:rPr>
              <w:t>（3）投标人拟派项目经理须具备机电工程专业二级及以上注册建造师证书（不含临时执业资格），具备有效的安全生产考核合格证，且中标后未担任其他在施建设工程项目的项目经理；拟派技术负责人须具备相关专业中级及以上职称（项目经理与技术负责人不能为同一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4）投标人须按照洛财购[2021]11号文件要求在资格审查环节提供满足相应条件的书面承诺书，在编制投标文件时，按照规定提供《洛阳市政府采购供应商信用承诺函》（详见第八章投标文件格式），不再需要提供以下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1）符合国家相关规定的财务状况报告；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2）依法缴纳税收的证明材料；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3）依法缴纳社会保障资金的证明材料；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4）具备履行政府采购合同所必需的设备和专业技术能力的证明材料；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5）参加政府采购活动前三年内在经营活动中没有重大违法记录的证明材料；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6）未被列入失信被执行人、重大税收违法案件当事人名单政府采购严重违法失信行为记录名单的证明材料;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pacing w:val="0"/>
                <w:w w:val="100"/>
                <w:sz w:val="24"/>
                <w:highlight w:val="none"/>
                <w:lang w:val="en-US" w:eastAsia="zh-CN"/>
              </w:rPr>
            </w:pPr>
            <w:r>
              <w:rPr>
                <w:rFonts w:hint="eastAsia" w:ascii="仿宋" w:hAnsi="仿宋" w:eastAsia="仿宋" w:cs="仿宋"/>
                <w:spacing w:val="0"/>
                <w:w w:val="100"/>
                <w:sz w:val="24"/>
                <w:highlight w:val="none"/>
                <w:lang w:val="en-US" w:eastAsia="zh-CN"/>
              </w:rPr>
              <w:t>注：招标人有权在签订合同前要求中标人提供相关证明材料以核实中标人承诺事项的真实性;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pacing w:val="0"/>
                <w:w w:val="100"/>
                <w:sz w:val="24"/>
                <w:highlight w:val="none"/>
                <w:lang w:val="en-US" w:eastAsia="zh-CN"/>
              </w:rPr>
            </w:pPr>
            <w:r>
              <w:rPr>
                <w:rFonts w:hint="eastAsia" w:ascii="仿宋" w:hAnsi="仿宋" w:eastAsia="仿宋" w:cs="仿宋"/>
                <w:spacing w:val="0"/>
                <w:w w:val="100"/>
                <w:sz w:val="24"/>
                <w:highlight w:val="none"/>
                <w:lang w:val="en-US" w:eastAsia="zh-CN"/>
              </w:rPr>
              <w:t>（5）外省企业进豫承揽业务的，应在递交响应文件截止时间前通过“河南省建筑市场监管公</w:t>
            </w:r>
            <w:r>
              <w:rPr>
                <w:rFonts w:hint="eastAsia" w:ascii="仿宋" w:hAnsi="仿宋" w:eastAsia="仿宋" w:cs="仿宋"/>
                <w:color w:val="auto"/>
                <w:spacing w:val="0"/>
                <w:w w:val="100"/>
                <w:sz w:val="24"/>
                <w:highlight w:val="none"/>
                <w:lang w:val="en-US" w:eastAsia="zh-CN"/>
              </w:rPr>
              <w:t>共服务平台（http://hngcjs.hnjs.gov.cn）”按规定报送企业基本信息；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（6）本项目不接受联合体投标；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pacing w:val="0"/>
                <w:w w:val="100"/>
                <w:sz w:val="24"/>
                <w:szCs w:val="24"/>
                <w:highlight w:val="none"/>
                <w:lang w:val="en-US" w:eastAsia="zh-CN"/>
              </w:rPr>
            </w:pPr>
            <w:r>
              <w:rPr>
                <w:rFonts w:hint="eastAsia" w:ascii="仿宋" w:hAnsi="仿宋" w:eastAsia="仿宋" w:cs="仿宋"/>
                <w:color w:val="auto"/>
                <w:spacing w:val="0"/>
                <w:w w:val="100"/>
                <w:sz w:val="24"/>
                <w:highlight w:val="none"/>
                <w:lang w:val="en-US" w:eastAsia="zh-CN"/>
              </w:rPr>
              <w:t>（7）本次招标实行资格后审，资格审查不合格者，取消其投标资格。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val="en-US" w:eastAsia="zh-CN"/>
              </w:rPr>
              <w:t>4.2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是否接受联合体投标</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1</w:t>
            </w:r>
            <w:r>
              <w:rPr>
                <w:rFonts w:hint="eastAsia" w:ascii="仿宋" w:hAnsi="仿宋" w:eastAsia="仿宋" w:cs="仿宋"/>
                <w:color w:val="auto"/>
                <w:spacing w:val="0"/>
                <w:w w:val="100"/>
                <w:sz w:val="24"/>
                <w:szCs w:val="24"/>
              </w:rPr>
              <w:t>.</w:t>
            </w:r>
            <w:r>
              <w:rPr>
                <w:rFonts w:hint="eastAsia" w:ascii="仿宋" w:hAnsi="仿宋" w:eastAsia="仿宋" w:cs="仿宋"/>
                <w:color w:val="auto"/>
                <w:spacing w:val="0"/>
                <w:w w:val="100"/>
                <w:sz w:val="24"/>
                <w:szCs w:val="24"/>
                <w:lang w:val="en-US" w:eastAsia="zh-CN"/>
              </w:rPr>
              <w:t>9</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踏勘现场</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default" w:ascii="仿宋" w:hAnsi="仿宋" w:eastAsia="仿宋" w:cs="仿宋"/>
                <w:color w:val="auto"/>
                <w:spacing w:val="0"/>
                <w:w w:val="100"/>
                <w:sz w:val="24"/>
                <w:szCs w:val="24"/>
                <w:lang w:val="en-US"/>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val="en-US" w:eastAsia="zh-CN"/>
              </w:rPr>
              <w:t>10</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投标预备会</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default" w:ascii="仿宋" w:hAnsi="仿宋" w:eastAsia="仿宋" w:cs="仿宋"/>
                <w:color w:val="auto"/>
                <w:spacing w:val="0"/>
                <w:w w:val="100"/>
                <w:sz w:val="24"/>
                <w:szCs w:val="24"/>
                <w:lang w:val="en-US"/>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val="en-US" w:eastAsia="zh-CN"/>
              </w:rPr>
              <w:t>10.2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投标人提出问题的</w:t>
            </w:r>
          </w:p>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截止时间</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投标截止时间10日前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default" w:ascii="仿宋" w:hAnsi="仿宋" w:eastAsia="仿宋" w:cs="仿宋"/>
                <w:color w:val="auto"/>
                <w:spacing w:val="0"/>
                <w:w w:val="100"/>
                <w:sz w:val="24"/>
                <w:szCs w:val="24"/>
                <w:lang w:val="en-US"/>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val="en-US" w:eastAsia="zh-CN"/>
              </w:rPr>
              <w:t>10.3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招标人书面澄清</w:t>
            </w:r>
          </w:p>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的时间</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投标截止时间15日前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1.11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分包</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不分包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1.1</w:t>
            </w:r>
            <w:r>
              <w:rPr>
                <w:rFonts w:hint="eastAsia" w:ascii="仿宋" w:hAnsi="仿宋" w:eastAsia="仿宋" w:cs="仿宋"/>
                <w:color w:val="auto"/>
                <w:spacing w:val="0"/>
                <w:w w:val="100"/>
                <w:sz w:val="24"/>
                <w:szCs w:val="24"/>
                <w:lang w:val="en-US" w:eastAsia="zh-CN"/>
              </w:rPr>
              <w:t>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偏离</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构成招标文件的其他材料</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rPr>
              <w:t>招标文件的补充文件（如有）、澄清、修改、答疑、图纸、工程量清单等明确做招标文件组成部分的其他文件</w:t>
            </w:r>
            <w:r>
              <w:rPr>
                <w:rFonts w:hint="eastAsia" w:ascii="仿宋" w:hAnsi="仿宋" w:eastAsia="仿宋" w:cs="仿宋"/>
                <w:color w:val="auto"/>
                <w:spacing w:val="0"/>
                <w:w w:val="100"/>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2.2.1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投标人要求澄招标文件的截止时间</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递交投标文件截止之日15日前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2.2.2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投标截止时间</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0000FF"/>
                <w:spacing w:val="0"/>
                <w:w w:val="100"/>
                <w:sz w:val="24"/>
                <w:szCs w:val="24"/>
                <w:highlight w:val="none"/>
              </w:rPr>
              <w:t>202</w:t>
            </w:r>
            <w:r>
              <w:rPr>
                <w:rFonts w:hint="eastAsia" w:ascii="仿宋" w:hAnsi="仿宋" w:eastAsia="仿宋" w:cs="仿宋"/>
                <w:color w:val="0000FF"/>
                <w:spacing w:val="0"/>
                <w:w w:val="100"/>
                <w:sz w:val="24"/>
                <w:szCs w:val="24"/>
                <w:highlight w:val="none"/>
                <w:lang w:val="en-US" w:eastAsia="zh-CN"/>
              </w:rPr>
              <w:t>3</w:t>
            </w:r>
            <w:r>
              <w:rPr>
                <w:rFonts w:hint="eastAsia" w:ascii="仿宋" w:hAnsi="仿宋" w:eastAsia="仿宋" w:cs="仿宋"/>
                <w:color w:val="0000FF"/>
                <w:spacing w:val="0"/>
                <w:w w:val="100"/>
                <w:sz w:val="24"/>
                <w:szCs w:val="24"/>
                <w:highlight w:val="none"/>
              </w:rPr>
              <w:t>年</w:t>
            </w:r>
            <w:r>
              <w:rPr>
                <w:rFonts w:hint="eastAsia" w:ascii="仿宋" w:hAnsi="仿宋" w:eastAsia="仿宋" w:cs="仿宋"/>
                <w:color w:val="0000FF"/>
                <w:spacing w:val="0"/>
                <w:w w:val="100"/>
                <w:sz w:val="24"/>
                <w:szCs w:val="24"/>
                <w:highlight w:val="none"/>
                <w:lang w:val="en-US" w:eastAsia="zh-CN"/>
              </w:rPr>
              <w:t xml:space="preserve"> 08</w:t>
            </w:r>
            <w:r>
              <w:rPr>
                <w:rFonts w:hint="eastAsia" w:ascii="仿宋" w:hAnsi="仿宋" w:eastAsia="仿宋" w:cs="仿宋"/>
                <w:color w:val="0000FF"/>
                <w:spacing w:val="0"/>
                <w:w w:val="100"/>
                <w:sz w:val="24"/>
                <w:szCs w:val="24"/>
                <w:highlight w:val="none"/>
              </w:rPr>
              <w:t>月</w:t>
            </w:r>
            <w:r>
              <w:rPr>
                <w:rFonts w:hint="eastAsia" w:ascii="仿宋" w:hAnsi="仿宋" w:eastAsia="仿宋" w:cs="仿宋"/>
                <w:color w:val="0000FF"/>
                <w:spacing w:val="0"/>
                <w:w w:val="100"/>
                <w:sz w:val="24"/>
                <w:szCs w:val="24"/>
                <w:highlight w:val="none"/>
                <w:lang w:val="en-US" w:eastAsia="zh-CN"/>
              </w:rPr>
              <w:t>31</w:t>
            </w:r>
            <w:r>
              <w:rPr>
                <w:rFonts w:hint="eastAsia" w:ascii="仿宋" w:hAnsi="仿宋" w:eastAsia="仿宋" w:cs="仿宋"/>
                <w:color w:val="0000FF"/>
                <w:spacing w:val="0"/>
                <w:w w:val="100"/>
                <w:sz w:val="24"/>
                <w:szCs w:val="24"/>
                <w:highlight w:val="none"/>
              </w:rPr>
              <w:t>日</w:t>
            </w:r>
            <w:r>
              <w:rPr>
                <w:rFonts w:hint="eastAsia" w:ascii="仿宋" w:hAnsi="仿宋" w:eastAsia="仿宋" w:cs="仿宋"/>
                <w:color w:val="0000FF"/>
                <w:spacing w:val="0"/>
                <w:w w:val="100"/>
                <w:sz w:val="24"/>
                <w:szCs w:val="24"/>
                <w:highlight w:val="none"/>
                <w:lang w:val="en-US" w:eastAsia="zh-CN"/>
              </w:rPr>
              <w:t>9</w:t>
            </w:r>
            <w:r>
              <w:rPr>
                <w:rFonts w:hint="eastAsia" w:ascii="仿宋" w:hAnsi="仿宋" w:eastAsia="仿宋" w:cs="仿宋"/>
                <w:color w:val="0000FF"/>
                <w:spacing w:val="0"/>
                <w:w w:val="100"/>
                <w:sz w:val="24"/>
                <w:szCs w:val="24"/>
                <w:highlight w:val="none"/>
              </w:rPr>
              <w:t>时</w:t>
            </w:r>
            <w:r>
              <w:rPr>
                <w:rFonts w:hint="eastAsia" w:ascii="仿宋" w:hAnsi="仿宋" w:eastAsia="仿宋" w:cs="仿宋"/>
                <w:color w:val="0000FF"/>
                <w:spacing w:val="0"/>
                <w:w w:val="100"/>
                <w:sz w:val="24"/>
                <w:szCs w:val="24"/>
                <w:highlight w:val="none"/>
                <w:lang w:val="en-US" w:eastAsia="zh-CN"/>
              </w:rPr>
              <w:t>20</w:t>
            </w:r>
            <w:r>
              <w:rPr>
                <w:rFonts w:hint="eastAsia" w:ascii="仿宋" w:hAnsi="仿宋" w:eastAsia="仿宋" w:cs="仿宋"/>
                <w:color w:val="0000FF"/>
                <w:spacing w:val="0"/>
                <w:w w:val="100"/>
                <w:sz w:val="24"/>
                <w:szCs w:val="24"/>
                <w:highlight w:val="none"/>
              </w:rPr>
              <w:t>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992" w:type="dxa"/>
            <w:tcBorders>
              <w:bottom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2.2.3</w:t>
            </w:r>
          </w:p>
        </w:tc>
        <w:tc>
          <w:tcPr>
            <w:tcW w:w="2756" w:type="dxa"/>
            <w:tcBorders>
              <w:bottom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投标人确认收到招标文件澄清的时间</w:t>
            </w:r>
          </w:p>
        </w:tc>
        <w:tc>
          <w:tcPr>
            <w:tcW w:w="6237" w:type="dxa"/>
            <w:tcBorders>
              <w:bottom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不需确认，投标人自行在网上下载。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992" w:type="dxa"/>
            <w:tcBorders>
              <w:top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2.3.2</w:t>
            </w:r>
          </w:p>
        </w:tc>
        <w:tc>
          <w:tcPr>
            <w:tcW w:w="2756" w:type="dxa"/>
            <w:tcBorders>
              <w:top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投标人确认收到招标文件修改的时间</w:t>
            </w:r>
          </w:p>
        </w:tc>
        <w:tc>
          <w:tcPr>
            <w:tcW w:w="6237" w:type="dxa"/>
            <w:tcBorders>
              <w:top w:val="single" w:color="000000" w:sz="8" w:space="0"/>
            </w:tcBorders>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不需确认，投标人自行在网上下载。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3.1.1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构成投标文件的</w:t>
            </w:r>
          </w:p>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其他材料</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招标文件要求提交的其他资料以及投标人认为对其投标有利的其它资料。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3.3.1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投标有效期</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投标截止之日起90日历天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3.4.1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投标保证金</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本项目免收保证金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3.5.3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近年完成的类似项目的年份要求</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0000FF"/>
                <w:spacing w:val="0"/>
                <w:w w:val="100"/>
                <w:sz w:val="24"/>
                <w:szCs w:val="24"/>
              </w:rPr>
              <w:t>20</w:t>
            </w:r>
            <w:r>
              <w:rPr>
                <w:rFonts w:hint="eastAsia" w:ascii="仿宋" w:hAnsi="仿宋" w:eastAsia="仿宋" w:cs="仿宋"/>
                <w:color w:val="0000FF"/>
                <w:spacing w:val="0"/>
                <w:w w:val="100"/>
                <w:sz w:val="24"/>
                <w:szCs w:val="24"/>
                <w:lang w:val="en-US" w:eastAsia="zh-CN"/>
              </w:rPr>
              <w:t>20</w:t>
            </w:r>
            <w:r>
              <w:rPr>
                <w:rFonts w:hint="eastAsia" w:ascii="仿宋" w:hAnsi="仿宋" w:eastAsia="仿宋" w:cs="仿宋"/>
                <w:color w:val="0000FF"/>
                <w:spacing w:val="0"/>
                <w:w w:val="100"/>
                <w:sz w:val="24"/>
                <w:szCs w:val="24"/>
              </w:rPr>
              <w:t>年1月1日以来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3.6</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是否允许递交备选投标方案</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3.7.3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签字或盖章要求</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电子投标文件</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人在生成电子化投标文件后，应对电子化投标文件进行电子签章，未对电子化投标文件进行电子签章的视为无效投标。招标文件中要求法定代表人或授权委托人电子签章的，投标人在进行电子化投标文件签章时，签字可以是手签后上传的，也可以是电子手写签字或电子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3.7.4</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投标文件份数</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本项目实行全流程电子化交易，不接受纸质投标文件。加密的电子投标文件一份（*.lytf格式）；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4.2.</w:t>
            </w:r>
            <w:r>
              <w:rPr>
                <w:rFonts w:hint="eastAsia" w:ascii="仿宋" w:hAnsi="仿宋" w:eastAsia="仿宋" w:cs="仿宋"/>
                <w:color w:val="auto"/>
                <w:spacing w:val="0"/>
                <w:w w:val="100"/>
                <w:sz w:val="24"/>
                <w:szCs w:val="24"/>
                <w:lang w:val="en-US" w:eastAsia="zh-CN"/>
              </w:rPr>
              <w:t>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递交投标文件截止时</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详见第一章 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4.2.2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递交投标文件地点</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电子投标文件（加密版）递交地点：在投标截止时间前通过全国公共资源交易平台（http://www.lyggzyjy.cn）（河南省·洛阳市系统中在线完成上传加密的电子投标文件，并在不见面开标系统中解密电子投标文件。</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（提醒：投标人应考虑投标数据传输耗时以及意外情况的影响，适当提前上传。因洛阳市电子招投标交易平台问题无法上传电子投标文件时，请在工作时间与交易中心联系。</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rPr>
              <w:t>联系方式：400-998-0000</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lang w:val="en-US" w:eastAsia="zh-CN"/>
              </w:rPr>
              <w:t xml:space="preserve"> </w:t>
            </w:r>
            <w:r>
              <w:rPr>
                <w:rFonts w:hint="eastAsia" w:ascii="仿宋" w:hAnsi="仿宋" w:eastAsia="仿宋" w:cs="仿宋"/>
                <w:color w:val="auto"/>
                <w:spacing w:val="0"/>
                <w:w w:val="100"/>
                <w:sz w:val="24"/>
                <w:szCs w:val="24"/>
              </w:rPr>
              <w:t>0379-69921055</w:t>
            </w:r>
            <w:r>
              <w:rPr>
                <w:rFonts w:hint="eastAsia" w:ascii="仿宋" w:hAnsi="仿宋" w:eastAsia="仿宋" w:cs="仿宋"/>
                <w:color w:val="auto"/>
                <w:spacing w:val="0"/>
                <w:w w:val="100"/>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4.2.3</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是否退还投标文件</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5.1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开标时间和地点</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开标时间：同投标截止时间</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开标地点：同递交投标文件地点</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本项目采用远程不见面交易的模式。开标当日</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rPr>
              <w:t>投标人无需到开标现场参加开标会议</w:t>
            </w:r>
            <w:r>
              <w:rPr>
                <w:rFonts w:hint="eastAsia" w:ascii="仿宋" w:hAnsi="仿宋" w:eastAsia="仿宋" w:cs="仿宋"/>
                <w:color w:val="auto"/>
                <w:spacing w:val="0"/>
                <w:w w:val="100"/>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5.2</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left="0" w:right="0" w:rightChars="0" w:firstLine="0" w:firstLineChars="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开标程序</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宣布开标纪律；</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公布在投标截止时间前递交投标文件的投标人名称；</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宣布开标人、唱标人、记录人、监标人等有关人员姓名；</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按照投标人须知前附表的规定确定并宣布投标文件开标顺序；</w:t>
            </w:r>
          </w:p>
          <w:p>
            <w:pPr>
              <w:keepNext w:val="0"/>
              <w:keepLines w:val="0"/>
              <w:pageBreakBefore w:val="0"/>
              <w:kinsoku/>
              <w:wordWrap/>
              <w:overflowPunct/>
              <w:topLinePunct w:val="0"/>
              <w:bidi w:val="0"/>
              <w:adjustRightInd/>
              <w:snapToGrid/>
              <w:spacing w:line="400" w:lineRule="exact"/>
              <w:ind w:left="0" w:right="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各投标人应在规定时间内对本单位的投标文件解密。开标时，招标代理机构将通过洛阳市电子招标投标交易平台进行唱标；</w:t>
            </w:r>
          </w:p>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招标人代表、监标人、记录人等有关人员在开标记录上签字确认；开标结束。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92"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rPr>
              <w:t>6.1.1</w:t>
            </w:r>
          </w:p>
        </w:tc>
        <w:tc>
          <w:tcPr>
            <w:tcW w:w="2756" w:type="dxa"/>
            <w:noWrap w:val="0"/>
            <w:vAlign w:val="center"/>
          </w:tcPr>
          <w:p>
            <w:pPr>
              <w:keepNext w:val="0"/>
              <w:keepLines w:val="0"/>
              <w:pageBreakBefore w:val="0"/>
              <w:kinsoku/>
              <w:wordWrap/>
              <w:overflowPunct/>
              <w:topLinePunct w:val="0"/>
              <w:bidi w:val="0"/>
              <w:adjustRightInd/>
              <w:snapToGrid/>
              <w:spacing w:line="400" w:lineRule="exact"/>
              <w:ind w:right="0" w:rightChars="0" w:firstLine="480" w:firstLineChars="20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评标委员会的组建</w:t>
            </w:r>
          </w:p>
        </w:tc>
        <w:tc>
          <w:tcPr>
            <w:tcW w:w="6237" w:type="dxa"/>
            <w:noWrap w:val="0"/>
            <w:vAlign w:val="center"/>
          </w:tcPr>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评标委员会构成：共</w:t>
            </w:r>
            <w:r>
              <w:rPr>
                <w:rFonts w:hint="eastAsia" w:ascii="仿宋" w:hAnsi="仿宋" w:eastAsia="仿宋" w:cs="仿宋"/>
                <w:color w:val="auto"/>
                <w:spacing w:val="0"/>
                <w:w w:val="100"/>
                <w:sz w:val="24"/>
                <w:szCs w:val="24"/>
                <w:lang w:val="en-US" w:eastAsia="zh-CN"/>
              </w:rPr>
              <w:t>5</w:t>
            </w:r>
            <w:r>
              <w:rPr>
                <w:rFonts w:hint="eastAsia" w:ascii="仿宋" w:hAnsi="仿宋" w:eastAsia="仿宋" w:cs="仿宋"/>
                <w:color w:val="auto"/>
                <w:spacing w:val="0"/>
                <w:w w:val="100"/>
                <w:sz w:val="24"/>
                <w:szCs w:val="24"/>
              </w:rPr>
              <w:t>人，由招标人代表</w:t>
            </w:r>
            <w:r>
              <w:rPr>
                <w:rFonts w:hint="eastAsia" w:ascii="仿宋" w:hAnsi="仿宋" w:eastAsia="仿宋" w:cs="仿宋"/>
                <w:color w:val="auto"/>
                <w:spacing w:val="0"/>
                <w:w w:val="100"/>
                <w:sz w:val="24"/>
                <w:szCs w:val="24"/>
                <w:lang w:val="en-US" w:eastAsia="zh-CN"/>
              </w:rPr>
              <w:t>1</w:t>
            </w:r>
            <w:r>
              <w:rPr>
                <w:rFonts w:hint="eastAsia" w:ascii="仿宋" w:hAnsi="仿宋" w:eastAsia="仿宋" w:cs="仿宋"/>
                <w:color w:val="auto"/>
                <w:spacing w:val="0"/>
                <w:w w:val="100"/>
                <w:sz w:val="24"/>
                <w:szCs w:val="24"/>
              </w:rPr>
              <w:t>人及有关技术、经济方面专家</w:t>
            </w:r>
            <w:r>
              <w:rPr>
                <w:rFonts w:hint="eastAsia" w:ascii="仿宋" w:hAnsi="仿宋" w:eastAsia="仿宋" w:cs="仿宋"/>
                <w:color w:val="auto"/>
                <w:spacing w:val="0"/>
                <w:w w:val="100"/>
                <w:sz w:val="24"/>
                <w:szCs w:val="24"/>
                <w:lang w:val="en-US" w:eastAsia="zh-CN"/>
              </w:rPr>
              <w:t>4</w:t>
            </w:r>
            <w:r>
              <w:rPr>
                <w:rFonts w:hint="eastAsia" w:ascii="仿宋" w:hAnsi="仿宋" w:eastAsia="仿宋" w:cs="仿宋"/>
                <w:color w:val="auto"/>
                <w:spacing w:val="0"/>
                <w:w w:val="100"/>
                <w:sz w:val="24"/>
                <w:szCs w:val="24"/>
              </w:rPr>
              <w:t>人组成；</w:t>
            </w:r>
          </w:p>
          <w:p>
            <w:pPr>
              <w:keepNext w:val="0"/>
              <w:keepLines w:val="0"/>
              <w:pageBreakBefore w:val="0"/>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评标专家确定方式：开标前从河南省综合评标专家库中随机抽取</w:t>
            </w:r>
            <w:r>
              <w:rPr>
                <w:rFonts w:hint="eastAsia" w:ascii="仿宋" w:hAnsi="仿宋" w:eastAsia="仿宋" w:cs="仿宋"/>
                <w:color w:val="auto"/>
                <w:spacing w:val="0"/>
                <w:w w:val="100"/>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line="360" w:lineRule="auto"/>
              <w:ind w:left="0" w:leftChars="0" w:right="0" w:rightChars="0"/>
              <w:jc w:val="center"/>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sz w:val="24"/>
                <w:szCs w:val="24"/>
              </w:rPr>
              <w:t>7.</w:t>
            </w:r>
            <w:r>
              <w:rPr>
                <w:rFonts w:hint="eastAsia" w:ascii="仿宋" w:hAnsi="仿宋" w:eastAsia="仿宋" w:cs="仿宋"/>
                <w:spacing w:val="0"/>
                <w:w w:val="100"/>
                <w:sz w:val="24"/>
                <w:szCs w:val="24"/>
                <w:lang w:val="en-US" w:eastAsia="zh-CN"/>
              </w:rPr>
              <w:t>1</w:t>
            </w:r>
          </w:p>
        </w:tc>
        <w:tc>
          <w:tcPr>
            <w:tcW w:w="2756" w:type="dxa"/>
            <w:noWrap w:val="0"/>
            <w:vAlign w:val="center"/>
          </w:tcPr>
          <w:p>
            <w:pPr>
              <w:spacing w:line="360" w:lineRule="auto"/>
              <w:ind w:left="0" w:leftChars="0" w:right="0" w:rightChars="0"/>
              <w:jc w:val="center"/>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sz w:val="24"/>
                <w:szCs w:val="24"/>
              </w:rPr>
              <w:t>是否授权评标委员会确定中标人</w:t>
            </w:r>
          </w:p>
        </w:tc>
        <w:tc>
          <w:tcPr>
            <w:tcW w:w="6237" w:type="dxa"/>
            <w:noWrap w:val="0"/>
            <w:vAlign w:val="top"/>
          </w:tcPr>
          <w:p>
            <w:pPr>
              <w:spacing w:line="360" w:lineRule="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否，推荐的中标候选人数：3名。 </w:t>
            </w:r>
          </w:p>
          <w:p>
            <w:pPr>
              <w:spacing w:line="360" w:lineRule="auto"/>
              <w:ind w:left="0" w:leftChars="0" w:right="0" w:rightChars="0"/>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sz w:val="24"/>
                <w:szCs w:val="24"/>
              </w:rPr>
              <w:t>招标人应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将依法重新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line="360" w:lineRule="auto"/>
              <w:jc w:val="center"/>
              <w:rPr>
                <w:rFonts w:hint="eastAsia" w:ascii="仿宋" w:hAnsi="仿宋" w:eastAsia="仿宋" w:cs="仿宋"/>
                <w:spacing w:val="0"/>
                <w:w w:val="100"/>
                <w:sz w:val="24"/>
                <w:szCs w:val="24"/>
              </w:rPr>
            </w:pPr>
            <w:r>
              <w:rPr>
                <w:rFonts w:hint="eastAsia" w:ascii="仿宋" w:hAnsi="仿宋" w:eastAsia="仿宋" w:cs="仿宋"/>
                <w:spacing w:val="0"/>
                <w:w w:val="100"/>
                <w:sz w:val="24"/>
                <w:szCs w:val="24"/>
              </w:rPr>
              <w:t>7.2</w:t>
            </w:r>
          </w:p>
        </w:tc>
        <w:tc>
          <w:tcPr>
            <w:tcW w:w="2756" w:type="dxa"/>
            <w:noWrap w:val="0"/>
            <w:vAlign w:val="center"/>
          </w:tcPr>
          <w:p>
            <w:pPr>
              <w:spacing w:line="360" w:lineRule="auto"/>
              <w:jc w:val="center"/>
              <w:rPr>
                <w:rFonts w:hint="eastAsia" w:ascii="仿宋" w:hAnsi="仿宋" w:eastAsia="仿宋" w:cs="仿宋"/>
                <w:spacing w:val="0"/>
                <w:w w:val="100"/>
                <w:sz w:val="24"/>
                <w:szCs w:val="24"/>
              </w:rPr>
            </w:pPr>
            <w:r>
              <w:rPr>
                <w:rFonts w:hint="eastAsia" w:ascii="仿宋" w:hAnsi="仿宋" w:eastAsia="仿宋" w:cs="仿宋"/>
                <w:spacing w:val="0"/>
                <w:w w:val="100"/>
                <w:sz w:val="24"/>
                <w:szCs w:val="24"/>
              </w:rPr>
              <w:t>中标候选人公示媒介及期限</w:t>
            </w:r>
          </w:p>
        </w:tc>
        <w:tc>
          <w:tcPr>
            <w:tcW w:w="6237" w:type="dxa"/>
            <w:noWrap w:val="0"/>
            <w:vAlign w:val="top"/>
          </w:tcPr>
          <w:p>
            <w:pPr>
              <w:spacing w:line="360" w:lineRule="auto"/>
              <w:jc w:val="left"/>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公示媒介：</w:t>
            </w:r>
            <w:r>
              <w:rPr>
                <w:rFonts w:hint="eastAsia" w:ascii="仿宋" w:hAnsi="仿宋" w:eastAsia="仿宋" w:cs="仿宋"/>
                <w:spacing w:val="0"/>
                <w:w w:val="100"/>
                <w:sz w:val="24"/>
                <w:highlight w:val="none"/>
                <w:lang w:val="zh-CN" w:eastAsia="zh-CN"/>
              </w:rPr>
              <w:t>《河南省政府采购网》、《中国招标投标公共服务平台》、《河南省电子招标投标公共服务平台》和《洛阳市公共资源交易中心网》</w:t>
            </w:r>
            <w:r>
              <w:rPr>
                <w:rFonts w:hint="eastAsia" w:ascii="仿宋" w:hAnsi="仿宋" w:eastAsia="仿宋" w:cs="仿宋"/>
                <w:spacing w:val="0"/>
                <w:w w:val="100"/>
                <w:sz w:val="24"/>
                <w:szCs w:val="24"/>
              </w:rPr>
              <w:t>；</w:t>
            </w:r>
          </w:p>
          <w:p>
            <w:pPr>
              <w:spacing w:line="360" w:lineRule="auto"/>
              <w:jc w:val="both"/>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公示期限： 3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992" w:type="dxa"/>
            <w:noWrap w:val="0"/>
            <w:vAlign w:val="center"/>
          </w:tcPr>
          <w:p>
            <w:pPr>
              <w:spacing w:line="360" w:lineRule="auto"/>
              <w:jc w:val="center"/>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sz w:val="24"/>
                <w:szCs w:val="24"/>
              </w:rPr>
              <w:t>7.3</w:t>
            </w:r>
          </w:p>
        </w:tc>
        <w:tc>
          <w:tcPr>
            <w:tcW w:w="2756" w:type="dxa"/>
            <w:noWrap w:val="0"/>
            <w:vAlign w:val="center"/>
          </w:tcPr>
          <w:p>
            <w:pPr>
              <w:spacing w:line="360" w:lineRule="auto"/>
              <w:jc w:val="center"/>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sz w:val="24"/>
                <w:szCs w:val="24"/>
              </w:rPr>
              <w:t>履约担保</w:t>
            </w:r>
          </w:p>
        </w:tc>
        <w:tc>
          <w:tcPr>
            <w:tcW w:w="6237" w:type="dxa"/>
            <w:noWrap w:val="0"/>
            <w:vAlign w:val="center"/>
          </w:tcPr>
          <w:p>
            <w:pPr>
              <w:spacing w:line="360" w:lineRule="auto"/>
              <w:jc w:val="both"/>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kern w:val="2"/>
                <w:sz w:val="24"/>
                <w:szCs w:val="24"/>
                <w:lang w:val="en-US" w:eastAsia="zh-CN" w:bidi="ar-SA"/>
              </w:rPr>
              <w:t>免收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line="360" w:lineRule="auto"/>
              <w:jc w:val="center"/>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sz w:val="24"/>
                <w:szCs w:val="24"/>
                <w:lang w:val="en-US" w:eastAsia="zh-CN"/>
              </w:rPr>
              <w:t>8.1</w:t>
            </w:r>
          </w:p>
        </w:tc>
        <w:tc>
          <w:tcPr>
            <w:tcW w:w="2756" w:type="dxa"/>
            <w:noWrap w:val="0"/>
            <w:vAlign w:val="center"/>
          </w:tcPr>
          <w:p>
            <w:pPr>
              <w:spacing w:line="360" w:lineRule="auto"/>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rPr>
              <w:t>不良行为记录</w:t>
            </w:r>
          </w:p>
        </w:tc>
        <w:tc>
          <w:tcPr>
            <w:tcW w:w="6237" w:type="dxa"/>
            <w:noWrap w:val="0"/>
            <w:vAlign w:val="top"/>
          </w:tcPr>
          <w:p>
            <w:pPr>
              <w:spacing w:line="360" w:lineRule="auto"/>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sz w:val="24"/>
                <w:szCs w:val="24"/>
              </w:rPr>
              <w:t>不良行为记录是指：投标人在工程施工过程中因违反有关工程建设的法律、法规、规章和执业行为规范，经县级建设行政主管部门或其委托的执法监督机构查实和行政处罚，形成的不良行为记录。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pacing w:val="0"/>
                <w:w w:val="100"/>
                <w:sz w:val="24"/>
                <w:szCs w:val="24"/>
                <w:lang w:val="en-US" w:eastAsia="zh-CN"/>
              </w:rPr>
            </w:pPr>
            <w:r>
              <w:rPr>
                <w:rFonts w:ascii="仿宋" w:hAnsi="仿宋" w:eastAsia="仿宋" w:cs="仿宋"/>
                <w:spacing w:val="0"/>
                <w:sz w:val="24"/>
                <w:szCs w:val="24"/>
                <w14:textOutline w14:w="3810" w14:cap="flat" w14:cmpd="sng">
                  <w14:solidFill>
                    <w14:srgbClr w14:val="000000"/>
                  </w14:solidFill>
                  <w14:prstDash w14:val="solid"/>
                  <w14:miter w14:val="0"/>
                </w14:textOutline>
              </w:rPr>
              <w:t>10</w:t>
            </w:r>
          </w:p>
        </w:tc>
        <w:tc>
          <w:tcPr>
            <w:tcW w:w="8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pacing w:val="0"/>
                <w:w w:val="100"/>
                <w:sz w:val="24"/>
                <w:szCs w:val="24"/>
                <w:lang w:val="en-US" w:eastAsia="zh-CN"/>
              </w:rPr>
            </w:pPr>
            <w:r>
              <w:rPr>
                <w:rFonts w:ascii="仿宋" w:hAnsi="仿宋" w:eastAsia="仿宋" w:cs="仿宋"/>
                <w:spacing w:val="0"/>
                <w:sz w:val="24"/>
                <w:szCs w:val="24"/>
                <w14:textOutline w14:w="3810" w14:cap="flat" w14:cmpd="sng">
                  <w14:solidFill>
                    <w14:srgbClr w14:val="000000"/>
                  </w14:solidFill>
                  <w14:prstDash w14:val="solid"/>
                  <w14:miter w14:val="0"/>
                </w14:textOutline>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before="223" w:line="180" w:lineRule="auto"/>
              <w:jc w:val="center"/>
              <w:rPr>
                <w:rFonts w:hint="eastAsia" w:ascii="仿宋" w:hAnsi="仿宋" w:eastAsia="仿宋" w:cs="仿宋"/>
                <w:spacing w:val="0"/>
                <w:w w:val="100"/>
                <w:sz w:val="24"/>
                <w:szCs w:val="24"/>
                <w:lang w:val="en-US" w:eastAsia="zh-CN"/>
              </w:rPr>
            </w:pPr>
            <w:r>
              <w:rPr>
                <w:rFonts w:ascii="仿宋" w:hAnsi="仿宋" w:eastAsia="仿宋" w:cs="仿宋"/>
                <w:spacing w:val="0"/>
                <w:sz w:val="24"/>
                <w:szCs w:val="24"/>
              </w:rPr>
              <w:t>10.1</w:t>
            </w:r>
          </w:p>
        </w:tc>
        <w:tc>
          <w:tcPr>
            <w:tcW w:w="2756" w:type="dxa"/>
            <w:noWrap w:val="0"/>
            <w:vAlign w:val="center"/>
          </w:tcPr>
          <w:p>
            <w:pPr>
              <w:spacing w:before="185" w:line="185" w:lineRule="auto"/>
              <w:jc w:val="center"/>
              <w:rPr>
                <w:rFonts w:hint="eastAsia" w:ascii="仿宋" w:hAnsi="仿宋" w:eastAsia="仿宋" w:cs="仿宋"/>
                <w:spacing w:val="0"/>
                <w:w w:val="100"/>
                <w:sz w:val="24"/>
                <w:szCs w:val="24"/>
                <w:lang w:eastAsia="zh-CN"/>
              </w:rPr>
            </w:pPr>
            <w:r>
              <w:rPr>
                <w:rFonts w:ascii="仿宋" w:hAnsi="仿宋" w:eastAsia="仿宋" w:cs="仿宋"/>
                <w:spacing w:val="0"/>
                <w:sz w:val="24"/>
                <w:szCs w:val="24"/>
              </w:rPr>
              <w:t>是否采用电子招标投标</w:t>
            </w:r>
          </w:p>
        </w:tc>
        <w:tc>
          <w:tcPr>
            <w:tcW w:w="6237" w:type="dxa"/>
            <w:noWrap w:val="0"/>
            <w:vAlign w:val="center"/>
          </w:tcPr>
          <w:p>
            <w:pPr>
              <w:spacing w:before="185" w:line="185" w:lineRule="auto"/>
              <w:ind w:firstLine="118" w:firstLineChars="0"/>
              <w:jc w:val="left"/>
              <w:rPr>
                <w:rFonts w:hint="eastAsia" w:ascii="仿宋" w:hAnsi="仿宋" w:eastAsia="仿宋" w:cs="仿宋"/>
                <w:spacing w:val="0"/>
                <w:w w:val="100"/>
                <w:sz w:val="24"/>
                <w:szCs w:val="24"/>
                <w:lang w:val="en-US" w:eastAsia="zh-CN"/>
              </w:rPr>
            </w:pPr>
            <w:r>
              <w:rPr>
                <w:rFonts w:ascii="仿宋" w:hAnsi="仿宋" w:eastAsia="仿宋" w:cs="仿宋"/>
                <w:spacing w:val="0"/>
                <w:sz w:val="24"/>
                <w:szCs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2" w:type="dxa"/>
            <w:noWrap w:val="0"/>
            <w:vAlign w:val="center"/>
          </w:tcPr>
          <w:p>
            <w:pPr>
              <w:spacing w:before="69" w:line="180" w:lineRule="auto"/>
              <w:jc w:val="center"/>
              <w:rPr>
                <w:rFonts w:hint="eastAsia" w:ascii="仿宋" w:hAnsi="仿宋" w:eastAsia="仿宋" w:cs="仿宋"/>
                <w:spacing w:val="0"/>
                <w:w w:val="100"/>
                <w:sz w:val="24"/>
                <w:szCs w:val="24"/>
                <w:lang w:val="en-US" w:eastAsia="zh-CN"/>
              </w:rPr>
            </w:pPr>
            <w:r>
              <w:rPr>
                <w:rFonts w:ascii="仿宋" w:hAnsi="仿宋" w:eastAsia="仿宋" w:cs="仿宋"/>
                <w:spacing w:val="0"/>
                <w:sz w:val="24"/>
                <w:szCs w:val="24"/>
              </w:rPr>
              <w:t>10.2</w:t>
            </w:r>
          </w:p>
        </w:tc>
        <w:tc>
          <w:tcPr>
            <w:tcW w:w="2756" w:type="dxa"/>
            <w:noWrap w:val="0"/>
            <w:vAlign w:val="center"/>
          </w:tcPr>
          <w:p>
            <w:pPr>
              <w:spacing w:before="69" w:line="185" w:lineRule="auto"/>
              <w:jc w:val="center"/>
              <w:rPr>
                <w:rFonts w:hint="eastAsia" w:ascii="仿宋" w:hAnsi="仿宋" w:eastAsia="仿宋" w:cs="仿宋"/>
                <w:spacing w:val="0"/>
                <w:w w:val="100"/>
                <w:sz w:val="24"/>
                <w:szCs w:val="24"/>
                <w:lang w:eastAsia="zh-CN"/>
              </w:rPr>
            </w:pPr>
            <w:r>
              <w:rPr>
                <w:rFonts w:ascii="仿宋" w:hAnsi="仿宋" w:eastAsia="仿宋" w:cs="仿宋"/>
                <w:spacing w:val="0"/>
                <w:sz w:val="24"/>
                <w:szCs w:val="24"/>
              </w:rPr>
              <w:t>代理服务费</w:t>
            </w:r>
          </w:p>
        </w:tc>
        <w:tc>
          <w:tcPr>
            <w:tcW w:w="6237" w:type="dxa"/>
            <w:noWrap w:val="0"/>
            <w:vAlign w:val="top"/>
          </w:tcPr>
          <w:p>
            <w:pPr>
              <w:spacing w:before="170" w:line="370" w:lineRule="auto"/>
              <w:ind w:left="117" w:right="87" w:firstLine="4"/>
              <w:rPr>
                <w:rFonts w:hint="eastAsia" w:ascii="仿宋" w:hAnsi="仿宋" w:eastAsia="仿宋" w:cs="仿宋"/>
                <w:spacing w:val="0"/>
                <w:w w:val="100"/>
                <w:sz w:val="24"/>
                <w:szCs w:val="24"/>
                <w:lang w:val="en-US" w:eastAsia="zh-CN"/>
              </w:rPr>
            </w:pPr>
            <w:r>
              <w:rPr>
                <w:rFonts w:ascii="仿宋" w:hAnsi="仿宋" w:eastAsia="仿宋" w:cs="仿宋"/>
                <w:color w:val="auto"/>
                <w:spacing w:val="0"/>
                <w:sz w:val="24"/>
              </w:rPr>
              <w:t>代理服务费</w:t>
            </w:r>
            <w:r>
              <w:rPr>
                <w:rFonts w:hint="eastAsia" w:ascii="仿宋" w:hAnsi="仿宋" w:eastAsia="仿宋" w:cs="仿宋"/>
                <w:color w:val="auto"/>
                <w:spacing w:val="0"/>
                <w:sz w:val="24"/>
              </w:rPr>
              <w:t>参照《国家发展改革委办公厅关于招标代理服务收费有关问题的通知》（发改办价格[2011]534号）的70%收取。</w:t>
            </w:r>
            <w:r>
              <w:rPr>
                <w:rFonts w:ascii="仿宋" w:hAnsi="仿宋" w:eastAsia="仿宋" w:cs="仿宋"/>
                <w:color w:val="auto"/>
                <w:spacing w:val="0"/>
                <w:sz w:val="24"/>
              </w:rPr>
              <w:t>由中标人支付，在中标人领取中标通知书前一次性向招标代理机构支付。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before="69" w:line="180" w:lineRule="auto"/>
              <w:jc w:val="center"/>
              <w:rPr>
                <w:rFonts w:hint="eastAsia" w:ascii="仿宋" w:hAnsi="仿宋" w:eastAsia="仿宋" w:cs="仿宋"/>
                <w:spacing w:val="0"/>
                <w:w w:val="100"/>
                <w:sz w:val="24"/>
                <w:szCs w:val="24"/>
                <w:lang w:val="en-US" w:eastAsia="zh-CN"/>
              </w:rPr>
            </w:pPr>
            <w:r>
              <w:rPr>
                <w:rFonts w:hint="eastAsia" w:ascii="仿宋" w:hAnsi="仿宋" w:eastAsia="仿宋" w:cs="仿宋"/>
                <w:spacing w:val="0"/>
                <w:sz w:val="24"/>
                <w:szCs w:val="24"/>
                <w:lang w:val="en-US" w:eastAsia="zh-CN"/>
              </w:rPr>
              <w:t>1</w:t>
            </w:r>
            <w:r>
              <w:rPr>
                <w:rFonts w:ascii="仿宋" w:hAnsi="仿宋" w:eastAsia="仿宋" w:cs="仿宋"/>
                <w:spacing w:val="0"/>
                <w:sz w:val="24"/>
                <w:szCs w:val="24"/>
              </w:rPr>
              <w:t>0.3</w:t>
            </w:r>
          </w:p>
        </w:tc>
        <w:tc>
          <w:tcPr>
            <w:tcW w:w="2756" w:type="dxa"/>
            <w:noWrap w:val="0"/>
            <w:vAlign w:val="center"/>
          </w:tcPr>
          <w:p>
            <w:pPr>
              <w:spacing w:before="69" w:line="185" w:lineRule="auto"/>
              <w:jc w:val="center"/>
              <w:rPr>
                <w:rFonts w:hint="eastAsia" w:ascii="仿宋" w:hAnsi="仿宋" w:eastAsia="仿宋" w:cs="仿宋"/>
                <w:spacing w:val="0"/>
                <w:w w:val="100"/>
                <w:sz w:val="24"/>
                <w:szCs w:val="24"/>
                <w:lang w:eastAsia="zh-CN"/>
              </w:rPr>
            </w:pPr>
            <w:r>
              <w:rPr>
                <w:rFonts w:ascii="仿宋" w:hAnsi="仿宋" w:eastAsia="仿宋" w:cs="仿宋"/>
                <w:spacing w:val="0"/>
                <w:sz w:val="24"/>
                <w:szCs w:val="24"/>
              </w:rPr>
              <w:t>投标人违法行为的处理</w:t>
            </w:r>
          </w:p>
        </w:tc>
        <w:tc>
          <w:tcPr>
            <w:tcW w:w="6237" w:type="dxa"/>
            <w:noWrap w:val="0"/>
            <w:vAlign w:val="top"/>
          </w:tcPr>
          <w:p>
            <w:pPr>
              <w:spacing w:line="360" w:lineRule="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招标人若发现评标委员会推举的中标候选人有借用资质、串标围标、弄虚作假或其他违法行为谋取中标的，招标人将报请有关监督部门取消其中候选人资格或中标资格，情节严重的，招标人将上报有关监督部门按相关法律法规处理。给招标人造成的损失还应当予以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992" w:type="dxa"/>
            <w:noWrap w:val="0"/>
            <w:vAlign w:val="center"/>
          </w:tcPr>
          <w:p>
            <w:pPr>
              <w:spacing w:before="68" w:line="180" w:lineRule="auto"/>
              <w:jc w:val="center"/>
              <w:rPr>
                <w:rFonts w:hint="eastAsia" w:ascii="仿宋" w:hAnsi="仿宋" w:eastAsia="仿宋" w:cs="仿宋"/>
                <w:color w:val="auto"/>
                <w:spacing w:val="0"/>
                <w:w w:val="100"/>
                <w:sz w:val="24"/>
                <w:szCs w:val="24"/>
                <w:lang w:val="en-US" w:eastAsia="zh-CN"/>
              </w:rPr>
            </w:pPr>
            <w:r>
              <w:rPr>
                <w:rFonts w:ascii="仿宋" w:hAnsi="仿宋" w:eastAsia="仿宋" w:cs="仿宋"/>
                <w:color w:val="auto"/>
                <w:spacing w:val="0"/>
                <w:sz w:val="24"/>
                <w:szCs w:val="24"/>
              </w:rPr>
              <w:t>10.4</w:t>
            </w:r>
          </w:p>
        </w:tc>
        <w:tc>
          <w:tcPr>
            <w:tcW w:w="2756" w:type="dxa"/>
            <w:noWrap w:val="0"/>
            <w:vAlign w:val="center"/>
          </w:tcPr>
          <w:p>
            <w:pPr>
              <w:spacing w:line="360" w:lineRule="auto"/>
              <w:ind w:firstLine="960" w:firstLineChars="400"/>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付款方式</w:t>
            </w:r>
          </w:p>
        </w:tc>
        <w:tc>
          <w:tcPr>
            <w:tcW w:w="6237" w:type="dxa"/>
            <w:noWrap w:val="0"/>
            <w:vAlign w:val="top"/>
          </w:tcPr>
          <w:p>
            <w:pPr>
              <w:spacing w:line="360" w:lineRule="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按工程进度支付工程款，工程全部完工经验收合格后支付至合同价的 80%，经财政部门竣工结算后支付至结算价的97%，余款待缺陷责任期满且无任何违约事项时无息付清。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ind w:left="0" w:right="0" w:firstLine="0"/>
              <w:jc w:val="center"/>
              <w:textAlignment w:val="auto"/>
              <w:rPr>
                <w:rFonts w:hint="eastAsia" w:ascii="仿宋" w:hAnsi="仿宋" w:eastAsia="仿宋" w:cs="仿宋"/>
                <w:spacing w:val="0"/>
                <w:w w:val="100"/>
                <w:sz w:val="24"/>
                <w:szCs w:val="24"/>
                <w:lang w:val="en-US" w:eastAsia="zh-CN"/>
              </w:rPr>
            </w:pPr>
            <w:r>
              <w:rPr>
                <w:rFonts w:ascii="仿宋" w:hAnsi="仿宋" w:eastAsia="仿宋" w:cs="仿宋"/>
                <w:spacing w:val="0"/>
                <w:sz w:val="24"/>
                <w:szCs w:val="24"/>
              </w:rPr>
              <w:t>10.5</w:t>
            </w:r>
          </w:p>
        </w:tc>
        <w:tc>
          <w:tcPr>
            <w:tcW w:w="27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最高投标限价及投标报价编制依据</w:t>
            </w:r>
          </w:p>
        </w:tc>
        <w:tc>
          <w:tcPr>
            <w:tcW w:w="6237" w:type="dxa"/>
            <w:noWrap w:val="0"/>
            <w:vAlign w:val="top"/>
          </w:tcPr>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1.招标控制金额：</w:t>
            </w:r>
            <w:r>
              <w:rPr>
                <w:rFonts w:hint="eastAsia" w:ascii="仿宋" w:hAnsi="仿宋" w:eastAsia="仿宋" w:cs="仿宋"/>
                <w:color w:val="auto"/>
                <w:sz w:val="24"/>
                <w:highlight w:val="none"/>
                <w:lang w:val="en-US" w:eastAsia="zh-CN"/>
              </w:rPr>
              <w:t>13983895.59</w:t>
            </w:r>
            <w:r>
              <w:rPr>
                <w:rFonts w:hint="eastAsia" w:ascii="仿宋" w:hAnsi="仿宋" w:eastAsia="仿宋" w:cs="仿宋"/>
                <w:color w:val="auto"/>
                <w:spacing w:val="0"/>
                <w:sz w:val="24"/>
                <w:szCs w:val="24"/>
                <w:highlight w:val="none"/>
                <w:lang w:val="en-US" w:eastAsia="zh-CN"/>
              </w:rPr>
              <w:t>元。投标人投标报价超过最高投标限价的，其投标将被否决。</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2.编制依据: </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1）、220kV项目依据《输电线路工程工程量清单计价规范（2021）》；</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2）、10kV项目依据《建设工程工程量清单计价规范》GB50500-2013；</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3）、与建设工程有关的标准、规范、技术资料；</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4）、施工现场情况、工程特点及常规施工方案；</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5）、其它相关资料。</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0000FF"/>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3、其他需要说明的问题</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0000FF"/>
                <w:spacing w:val="0"/>
                <w:sz w:val="24"/>
                <w:szCs w:val="24"/>
                <w:highlight w:val="none"/>
                <w:lang w:val="en-US" w:eastAsia="zh-CN"/>
              </w:rPr>
              <w:t>1）、夜间施工费、二次搬运费、冬雨季施工费三项费用足额记取；</w:t>
            </w:r>
            <w:r>
              <w:rPr>
                <w:rFonts w:hint="eastAsia" w:ascii="仿宋" w:hAnsi="仿宋" w:eastAsia="仿宋" w:cs="仿宋"/>
                <w:color w:val="0000FF"/>
                <w:spacing w:val="0"/>
                <w:sz w:val="24"/>
                <w:szCs w:val="24"/>
                <w:highlight w:val="none"/>
                <w:lang w:val="en-US" w:eastAsia="zh-CN"/>
              </w:rPr>
              <w:tab/>
            </w:r>
            <w:r>
              <w:rPr>
                <w:rFonts w:hint="eastAsia" w:ascii="仿宋" w:hAnsi="仿宋" w:eastAsia="仿宋" w:cs="仿宋"/>
                <w:color w:val="auto"/>
                <w:spacing w:val="0"/>
                <w:sz w:val="24"/>
                <w:szCs w:val="24"/>
                <w:highlight w:val="none"/>
                <w:lang w:val="en-US" w:eastAsia="zh-CN"/>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before="68" w:line="180" w:lineRule="auto"/>
              <w:jc w:val="center"/>
              <w:rPr>
                <w:rFonts w:ascii="仿宋" w:hAnsi="仿宋" w:eastAsia="仿宋" w:cs="仿宋"/>
                <w:spacing w:val="0"/>
                <w:sz w:val="24"/>
                <w:szCs w:val="24"/>
                <w:highlight w:val="none"/>
              </w:rPr>
            </w:pPr>
            <w:r>
              <w:rPr>
                <w:rFonts w:ascii="仿宋" w:hAnsi="仿宋" w:eastAsia="仿宋" w:cs="仿宋"/>
                <w:spacing w:val="0"/>
                <w:sz w:val="24"/>
                <w:szCs w:val="24"/>
                <w:highlight w:val="none"/>
              </w:rPr>
              <w:t>10.6</w:t>
            </w:r>
          </w:p>
        </w:tc>
        <w:tc>
          <w:tcPr>
            <w:tcW w:w="2756" w:type="dxa"/>
            <w:noWrap w:val="0"/>
            <w:vAlign w:val="center"/>
          </w:tcPr>
          <w:p>
            <w:pPr>
              <w:spacing w:before="68" w:line="185" w:lineRule="auto"/>
              <w:jc w:val="center"/>
              <w:rPr>
                <w:rFonts w:ascii="仿宋" w:hAnsi="仿宋" w:eastAsia="仿宋" w:cs="仿宋"/>
                <w:spacing w:val="0"/>
                <w:sz w:val="24"/>
                <w:szCs w:val="24"/>
                <w:highlight w:val="none"/>
              </w:rPr>
            </w:pPr>
            <w:r>
              <w:rPr>
                <w:rFonts w:ascii="仿宋" w:hAnsi="仿宋" w:eastAsia="仿宋" w:cs="仿宋"/>
                <w:spacing w:val="0"/>
                <w:sz w:val="24"/>
                <w:szCs w:val="24"/>
                <w:highlight w:val="none"/>
              </w:rPr>
              <w:t>监督部门</w:t>
            </w:r>
          </w:p>
        </w:tc>
        <w:tc>
          <w:tcPr>
            <w:tcW w:w="6237" w:type="dxa"/>
            <w:noWrap w:val="0"/>
            <w:vAlign w:val="top"/>
          </w:tcPr>
          <w:p>
            <w:pPr>
              <w:pStyle w:val="12"/>
              <w:numPr>
                <w:ilvl w:val="0"/>
                <w:numId w:val="0"/>
              </w:numPr>
              <w:spacing w:line="4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监督部门：伊滨经开区（示范区）财政局</w:t>
            </w:r>
          </w:p>
          <w:p>
            <w:pPr>
              <w:pStyle w:val="12"/>
              <w:numPr>
                <w:ilvl w:val="0"/>
                <w:numId w:val="0"/>
              </w:numPr>
              <w:spacing w:line="4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监管部门联系人：洛阳市城乡一体化示范区财政金融局</w:t>
            </w:r>
          </w:p>
          <w:p>
            <w:pPr>
              <w:pStyle w:val="12"/>
              <w:numPr>
                <w:ilvl w:val="0"/>
                <w:numId w:val="0"/>
              </w:numPr>
              <w:spacing w:line="460" w:lineRule="exact"/>
              <w:rPr>
                <w:rFonts w:hint="eastAsia" w:ascii="仿宋" w:hAnsi="仿宋" w:eastAsia="仿宋" w:cs="仿宋"/>
                <w:spacing w:val="0"/>
                <w:w w:val="100"/>
                <w:sz w:val="24"/>
                <w:szCs w:val="24"/>
                <w:highlight w:val="none"/>
                <w:lang w:val="en-US" w:eastAsia="zh-CN"/>
              </w:rPr>
            </w:pPr>
            <w:r>
              <w:rPr>
                <w:rFonts w:hint="eastAsia" w:ascii="仿宋" w:hAnsi="仿宋" w:eastAsia="仿宋" w:cs="仿宋"/>
                <w:color w:val="auto"/>
                <w:sz w:val="24"/>
                <w:highlight w:val="none"/>
                <w:lang w:val="en-US" w:eastAsia="zh-CN"/>
              </w:rPr>
              <w:t>监管部门联系方式：0379-63335885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3" w:hRule="atLeast"/>
        </w:trPr>
        <w:tc>
          <w:tcPr>
            <w:tcW w:w="992" w:type="dxa"/>
            <w:noWrap w:val="0"/>
            <w:vAlign w:val="top"/>
          </w:tcPr>
          <w:p>
            <w:pPr>
              <w:spacing w:line="357" w:lineRule="auto"/>
              <w:rPr>
                <w:rFonts w:ascii="仿宋"/>
                <w:spacing w:val="0"/>
                <w:sz w:val="24"/>
                <w:szCs w:val="24"/>
              </w:rPr>
            </w:pPr>
          </w:p>
          <w:p>
            <w:pPr>
              <w:spacing w:line="357" w:lineRule="auto"/>
              <w:rPr>
                <w:rFonts w:ascii="仿宋"/>
                <w:spacing w:val="0"/>
                <w:sz w:val="24"/>
                <w:szCs w:val="24"/>
              </w:rPr>
            </w:pPr>
          </w:p>
          <w:p>
            <w:pPr>
              <w:spacing w:before="68" w:line="180" w:lineRule="auto"/>
              <w:jc w:val="center"/>
              <w:rPr>
                <w:rFonts w:ascii="仿宋" w:hAnsi="仿宋" w:eastAsia="仿宋" w:cs="仿宋"/>
                <w:spacing w:val="0"/>
                <w:sz w:val="24"/>
                <w:szCs w:val="24"/>
              </w:rPr>
            </w:pPr>
            <w:r>
              <w:rPr>
                <w:rFonts w:ascii="仿宋" w:hAnsi="仿宋" w:eastAsia="仿宋" w:cs="仿宋"/>
                <w:spacing w:val="0"/>
                <w:sz w:val="24"/>
                <w:szCs w:val="24"/>
              </w:rPr>
              <w:t>10.7</w:t>
            </w:r>
          </w:p>
        </w:tc>
        <w:tc>
          <w:tcPr>
            <w:tcW w:w="2756" w:type="dxa"/>
            <w:noWrap w:val="0"/>
            <w:vAlign w:val="top"/>
          </w:tcPr>
          <w:p>
            <w:pPr>
              <w:spacing w:line="340" w:lineRule="auto"/>
              <w:rPr>
                <w:rFonts w:ascii="仿宋"/>
                <w:spacing w:val="0"/>
                <w:sz w:val="24"/>
                <w:szCs w:val="24"/>
              </w:rPr>
            </w:pPr>
          </w:p>
          <w:p>
            <w:pPr>
              <w:spacing w:line="341" w:lineRule="auto"/>
              <w:rPr>
                <w:rFonts w:ascii="仿宋"/>
                <w:spacing w:val="0"/>
                <w:sz w:val="24"/>
                <w:szCs w:val="24"/>
              </w:rPr>
            </w:pPr>
          </w:p>
          <w:p>
            <w:pPr>
              <w:spacing w:before="68" w:line="185" w:lineRule="auto"/>
              <w:ind w:firstLine="979" w:firstLineChars="0"/>
              <w:rPr>
                <w:rFonts w:ascii="仿宋" w:hAnsi="仿宋" w:eastAsia="仿宋" w:cs="仿宋"/>
                <w:spacing w:val="0"/>
                <w:sz w:val="24"/>
                <w:szCs w:val="24"/>
              </w:rPr>
            </w:pPr>
            <w:r>
              <w:rPr>
                <w:rFonts w:ascii="仿宋" w:hAnsi="仿宋" w:eastAsia="仿宋" w:cs="仿宋"/>
                <w:spacing w:val="0"/>
                <w:sz w:val="24"/>
                <w:szCs w:val="24"/>
              </w:rPr>
              <w:t>同义词语</w:t>
            </w:r>
          </w:p>
        </w:tc>
        <w:tc>
          <w:tcPr>
            <w:tcW w:w="6237" w:type="dxa"/>
            <w:noWrap w:val="0"/>
            <w:vAlign w:val="top"/>
          </w:tcPr>
          <w:p>
            <w:pPr>
              <w:spacing w:before="211" w:line="370" w:lineRule="auto"/>
              <w:ind w:left="122" w:right="69" w:hanging="5"/>
              <w:rPr>
                <w:rFonts w:hint="eastAsia" w:ascii="仿宋" w:hAnsi="仿宋" w:eastAsia="仿宋" w:cs="仿宋"/>
                <w:spacing w:val="0"/>
                <w:w w:val="100"/>
                <w:sz w:val="24"/>
                <w:szCs w:val="24"/>
                <w:lang w:val="en-US" w:eastAsia="zh-CN"/>
              </w:rPr>
            </w:pPr>
            <w:r>
              <w:rPr>
                <w:rFonts w:ascii="仿宋" w:hAnsi="仿宋" w:eastAsia="仿宋" w:cs="仿宋"/>
                <w:spacing w:val="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4" w:hRule="atLeast"/>
        </w:trPr>
        <w:tc>
          <w:tcPr>
            <w:tcW w:w="992" w:type="dxa"/>
            <w:noWrap w:val="0"/>
            <w:vAlign w:val="center"/>
          </w:tcPr>
          <w:p>
            <w:pPr>
              <w:spacing w:before="68" w:line="180" w:lineRule="auto"/>
              <w:jc w:val="center"/>
              <w:rPr>
                <w:rFonts w:hint="default"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10.8</w:t>
            </w:r>
          </w:p>
        </w:tc>
        <w:tc>
          <w:tcPr>
            <w:tcW w:w="8993" w:type="dxa"/>
            <w:gridSpan w:val="2"/>
            <w:noWrap w:val="0"/>
            <w:vAlign w:val="center"/>
          </w:tcPr>
          <w:p>
            <w:pPr>
              <w:spacing w:before="211" w:line="370" w:lineRule="auto"/>
              <w:ind w:left="122" w:right="69" w:hanging="5"/>
              <w:jc w:val="left"/>
              <w:rPr>
                <w:rFonts w:ascii="仿宋" w:hAnsi="仿宋" w:eastAsia="仿宋" w:cs="仿宋"/>
                <w:spacing w:val="0"/>
                <w:sz w:val="24"/>
                <w:szCs w:val="24"/>
              </w:rPr>
            </w:pPr>
            <w:r>
              <w:rPr>
                <w:rFonts w:ascii="仿宋" w:hAnsi="仿宋" w:eastAsia="仿宋" w:cs="仿宋"/>
                <w:spacing w:val="0"/>
                <w:sz w:val="24"/>
                <w:szCs w:val="24"/>
              </w:rPr>
              <w:t>解释权：构成本招标文件的各个组成文件应互为解释，互为说明；如有不明确或不一致，</w:t>
            </w:r>
            <w:r>
              <w:rPr>
                <w:rFonts w:hint="eastAsia" w:ascii="仿宋" w:hAnsi="仿宋" w:eastAsia="仿宋" w:cs="仿宋"/>
                <w:spacing w:val="0"/>
                <w:sz w:val="24"/>
                <w:szCs w:val="24"/>
              </w:rPr>
              <w:t>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 一事项的规定或约定不一致的，以编排顺序在后者为准；同一组成文件不同版本之间有不一致的，以形成时间在后者为准。按本款前述规定仍不能形成结论的，由招标人及代理公司负责解释。招标文件最终解释权归招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before="68" w:line="180" w:lineRule="auto"/>
              <w:jc w:val="center"/>
              <w:rPr>
                <w:rFonts w:hint="default"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10.9</w:t>
            </w:r>
          </w:p>
        </w:tc>
        <w:tc>
          <w:tcPr>
            <w:tcW w:w="89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（1）投标人使用洛阳市公共资源交易中心网站提供的最新版的投标文件制作工具制作生成。</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（2）投标人在编制投标文件时应建立分级目录，并按照标签提示导入相关内容。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3）投标文件所附证明材料均为原件的扫描件，尺寸和清晰度应该能够在电脑上被阅读、识别和判断；若投标人未按要求提供证明材料或提供不清晰的扫描件的，评标委员会有权认定其投标文件未对招标文件有关要求进行响应，各投标单位对原件扫描件的真实性、合法性、有效性负责。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（4）投标文件制作完成后，最后一步生成电子投标文件和对投标文件进行加密时，投标人应使用投标人单位 CA 数字证书。未加密的电子投标文件应与加密的电子投标文件为同时生成的版本。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（5）投标文件制作的具体方法详见投标文件制作工具操作手册及投标文件制作工具中 的帮助文档。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（6）采购标的对应的中小企业划分标准所属行业：所属行业为：★建筑业</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划定标准为：中小微企业划分按照《国家统计局关于印发&lt;统计上大中小微型企业划分 办法（2017） &gt;的通知》 国统字〔2017〕 213 号文件及《工业和信息化部、国家统计局、国家发展和改革委员会、财政部关于印发&lt;中小企业划型标准规定&gt;的通知》（工信部联 企业[2011]300 号）规定的划分标准为依据。</w:t>
            </w:r>
          </w:p>
          <w:p>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ascii="仿宋" w:hAnsi="仿宋" w:eastAsia="仿宋" w:cs="仿宋"/>
                <w:spacing w:val="0"/>
                <w:sz w:val="24"/>
                <w:szCs w:val="24"/>
              </w:rPr>
            </w:pPr>
            <w:r>
              <w:rPr>
                <w:rFonts w:hint="eastAsia" w:ascii="仿宋" w:hAnsi="仿宋" w:eastAsia="仿宋" w:cs="仿宋"/>
                <w:spacing w:val="0"/>
                <w:sz w:val="24"/>
                <w:szCs w:val="24"/>
              </w:rPr>
              <w:t>（7） 根据豫财办[2020]33 号文件要求，参加政府采购项目的中小微企业供应商，持中标(成交)通知书可向金融机构申请合同融资。详情请登录洛阳市政府采购网          (http://luoyang.hngp.gov.cn/)，进入网站飘窗或业务指南窗口了解金融机构提供的融资服务内容。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autoSpaceDE w:val="0"/>
              <w:autoSpaceDN w:val="0"/>
              <w:adjustRightInd w:val="0"/>
              <w:spacing w:line="400" w:lineRule="exact"/>
              <w:jc w:val="center"/>
              <w:rPr>
                <w:rFonts w:hint="default" w:ascii="仿宋" w:hAnsi="仿宋" w:eastAsia="仿宋" w:cs="仿宋"/>
                <w:spacing w:val="0"/>
                <w:sz w:val="24"/>
                <w:szCs w:val="24"/>
                <w:lang w:val="en-US" w:eastAsia="zh-CN"/>
              </w:rPr>
            </w:pPr>
            <w:r>
              <w:rPr>
                <w:rFonts w:hint="eastAsia" w:ascii="仿宋" w:hAnsi="仿宋" w:eastAsia="仿宋" w:cs="仿宋"/>
                <w:color w:val="auto"/>
                <w:spacing w:val="0"/>
                <w:kern w:val="0"/>
                <w:sz w:val="24"/>
                <w:lang w:val="en-US" w:eastAsia="zh-CN"/>
              </w:rPr>
              <w:t>10.7</w:t>
            </w:r>
          </w:p>
        </w:tc>
        <w:tc>
          <w:tcPr>
            <w:tcW w:w="2756" w:type="dxa"/>
            <w:noWrap w:val="0"/>
            <w:vAlign w:val="center"/>
          </w:tcPr>
          <w:p>
            <w:pPr>
              <w:spacing w:line="400" w:lineRule="exact"/>
              <w:jc w:val="center"/>
              <w:rPr>
                <w:rFonts w:ascii="仿宋" w:hAnsi="仿宋" w:eastAsia="仿宋" w:cs="仿宋"/>
                <w:spacing w:val="0"/>
                <w:sz w:val="24"/>
                <w:szCs w:val="24"/>
              </w:rPr>
            </w:pPr>
            <w:r>
              <w:rPr>
                <w:rFonts w:hint="eastAsia" w:ascii="仿宋" w:hAnsi="仿宋" w:eastAsia="仿宋" w:cs="仿宋"/>
                <w:b w:val="0"/>
                <w:bCs/>
                <w:color w:val="auto"/>
                <w:spacing w:val="0"/>
                <w:sz w:val="24"/>
                <w:szCs w:val="24"/>
              </w:rPr>
              <w:t>电子标雷同性检查</w:t>
            </w:r>
          </w:p>
        </w:tc>
        <w:tc>
          <w:tcPr>
            <w:tcW w:w="6237" w:type="dxa"/>
            <w:noWrap w:val="0"/>
            <w:vAlign w:val="top"/>
          </w:tcPr>
          <w:p>
            <w:pPr>
              <w:adjustRightInd w:val="0"/>
              <w:spacing w:line="440" w:lineRule="exact"/>
              <w:jc w:val="left"/>
              <w:textAlignment w:val="baseline"/>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电子标雷同性认定及处理应符合《关于进一步做好房屋建筑和市政基础设施工程电子投标文件雷同认定与处理的通知》（洛建【2022】47号）文件要求：</w:t>
            </w:r>
          </w:p>
          <w:p>
            <w:pPr>
              <w:adjustRightInd w:val="0"/>
              <w:spacing w:line="440" w:lineRule="exact"/>
              <w:jc w:val="left"/>
              <w:textAlignment w:val="baseline"/>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（3）开评标过程中，电子开评标系统提示不同投标人的电子 投标文件记录的文件制作机器码、文件创建标识码、文件生成标 识码、IP地址、计价软件电子加密锁锁号、计价软件电子加密锁 企业实名认证信息等软硬件信息中有一条及以上一致的，评标委 员会应当对提示内容集体认定是否属于《中华人民共和国招标投 标法实施条例》第四十条“视为投标人相互串通投标”第(一) 项“不同投标人的投标文件由同一单位或者个人编制”的情形。；</w:t>
            </w:r>
          </w:p>
          <w:p>
            <w:pPr>
              <w:adjustRightInd w:val="0"/>
              <w:spacing w:line="440" w:lineRule="exact"/>
              <w:jc w:val="left"/>
              <w:textAlignment w:val="baseline"/>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（2）开评标过程中，电子开评标系统提示不同投标人的投标 技术文件存在高度雷同、投标报价或报价组成出现一致或者呈规 律性变化的，评标委员会应当对提示内容进行综合分析研判，集 体认定是否属于《中华人民共和国招标投标法实施条例》第四十条“视为投标人相互串通投标”第(四)项“不同投标人的投标 文件异常一致或者投标报价呈规律性差异”的情形。；</w:t>
            </w:r>
          </w:p>
          <w:p>
            <w:pPr>
              <w:adjustRightInd w:val="0"/>
              <w:spacing w:line="440" w:lineRule="exact"/>
              <w:jc w:val="left"/>
              <w:textAlignment w:val="baseline"/>
              <w:rPr>
                <w:rFonts w:hint="eastAsia" w:ascii="仿宋" w:hAnsi="仿宋" w:eastAsia="仿宋" w:cs="仿宋"/>
                <w:b/>
                <w:color w:val="auto"/>
                <w:spacing w:val="0"/>
                <w:sz w:val="24"/>
                <w:szCs w:val="24"/>
              </w:rPr>
            </w:pPr>
            <w:r>
              <w:rPr>
                <w:rFonts w:hint="eastAsia" w:ascii="仿宋" w:hAnsi="仿宋" w:eastAsia="仿宋" w:cs="仿宋"/>
                <w:color w:val="auto"/>
                <w:spacing w:val="0"/>
                <w:sz w:val="24"/>
                <w:szCs w:val="24"/>
              </w:rPr>
              <w:t>（3）评标委员会在认定串通投标行为时，认为有必要的，可以要求投标人对有关情况作出书面澄清。经认定，属于《中华人 民共和国招标投标法实施条例》第四十条“视为投标人相互串通 投标”情形的，评标委员会应当按照《中华人民共和国招标投标 法实施条例》第四十条和第五十一条第(七)项的规定否决相应 投标人的投标，并在评标报告中进行记录。评标委员会应当对电子开评标系统作出的雷同性提示内容以及串通投标行为的认定 情况，在评标报告中进行详细记录。招标人或其委托的招标代理 机构应当对评标委员会关于串通投标行为的认定情况和否决投 标情况在招标投标情况书面报告中作出说明。</w:t>
            </w:r>
          </w:p>
          <w:p>
            <w:pPr>
              <w:spacing w:line="400" w:lineRule="exact"/>
              <w:rPr>
                <w:rFonts w:ascii="仿宋" w:hAnsi="仿宋" w:eastAsia="仿宋" w:cs="仿宋"/>
                <w:spacing w:val="0"/>
                <w:sz w:val="24"/>
                <w:szCs w:val="24"/>
              </w:rPr>
            </w:pPr>
            <w:r>
              <w:rPr>
                <w:rFonts w:hint="eastAsia" w:ascii="仿宋" w:hAnsi="仿宋" w:eastAsia="仿宋" w:cs="仿宋"/>
                <w:b/>
                <w:color w:val="auto"/>
                <w:spacing w:val="0"/>
                <w:sz w:val="24"/>
                <w:szCs w:val="24"/>
              </w:rPr>
              <w:t>注：电子开评标系统对不同投标人的电子投标文件作出雷同性提示或预警的，资格评审委员会或评标委员会集体表决认定属于《中华人民共和国招标投标法实施条例》第四十条“视为投标人相互串通投标”的情形，同时写出串（围）标行为认定报告并签字的，按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992" w:type="dxa"/>
            <w:noWrap w:val="0"/>
            <w:vAlign w:val="center"/>
          </w:tcPr>
          <w:p>
            <w:pPr>
              <w:spacing w:before="68" w:line="180" w:lineRule="auto"/>
              <w:jc w:val="center"/>
              <w:rPr>
                <w:rFonts w:hint="eastAsia" w:ascii="仿宋" w:hAnsi="仿宋" w:eastAsia="仿宋" w:cs="仿宋"/>
                <w:spacing w:val="0"/>
                <w:kern w:val="2"/>
                <w:sz w:val="24"/>
                <w:szCs w:val="24"/>
                <w:lang w:val="en-US" w:eastAsia="zh-CN" w:bidi="ar-SA"/>
              </w:rPr>
            </w:pPr>
            <w:r>
              <w:rPr>
                <w:rFonts w:hint="eastAsia" w:ascii="仿宋" w:hAnsi="仿宋" w:eastAsia="仿宋" w:cs="仿宋"/>
                <w:spacing w:val="0"/>
                <w:sz w:val="24"/>
                <w:szCs w:val="24"/>
                <w:lang w:val="en-US" w:eastAsia="zh-CN"/>
              </w:rPr>
              <w:t>10.10</w:t>
            </w:r>
          </w:p>
        </w:tc>
        <w:tc>
          <w:tcPr>
            <w:tcW w:w="2756" w:type="dxa"/>
            <w:noWrap w:val="0"/>
            <w:vAlign w:val="center"/>
          </w:tcPr>
          <w:p>
            <w:pPr>
              <w:spacing w:before="68" w:line="185" w:lineRule="auto"/>
              <w:jc w:val="center"/>
              <w:rPr>
                <w:rFonts w:ascii="仿宋" w:hAnsi="仿宋" w:eastAsia="仿宋" w:cs="仿宋"/>
                <w:spacing w:val="0"/>
                <w:kern w:val="2"/>
                <w:sz w:val="24"/>
                <w:szCs w:val="24"/>
                <w:lang w:val="en-US" w:eastAsia="zh-CN" w:bidi="ar-SA"/>
              </w:rPr>
            </w:pPr>
            <w:r>
              <w:rPr>
                <w:rFonts w:ascii="仿宋" w:hAnsi="仿宋" w:eastAsia="仿宋" w:cs="仿宋"/>
                <w:spacing w:val="0"/>
                <w:sz w:val="24"/>
                <w:szCs w:val="24"/>
              </w:rPr>
              <w:t>其他补充</w:t>
            </w:r>
          </w:p>
        </w:tc>
        <w:tc>
          <w:tcPr>
            <w:tcW w:w="6237"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1、由中标人的失误所造成在后期施工过程中工程量增加的须负相关责任；</w:t>
            </w:r>
          </w:p>
          <w:p>
            <w:pPr>
              <w:keepNext w:val="0"/>
              <w:keepLines w:val="0"/>
              <w:pageBreakBefore w:val="0"/>
              <w:widowControl w:val="0"/>
              <w:kinsoku/>
              <w:wordWrap/>
              <w:overflowPunct/>
              <w:topLinePunct w:val="0"/>
              <w:autoSpaceDE/>
              <w:autoSpaceDN/>
              <w:bidi w:val="0"/>
              <w:adjustRightInd/>
              <w:snapToGrid/>
              <w:spacing w:line="46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2、未经招标人同意，不得将所承包工程的任何部分分包， 也不允许转包给他人，更不得将其承包的全部工程肢解以后以分包的名义分别转包给他人。如发现转包，招标人有权终止合同，由此而造成的经济损失，由中标人负责赔偿；</w:t>
            </w:r>
          </w:p>
          <w:p>
            <w:pPr>
              <w:keepNext w:val="0"/>
              <w:keepLines w:val="0"/>
              <w:pageBreakBefore w:val="0"/>
              <w:widowControl w:val="0"/>
              <w:kinsoku/>
              <w:wordWrap/>
              <w:overflowPunct/>
              <w:topLinePunct w:val="0"/>
              <w:autoSpaceDE/>
              <w:autoSpaceDN/>
              <w:bidi w:val="0"/>
              <w:adjustRightInd/>
              <w:snapToGrid/>
              <w:spacing w:line="460" w:lineRule="exact"/>
              <w:ind w:left="0" w:right="0" w:firstLine="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3、招标文件的最终解释权归招标人；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sz w:val="24"/>
                <w:szCs w:val="24"/>
              </w:rPr>
              <w:t>4、其它未尽事宜，按国家有关法律、法规执行。</w:t>
            </w:r>
          </w:p>
        </w:tc>
      </w:tr>
    </w:tbl>
    <w:p>
      <w:pPr>
        <w:pStyle w:val="8"/>
        <w:keepNext w:val="0"/>
        <w:keepLines w:val="0"/>
        <w:pageBreakBefore w:val="0"/>
        <w:widowControl w:val="0"/>
        <w:numPr>
          <w:ilvl w:val="0"/>
          <w:numId w:val="2"/>
        </w:numPr>
        <w:tabs>
          <w:tab w:val="left" w:pos="492"/>
        </w:tabs>
        <w:kinsoku/>
        <w:wordWrap/>
        <w:overflowPunct/>
        <w:topLinePunct w:val="0"/>
        <w:bidi w:val="0"/>
        <w:adjustRightInd/>
        <w:snapToGrid/>
        <w:spacing w:before="0" w:beforeLines="0" w:after="0" w:afterLines="0" w:line="460" w:lineRule="exact"/>
        <w:ind w:left="0" w:leftChars="0" w:right="0" w:firstLine="480" w:firstLineChars="200"/>
        <w:jc w:val="left"/>
        <w:textAlignment w:val="auto"/>
        <w:rPr>
          <w:rFonts w:hint="eastAsia" w:ascii="仿宋" w:hAnsi="仿宋" w:eastAsia="仿宋" w:cs="仿宋"/>
          <w:b/>
          <w:spacing w:val="0"/>
          <w:w w:val="100"/>
          <w:sz w:val="24"/>
          <w:szCs w:val="24"/>
        </w:rPr>
      </w:pPr>
      <w:bookmarkStart w:id="7" w:name="1. 总则"/>
      <w:bookmarkEnd w:id="7"/>
      <w:bookmarkStart w:id="8" w:name="1. 总则"/>
      <w:bookmarkEnd w:id="8"/>
      <w:r>
        <w:rPr>
          <w:rFonts w:hint="eastAsia" w:ascii="仿宋" w:hAnsi="仿宋" w:eastAsia="仿宋" w:cs="仿宋"/>
          <w:spacing w:val="0"/>
          <w:w w:val="100"/>
          <w:sz w:val="24"/>
          <w:szCs w:val="24"/>
        </w:rPr>
        <w:t xml:space="preserve">总则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9" w:name="1.1 项目概况"/>
      <w:bookmarkEnd w:id="9"/>
      <w:bookmarkStart w:id="10" w:name="1.1 项目概况"/>
      <w:bookmarkEnd w:id="10"/>
      <w:r>
        <w:rPr>
          <w:rFonts w:hint="eastAsia" w:ascii="仿宋" w:hAnsi="仿宋" w:eastAsia="仿宋" w:cs="仿宋"/>
          <w:spacing w:val="0"/>
          <w:w w:val="100"/>
          <w:sz w:val="24"/>
          <w:szCs w:val="24"/>
          <w:lang w:val="en-US" w:eastAsia="zh-CN"/>
        </w:rPr>
        <w:t xml:space="preserve">1.1 </w:t>
      </w:r>
      <w:r>
        <w:rPr>
          <w:rFonts w:hint="eastAsia" w:ascii="仿宋" w:hAnsi="仿宋" w:eastAsia="仿宋" w:cs="仿宋"/>
          <w:spacing w:val="0"/>
          <w:w w:val="100"/>
          <w:sz w:val="24"/>
          <w:szCs w:val="24"/>
        </w:rPr>
        <w:t xml:space="preserve">项目概况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1.1.1</w:t>
      </w:r>
      <w:r>
        <w:rPr>
          <w:rFonts w:hint="eastAsia" w:ascii="仿宋" w:hAnsi="仿宋" w:eastAsia="仿宋" w:cs="仿宋"/>
          <w:spacing w:val="0"/>
          <w:w w:val="100"/>
          <w:sz w:val="24"/>
          <w:szCs w:val="24"/>
        </w:rPr>
        <w:t xml:space="preserve">根据《中华人民共和国招标投标法》等有关法律、法规和规章的规定，本招标项目已具备招标条件，现对本项目进行招标。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1.1.2</w:t>
      </w:r>
      <w:r>
        <w:rPr>
          <w:rFonts w:hint="eastAsia" w:ascii="仿宋" w:hAnsi="仿宋" w:eastAsia="仿宋" w:cs="仿宋"/>
          <w:spacing w:val="0"/>
          <w:w w:val="100"/>
          <w:sz w:val="24"/>
          <w:szCs w:val="24"/>
        </w:rPr>
        <w:t xml:space="preserve">本招标项目招标人：见投标人须知前附表。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1.1.3</w:t>
      </w:r>
      <w:r>
        <w:rPr>
          <w:rFonts w:hint="eastAsia" w:ascii="仿宋" w:hAnsi="仿宋" w:eastAsia="仿宋" w:cs="仿宋"/>
          <w:spacing w:val="0"/>
          <w:w w:val="100"/>
          <w:sz w:val="24"/>
          <w:szCs w:val="24"/>
        </w:rPr>
        <w:t xml:space="preserve">本项目招标代理机构：见投标人须知前附表。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1.1.4</w:t>
      </w:r>
      <w:r>
        <w:rPr>
          <w:rFonts w:hint="eastAsia" w:ascii="仿宋" w:hAnsi="仿宋" w:eastAsia="仿宋" w:cs="仿宋"/>
          <w:spacing w:val="0"/>
          <w:w w:val="100"/>
          <w:sz w:val="24"/>
          <w:szCs w:val="24"/>
        </w:rPr>
        <w:t xml:space="preserve">本招标项目名称：见投标人须知前附表。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1.1.5</w:t>
      </w:r>
      <w:r>
        <w:rPr>
          <w:rFonts w:hint="eastAsia" w:ascii="仿宋" w:hAnsi="仿宋" w:eastAsia="仿宋" w:cs="仿宋"/>
          <w:spacing w:val="0"/>
          <w:w w:val="100"/>
          <w:sz w:val="24"/>
          <w:szCs w:val="24"/>
        </w:rPr>
        <w:t xml:space="preserve">本项目建设地点：见投标人须知前附表。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1.1.6</w:t>
      </w:r>
      <w:r>
        <w:rPr>
          <w:rFonts w:hint="eastAsia" w:ascii="仿宋" w:hAnsi="仿宋" w:eastAsia="仿宋" w:cs="仿宋"/>
          <w:color w:val="auto"/>
          <w:spacing w:val="0"/>
          <w:w w:val="100"/>
          <w:sz w:val="24"/>
          <w:szCs w:val="24"/>
          <w:highlight w:val="none"/>
          <w:lang w:eastAsia="zh-CN"/>
        </w:rPr>
        <w:t>项目</w:t>
      </w:r>
      <w:r>
        <w:rPr>
          <w:rFonts w:hint="eastAsia" w:ascii="仿宋" w:hAnsi="仿宋" w:eastAsia="仿宋" w:cs="仿宋"/>
          <w:color w:val="auto"/>
          <w:spacing w:val="0"/>
          <w:w w:val="100"/>
          <w:sz w:val="24"/>
          <w:szCs w:val="24"/>
          <w:highlight w:val="none"/>
        </w:rPr>
        <w:t>编号</w:t>
      </w:r>
      <w:r>
        <w:rPr>
          <w:rFonts w:hint="eastAsia" w:ascii="仿宋" w:hAnsi="仿宋" w:eastAsia="仿宋" w:cs="仿宋"/>
          <w:color w:val="auto"/>
          <w:spacing w:val="0"/>
          <w:w w:val="100"/>
          <w:sz w:val="24"/>
          <w:szCs w:val="24"/>
          <w:highlight w:val="none"/>
          <w:lang w:eastAsia="zh-CN"/>
        </w:rPr>
        <w:t>：</w:t>
      </w:r>
      <w:r>
        <w:rPr>
          <w:rFonts w:hint="eastAsia" w:ascii="仿宋" w:hAnsi="仿宋" w:eastAsia="仿宋" w:cs="仿宋"/>
          <w:spacing w:val="0"/>
          <w:w w:val="100"/>
          <w:sz w:val="24"/>
          <w:szCs w:val="24"/>
        </w:rPr>
        <w:t>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default"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1.1.7</w:t>
      </w:r>
      <w:r>
        <w:rPr>
          <w:rFonts w:hint="eastAsia" w:ascii="仿宋" w:hAnsi="仿宋" w:eastAsia="仿宋" w:cs="仿宋"/>
          <w:color w:val="auto"/>
          <w:spacing w:val="0"/>
          <w:w w:val="100"/>
          <w:kern w:val="2"/>
          <w:sz w:val="24"/>
          <w:szCs w:val="24"/>
          <w:lang w:val="en-US" w:eastAsia="zh-CN" w:bidi="ar-SA"/>
        </w:rPr>
        <w:t>政府采购管理部门备案编号：</w:t>
      </w:r>
      <w:r>
        <w:rPr>
          <w:rFonts w:hint="eastAsia" w:ascii="仿宋" w:hAnsi="仿宋" w:eastAsia="仿宋" w:cs="仿宋"/>
          <w:spacing w:val="0"/>
          <w:w w:val="100"/>
          <w:sz w:val="24"/>
          <w:szCs w:val="24"/>
        </w:rPr>
        <w:t>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11" w:name="1.2 资金来源和落实情况"/>
      <w:bookmarkEnd w:id="11"/>
      <w:bookmarkStart w:id="12" w:name="1.2 资金来源和落实情况"/>
      <w:bookmarkEnd w:id="12"/>
      <w:r>
        <w:rPr>
          <w:rFonts w:hint="eastAsia" w:ascii="仿宋" w:hAnsi="仿宋" w:eastAsia="仿宋" w:cs="仿宋"/>
          <w:spacing w:val="0"/>
          <w:w w:val="100"/>
          <w:sz w:val="24"/>
          <w:szCs w:val="24"/>
          <w:lang w:val="en-US" w:eastAsia="zh-CN"/>
        </w:rPr>
        <w:t xml:space="preserve">1.2 </w:t>
      </w:r>
      <w:r>
        <w:rPr>
          <w:rFonts w:hint="eastAsia" w:ascii="仿宋" w:hAnsi="仿宋" w:eastAsia="仿宋" w:cs="仿宋"/>
          <w:spacing w:val="0"/>
          <w:w w:val="100"/>
          <w:sz w:val="24"/>
          <w:szCs w:val="24"/>
        </w:rPr>
        <w:t xml:space="preserve">资金来源和落实情况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1.2.1</w:t>
      </w:r>
      <w:r>
        <w:rPr>
          <w:rFonts w:hint="eastAsia" w:ascii="仿宋" w:hAnsi="仿宋" w:eastAsia="仿宋" w:cs="仿宋"/>
          <w:spacing w:val="0"/>
          <w:w w:val="100"/>
          <w:sz w:val="24"/>
          <w:szCs w:val="24"/>
        </w:rPr>
        <w:t xml:space="preserve">本招标项目的资金来源：见投标人须知前附表。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1.2.2</w:t>
      </w:r>
      <w:r>
        <w:rPr>
          <w:rFonts w:hint="eastAsia" w:ascii="仿宋" w:hAnsi="仿宋" w:eastAsia="仿宋" w:cs="仿宋"/>
          <w:spacing w:val="0"/>
          <w:w w:val="100"/>
          <w:sz w:val="24"/>
          <w:szCs w:val="24"/>
        </w:rPr>
        <w:t>本招标项目的</w:t>
      </w:r>
      <w:r>
        <w:rPr>
          <w:rFonts w:hint="eastAsia" w:ascii="仿宋" w:hAnsi="仿宋" w:eastAsia="仿宋" w:cs="仿宋"/>
          <w:spacing w:val="0"/>
          <w:w w:val="100"/>
          <w:sz w:val="24"/>
          <w:szCs w:val="24"/>
          <w:lang w:eastAsia="zh-CN"/>
        </w:rPr>
        <w:t>出资比例</w:t>
      </w:r>
      <w:r>
        <w:rPr>
          <w:rFonts w:hint="eastAsia" w:ascii="仿宋" w:hAnsi="仿宋" w:eastAsia="仿宋" w:cs="仿宋"/>
          <w:spacing w:val="0"/>
          <w:w w:val="100"/>
          <w:sz w:val="24"/>
          <w:szCs w:val="24"/>
        </w:rPr>
        <w:t xml:space="preserve">：见投标人须知前附表。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1.2.3</w:t>
      </w:r>
      <w:r>
        <w:rPr>
          <w:rFonts w:hint="eastAsia" w:ascii="仿宋" w:hAnsi="仿宋" w:eastAsia="仿宋" w:cs="仿宋"/>
          <w:spacing w:val="0"/>
          <w:w w:val="100"/>
          <w:sz w:val="24"/>
          <w:szCs w:val="24"/>
        </w:rPr>
        <w:t xml:space="preserve">本招标项目的资金落实情况：见投标人须知前附表。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1.2.4 本招标项目承包方式：见投标人须知前附表。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1.3 标段划分、</w:t>
      </w:r>
      <w:r>
        <w:rPr>
          <w:rFonts w:hint="eastAsia" w:ascii="仿宋" w:hAnsi="仿宋" w:eastAsia="仿宋" w:cs="仿宋"/>
          <w:spacing w:val="0"/>
          <w:w w:val="100"/>
          <w:sz w:val="24"/>
          <w:szCs w:val="24"/>
        </w:rPr>
        <w:t xml:space="preserve">招标范围、计划工期、质量要求、安全目标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1.3.1本项目标段划分：</w:t>
      </w:r>
      <w:r>
        <w:rPr>
          <w:rFonts w:hint="eastAsia" w:ascii="仿宋" w:hAnsi="仿宋" w:eastAsia="仿宋" w:cs="仿宋"/>
          <w:spacing w:val="0"/>
          <w:w w:val="100"/>
          <w:sz w:val="24"/>
          <w:szCs w:val="24"/>
        </w:rPr>
        <w:t xml:space="preserve">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1.3.2</w:t>
      </w:r>
      <w:r>
        <w:rPr>
          <w:rFonts w:hint="eastAsia" w:ascii="仿宋" w:hAnsi="仿宋" w:eastAsia="仿宋" w:cs="仿宋"/>
          <w:spacing w:val="0"/>
          <w:w w:val="100"/>
          <w:sz w:val="24"/>
          <w:szCs w:val="24"/>
        </w:rPr>
        <w:t xml:space="preserve">本次招标范围：见投标人须知前附表。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1.3.3</w:t>
      </w:r>
      <w:r>
        <w:rPr>
          <w:rFonts w:hint="eastAsia" w:ascii="仿宋" w:hAnsi="仿宋" w:eastAsia="仿宋" w:cs="仿宋"/>
          <w:spacing w:val="0"/>
          <w:w w:val="100"/>
          <w:sz w:val="24"/>
          <w:szCs w:val="24"/>
        </w:rPr>
        <w:t xml:space="preserve">本项目的工期：见投标人须知前附表。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1.3.4</w:t>
      </w:r>
      <w:r>
        <w:rPr>
          <w:rFonts w:hint="eastAsia" w:ascii="仿宋" w:hAnsi="仿宋" w:eastAsia="仿宋" w:cs="仿宋"/>
          <w:spacing w:val="0"/>
          <w:w w:val="100"/>
          <w:sz w:val="24"/>
          <w:szCs w:val="24"/>
        </w:rPr>
        <w:t>本项目的质量要求：见投标人须知前附表。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1.3.5</w:t>
      </w:r>
      <w:r>
        <w:rPr>
          <w:rFonts w:hint="eastAsia" w:ascii="仿宋" w:hAnsi="仿宋" w:eastAsia="仿宋" w:cs="仿宋"/>
          <w:spacing w:val="0"/>
          <w:w w:val="100"/>
          <w:sz w:val="24"/>
          <w:szCs w:val="24"/>
        </w:rPr>
        <w:t>本项目的安全目标：见投标人须知前附表。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val="en-US" w:eastAsia="zh-CN"/>
        </w:rPr>
        <w:t>1.3.6</w:t>
      </w:r>
      <w:r>
        <w:rPr>
          <w:rFonts w:hint="eastAsia" w:ascii="仿宋" w:hAnsi="仿宋" w:eastAsia="仿宋" w:cs="仿宋"/>
          <w:spacing w:val="0"/>
          <w:w w:val="100"/>
          <w:sz w:val="24"/>
          <w:szCs w:val="24"/>
        </w:rPr>
        <w:t>本项目的文明工地目标</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见投标人须知前附表</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val="en-US" w:eastAsia="zh-CN"/>
        </w:rPr>
        <w:t>1.3.7</w:t>
      </w:r>
      <w:r>
        <w:rPr>
          <w:rFonts w:hint="eastAsia" w:ascii="仿宋" w:hAnsi="仿宋" w:eastAsia="仿宋" w:cs="仿宋"/>
          <w:spacing w:val="0"/>
          <w:w w:val="100"/>
          <w:sz w:val="24"/>
          <w:szCs w:val="24"/>
        </w:rPr>
        <w:t>本项目的扬尘防治目标</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1.3.8</w:t>
      </w:r>
      <w:r>
        <w:rPr>
          <w:rFonts w:hint="eastAsia" w:ascii="仿宋" w:hAnsi="仿宋" w:eastAsia="仿宋" w:cs="仿宋"/>
          <w:spacing w:val="0"/>
          <w:w w:val="100"/>
          <w:sz w:val="24"/>
          <w:szCs w:val="24"/>
        </w:rPr>
        <w:t>本项目的</w:t>
      </w:r>
      <w:r>
        <w:rPr>
          <w:rFonts w:hint="eastAsia" w:ascii="仿宋" w:hAnsi="仿宋" w:eastAsia="仿宋" w:cs="仿宋"/>
          <w:spacing w:val="0"/>
          <w:w w:val="100"/>
          <w:sz w:val="24"/>
          <w:szCs w:val="24"/>
          <w:lang w:val="en-US" w:eastAsia="zh-CN"/>
        </w:rPr>
        <w:t>缺陷责任期：</w:t>
      </w:r>
      <w:r>
        <w:rPr>
          <w:rFonts w:hint="eastAsia" w:ascii="仿宋" w:hAnsi="仿宋" w:eastAsia="仿宋" w:cs="仿宋"/>
          <w:spacing w:val="0"/>
          <w:w w:val="100"/>
          <w:sz w:val="24"/>
          <w:szCs w:val="24"/>
        </w:rPr>
        <w:t>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val="en-US" w:eastAsia="zh-CN"/>
        </w:rPr>
        <w:t>1.3.9</w:t>
      </w:r>
      <w:r>
        <w:rPr>
          <w:rFonts w:hint="eastAsia" w:ascii="仿宋" w:hAnsi="仿宋" w:eastAsia="仿宋" w:cs="仿宋"/>
          <w:spacing w:val="0"/>
          <w:w w:val="100"/>
          <w:sz w:val="24"/>
          <w:szCs w:val="24"/>
        </w:rPr>
        <w:t>本项目的履约验收</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见投标人须知前附表</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val="en-US" w:eastAsia="zh-CN"/>
        </w:rPr>
        <w:t>1.3.10</w:t>
      </w:r>
      <w:r>
        <w:rPr>
          <w:rFonts w:hint="eastAsia" w:ascii="仿宋" w:hAnsi="仿宋" w:eastAsia="仿宋" w:cs="仿宋"/>
          <w:spacing w:val="0"/>
          <w:w w:val="100"/>
          <w:sz w:val="24"/>
          <w:szCs w:val="24"/>
        </w:rPr>
        <w:t>本项目的政府采购政策</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见投标人须知前附表。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13" w:name="1.4 投标人资格要求"/>
      <w:bookmarkEnd w:id="13"/>
      <w:bookmarkStart w:id="14" w:name="1.4 投标人资格要求"/>
      <w:bookmarkEnd w:id="14"/>
      <w:r>
        <w:rPr>
          <w:rFonts w:hint="eastAsia" w:ascii="仿宋" w:hAnsi="仿宋" w:eastAsia="仿宋" w:cs="仿宋"/>
          <w:spacing w:val="0"/>
          <w:w w:val="100"/>
          <w:sz w:val="24"/>
          <w:szCs w:val="24"/>
          <w:lang w:val="en-US" w:eastAsia="zh-CN"/>
        </w:rPr>
        <w:t xml:space="preserve">1.4 </w:t>
      </w:r>
      <w:r>
        <w:rPr>
          <w:rFonts w:hint="eastAsia" w:ascii="仿宋" w:hAnsi="仿宋" w:eastAsia="仿宋" w:cs="仿宋"/>
          <w:spacing w:val="0"/>
          <w:w w:val="100"/>
          <w:sz w:val="24"/>
          <w:szCs w:val="24"/>
        </w:rPr>
        <w:t xml:space="preserve">投标人资格要求 </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1.4.1 投标人应具备承担本项目施工的资质条件、能力和信誉，详见投标人须知前附表第 1.4.1条要求。</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1.4.2 投标人须知前附表规定接受联合体投标的，除应符合本章第 1.4.1 项和投标人须知前附表的要求外，还应遵守以下规定：（本项目不适用）</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（1）联合体各方应按招标文件提供的格式签订联合体协议书， 明确联合体牵头人和各方权利义务；</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（2）由同一专业的单位组成的联合体，按照资质等级较低的单位确定资质等级；</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（3）联合体各方不得再以自己名义单独或参加其他联合体在同一标段中投标。</w:t>
      </w:r>
    </w:p>
    <w:p>
      <w:pPr>
        <w:pStyle w:val="37"/>
        <w:keepNext w:val="0"/>
        <w:keepLines w:val="0"/>
        <w:pageBreakBefore w:val="0"/>
        <w:widowControl w:val="0"/>
        <w:numPr>
          <w:ilvl w:val="0"/>
          <w:numId w:val="0"/>
        </w:numPr>
        <w:tabs>
          <w:tab w:val="left" w:pos="1438"/>
        </w:tabs>
        <w:kinsoku/>
        <w:wordWrap/>
        <w:overflowPunct/>
        <w:topLinePunct w:val="0"/>
        <w:bidi w:val="0"/>
        <w:adjustRightInd/>
        <w:snapToGrid/>
        <w:spacing w:line="460" w:lineRule="exact"/>
        <w:ind w:left="0" w:leftChars="0" w:right="0" w:rightChars="0" w:firstLine="482" w:firstLineChars="200"/>
        <w:jc w:val="left"/>
        <w:textAlignment w:val="auto"/>
        <w:rPr>
          <w:rFonts w:hint="eastAsia" w:ascii="仿宋" w:hAnsi="仿宋" w:eastAsia="仿宋" w:cs="仿宋"/>
          <w:b/>
          <w:bCs/>
          <w:spacing w:val="0"/>
          <w:w w:val="100"/>
          <w:sz w:val="24"/>
          <w:szCs w:val="24"/>
        </w:rPr>
      </w:pPr>
      <w:r>
        <w:rPr>
          <w:rFonts w:hint="eastAsia" w:ascii="仿宋" w:hAnsi="仿宋" w:eastAsia="仿宋" w:cs="仿宋"/>
          <w:b/>
          <w:bCs/>
          <w:spacing w:val="0"/>
          <w:w w:val="100"/>
          <w:sz w:val="24"/>
          <w:szCs w:val="24"/>
          <w:lang w:val="en-US" w:eastAsia="zh-CN"/>
        </w:rPr>
        <w:t>1.4.3</w:t>
      </w:r>
      <w:r>
        <w:rPr>
          <w:rFonts w:hint="eastAsia" w:ascii="仿宋" w:hAnsi="仿宋" w:eastAsia="仿宋" w:cs="仿宋"/>
          <w:b/>
          <w:bCs/>
          <w:spacing w:val="0"/>
          <w:w w:val="100"/>
          <w:sz w:val="24"/>
          <w:szCs w:val="24"/>
        </w:rPr>
        <w:t xml:space="preserve">投标人不得存在下列情形之一： </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（1）为招标人不具有独立法人资格的附属机构（单位）；</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（2）为本招标项目前期准备提供设计或咨询服务的，但设计施工总承包的除外；</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（3）为本招标项目的监理人；</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（4）为本招标项目的代建人；</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（5）为本招标项目提供招标代理服务的；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（6）与本招标项目的监理人或代建人或招标代理机构同为一个法定代表人的；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（7）与本招标项目的监理人或代建人或招标代理机构相互控股或参股的；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（8）与本招标项目的监理人或代建人或招标代理机构相互任职或工作的；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（9）被责令停业的；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（10）被暂停或取消投标资格的；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 xml:space="preserve">（11）财产被接管或冻结的；                                                    </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 xml:space="preserve">（12）被“中国政府采购”网站（www.ccgp.gov.cn）列入政府采购严重违法失信行为记录名单（以开标后进行资格审查时查询结果为准，查询结果截图保存）；              </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（13）被“信用中国”网站（www.creditchina.gov.cn）列入失信被执行人、重大税收</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违法案件当事人名单（以开标后进行资格审查时查询结果为准，查询结果截图保存）；</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（14）在最近三年内有骗取中标或严重违约或重大工程质量问题的；</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（15）与本招标项目的其他投标人之间有隶属关系或为同一母公司；</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（16）法律法规或投标人须知前附表规定的其他情形。</w:t>
      </w:r>
    </w:p>
    <w:p>
      <w:pPr>
        <w:pStyle w:val="37"/>
        <w:keepNext w:val="0"/>
        <w:keepLines w:val="0"/>
        <w:pageBreakBefore w:val="0"/>
        <w:widowControl w:val="0"/>
        <w:numPr>
          <w:ilvl w:val="0"/>
          <w:numId w:val="0"/>
        </w:numPr>
        <w:tabs>
          <w:tab w:val="left" w:pos="2175"/>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1.5 费用承担 </w:t>
      </w:r>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投标人准备和参加投标活动发生的费用自理。</w:t>
      </w:r>
      <w:bookmarkStart w:id="15" w:name="1.6 保密"/>
      <w:bookmarkEnd w:id="15"/>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1.6 保密 </w:t>
      </w:r>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参与招标投标活动的各方应对招标文件和投标文件中的商业和技术等秘密保密，违者应对由此造成的后果承担法律责任。 </w:t>
      </w:r>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bookmarkStart w:id="16" w:name="1.7 语言文字"/>
      <w:bookmarkEnd w:id="16"/>
      <w:r>
        <w:rPr>
          <w:rFonts w:hint="eastAsia" w:ascii="仿宋" w:hAnsi="仿宋" w:eastAsia="仿宋" w:cs="仿宋"/>
          <w:spacing w:val="0"/>
          <w:w w:val="100"/>
          <w:sz w:val="24"/>
          <w:szCs w:val="24"/>
        </w:rPr>
        <w:t xml:space="preserve">1.7 语言文字 </w:t>
      </w:r>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除专用术语外，与招标投标有关的语言均使用中文。必要时专用术语应附有中文注释。</w:t>
      </w:r>
      <w:bookmarkStart w:id="17" w:name="1.8 计量单位"/>
      <w:bookmarkEnd w:id="17"/>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1.8 计量单位 </w:t>
      </w:r>
    </w:p>
    <w:p>
      <w:pPr>
        <w:pStyle w:val="10"/>
        <w:keepNext w:val="0"/>
        <w:keepLines w:val="0"/>
        <w:pageBreakBefore w:val="0"/>
        <w:widowControl w:val="0"/>
        <w:kinsoku/>
        <w:wordWrap/>
        <w:overflowPunct/>
        <w:topLinePunct w:val="0"/>
        <w:autoSpaceDE w:val="0"/>
        <w:autoSpaceDN w:val="0"/>
        <w:bidi w:val="0"/>
        <w:adjustRightInd/>
        <w:snapToGrid/>
        <w:spacing w:after="0" w:afterLines="0" w:line="460" w:lineRule="exact"/>
        <w:ind w:left="0" w:leftChars="0" w:right="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所有计量均采用中华人民共和国法定计量单位。</w:t>
      </w:r>
      <w:bookmarkStart w:id="18" w:name="1.9 踏勘现场"/>
      <w:bookmarkEnd w:id="18"/>
    </w:p>
    <w:p>
      <w:pPr>
        <w:pStyle w:val="10"/>
        <w:keepNext w:val="0"/>
        <w:keepLines w:val="0"/>
        <w:pageBreakBefore w:val="0"/>
        <w:widowControl w:val="0"/>
        <w:kinsoku/>
        <w:wordWrap/>
        <w:overflowPunct/>
        <w:topLinePunct w:val="0"/>
        <w:autoSpaceDE w:val="0"/>
        <w:autoSpaceDN w:val="0"/>
        <w:bidi w:val="0"/>
        <w:adjustRightInd/>
        <w:snapToGrid/>
        <w:spacing w:after="0" w:afterLines="0" w:line="460" w:lineRule="exact"/>
        <w:ind w:left="0" w:leftChars="0" w:right="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1.9 踏勘现场 </w:t>
      </w:r>
    </w:p>
    <w:p>
      <w:pPr>
        <w:pStyle w:val="37"/>
        <w:keepNext w:val="0"/>
        <w:keepLines w:val="0"/>
        <w:pageBreakBefore w:val="0"/>
        <w:widowControl w:val="0"/>
        <w:numPr>
          <w:ilvl w:val="0"/>
          <w:numId w:val="0"/>
        </w:numPr>
        <w:tabs>
          <w:tab w:val="left" w:pos="1438"/>
        </w:tabs>
        <w:kinsoku/>
        <w:wordWrap/>
        <w:overflowPunct/>
        <w:topLinePunct w:val="0"/>
        <w:autoSpaceDE w:val="0"/>
        <w:autoSpaceDN w:val="0"/>
        <w:bidi w:val="0"/>
        <w:adjustRightInd/>
        <w:snapToGrid/>
        <w:spacing w:line="460" w:lineRule="exact"/>
        <w:ind w:left="0" w:leftChars="0" w:right="0" w:rightChars="0" w:firstLine="480" w:firstLineChars="200"/>
        <w:jc w:val="left"/>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1.9.1</w:t>
      </w:r>
      <w:r>
        <w:rPr>
          <w:rFonts w:hint="eastAsia" w:ascii="仿宋" w:hAnsi="仿宋" w:eastAsia="仿宋" w:cs="仿宋"/>
          <w:spacing w:val="0"/>
          <w:w w:val="100"/>
          <w:sz w:val="24"/>
          <w:szCs w:val="24"/>
        </w:rPr>
        <w:t xml:space="preserve">投标人须知前附表规定组织踏勘现场的，招标人按投标人须知前附表规定的时间、地点组织投标人踏勘项目现场。 </w:t>
      </w:r>
    </w:p>
    <w:p>
      <w:pPr>
        <w:pStyle w:val="37"/>
        <w:keepNext w:val="0"/>
        <w:keepLines w:val="0"/>
        <w:pageBreakBefore w:val="0"/>
        <w:widowControl w:val="0"/>
        <w:numPr>
          <w:ilvl w:val="0"/>
          <w:numId w:val="0"/>
        </w:numPr>
        <w:tabs>
          <w:tab w:val="left" w:pos="1438"/>
        </w:tabs>
        <w:kinsoku/>
        <w:wordWrap/>
        <w:overflowPunct/>
        <w:topLinePunct w:val="0"/>
        <w:autoSpaceDE w:val="0"/>
        <w:autoSpaceDN w:val="0"/>
        <w:bidi w:val="0"/>
        <w:adjustRightInd/>
        <w:snapToGrid/>
        <w:spacing w:line="460" w:lineRule="exact"/>
        <w:ind w:left="0" w:leftChars="0" w:right="0" w:rightChars="0" w:firstLine="480" w:firstLineChars="200"/>
        <w:jc w:val="left"/>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1.9.2</w:t>
      </w:r>
      <w:r>
        <w:rPr>
          <w:rFonts w:hint="eastAsia" w:ascii="仿宋" w:hAnsi="仿宋" w:eastAsia="仿宋" w:cs="仿宋"/>
          <w:spacing w:val="0"/>
          <w:w w:val="100"/>
          <w:sz w:val="24"/>
          <w:szCs w:val="24"/>
        </w:rPr>
        <w:t xml:space="preserve">投标人踏勘现场发生的费用自理。 </w:t>
      </w:r>
    </w:p>
    <w:p>
      <w:pPr>
        <w:pStyle w:val="37"/>
        <w:keepNext w:val="0"/>
        <w:keepLines w:val="0"/>
        <w:pageBreakBefore w:val="0"/>
        <w:widowControl w:val="0"/>
        <w:numPr>
          <w:ilvl w:val="0"/>
          <w:numId w:val="0"/>
        </w:numPr>
        <w:tabs>
          <w:tab w:val="left" w:pos="1438"/>
        </w:tabs>
        <w:kinsoku/>
        <w:wordWrap/>
        <w:overflowPunct/>
        <w:topLinePunct w:val="0"/>
        <w:autoSpaceDE w:val="0"/>
        <w:autoSpaceDN w:val="0"/>
        <w:bidi w:val="0"/>
        <w:adjustRightInd/>
        <w:snapToGrid/>
        <w:spacing w:line="460" w:lineRule="exact"/>
        <w:ind w:left="0" w:leftChars="0" w:right="0" w:rightChars="0" w:firstLine="480" w:firstLineChars="200"/>
        <w:jc w:val="left"/>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1.9.3</w:t>
      </w:r>
      <w:r>
        <w:rPr>
          <w:rFonts w:hint="eastAsia" w:ascii="仿宋" w:hAnsi="仿宋" w:eastAsia="仿宋" w:cs="仿宋"/>
          <w:spacing w:val="0"/>
          <w:w w:val="100"/>
          <w:sz w:val="24"/>
          <w:szCs w:val="24"/>
        </w:rPr>
        <w:t xml:space="preserve">除招标人的原因外，投标人自行负责在踏勘现场中所发生的人员伤亡和财产损失。 </w:t>
      </w:r>
    </w:p>
    <w:p>
      <w:pPr>
        <w:pStyle w:val="37"/>
        <w:keepNext w:val="0"/>
        <w:keepLines w:val="0"/>
        <w:pageBreakBefore w:val="0"/>
        <w:widowControl w:val="0"/>
        <w:numPr>
          <w:ilvl w:val="0"/>
          <w:numId w:val="0"/>
        </w:numPr>
        <w:tabs>
          <w:tab w:val="left" w:pos="1438"/>
        </w:tabs>
        <w:kinsoku/>
        <w:wordWrap/>
        <w:overflowPunct/>
        <w:topLinePunct w:val="0"/>
        <w:autoSpaceDE w:val="0"/>
        <w:autoSpaceDN w:val="0"/>
        <w:bidi w:val="0"/>
        <w:adjustRightInd/>
        <w:snapToGrid/>
        <w:spacing w:line="460" w:lineRule="exact"/>
        <w:ind w:left="0" w:leftChars="0" w:right="0" w:rightChars="0" w:firstLine="480" w:firstLineChars="200"/>
        <w:jc w:val="left"/>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1.9.4</w:t>
      </w:r>
      <w:r>
        <w:rPr>
          <w:rFonts w:hint="eastAsia" w:ascii="仿宋" w:hAnsi="仿宋" w:eastAsia="仿宋" w:cs="仿宋"/>
          <w:spacing w:val="0"/>
          <w:w w:val="100"/>
          <w:sz w:val="24"/>
          <w:szCs w:val="24"/>
        </w:rPr>
        <w:t xml:space="preserve">招标人在踏勘现场中介绍的工程场地和相关的周边环境情况，供投标人在编制投标文件时参考，招标人不对投标人据此作出的判断和决策负责。 </w:t>
      </w:r>
    </w:p>
    <w:p>
      <w:pPr>
        <w:pStyle w:val="37"/>
        <w:keepNext w:val="0"/>
        <w:keepLines w:val="0"/>
        <w:pageBreakBefore w:val="0"/>
        <w:widowControl w:val="0"/>
        <w:numPr>
          <w:ilvl w:val="0"/>
          <w:numId w:val="0"/>
        </w:numPr>
        <w:tabs>
          <w:tab w:val="left" w:pos="703"/>
        </w:tabs>
        <w:kinsoku/>
        <w:wordWrap/>
        <w:overflowPunct/>
        <w:topLinePunct w:val="0"/>
        <w:autoSpaceDE w:val="0"/>
        <w:autoSpaceDN w:val="0"/>
        <w:bidi w:val="0"/>
        <w:adjustRightInd/>
        <w:snapToGrid/>
        <w:spacing w:line="460" w:lineRule="exact"/>
        <w:ind w:left="0" w:leftChars="0" w:right="0" w:rightChars="0" w:firstLine="480" w:firstLineChars="200"/>
        <w:jc w:val="left"/>
        <w:textAlignment w:val="auto"/>
        <w:outlineLvl w:val="9"/>
        <w:rPr>
          <w:rFonts w:hint="eastAsia" w:ascii="仿宋" w:hAnsi="仿宋" w:eastAsia="仿宋" w:cs="仿宋"/>
          <w:spacing w:val="0"/>
          <w:w w:val="100"/>
          <w:sz w:val="24"/>
          <w:szCs w:val="24"/>
        </w:rPr>
      </w:pPr>
      <w:bookmarkStart w:id="19" w:name="1.10 投标预备会"/>
      <w:bookmarkEnd w:id="19"/>
      <w:bookmarkStart w:id="20" w:name="1.10 投标预备会"/>
      <w:bookmarkEnd w:id="20"/>
      <w:r>
        <w:rPr>
          <w:rFonts w:hint="eastAsia" w:ascii="仿宋" w:hAnsi="仿宋" w:eastAsia="仿宋" w:cs="仿宋"/>
          <w:spacing w:val="0"/>
          <w:w w:val="100"/>
          <w:sz w:val="24"/>
          <w:szCs w:val="24"/>
          <w:lang w:val="en-US" w:eastAsia="zh-CN"/>
        </w:rPr>
        <w:t>1.10</w:t>
      </w:r>
      <w:r>
        <w:rPr>
          <w:rFonts w:hint="eastAsia" w:ascii="仿宋" w:hAnsi="仿宋" w:eastAsia="仿宋" w:cs="仿宋"/>
          <w:spacing w:val="0"/>
          <w:w w:val="100"/>
          <w:sz w:val="24"/>
          <w:szCs w:val="24"/>
        </w:rPr>
        <w:t xml:space="preserve">投标预备会 </w:t>
      </w:r>
    </w:p>
    <w:p>
      <w:pPr>
        <w:pStyle w:val="37"/>
        <w:keepNext w:val="0"/>
        <w:keepLines w:val="0"/>
        <w:pageBreakBefore w:val="0"/>
        <w:widowControl w:val="0"/>
        <w:numPr>
          <w:ilvl w:val="0"/>
          <w:numId w:val="0"/>
        </w:numPr>
        <w:tabs>
          <w:tab w:val="left" w:pos="155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1.10.1</w:t>
      </w:r>
      <w:r>
        <w:rPr>
          <w:rFonts w:hint="eastAsia" w:ascii="仿宋" w:hAnsi="仿宋" w:eastAsia="仿宋" w:cs="仿宋"/>
          <w:spacing w:val="0"/>
          <w:w w:val="100"/>
          <w:sz w:val="24"/>
          <w:szCs w:val="24"/>
        </w:rPr>
        <w:t xml:space="preserve">本次招标不召开预备会。 </w:t>
      </w:r>
    </w:p>
    <w:p>
      <w:pPr>
        <w:pStyle w:val="37"/>
        <w:keepNext w:val="0"/>
        <w:keepLines w:val="0"/>
        <w:pageBreakBefore w:val="0"/>
        <w:widowControl w:val="0"/>
        <w:numPr>
          <w:ilvl w:val="0"/>
          <w:numId w:val="0"/>
        </w:numPr>
        <w:tabs>
          <w:tab w:val="left" w:pos="155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1.10.2</w:t>
      </w:r>
      <w:r>
        <w:rPr>
          <w:rFonts w:hint="eastAsia" w:ascii="仿宋" w:hAnsi="仿宋" w:eastAsia="仿宋" w:cs="仿宋"/>
          <w:spacing w:val="0"/>
          <w:w w:val="100"/>
          <w:sz w:val="24"/>
          <w:szCs w:val="24"/>
        </w:rPr>
        <w:t xml:space="preserve">投标人应在投标人须知前附表规定的时间前，以书面形式将提出的问题送达招标人，以便招标人在会议期间澄清。 </w:t>
      </w:r>
    </w:p>
    <w:p>
      <w:pPr>
        <w:pStyle w:val="37"/>
        <w:keepNext w:val="0"/>
        <w:keepLines w:val="0"/>
        <w:pageBreakBefore w:val="0"/>
        <w:widowControl w:val="0"/>
        <w:numPr>
          <w:ilvl w:val="0"/>
          <w:numId w:val="0"/>
        </w:numPr>
        <w:tabs>
          <w:tab w:val="left" w:pos="155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1.10.3</w:t>
      </w:r>
      <w:r>
        <w:rPr>
          <w:rFonts w:hint="eastAsia" w:ascii="仿宋" w:hAnsi="仿宋" w:eastAsia="仿宋" w:cs="仿宋"/>
          <w:spacing w:val="0"/>
          <w:w w:val="100"/>
          <w:sz w:val="24"/>
          <w:szCs w:val="24"/>
        </w:rPr>
        <w:t xml:space="preserve">招标人在投标人须知前附表规定的时间内，将对投标人所提问题的澄清，以书面方式通知所有购买招标文件的投标人。该澄清内容为招标文件的组成部分。 </w:t>
      </w:r>
    </w:p>
    <w:p>
      <w:pPr>
        <w:pStyle w:val="37"/>
        <w:keepNext w:val="0"/>
        <w:keepLines w:val="0"/>
        <w:pageBreakBefore w:val="0"/>
        <w:widowControl w:val="0"/>
        <w:numPr>
          <w:ilvl w:val="0"/>
          <w:numId w:val="0"/>
        </w:numPr>
        <w:tabs>
          <w:tab w:val="left" w:pos="762"/>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21" w:name="1.11 偏离"/>
      <w:bookmarkEnd w:id="21"/>
      <w:bookmarkStart w:id="22" w:name="1.11 偏离"/>
      <w:bookmarkEnd w:id="22"/>
      <w:r>
        <w:rPr>
          <w:rFonts w:hint="eastAsia" w:ascii="仿宋" w:hAnsi="仿宋" w:eastAsia="仿宋" w:cs="仿宋"/>
          <w:spacing w:val="0"/>
          <w:w w:val="100"/>
          <w:sz w:val="24"/>
          <w:szCs w:val="24"/>
          <w:lang w:val="en-US" w:eastAsia="zh-CN"/>
        </w:rPr>
        <w:t>1.11</w:t>
      </w:r>
      <w:r>
        <w:rPr>
          <w:rFonts w:hint="eastAsia" w:ascii="仿宋" w:hAnsi="仿宋" w:eastAsia="仿宋" w:cs="仿宋"/>
          <w:spacing w:val="0"/>
          <w:w w:val="100"/>
          <w:sz w:val="24"/>
          <w:szCs w:val="24"/>
        </w:rPr>
        <w:t xml:space="preserve">分包 </w:t>
      </w:r>
    </w:p>
    <w:p>
      <w:pPr>
        <w:pStyle w:val="8"/>
        <w:keepNext w:val="0"/>
        <w:keepLines w:val="0"/>
        <w:pageBreakBefore w:val="0"/>
        <w:widowControl w:val="0"/>
        <w:numPr>
          <w:ilvl w:val="0"/>
          <w:numId w:val="0"/>
        </w:numPr>
        <w:tabs>
          <w:tab w:val="left" w:pos="703"/>
        </w:tabs>
        <w:kinsoku/>
        <w:wordWrap/>
        <w:overflowPunct/>
        <w:topLinePunct w:val="0"/>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b w:val="0"/>
          <w:bCs w:val="0"/>
          <w:spacing w:val="0"/>
          <w:w w:val="100"/>
          <w:sz w:val="24"/>
          <w:szCs w:val="24"/>
          <w:lang w:val="en-US" w:eastAsia="zh-CN" w:bidi="zh-CN"/>
        </w:rPr>
      </w:pPr>
      <w:r>
        <w:rPr>
          <w:rFonts w:hint="eastAsia" w:ascii="仿宋" w:hAnsi="仿宋" w:eastAsia="仿宋" w:cs="仿宋"/>
          <w:b w:val="0"/>
          <w:bCs w:val="0"/>
          <w:spacing w:val="0"/>
          <w:w w:val="100"/>
          <w:sz w:val="24"/>
          <w:szCs w:val="24"/>
          <w:lang w:val="en-US" w:eastAsia="zh-CN" w:bidi="zh-CN"/>
        </w:rPr>
        <w:t>见投标人须知前附表。</w:t>
      </w:r>
    </w:p>
    <w:p>
      <w:pPr>
        <w:pStyle w:val="37"/>
        <w:keepNext w:val="0"/>
        <w:keepLines w:val="0"/>
        <w:pageBreakBefore w:val="0"/>
        <w:widowControl w:val="0"/>
        <w:numPr>
          <w:ilvl w:val="0"/>
          <w:numId w:val="0"/>
        </w:numPr>
        <w:tabs>
          <w:tab w:val="left" w:pos="70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1.12</w:t>
      </w:r>
      <w:r>
        <w:rPr>
          <w:rFonts w:hint="eastAsia" w:ascii="仿宋" w:hAnsi="仿宋" w:eastAsia="仿宋" w:cs="仿宋"/>
          <w:spacing w:val="0"/>
          <w:w w:val="100"/>
          <w:sz w:val="24"/>
          <w:szCs w:val="24"/>
        </w:rPr>
        <w:t xml:space="preserve">偏离 </w:t>
      </w:r>
    </w:p>
    <w:p>
      <w:pPr>
        <w:pStyle w:val="37"/>
        <w:keepNext w:val="0"/>
        <w:keepLines w:val="0"/>
        <w:pageBreakBefore w:val="0"/>
        <w:widowControl w:val="0"/>
        <w:numPr>
          <w:ilvl w:val="0"/>
          <w:numId w:val="0"/>
        </w:numPr>
        <w:tabs>
          <w:tab w:val="left" w:pos="70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投标人须知前附表允许投标文件偏离招标文件某些要求的，偏差应当符合招标文件规定的偏差范围和幅度。</w:t>
      </w:r>
    </w:p>
    <w:p>
      <w:pPr>
        <w:pStyle w:val="37"/>
        <w:keepNext w:val="0"/>
        <w:keepLines w:val="0"/>
        <w:pageBreakBefore w:val="0"/>
        <w:widowControl w:val="0"/>
        <w:numPr>
          <w:ilvl w:val="0"/>
          <w:numId w:val="0"/>
        </w:numPr>
        <w:tabs>
          <w:tab w:val="left" w:pos="70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b w:val="0"/>
          <w:bCs w:val="0"/>
          <w:spacing w:val="0"/>
          <w:w w:val="100"/>
          <w:sz w:val="24"/>
          <w:szCs w:val="24"/>
          <w:lang w:val="zh-CN" w:eastAsia="zh-CN" w:bidi="zh-CN"/>
        </w:rPr>
      </w:pPr>
      <w:r>
        <w:rPr>
          <w:rFonts w:hint="eastAsia" w:ascii="仿宋" w:hAnsi="仿宋" w:eastAsia="仿宋" w:cs="仿宋"/>
          <w:b w:val="0"/>
          <w:bCs w:val="0"/>
          <w:spacing w:val="0"/>
          <w:w w:val="100"/>
          <w:sz w:val="24"/>
          <w:szCs w:val="24"/>
          <w:lang w:val="en-US" w:eastAsia="zh-CN" w:bidi="zh-CN"/>
        </w:rPr>
        <w:t>1.13</w:t>
      </w:r>
      <w:r>
        <w:rPr>
          <w:rFonts w:hint="eastAsia" w:ascii="仿宋" w:hAnsi="仿宋" w:eastAsia="仿宋" w:cs="仿宋"/>
          <w:b w:val="0"/>
          <w:bCs w:val="0"/>
          <w:spacing w:val="0"/>
          <w:w w:val="100"/>
          <w:sz w:val="24"/>
          <w:szCs w:val="24"/>
          <w:lang w:val="zh-CN" w:eastAsia="zh-CN" w:bidi="zh-CN"/>
        </w:rPr>
        <w:t xml:space="preserve">农民工工资保障金 </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1.13.1 按照洛阳市住房和城乡建设局《关于进一步规范农民工工资保障金和工程担保管理的通知》洛建【2019】 78 号执行；</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（1）企业注册地在洛的施工企业按照单项工程总造价的1%存储农民工保障金，外地进洛施工企业按照单项工程总造价的2%存储农民工工资保障金。</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2）被评为我市“重点扶持企业”或近两年内落实实名制信息化管理且没有拖欠不良行为记录的施工企业，根据企业申请，可选择一次性存储一定数额的应急押金的农民工工资保障金储存方式，不再按单项工程存储农民工工资保障金，并在市区范围内通用。其中：</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（一）市重点扶持企业一次性存储应急押金100万元；</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（二）特级、一级建筑企业一次性存储应急押金200万元；</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（三）二级、三级建筑企业一次性存储应急押金50万元；</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（3）建设项目由外地施工企业施工的建设单位按照单项工程总造价2%缴纳农民工保障金； 项目由我市建筑企业施工的建设单位按照单项工程总造价的1%缴纳农民工保障金；建设项目由我市重点扶持企业施工建设单位该项目可享受对应重点扶持企业一次性存储应急押金的优惠政策。</w:t>
      </w:r>
    </w:p>
    <w:p>
      <w:pPr>
        <w:pStyle w:val="37"/>
        <w:keepNext w:val="0"/>
        <w:keepLines w:val="0"/>
        <w:pageBreakBefore w:val="0"/>
        <w:widowControl w:val="0"/>
        <w:numPr>
          <w:ilvl w:val="0"/>
          <w:numId w:val="0"/>
        </w:numPr>
        <w:tabs>
          <w:tab w:val="left" w:pos="7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4）施工企业发生拖欠农民工工资或建设单位拖欠工程款造成拖欠农民工工资的，经建设主管部门和劳动监察部门认定，可使用施工企业或建设单位缴存的农民工工资保障金，用于垫付被拖欠的农民工工资，农民工工资保障金使用后，相关企业应在一个月内按标准足额补缴；逾期未补缴的，计入洛阳市建筑市场诚信建设“黑榜”名单，并予以追缴。</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1.13.2 投标单位在投标时，必须对农民工工资保障金的问题做出以下承诺：</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一、投标单位在竞标时必须在标书中如实反映其以前所承建工程中工资支付的情况，需特别注明截止竞标之日，是否存在拖欠或克扣农民工工资的行为。</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二、投标单位在竞标时必须在标书中承诺中标后能够及时、足额存入农民工工资保障金。</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三、投标单位在竞标时必须在标书中承诺：一旦其承包的建筑工程项目中出现拖欠职工工资情况的，可由建设行政主管部门从工资保障金中先划支。</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投标人提交的投标文件不具备以上三项内容的，在评标时对其实行“一票否决”。</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1.13.3 投标人提交的投标文件中未对农民工工资保障金进行承诺的， 在评标时对其投标文件按照废标处理。</w:t>
      </w:r>
    </w:p>
    <w:p>
      <w:pPr>
        <w:pStyle w:val="8"/>
        <w:keepNext w:val="0"/>
        <w:keepLines w:val="0"/>
        <w:pageBreakBefore w:val="0"/>
        <w:widowControl w:val="0"/>
        <w:numPr>
          <w:ilvl w:val="0"/>
          <w:numId w:val="0"/>
        </w:numPr>
        <w:tabs>
          <w:tab w:val="left" w:pos="973"/>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b w:val="0"/>
          <w:spacing w:val="0"/>
          <w:w w:val="100"/>
          <w:sz w:val="24"/>
          <w:szCs w:val="24"/>
        </w:rPr>
      </w:pPr>
      <w:r>
        <w:rPr>
          <w:rFonts w:hint="eastAsia" w:ascii="仿宋" w:hAnsi="仿宋" w:eastAsia="仿宋" w:cs="仿宋"/>
          <w:spacing w:val="0"/>
          <w:w w:val="100"/>
          <w:sz w:val="24"/>
          <w:szCs w:val="24"/>
          <w:lang w:val="en-US" w:eastAsia="zh-CN"/>
        </w:rPr>
        <w:t>2.</w:t>
      </w:r>
      <w:r>
        <w:rPr>
          <w:rFonts w:hint="eastAsia" w:ascii="仿宋" w:hAnsi="仿宋" w:eastAsia="仿宋" w:cs="仿宋"/>
          <w:spacing w:val="0"/>
          <w:w w:val="100"/>
          <w:sz w:val="24"/>
          <w:szCs w:val="24"/>
        </w:rPr>
        <w:t>招标文件</w:t>
      </w:r>
      <w:r>
        <w:rPr>
          <w:rFonts w:hint="eastAsia" w:ascii="仿宋" w:hAnsi="仿宋" w:eastAsia="仿宋" w:cs="仿宋"/>
          <w:b w:val="0"/>
          <w:spacing w:val="0"/>
          <w:w w:val="100"/>
          <w:sz w:val="24"/>
          <w:szCs w:val="24"/>
        </w:rPr>
        <w:t xml:space="preserve">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2.1</w:t>
      </w:r>
      <w:r>
        <w:rPr>
          <w:rFonts w:hint="eastAsia" w:ascii="仿宋" w:hAnsi="仿宋" w:eastAsia="仿宋" w:cs="仿宋"/>
          <w:spacing w:val="0"/>
          <w:w w:val="100"/>
          <w:sz w:val="24"/>
          <w:szCs w:val="24"/>
        </w:rPr>
        <w:t xml:space="preserve">招标文件的组成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本招标文件包括：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(1）招标公告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(2）投标人须知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(3）评标办法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(4）合同条款及格式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（5）</w:t>
      </w:r>
      <w:r>
        <w:rPr>
          <w:rFonts w:hint="eastAsia" w:ascii="仿宋" w:hAnsi="仿宋" w:eastAsia="仿宋" w:cs="仿宋"/>
          <w:spacing w:val="0"/>
          <w:w w:val="100"/>
          <w:sz w:val="24"/>
          <w:szCs w:val="24"/>
          <w:lang w:eastAsia="zh-CN"/>
        </w:rPr>
        <w:t>发包人要求</w:t>
      </w:r>
      <w:r>
        <w:rPr>
          <w:rFonts w:hint="eastAsia" w:ascii="仿宋" w:hAnsi="仿宋" w:eastAsia="仿宋" w:cs="仿宋"/>
          <w:spacing w:val="0"/>
          <w:w w:val="100"/>
          <w:sz w:val="24"/>
          <w:szCs w:val="24"/>
        </w:rPr>
        <w:t xml:space="preserve">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(6）技术标准和要求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(7）投标文件格式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根据本章第1.10款、第2.2款和第2.3款对招标文件所作的澄清、修改，构成招标文件的组成部分。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w:t>
      </w:r>
      <w:r>
        <w:rPr>
          <w:rFonts w:hint="eastAsia" w:ascii="仿宋" w:hAnsi="仿宋" w:eastAsia="仿宋" w:cs="仿宋"/>
          <w:spacing w:val="0"/>
          <w:w w:val="100"/>
          <w:sz w:val="24"/>
          <w:szCs w:val="24"/>
        </w:rPr>
        <w:t xml:space="preserve">招标文件的澄清  </w:t>
      </w:r>
    </w:p>
    <w:p>
      <w:pPr>
        <w:pStyle w:val="37"/>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2.2.1</w:t>
      </w:r>
      <w:r>
        <w:rPr>
          <w:rFonts w:hint="eastAsia" w:ascii="仿宋" w:hAnsi="仿宋" w:eastAsia="仿宋" w:cs="仿宋"/>
          <w:spacing w:val="0"/>
          <w:w w:val="100"/>
          <w:sz w:val="24"/>
          <w:szCs w:val="24"/>
        </w:rPr>
        <w:t xml:space="preserve">投标人应仔细阅读和检查招标文件的全部内容。如发现缺页或附件不全，应及时向招标人提出，以便补齐。如有疑问，应在投标人须知前附表规定的时间和形式将提出的问题送达招标人，要求招标人对 招标文件予以澄清。  </w:t>
      </w:r>
    </w:p>
    <w:p>
      <w:pPr>
        <w:pStyle w:val="37"/>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2.2.2</w:t>
      </w:r>
      <w:r>
        <w:rPr>
          <w:rFonts w:hint="eastAsia" w:ascii="仿宋" w:hAnsi="仿宋" w:eastAsia="仿宋" w:cs="仿宋"/>
          <w:spacing w:val="0"/>
          <w:w w:val="100"/>
          <w:sz w:val="24"/>
          <w:szCs w:val="24"/>
        </w:rPr>
        <w:t xml:space="preserve">招标文件的澄清将在与招标公告同步的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 </w:t>
      </w:r>
    </w:p>
    <w:p>
      <w:pPr>
        <w:pStyle w:val="37"/>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2.2.3</w:t>
      </w:r>
      <w:r>
        <w:rPr>
          <w:rFonts w:hint="eastAsia" w:ascii="仿宋" w:hAnsi="仿宋" w:eastAsia="仿宋" w:cs="仿宋"/>
          <w:spacing w:val="0"/>
          <w:w w:val="100"/>
          <w:sz w:val="24"/>
          <w:szCs w:val="24"/>
        </w:rPr>
        <w:t xml:space="preserve">“答疑文件”，并以此编制投标文件。如不以最新发布的“答疑文件”编制投标文件，造成投标无效的后果由投标人自己承担。 </w:t>
      </w:r>
    </w:p>
    <w:p>
      <w:pPr>
        <w:pStyle w:val="37"/>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2.2.4</w:t>
      </w:r>
      <w:r>
        <w:rPr>
          <w:rFonts w:hint="eastAsia" w:ascii="仿宋" w:hAnsi="仿宋" w:eastAsia="仿宋" w:cs="仿宋"/>
          <w:spacing w:val="0"/>
          <w:w w:val="100"/>
          <w:sz w:val="24"/>
          <w:szCs w:val="24"/>
        </w:rPr>
        <w:t xml:space="preserve">因洛阳市电子招投标交易平台在开标前具有保密性，投标人在投标文件递交截止时 间前须自行查看项目进展、变更通知、澄清及回复，因投标人未及时查看而造成的后果自负。2.3招标文件的修改  </w:t>
      </w:r>
    </w:p>
    <w:p>
      <w:pPr>
        <w:pStyle w:val="37"/>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2.2.5</w:t>
      </w:r>
      <w:r>
        <w:rPr>
          <w:rFonts w:hint="eastAsia" w:ascii="仿宋" w:hAnsi="仿宋" w:eastAsia="仿宋" w:cs="仿宋"/>
          <w:spacing w:val="0"/>
          <w:w w:val="100"/>
          <w:sz w:val="24"/>
          <w:szCs w:val="24"/>
        </w:rPr>
        <w:t xml:space="preserve">招标文件的修改将在投标人须知前附表规定的投标截止时间15天前发布，如果修改发出的时间距投标截止时间不足15天，相应延长投标截止时间。 </w:t>
      </w:r>
    </w:p>
    <w:p>
      <w:pPr>
        <w:pStyle w:val="37"/>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2.2.6</w:t>
      </w:r>
      <w:r>
        <w:rPr>
          <w:rFonts w:hint="eastAsia" w:ascii="仿宋" w:hAnsi="仿宋" w:eastAsia="仿宋" w:cs="仿宋"/>
          <w:spacing w:val="0"/>
          <w:w w:val="100"/>
          <w:sz w:val="24"/>
          <w:szCs w:val="24"/>
        </w:rPr>
        <w:t xml:space="preserve">招标文件的修改将在与招标公告同步的网站上发布“变更公告”，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 编制投标文件，造成投标无效的后果由投标人自己承担。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因洛阳市电子招投标交易平台在开标前具有保密性，投标人在投标文件递交截止时间前须自行查看项目进展、变更通知、澄清及回复，因投标人未及时查看而造成的后果自负。  </w:t>
      </w:r>
      <w:bookmarkStart w:id="23" w:name="3. 投标文件"/>
      <w:bookmarkEnd w:id="23"/>
      <w:bookmarkStart w:id="24" w:name="3. 投标文件"/>
      <w:bookmarkEnd w:id="24"/>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2.3 招标文件的修改</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2.3.1 招标文件的修改将在投标人须知前附表规定的投标截止时间 15 天前发布，如果修改发出的时间距投标截止时间不足 15 天，且修改的内容影响投标文件编制的，相应延长投标截止时间。</w:t>
      </w:r>
    </w:p>
    <w:p>
      <w:pPr>
        <w:pStyle w:val="8"/>
        <w:keepNext w:val="0"/>
        <w:keepLines w:val="0"/>
        <w:pageBreakBefore w:val="0"/>
        <w:widowControl w:val="0"/>
        <w:numPr>
          <w:ilvl w:val="0"/>
          <w:numId w:val="0"/>
        </w:numPr>
        <w:tabs>
          <w:tab w:val="left" w:pos="492"/>
        </w:tabs>
        <w:kinsoku/>
        <w:wordWrap/>
        <w:overflowPunct/>
        <w:topLinePunct w:val="0"/>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招标文件的修改将在与招标公告发布媒介的同一媒介发布“变更公告”，同时在洛阳市电子招投 标交易平台发布“答疑文件”（答疑文件指修改后最新的招标文件）。对于各项目中已经成功报名并 下载招标文件的投标人，将通过第三方短信群发方式提醒投标人进行查询。各投标人须重新下载最新 的“答疑文件”，并以此编制投标文件。如不以最新发布的“答疑文件”编制投标文件，造成投标无 效的后果由投标人自己承担。</w:t>
      </w:r>
    </w:p>
    <w:p>
      <w:pPr>
        <w:pStyle w:val="8"/>
        <w:keepNext w:val="0"/>
        <w:keepLines w:val="0"/>
        <w:pageBreakBefore w:val="0"/>
        <w:widowControl w:val="0"/>
        <w:numPr>
          <w:ilvl w:val="0"/>
          <w:numId w:val="0"/>
        </w:numPr>
        <w:tabs>
          <w:tab w:val="left" w:pos="492"/>
        </w:tabs>
        <w:kinsoku/>
        <w:wordWrap/>
        <w:overflowPunct/>
        <w:topLinePunct w:val="0"/>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2.3.2 因洛阳市电子招投标交易平台在开标前具有保密性，投标人在投标文件递交截止时间前须自行查看项目进展、变更通知、澄清及回复，因投标人未及时查看而造成的后果自负。</w:t>
      </w:r>
    </w:p>
    <w:p>
      <w:pPr>
        <w:pStyle w:val="8"/>
        <w:keepNext w:val="0"/>
        <w:keepLines w:val="0"/>
        <w:pageBreakBefore w:val="0"/>
        <w:widowControl w:val="0"/>
        <w:numPr>
          <w:ilvl w:val="0"/>
          <w:numId w:val="0"/>
        </w:numPr>
        <w:tabs>
          <w:tab w:val="left" w:pos="492"/>
        </w:tabs>
        <w:kinsoku/>
        <w:wordWrap/>
        <w:overflowPunct/>
        <w:topLinePunct w:val="0"/>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w:t>
      </w:r>
      <w:r>
        <w:rPr>
          <w:rFonts w:hint="eastAsia" w:ascii="仿宋" w:hAnsi="仿宋" w:eastAsia="仿宋" w:cs="仿宋"/>
          <w:spacing w:val="0"/>
          <w:w w:val="100"/>
          <w:sz w:val="24"/>
          <w:szCs w:val="24"/>
        </w:rPr>
        <w:t xml:space="preserve">投标文件 </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3.1</w:t>
      </w:r>
      <w:r>
        <w:rPr>
          <w:rFonts w:hint="eastAsia" w:ascii="仿宋" w:hAnsi="仿宋" w:eastAsia="仿宋" w:cs="仿宋"/>
          <w:spacing w:val="0"/>
          <w:w w:val="100"/>
          <w:sz w:val="24"/>
          <w:szCs w:val="24"/>
        </w:rPr>
        <w:t>投标文件的组成</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 3.1.1 投标文件应包括下列内容：</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（1）投标函及投标函附录；</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（2）法定代表人身份证明；</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（3）授权委托书；</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（4）投标承诺函；</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（5）已标价工程量清单；</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（6）施工组织设计；</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（7）资格审查资料；</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（8）项目管理机构；</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（9）其他材料；</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25" w:name="3.2 投标报价"/>
      <w:bookmarkEnd w:id="25"/>
      <w:bookmarkStart w:id="26" w:name="3.2 投标报价"/>
      <w:bookmarkEnd w:id="26"/>
      <w:r>
        <w:rPr>
          <w:rFonts w:hint="eastAsia" w:ascii="仿宋" w:hAnsi="仿宋" w:eastAsia="仿宋" w:cs="仿宋"/>
          <w:spacing w:val="0"/>
          <w:w w:val="100"/>
          <w:sz w:val="24"/>
          <w:szCs w:val="24"/>
          <w:lang w:val="en-US" w:eastAsia="zh-CN"/>
        </w:rPr>
        <w:t>3.2</w:t>
      </w:r>
      <w:r>
        <w:rPr>
          <w:rFonts w:hint="eastAsia" w:ascii="仿宋" w:hAnsi="仿宋" w:eastAsia="仿宋" w:cs="仿宋"/>
          <w:spacing w:val="0"/>
          <w:w w:val="100"/>
          <w:sz w:val="24"/>
          <w:szCs w:val="24"/>
        </w:rPr>
        <w:t xml:space="preserve">投标报价 </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 投标人对项目的各项报价和竣工结算的计价</w:t>
      </w:r>
      <w:r>
        <w:rPr>
          <w:rFonts w:hint="eastAsia" w:ascii="仿宋" w:hAnsi="仿宋" w:eastAsia="仿宋" w:cs="仿宋"/>
          <w:color w:val="auto"/>
          <w:spacing w:val="0"/>
          <w:w w:val="100"/>
          <w:sz w:val="24"/>
          <w:szCs w:val="24"/>
          <w:highlight w:val="none"/>
        </w:rPr>
        <w:t>方式均采用工程量清单计价方式。工程量清单总报价 （投标报价）以招标文件、答疑纪要，招标人提供的施工图纸以及相关的配套文件等计价标准。招标人提供的施工图纸及相应标准规范、技术资料、施工现场情况、工程特点及合理的施工方法为依据，充分考虑市场价格，结合实际在合理范围内自</w:t>
      </w:r>
      <w:r>
        <w:rPr>
          <w:rFonts w:hint="eastAsia" w:ascii="仿宋" w:hAnsi="仿宋" w:eastAsia="仿宋" w:cs="仿宋"/>
          <w:color w:val="auto"/>
          <w:spacing w:val="0"/>
          <w:w w:val="100"/>
          <w:sz w:val="24"/>
          <w:szCs w:val="24"/>
        </w:rPr>
        <w:t>主报价，但不得低于企业实际成本。</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3.2.2 工程量清单中所报的单价和合价，以及投标文件中的投标报价应是招标文件所确定的发包范围内的全部工程内容的价格体现，应包括招标文件及技术规范、设计图纸等规定，实施和完成招标工程所需的全部费用。投标人在投标时应按此要求，在投标文件中认真填写工程量清单所有工程项目的单价和合价。</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3.2.3 招标人提供的施工图纸等文件资料是投标人投标计量计价的依据。投标人应根据自己对招标文件和设计图纸的理解，凭借自己的实力对本工程进行准确计量和计价，投标人对招标文件有异议需进行修订的，应按招标项目要求中规定的答疑时间之前书面告知招标人，招标人以答疑纪要的形式予以回复。</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3.2.4 本工程承包方式为中标价加变更签证，中标人投标报价和工程量清单中各分项工程单价以及投标文件中所报的材料单价（招标文件另有规定的除外）在合同实施期间均不作调整。</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3.2.5 本工程所需材料由投标人自行订货采购，由业主、监理单位共同认可后方可用于施工。投标人应充分考虑施工期间的材料价格波动风险，自行考虑并足额计取材料价格风险系数金额，参照工程造价信息价，依据市场情况自主报价。投标人做好现场踏勘工作，施工临时用水、电源，临时便道，临时低压线路、高压线路及涉及临时用电的所有费用等均应包含在报价中。</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 工程结算：</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3.2.6.1 工程为政府投资项目，结算金额以财政部门审定为准。</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3.2.6.2 所有变更签证在施工前，须就变更签证内容和说明上报主管区长批示后，转常务区长审批，并予审批后及时报财政部门备案。未按以上规定执行的，变更无效。</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3.2.6.3工程结算经财政部门评审后，以审减额超过送审造价10%部分为基数，按4%计算审减追加审核费，从施工单位工程价款中扣除，并在《工程结算评审意见书》中明确。</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3.2.6.4工程结算经财政部门评审后，审减额超过送审造价 20%以上，且同一家施工企业在一年内（自发生之日起）发生两次（含）以上的，列入不良诚信记录。同时，该企业一年内不得参加由区本 级财政投资的基本建设项目招投标活动。</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3.2.6.5 施工用电和用水应由投标人自行调查解决，所需费用均应含入工程量清单各子目的单价中，招标人将不另行支付。中标人必须依法接受业主（最终用户）委托的监理公司对工程实行全过程监理、签证后方可作为工程最终结算依据。</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3.2.6.6 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3.2.6.7 施工期间承包人必须严格执行国家、地方政府有关施工环保方面的法律、法规及规章制度，同时严格执行发包人制订的本项目环保方面的规章制度、检查程序及施工管理要求，以及监理人有关环保工作的指示。所需费用已计入工程量清单相关各子目的单价中，招标人将不另行支付。因施工造成的建筑垃圾，由中标单位负责清理。</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3.2.7 中标人必须依法接受业主（最终用户）委托的监理公司对工程实行全过程监理、签证后方可作为工程最终结算依据。</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3.2.8 工程竣工验收后，由中标单位根据中标价及变更签证所发生的费用编制工程结算书，报招标人、财政部门审查确认后作为结算拨款依据。</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3.2.9 付款方式：按工程进度支付工程款，工程全部完工经验收合格后支付至合同价的 80%，经财政部门竣工结算后支付至结算价的97%，余款待缺陷责任期满且无任何违约事项时无息付清。</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3.2.10 工程材料供应管理办法：所有材料均由中标人自供，中标人采购的材料、设备必须是符合国家规定的合格产品，并且附有产品的合格证、检验报告、市场准用证。材料的采购必须严格按照合同要求报监理、招标人认可，实行进场申报签证制度。</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3.2.11 在施工组织设计时应增加控制扬尘污染的内容，应有制度、有措施、有检查、有落实、有结果；做到“七个 100%，八个必须”，对违反扬尘治理有关规定的，实施“七个一律”处罚。</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3.2.11.1 施工过程中要做到七个100%：施工工地100%围挡，散流体、裸地 100%覆盖，出入车辆100%冲洗，施工现场地面100%硬化，散水降尘制度100%落实，散流体运输车辆100%密闭运输，监控检测设备安装100%。</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3.2.11.2开工进场前要做到“八个必须”：必须要做好门头、门柱;必须设置五牌一图、扬尘治理责任牌;必须建立门卫制度；工地出入口处必须硬化；必须配置自动冲洗设备及洒水车；工地四周围挡封闭必须连续设置；必须并在围挡上方安装雾化喷淋设备</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rPr>
        <w:t>必须落实扬尘治理方案备案制度。</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3.2.11.3“ 七个一律”： 工程施工期间，凡发现扬尘治理措施不落实、施工或拆除现场不达标的，一律曝光、一律记不良记录、一律停工整改、一律上限处罚、一律给予缓批资质、一律限制招标投标、一律通报给市（县、区）政府。待整改完成并验收合格后，方能重新开工。</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3.2.11.4 凡发现扬尘治理措施不落实、施工现场不达标，造成二次污染的，将按照相关文件要求给予相应处。</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3.2.12 投标人应按第八章“投标文件格式”的要求填写相应表格。</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3.2.13 投标人在投标截止时间前修改投标函中的投标总报价， 应同时修改第八章“投标文件格式” 中的相应报价。此修改须符合本章第 4.3 款的有关要求。</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3.3 投标有效期</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3.3.1 在投标人须知前附表规定的投标有效期内，投标人不得要求撤销或修改其投标文件。</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Start w:id="27" w:name="3.4 投标保证金"/>
      <w:bookmarkEnd w:id="27"/>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3.4 投标保证金 </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spacing w:val="0"/>
          <w:w w:val="100"/>
          <w:sz w:val="24"/>
          <w:szCs w:val="24"/>
          <w:lang w:val="en-US" w:eastAsia="zh-CN"/>
        </w:rPr>
      </w:pPr>
      <w:bookmarkStart w:id="28" w:name="3.5 资格审查资料"/>
      <w:bookmarkEnd w:id="28"/>
      <w:bookmarkStart w:id="29" w:name="3.5 资格审查资料"/>
      <w:bookmarkEnd w:id="29"/>
      <w:r>
        <w:rPr>
          <w:rFonts w:hint="eastAsia" w:ascii="仿宋" w:hAnsi="仿宋" w:eastAsia="仿宋" w:cs="仿宋"/>
          <w:spacing w:val="0"/>
          <w:w w:val="100"/>
          <w:sz w:val="24"/>
          <w:szCs w:val="24"/>
          <w:lang w:val="en-US" w:eastAsia="zh-CN"/>
        </w:rPr>
        <w:t>本项目不收取投标保证金。</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 xml:space="preserve">3.5资格审查资料 </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3.5.1</w:t>
      </w:r>
      <w:r>
        <w:rPr>
          <w:rFonts w:hint="eastAsia" w:ascii="仿宋" w:hAnsi="仿宋" w:eastAsia="仿宋" w:cs="仿宋"/>
          <w:spacing w:val="0"/>
          <w:w w:val="100"/>
          <w:sz w:val="24"/>
          <w:szCs w:val="24"/>
        </w:rPr>
        <w:t xml:space="preserve">“投标人基本情况表”应附投标人营业执照、资质证书和安全生产许可证等材料的复印件。 </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3.5.2</w:t>
      </w:r>
      <w:r>
        <w:rPr>
          <w:rFonts w:hint="eastAsia" w:ascii="仿宋" w:hAnsi="仿宋" w:eastAsia="仿宋" w:cs="仿宋"/>
          <w:spacing w:val="0"/>
          <w:w w:val="100"/>
          <w:sz w:val="24"/>
          <w:szCs w:val="24"/>
        </w:rPr>
        <w:t xml:space="preserve">“近年完成的类似项目情况表”应附合同及中标通知书的复印件，具体年份要求见投标人须知前附表。每张表格只填写一个项目，并标明序号。 </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3.5.3</w:t>
      </w:r>
      <w:r>
        <w:rPr>
          <w:rFonts w:hint="eastAsia" w:ascii="仿宋" w:hAnsi="仿宋" w:eastAsia="仿宋" w:cs="仿宋"/>
          <w:spacing w:val="0"/>
          <w:w w:val="100"/>
          <w:sz w:val="24"/>
          <w:szCs w:val="24"/>
        </w:rPr>
        <w:t xml:space="preserve">“正在施工和新承接的项目情况表”应附中标通知书或合同协议书复印件。每张表格只填写一个项目，并标明序号。 </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3.5.4</w:t>
      </w:r>
      <w:r>
        <w:rPr>
          <w:rFonts w:hint="eastAsia" w:ascii="仿宋" w:hAnsi="仿宋" w:eastAsia="仿宋" w:cs="仿宋"/>
          <w:spacing w:val="0"/>
          <w:w w:val="100"/>
          <w:sz w:val="24"/>
          <w:szCs w:val="24"/>
        </w:rPr>
        <w:t xml:space="preserve">投标人须知前附表规定接受联合体投标的，本章第3.5.1项至第3.5.5项规定的表格和资料应包括联合体各方相关情况。 </w:t>
      </w:r>
    </w:p>
    <w:p>
      <w:pPr>
        <w:pStyle w:val="37"/>
        <w:keepNext w:val="0"/>
        <w:keepLines w:val="0"/>
        <w:pageBreakBefore w:val="0"/>
        <w:widowControl w:val="0"/>
        <w:numPr>
          <w:ilvl w:val="1"/>
          <w:numId w:val="3"/>
        </w:numPr>
        <w:tabs>
          <w:tab w:val="left" w:pos="583"/>
        </w:tabs>
        <w:kinsoku/>
        <w:wordWrap/>
        <w:overflowPunct/>
        <w:topLinePunct w:val="0"/>
        <w:bidi w:val="0"/>
        <w:adjustRightInd/>
        <w:snapToGrid/>
        <w:spacing w:line="460" w:lineRule="exact"/>
        <w:ind w:left="0" w:leftChars="0" w:right="0" w:firstLine="480" w:firstLineChars="200"/>
        <w:jc w:val="left"/>
        <w:textAlignment w:val="auto"/>
        <w:rPr>
          <w:rFonts w:hint="eastAsia" w:ascii="仿宋" w:hAnsi="仿宋" w:eastAsia="仿宋" w:cs="仿宋"/>
          <w:spacing w:val="0"/>
          <w:w w:val="100"/>
          <w:sz w:val="24"/>
          <w:szCs w:val="24"/>
        </w:rPr>
      </w:pPr>
      <w:bookmarkStart w:id="30" w:name="3.6 备选投标方案"/>
      <w:bookmarkEnd w:id="30"/>
      <w:bookmarkStart w:id="31" w:name="3.6 备选投标方案"/>
      <w:bookmarkEnd w:id="31"/>
      <w:r>
        <w:rPr>
          <w:rFonts w:hint="eastAsia" w:ascii="仿宋" w:hAnsi="仿宋" w:eastAsia="仿宋" w:cs="仿宋"/>
          <w:spacing w:val="0"/>
          <w:w w:val="100"/>
          <w:sz w:val="24"/>
          <w:szCs w:val="24"/>
        </w:rPr>
        <w:t xml:space="preserve">备选投标方案（本项目不适用） </w:t>
      </w:r>
    </w:p>
    <w:p>
      <w:pPr>
        <w:pStyle w:val="10"/>
        <w:keepNext w:val="0"/>
        <w:keepLines w:val="0"/>
        <w:pageBreakBefore w:val="0"/>
        <w:widowControl w:val="0"/>
        <w:kinsoku/>
        <w:wordWrap/>
        <w:overflowPunct/>
        <w:topLinePunct w:val="0"/>
        <w:bidi w:val="0"/>
        <w:adjustRightInd/>
        <w:snapToGrid/>
        <w:spacing w:after="0" w:afterLines="0" w:line="460" w:lineRule="exact"/>
        <w:ind w:left="0" w:leftChars="0" w:right="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 </w:t>
      </w:r>
    </w:p>
    <w:p>
      <w:pPr>
        <w:pStyle w:val="37"/>
        <w:keepNext w:val="0"/>
        <w:keepLines w:val="0"/>
        <w:pageBreakBefore w:val="0"/>
        <w:widowControl w:val="0"/>
        <w:numPr>
          <w:ilvl w:val="1"/>
          <w:numId w:val="3"/>
        </w:numPr>
        <w:tabs>
          <w:tab w:val="left" w:pos="583"/>
        </w:tabs>
        <w:kinsoku/>
        <w:wordWrap/>
        <w:overflowPunct/>
        <w:topLinePunct w:val="0"/>
        <w:bidi w:val="0"/>
        <w:adjustRightInd/>
        <w:snapToGrid/>
        <w:spacing w:line="460" w:lineRule="exact"/>
        <w:ind w:left="0" w:leftChars="0" w:right="0" w:firstLine="480" w:firstLineChars="200"/>
        <w:jc w:val="left"/>
        <w:textAlignment w:val="auto"/>
        <w:rPr>
          <w:rFonts w:hint="eastAsia" w:ascii="仿宋" w:hAnsi="仿宋" w:eastAsia="仿宋" w:cs="仿宋"/>
          <w:spacing w:val="0"/>
          <w:w w:val="100"/>
          <w:sz w:val="24"/>
          <w:szCs w:val="24"/>
        </w:rPr>
      </w:pPr>
      <w:bookmarkStart w:id="32" w:name="3.7 投标文件的编制"/>
      <w:bookmarkEnd w:id="32"/>
      <w:bookmarkStart w:id="33" w:name="3.7 投标文件的编制"/>
      <w:bookmarkEnd w:id="33"/>
      <w:r>
        <w:rPr>
          <w:rFonts w:hint="eastAsia" w:ascii="仿宋" w:hAnsi="仿宋" w:eastAsia="仿宋" w:cs="仿宋"/>
          <w:spacing w:val="0"/>
          <w:w w:val="100"/>
          <w:sz w:val="24"/>
          <w:szCs w:val="24"/>
        </w:rPr>
        <w:t xml:space="preserve">投标文件的编制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3.3.1</w:t>
      </w:r>
      <w:r>
        <w:rPr>
          <w:rFonts w:hint="eastAsia" w:ascii="仿宋" w:hAnsi="仿宋" w:eastAsia="仿宋" w:cs="仿宋"/>
          <w:spacing w:val="0"/>
          <w:w w:val="100"/>
          <w:sz w:val="24"/>
          <w:szCs w:val="24"/>
        </w:rPr>
        <w:t>投标文件应按第七章“投标文件格式”进行编写，如有必要，可以增加附页</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作为投标文件的组成部分。其中，投标函附录在满足招标文件实质性要求的基础上，可以提出比招标文件要求更有利于招标人的承诺。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3.6.2</w:t>
      </w:r>
      <w:r>
        <w:rPr>
          <w:rFonts w:hint="eastAsia" w:ascii="仿宋" w:hAnsi="仿宋" w:eastAsia="仿宋" w:cs="仿宋"/>
          <w:spacing w:val="0"/>
          <w:w w:val="100"/>
          <w:sz w:val="24"/>
          <w:szCs w:val="24"/>
        </w:rPr>
        <w:t xml:space="preserve">投标文件应当对招标文件有关工期、投标有效期、质量要求、安全目标招标范围等实质性内容作出响应。 </w:t>
      </w:r>
      <w:bookmarkStart w:id="34" w:name="4. 投标"/>
      <w:bookmarkEnd w:id="34"/>
      <w:bookmarkStart w:id="35" w:name="4. 投标"/>
      <w:bookmarkEnd w:id="35"/>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 投标文件的制作</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3.7.1 投标文件应按第八章“投标文件格式”进行编写，如有必要，可以增加附页，作为投标文件的组成部分。</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3.7.2 投标文件应当对招标文件的实质性要求和条件做出满足性或更有利于招标人的响应，否则，投标将被否决。实质性要求和条件见投标人须知前附表。</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3.7.3 投标人使用“新点投标文件制作软件”在制作电子投标文件时，应按要求进行签字或签章。</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3.7.4 投标人登录“洛阳市公共资源交易中心”网站，按要求下载“新点投标文件制作软件”。</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3.7.5 投标人凭 CA 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 CA 锁。联合体投标的，投标文件由联合体牵头人按上述规定进行签章。</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3.7.6加密的电子投标文件为“洛阳市公共资源交易中心”网站提供的“新点投标文件制作软件”制作生成的加密版投标文件。</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3.7.7投标文件格式所要求包含的全部资料应全部制作在投标文件内，严格按照本项目投标文件所有格式如实填写（不涉及的内容除外），不应存在漏项或缺项，否则将存在投标文件被否决的风险。</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3.7.8 投标文件所附证明材料均为原件扫描件（或照片）， 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w:t>
      </w:r>
      <w:r>
        <w:rPr>
          <w:rFonts w:hint="eastAsia" w:ascii="仿宋" w:hAnsi="仿宋" w:eastAsia="仿宋" w:cs="仿宋"/>
          <w:spacing w:val="0"/>
          <w:w w:val="100"/>
          <w:sz w:val="24"/>
          <w:szCs w:val="24"/>
        </w:rPr>
        <w:t xml:space="preserve">投标 </w:t>
      </w:r>
    </w:p>
    <w:p>
      <w:pPr>
        <w:keepNext w:val="0"/>
        <w:keepLines w:val="0"/>
        <w:pageBreakBefore w:val="0"/>
        <w:widowControl w:val="0"/>
        <w:kinsoku/>
        <w:wordWrap/>
        <w:overflowPunct/>
        <w:topLinePunct w:val="0"/>
        <w:bidi w:val="0"/>
        <w:adjustRightInd/>
        <w:snapToGrid/>
        <w:spacing w:line="460" w:lineRule="exact"/>
        <w:ind w:left="0" w:leftChars="0" w:right="0" w:firstLine="482" w:firstLineChars="200"/>
        <w:textAlignment w:val="auto"/>
        <w:rPr>
          <w:rFonts w:hint="eastAsia" w:ascii="仿宋" w:hAnsi="仿宋" w:eastAsia="仿宋" w:cs="仿宋"/>
          <w:spacing w:val="0"/>
          <w:w w:val="100"/>
          <w:sz w:val="24"/>
          <w:szCs w:val="24"/>
        </w:rPr>
      </w:pPr>
      <w:bookmarkStart w:id="36" w:name="4.1 本项目采用远程不见面交易的模式。开标当日，投标人无需到开标现场参加开标会"/>
      <w:bookmarkEnd w:id="36"/>
      <w:bookmarkStart w:id="37" w:name="4.1 本项目采用远程不见面交易的模式。开标当日，投标人无需到开标现场参加开标会"/>
      <w:bookmarkEnd w:id="37"/>
      <w:r>
        <w:rPr>
          <w:rFonts w:hint="eastAsia" w:ascii="仿宋" w:hAnsi="仿宋" w:eastAsia="仿宋" w:cs="仿宋"/>
          <w:b/>
          <w:bCs/>
          <w:spacing w:val="0"/>
          <w:w w:val="100"/>
          <w:sz w:val="24"/>
          <w:szCs w:val="24"/>
          <w:lang w:val="en-US" w:eastAsia="zh-CN"/>
        </w:rPr>
        <w:t>4.1本项目采用远程不见面交易的模式，开标当日，投标人无需到开标现场参加开标会议，投标人应当在投标截止时间前，登录到洛阳市电子招投标交易平台（http://lyggzyjy.ly.gov.cn/TPBidder），点击右上方【不见面开标大厅】按钮进入，在线准时参加开标活动并进行投标文件解密等。因投标人原因未能解密、解密失败或解密超时的将被拒绝。请参照洛阳市公共资源交易中心首页-办事指南-下载中心-操作手册-《洛阳市公共资源交易中心不见面开标大厅操作手册（投标人）》。</w:t>
      </w:r>
    </w:p>
    <w:p>
      <w:pPr>
        <w:keepNext w:val="0"/>
        <w:keepLines w:val="0"/>
        <w:pageBreakBefore w:val="0"/>
        <w:widowControl w:val="0"/>
        <w:kinsoku/>
        <w:wordWrap/>
        <w:overflowPunct/>
        <w:topLinePunct w:val="0"/>
        <w:bidi w:val="0"/>
        <w:adjustRightInd/>
        <w:snapToGrid/>
        <w:spacing w:line="460" w:lineRule="exact"/>
        <w:ind w:left="0" w:leftChars="0" w:right="0" w:firstLine="480" w:firstLineChars="200"/>
        <w:textAlignment w:val="auto"/>
        <w:rPr>
          <w:rFonts w:hint="eastAsia" w:ascii="仿宋" w:hAnsi="仿宋" w:eastAsia="仿宋" w:cs="仿宋"/>
          <w:spacing w:val="0"/>
          <w:w w:val="100"/>
          <w:sz w:val="24"/>
          <w:szCs w:val="24"/>
        </w:rPr>
      </w:pPr>
      <w:bookmarkStart w:id="38" w:name="4.2 投标文件的提交"/>
      <w:bookmarkEnd w:id="38"/>
      <w:bookmarkStart w:id="39" w:name="4.2 投标文件的提交"/>
      <w:bookmarkEnd w:id="39"/>
      <w:r>
        <w:rPr>
          <w:rFonts w:hint="eastAsia" w:ascii="仿宋" w:hAnsi="仿宋" w:eastAsia="仿宋" w:cs="仿宋"/>
          <w:spacing w:val="0"/>
          <w:w w:val="100"/>
          <w:sz w:val="24"/>
          <w:szCs w:val="24"/>
          <w:lang w:val="en-US" w:eastAsia="zh-CN"/>
        </w:rPr>
        <w:t>4.2</w:t>
      </w:r>
      <w:r>
        <w:rPr>
          <w:rFonts w:hint="eastAsia" w:ascii="仿宋" w:hAnsi="仿宋" w:eastAsia="仿宋" w:cs="仿宋"/>
          <w:spacing w:val="0"/>
          <w:w w:val="100"/>
          <w:sz w:val="24"/>
          <w:szCs w:val="24"/>
        </w:rPr>
        <w:t xml:space="preserve">投标文件的提交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4.2.1</w:t>
      </w:r>
      <w:r>
        <w:rPr>
          <w:rFonts w:hint="eastAsia" w:ascii="仿宋" w:hAnsi="仿宋" w:eastAsia="仿宋" w:cs="仿宋"/>
          <w:spacing w:val="0"/>
          <w:w w:val="100"/>
          <w:sz w:val="24"/>
          <w:szCs w:val="24"/>
        </w:rPr>
        <w:t xml:space="preserve">投标人应在投标人须知前附表规定的投标截止时间前提交投标文件。不接受邮寄、电报、电话、传真等方式投标。除电子投标文件外，投标时不再接受任何纸质文件、资料等。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4.2.1</w:t>
      </w:r>
      <w:r>
        <w:rPr>
          <w:rFonts w:hint="eastAsia" w:ascii="仿宋" w:hAnsi="仿宋" w:eastAsia="仿宋" w:cs="仿宋"/>
          <w:spacing w:val="0"/>
          <w:w w:val="100"/>
          <w:sz w:val="24"/>
          <w:szCs w:val="24"/>
        </w:rPr>
        <w:t xml:space="preserve">投标人提交投标文件的地点：见投标人须知前附表。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4.2.3</w:t>
      </w:r>
      <w:r>
        <w:rPr>
          <w:rFonts w:hint="eastAsia" w:ascii="仿宋" w:hAnsi="仿宋" w:eastAsia="仿宋" w:cs="仿宋"/>
          <w:color w:val="auto"/>
          <w:spacing w:val="0"/>
          <w:w w:val="100"/>
          <w:sz w:val="24"/>
          <w:szCs w:val="24"/>
        </w:rPr>
        <w:t>是否退还投标文件</w:t>
      </w:r>
      <w:r>
        <w:rPr>
          <w:rFonts w:hint="eastAsia" w:ascii="仿宋" w:hAnsi="仿宋" w:eastAsia="仿宋" w:cs="仿宋"/>
          <w:spacing w:val="0"/>
          <w:w w:val="100"/>
          <w:sz w:val="24"/>
          <w:szCs w:val="24"/>
        </w:rPr>
        <w:t xml:space="preserve">：见投标人须知前附表。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4.2.4</w:t>
      </w:r>
      <w:r>
        <w:rPr>
          <w:rFonts w:hint="eastAsia" w:ascii="仿宋" w:hAnsi="仿宋" w:eastAsia="仿宋" w:cs="仿宋"/>
          <w:spacing w:val="0"/>
          <w:w w:val="100"/>
          <w:sz w:val="24"/>
          <w:szCs w:val="24"/>
        </w:rPr>
        <w:t xml:space="preserve">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4.2.5</w:t>
      </w:r>
      <w:r>
        <w:rPr>
          <w:rFonts w:hint="eastAsia" w:ascii="仿宋" w:hAnsi="仿宋" w:eastAsia="仿宋" w:cs="仿宋"/>
          <w:spacing w:val="0"/>
          <w:w w:val="100"/>
          <w:sz w:val="24"/>
          <w:szCs w:val="24"/>
        </w:rPr>
        <w:t xml:space="preserve">投标人因洛阳市电子招投标交易平台问题无法上传电子投标文件时，请在工作时间与交易中心联系。联系方式见投标人须知前附表。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4.2.6</w:t>
      </w:r>
      <w:r>
        <w:rPr>
          <w:rFonts w:hint="eastAsia" w:ascii="仿宋" w:hAnsi="仿宋" w:eastAsia="仿宋" w:cs="仿宋"/>
          <w:spacing w:val="0"/>
          <w:w w:val="100"/>
          <w:sz w:val="24"/>
          <w:szCs w:val="24"/>
        </w:rPr>
        <w:t xml:space="preserve">除投标人须知前附表另有规定外，投标人所提交的投标文件不予退还。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bookmarkStart w:id="40" w:name="4.3 投标文件的修改与撤回"/>
      <w:bookmarkEnd w:id="40"/>
      <w:bookmarkStart w:id="41" w:name="4.3 投标文件的修改与撤回"/>
      <w:bookmarkEnd w:id="41"/>
      <w:r>
        <w:rPr>
          <w:rFonts w:hint="eastAsia" w:ascii="仿宋" w:hAnsi="仿宋" w:eastAsia="仿宋" w:cs="仿宋"/>
          <w:spacing w:val="0"/>
          <w:w w:val="100"/>
          <w:sz w:val="24"/>
          <w:szCs w:val="24"/>
          <w:lang w:val="en-US" w:eastAsia="zh-CN"/>
        </w:rPr>
        <w:t>4.3</w:t>
      </w:r>
      <w:r>
        <w:rPr>
          <w:rFonts w:hint="eastAsia" w:ascii="仿宋" w:hAnsi="仿宋" w:eastAsia="仿宋" w:cs="仿宋"/>
          <w:spacing w:val="0"/>
          <w:w w:val="100"/>
          <w:sz w:val="24"/>
          <w:szCs w:val="24"/>
        </w:rPr>
        <w:t xml:space="preserve">投标文件的修改与撤回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4.3.1</w:t>
      </w:r>
      <w:r>
        <w:rPr>
          <w:rFonts w:hint="eastAsia" w:ascii="仿宋" w:hAnsi="仿宋" w:eastAsia="仿宋" w:cs="仿宋"/>
          <w:spacing w:val="0"/>
          <w:w w:val="100"/>
          <w:sz w:val="24"/>
          <w:szCs w:val="24"/>
        </w:rPr>
        <w:t xml:space="preserve">在投标截止时间前，投标人可以修改或撤回已递交的投标文件。投标人对加密投标文件进行撤回的，应在“洛阳市电子招投标交易平台”直接进行撤回操作；投标人对加密的投标文件进行修改的，应在投标截止时间前完成。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4.3.2</w:t>
      </w:r>
      <w:r>
        <w:rPr>
          <w:rFonts w:hint="eastAsia" w:ascii="仿宋" w:hAnsi="仿宋" w:eastAsia="仿宋" w:cs="仿宋"/>
          <w:spacing w:val="0"/>
          <w:w w:val="100"/>
          <w:sz w:val="24"/>
          <w:szCs w:val="24"/>
        </w:rPr>
        <w:t xml:space="preserve">投标人修改投标文件的，应使用规定的投标文件制作。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0" w:leftChars="0" w:right="0" w:rightChars="0" w:firstLine="480" w:firstLineChars="200"/>
        <w:textAlignment w:val="auto"/>
        <w:outlineLvl w:val="9"/>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4.3.3</w:t>
      </w:r>
      <w:r>
        <w:rPr>
          <w:rFonts w:hint="eastAsia" w:ascii="仿宋" w:hAnsi="仿宋" w:eastAsia="仿宋" w:cs="仿宋"/>
          <w:spacing w:val="0"/>
          <w:w w:val="100"/>
          <w:sz w:val="24"/>
          <w:szCs w:val="24"/>
        </w:rPr>
        <w:t>招标文件中要求投标人提交营业执照、业绩、荣誉及单位人员等相关资料原件的</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投标人将原件扫描件附到投标文件中即可（扫描件必须清晰明确）。评标委员会以投标文件中相关资料的扫描件作为评标依据。各投标单位对扫描件的真实性、合法性、有效性负责。 </w:t>
      </w:r>
    </w:p>
    <w:p>
      <w:pPr>
        <w:pStyle w:val="8"/>
        <w:keepNext w:val="0"/>
        <w:keepLines w:val="0"/>
        <w:pageBreakBefore w:val="0"/>
        <w:widowControl w:val="0"/>
        <w:numPr>
          <w:ilvl w:val="0"/>
          <w:numId w:val="0"/>
        </w:numPr>
        <w:tabs>
          <w:tab w:val="left" w:pos="912"/>
        </w:tabs>
        <w:kinsoku/>
        <w:wordWrap/>
        <w:overflowPunct/>
        <w:topLinePunct w:val="0"/>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42" w:name="5. 开标"/>
      <w:bookmarkEnd w:id="42"/>
      <w:bookmarkStart w:id="43" w:name="5. 开标"/>
      <w:bookmarkEnd w:id="43"/>
      <w:r>
        <w:rPr>
          <w:rFonts w:hint="eastAsia" w:ascii="仿宋" w:hAnsi="仿宋" w:eastAsia="仿宋" w:cs="仿宋"/>
          <w:spacing w:val="0"/>
          <w:w w:val="100"/>
          <w:sz w:val="24"/>
          <w:szCs w:val="24"/>
          <w:lang w:val="en-US" w:eastAsia="zh-CN"/>
        </w:rPr>
        <w:t>5.</w:t>
      </w:r>
      <w:r>
        <w:rPr>
          <w:rFonts w:hint="eastAsia" w:ascii="仿宋" w:hAnsi="仿宋" w:eastAsia="仿宋" w:cs="仿宋"/>
          <w:spacing w:val="0"/>
          <w:w w:val="100"/>
          <w:sz w:val="24"/>
          <w:szCs w:val="24"/>
        </w:rPr>
        <w:t xml:space="preserve">开标 </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44" w:name="5.1 开标时间和地点"/>
      <w:bookmarkEnd w:id="44"/>
      <w:bookmarkStart w:id="45" w:name="5.1 开标时间和地点"/>
      <w:bookmarkEnd w:id="45"/>
      <w:r>
        <w:rPr>
          <w:rFonts w:hint="eastAsia" w:ascii="仿宋" w:hAnsi="仿宋" w:eastAsia="仿宋" w:cs="仿宋"/>
          <w:spacing w:val="0"/>
          <w:w w:val="100"/>
          <w:sz w:val="24"/>
          <w:szCs w:val="24"/>
          <w:lang w:val="en-US" w:eastAsia="zh-CN"/>
        </w:rPr>
        <w:t>5.1</w:t>
      </w:r>
      <w:r>
        <w:rPr>
          <w:rFonts w:hint="eastAsia" w:ascii="仿宋" w:hAnsi="仿宋" w:eastAsia="仿宋" w:cs="仿宋"/>
          <w:spacing w:val="0"/>
          <w:w w:val="100"/>
          <w:sz w:val="24"/>
          <w:szCs w:val="24"/>
        </w:rPr>
        <w:t xml:space="preserve">开标时间和地点 </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招标人在投标截止时间（开标时间）和投标人须知前附表规定的地点公开开标。</w:t>
      </w:r>
      <w:bookmarkStart w:id="46" w:name="5.2 开标程序"/>
      <w:bookmarkEnd w:id="46"/>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5.2 开标程序</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主持人按下列程序进行开标： </w:t>
      </w:r>
      <w:bookmarkStart w:id="47" w:name="（1）宣布开标纪律；"/>
      <w:bookmarkEnd w:id="47"/>
      <w:bookmarkStart w:id="48" w:name="（1）宣布开标纪律；"/>
      <w:bookmarkEnd w:id="48"/>
    </w:p>
    <w:p>
      <w:pPr>
        <w:pStyle w:val="37"/>
        <w:keepNext w:val="0"/>
        <w:keepLines w:val="0"/>
        <w:pageBreakBefore w:val="0"/>
        <w:widowControl w:val="0"/>
        <w:numPr>
          <w:ilvl w:val="0"/>
          <w:numId w:val="4"/>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宣布招标人、监督人等有关人员姓名</w:t>
      </w:r>
      <w:r>
        <w:rPr>
          <w:rFonts w:hint="eastAsia" w:ascii="仿宋" w:hAnsi="仿宋" w:eastAsia="仿宋" w:cs="仿宋"/>
          <w:spacing w:val="0"/>
          <w:w w:val="100"/>
          <w:sz w:val="24"/>
          <w:szCs w:val="24"/>
          <w:lang w:eastAsia="zh-CN"/>
        </w:rPr>
        <w:t>；</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（2）宣布开标纪律及注意事项；</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（3）公布在投标截止时间前递交投标文件的投标人名称；</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（4）通过洛阳市电子招投标交易平台现场开标，公布投标人名称、投标报价、质量要求、计划工期及其他内容，并记录在案；</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（5）开标结束。</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5.3</w:t>
      </w:r>
      <w:r>
        <w:rPr>
          <w:rFonts w:hint="eastAsia" w:ascii="仿宋" w:hAnsi="仿宋" w:eastAsia="仿宋" w:cs="仿宋"/>
          <w:spacing w:val="0"/>
          <w:w w:val="100"/>
          <w:sz w:val="24"/>
          <w:szCs w:val="24"/>
        </w:rPr>
        <w:t xml:space="preserve">开标异常处理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当出现以下情况时，应对未开标的中止电子开标，对原有资料及信息作出妥善保密处理，并在恢复正常后及时安排时间开标： </w:t>
      </w:r>
    </w:p>
    <w:p>
      <w:pPr>
        <w:pStyle w:val="37"/>
        <w:keepNext w:val="0"/>
        <w:keepLines w:val="0"/>
        <w:pageBreakBefore w:val="0"/>
        <w:widowControl w:val="0"/>
        <w:numPr>
          <w:ilvl w:val="0"/>
          <w:numId w:val="0"/>
        </w:numPr>
        <w:tabs>
          <w:tab w:val="left" w:pos="188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1</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系统服务器发生故障，无法访问或无法使用系统； </w:t>
      </w:r>
    </w:p>
    <w:p>
      <w:pPr>
        <w:pStyle w:val="37"/>
        <w:keepNext w:val="0"/>
        <w:keepLines w:val="0"/>
        <w:pageBreakBefore w:val="0"/>
        <w:widowControl w:val="0"/>
        <w:numPr>
          <w:ilvl w:val="0"/>
          <w:numId w:val="0"/>
        </w:numPr>
        <w:tabs>
          <w:tab w:val="left" w:pos="188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2</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系统的软件或数据库出现错误，不能进行正常操作； </w:t>
      </w:r>
    </w:p>
    <w:p>
      <w:pPr>
        <w:pStyle w:val="37"/>
        <w:keepNext w:val="0"/>
        <w:keepLines w:val="0"/>
        <w:pageBreakBefore w:val="0"/>
        <w:widowControl w:val="0"/>
        <w:numPr>
          <w:ilvl w:val="0"/>
          <w:numId w:val="0"/>
        </w:numPr>
        <w:tabs>
          <w:tab w:val="left" w:pos="188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3</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系统发现有安全漏洞，有潜在的泄密危险； </w:t>
      </w:r>
    </w:p>
    <w:p>
      <w:pPr>
        <w:pStyle w:val="37"/>
        <w:keepNext w:val="0"/>
        <w:keepLines w:val="0"/>
        <w:pageBreakBefore w:val="0"/>
        <w:widowControl w:val="0"/>
        <w:numPr>
          <w:ilvl w:val="0"/>
          <w:numId w:val="0"/>
        </w:numPr>
        <w:tabs>
          <w:tab w:val="left" w:pos="188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4</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出现断电事故且短时间内无法恢复供电； </w:t>
      </w:r>
    </w:p>
    <w:p>
      <w:pPr>
        <w:pStyle w:val="37"/>
        <w:keepNext w:val="0"/>
        <w:keepLines w:val="0"/>
        <w:pageBreakBefore w:val="0"/>
        <w:widowControl w:val="0"/>
        <w:numPr>
          <w:ilvl w:val="0"/>
          <w:numId w:val="0"/>
        </w:numPr>
        <w:tabs>
          <w:tab w:val="left" w:pos="1889"/>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5</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其他无法保证招投标过程正常进行的情形。 </w:t>
      </w:r>
      <w:bookmarkStart w:id="49" w:name="6. 评标"/>
      <w:bookmarkEnd w:id="49"/>
      <w:r>
        <w:rPr>
          <w:rFonts w:hint="eastAsia" w:ascii="仿宋" w:hAnsi="仿宋" w:eastAsia="仿宋" w:cs="仿宋"/>
          <w:spacing w:val="0"/>
          <w:w w:val="100"/>
          <w:sz w:val="24"/>
          <w:szCs w:val="24"/>
          <w:lang w:val="en-US" w:eastAsia="zh-CN"/>
        </w:rPr>
        <w:t xml:space="preserve"> </w:t>
      </w:r>
    </w:p>
    <w:p>
      <w:pPr>
        <w:pStyle w:val="37"/>
        <w:keepNext w:val="0"/>
        <w:keepLines w:val="0"/>
        <w:pageBreakBefore w:val="0"/>
        <w:widowControl w:val="0"/>
        <w:numPr>
          <w:ilvl w:val="0"/>
          <w:numId w:val="0"/>
        </w:numPr>
        <w:tabs>
          <w:tab w:val="left" w:pos="1889"/>
        </w:tabs>
        <w:kinsoku/>
        <w:wordWrap/>
        <w:overflowPunct/>
        <w:topLinePunct w:val="0"/>
        <w:bidi w:val="0"/>
        <w:adjustRightInd/>
        <w:snapToGrid/>
        <w:spacing w:line="460" w:lineRule="exact"/>
        <w:ind w:left="0" w:leftChars="0" w:right="0" w:rightChars="0" w:firstLine="482" w:firstLineChars="200"/>
        <w:jc w:val="left"/>
        <w:textAlignment w:val="auto"/>
        <w:rPr>
          <w:rFonts w:hint="eastAsia" w:ascii="仿宋" w:hAnsi="仿宋" w:eastAsia="仿宋" w:cs="仿宋"/>
          <w:spacing w:val="0"/>
          <w:w w:val="100"/>
          <w:sz w:val="24"/>
          <w:szCs w:val="24"/>
        </w:rPr>
      </w:pPr>
      <w:r>
        <w:rPr>
          <w:rFonts w:hint="eastAsia" w:ascii="仿宋" w:hAnsi="仿宋" w:eastAsia="仿宋" w:cs="仿宋"/>
          <w:b/>
          <w:bCs/>
          <w:spacing w:val="0"/>
          <w:w w:val="100"/>
          <w:sz w:val="24"/>
          <w:szCs w:val="24"/>
          <w:lang w:val="en-US" w:eastAsia="zh-CN" w:bidi="zh-CN"/>
        </w:rPr>
        <w:t>6.</w:t>
      </w:r>
      <w:r>
        <w:rPr>
          <w:rFonts w:hint="eastAsia" w:ascii="仿宋" w:hAnsi="仿宋" w:eastAsia="仿宋" w:cs="仿宋"/>
          <w:b/>
          <w:bCs/>
          <w:spacing w:val="0"/>
          <w:w w:val="100"/>
          <w:sz w:val="24"/>
          <w:szCs w:val="24"/>
          <w:lang w:val="zh-CN" w:eastAsia="zh-CN" w:bidi="zh-CN"/>
        </w:rPr>
        <w:t xml:space="preserve">评标 </w:t>
      </w:r>
    </w:p>
    <w:p>
      <w:pPr>
        <w:pStyle w:val="37"/>
        <w:keepNext w:val="0"/>
        <w:keepLines w:val="0"/>
        <w:pageBreakBefore w:val="0"/>
        <w:widowControl w:val="0"/>
        <w:numPr>
          <w:ilvl w:val="0"/>
          <w:numId w:val="0"/>
        </w:numPr>
        <w:tabs>
          <w:tab w:val="left" w:pos="583"/>
        </w:tabs>
        <w:kinsoku/>
        <w:wordWrap/>
        <w:overflowPunct/>
        <w:topLinePunct w:val="0"/>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lang w:val="zh-CN" w:eastAsia="zh-CN"/>
        </w:rPr>
      </w:pPr>
      <w:bookmarkStart w:id="50" w:name="6.1 评标委员会"/>
      <w:bookmarkEnd w:id="50"/>
      <w:bookmarkStart w:id="51" w:name="6.1 评标委员会"/>
      <w:bookmarkEnd w:id="51"/>
      <w:r>
        <w:rPr>
          <w:rFonts w:hint="eastAsia" w:ascii="仿宋" w:hAnsi="仿宋" w:eastAsia="仿宋" w:cs="仿宋"/>
          <w:spacing w:val="0"/>
          <w:w w:val="100"/>
          <w:sz w:val="24"/>
          <w:szCs w:val="24"/>
          <w:lang w:val="en-US" w:eastAsia="zh-CN"/>
        </w:rPr>
        <w:t>6.1</w:t>
      </w:r>
      <w:r>
        <w:rPr>
          <w:rFonts w:hint="eastAsia" w:ascii="仿宋" w:hAnsi="仿宋" w:eastAsia="仿宋" w:cs="仿宋"/>
          <w:spacing w:val="0"/>
          <w:w w:val="100"/>
          <w:sz w:val="24"/>
          <w:szCs w:val="24"/>
          <w:lang w:val="zh-CN" w:eastAsia="zh-CN"/>
        </w:rPr>
        <w:t xml:space="preserve">评标委员会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6.1.1</w:t>
      </w:r>
      <w:r>
        <w:rPr>
          <w:rFonts w:hint="eastAsia" w:ascii="仿宋" w:hAnsi="仿宋" w:eastAsia="仿宋" w:cs="仿宋"/>
          <w:spacing w:val="0"/>
          <w:w w:val="100"/>
          <w:sz w:val="24"/>
          <w:szCs w:val="24"/>
        </w:rPr>
        <w:t xml:space="preserve">评标由招标人依法组建的评标委员会负责。评标委员会由招标人熟悉相关业务的代表，以及有关技术、经济等方面的专家组成。评标委员会成员人数以及技术、经济等方面专家的确定方式见投标人须知前附表。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6.1.2</w:t>
      </w:r>
      <w:r>
        <w:rPr>
          <w:rFonts w:hint="eastAsia" w:ascii="仿宋" w:hAnsi="仿宋" w:eastAsia="仿宋" w:cs="仿宋"/>
          <w:spacing w:val="0"/>
          <w:w w:val="100"/>
          <w:sz w:val="24"/>
          <w:szCs w:val="24"/>
        </w:rPr>
        <w:t xml:space="preserve">评标委员会成员有下列情形之一的，应当回避： </w:t>
      </w:r>
    </w:p>
    <w:p>
      <w:pPr>
        <w:pStyle w:val="37"/>
        <w:keepNext w:val="0"/>
        <w:keepLines w:val="0"/>
        <w:pageBreakBefore w:val="0"/>
        <w:widowControl w:val="0"/>
        <w:numPr>
          <w:ilvl w:val="0"/>
          <w:numId w:val="0"/>
        </w:numPr>
        <w:tabs>
          <w:tab w:val="left" w:pos="122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1</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招标人或投标人的主要负责人的近亲属； </w:t>
      </w:r>
    </w:p>
    <w:p>
      <w:pPr>
        <w:pStyle w:val="37"/>
        <w:keepNext w:val="0"/>
        <w:keepLines w:val="0"/>
        <w:pageBreakBefore w:val="0"/>
        <w:widowControl w:val="0"/>
        <w:numPr>
          <w:ilvl w:val="0"/>
          <w:numId w:val="0"/>
        </w:numPr>
        <w:tabs>
          <w:tab w:val="left" w:pos="122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2</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项目主管部门或者行政监督部门的人员； </w:t>
      </w:r>
    </w:p>
    <w:p>
      <w:pPr>
        <w:pStyle w:val="37"/>
        <w:keepNext w:val="0"/>
        <w:keepLines w:val="0"/>
        <w:pageBreakBefore w:val="0"/>
        <w:widowControl w:val="0"/>
        <w:numPr>
          <w:ilvl w:val="0"/>
          <w:numId w:val="0"/>
        </w:numPr>
        <w:tabs>
          <w:tab w:val="left" w:pos="122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3</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与投标人有经济利益关系，可能影响对投标公正评审的； </w:t>
      </w:r>
    </w:p>
    <w:p>
      <w:pPr>
        <w:pStyle w:val="37"/>
        <w:keepNext w:val="0"/>
        <w:keepLines w:val="0"/>
        <w:pageBreakBefore w:val="0"/>
        <w:widowControl w:val="0"/>
        <w:numPr>
          <w:ilvl w:val="0"/>
          <w:numId w:val="0"/>
        </w:numPr>
        <w:tabs>
          <w:tab w:val="left" w:pos="122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lang w:val="en-US" w:eastAsia="zh-CN"/>
        </w:rPr>
        <w:t>4</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 xml:space="preserve">曾因在招标、评标以及其他与招标投标有关活动中从事违法行为而受过行政处罚或刑事处罚的。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52" w:name="6.2 评标原则"/>
      <w:bookmarkEnd w:id="52"/>
      <w:bookmarkStart w:id="53" w:name="6.2 评标原则"/>
      <w:bookmarkEnd w:id="53"/>
      <w:r>
        <w:rPr>
          <w:rFonts w:hint="eastAsia" w:ascii="仿宋" w:hAnsi="仿宋" w:eastAsia="仿宋" w:cs="仿宋"/>
          <w:spacing w:val="0"/>
          <w:w w:val="100"/>
          <w:sz w:val="24"/>
          <w:szCs w:val="24"/>
          <w:lang w:val="en-US" w:eastAsia="zh-CN"/>
        </w:rPr>
        <w:t>6.2</w:t>
      </w:r>
      <w:r>
        <w:rPr>
          <w:rFonts w:hint="eastAsia" w:ascii="仿宋" w:hAnsi="仿宋" w:eastAsia="仿宋" w:cs="仿宋"/>
          <w:spacing w:val="0"/>
          <w:w w:val="100"/>
          <w:sz w:val="24"/>
          <w:szCs w:val="24"/>
        </w:rPr>
        <w:t xml:space="preserve">评标原则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评标活动遵循公平、公正、科学和择优的原则。</w:t>
      </w:r>
      <w:bookmarkStart w:id="54" w:name="6.3 评标"/>
      <w:bookmarkEnd w:id="54"/>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6.3 评标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评标委员会按照第三章“评标办法”规定的方法、评审因素、标准和程序对投标文件进行评审。第三章“评标办法”没有规定的方法、评审因素和标准，不作为评标依据。 </w:t>
      </w:r>
      <w:bookmarkStart w:id="55" w:name="7. 合同授予"/>
      <w:bookmarkEnd w:id="55"/>
      <w:bookmarkStart w:id="56" w:name="7. 合同授予"/>
      <w:bookmarkEnd w:id="56"/>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b/>
          <w:spacing w:val="0"/>
          <w:w w:val="100"/>
          <w:sz w:val="24"/>
          <w:szCs w:val="24"/>
        </w:rPr>
      </w:pPr>
      <w:r>
        <w:rPr>
          <w:rFonts w:hint="eastAsia" w:ascii="仿宋" w:hAnsi="仿宋" w:eastAsia="仿宋" w:cs="仿宋"/>
          <w:spacing w:val="0"/>
          <w:w w:val="100"/>
          <w:sz w:val="24"/>
          <w:szCs w:val="24"/>
          <w:lang w:val="en-US" w:eastAsia="zh-CN"/>
        </w:rPr>
        <w:t>7.</w:t>
      </w:r>
      <w:r>
        <w:rPr>
          <w:rFonts w:hint="eastAsia" w:ascii="仿宋" w:hAnsi="仿宋" w:eastAsia="仿宋" w:cs="仿宋"/>
          <w:spacing w:val="0"/>
          <w:w w:val="100"/>
          <w:sz w:val="24"/>
          <w:szCs w:val="24"/>
        </w:rPr>
        <w:t xml:space="preserve">合同授予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57" w:name="7.1 定标方式"/>
      <w:bookmarkEnd w:id="57"/>
      <w:bookmarkStart w:id="58" w:name="7.1 定标方式"/>
      <w:bookmarkEnd w:id="58"/>
      <w:r>
        <w:rPr>
          <w:rFonts w:hint="eastAsia" w:ascii="仿宋" w:hAnsi="仿宋" w:eastAsia="仿宋" w:cs="仿宋"/>
          <w:spacing w:val="0"/>
          <w:w w:val="100"/>
          <w:sz w:val="24"/>
          <w:szCs w:val="24"/>
          <w:lang w:val="en-US" w:eastAsia="zh-CN"/>
        </w:rPr>
        <w:t>7.1</w:t>
      </w:r>
      <w:r>
        <w:rPr>
          <w:rFonts w:hint="eastAsia" w:ascii="仿宋" w:hAnsi="仿宋" w:eastAsia="仿宋" w:cs="仿宋"/>
          <w:spacing w:val="0"/>
          <w:w w:val="100"/>
          <w:sz w:val="24"/>
          <w:szCs w:val="24"/>
        </w:rPr>
        <w:t>定标方式</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除投标人须知前附表规定评标委员会直接确定中标人外，招标人依据评标委员会推荐的中标候选人确定中标人，评标委员会推荐中标候选人的人数见投标人须知前附表。 </w:t>
      </w:r>
      <w:bookmarkStart w:id="59" w:name="7.2 中标通知"/>
      <w:bookmarkEnd w:id="59"/>
      <w:bookmarkStart w:id="60" w:name="7.2 中标通知"/>
      <w:bookmarkEnd w:id="60"/>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7.2</w:t>
      </w:r>
      <w:r>
        <w:rPr>
          <w:rFonts w:hint="eastAsia" w:ascii="仿宋" w:hAnsi="仿宋" w:eastAsia="仿宋" w:cs="仿宋"/>
          <w:spacing w:val="0"/>
          <w:w w:val="100"/>
          <w:sz w:val="24"/>
          <w:szCs w:val="24"/>
        </w:rPr>
        <w:t>中标通知</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在本章第3.3款规定的投标有效期内，招标人以书面形式向中标人发出中标通知书，同时将中标结果通知未中标的投标人。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61" w:name="7.3 履约担保"/>
      <w:bookmarkEnd w:id="61"/>
      <w:bookmarkStart w:id="62" w:name="7.3 履约担保"/>
      <w:bookmarkEnd w:id="62"/>
      <w:r>
        <w:rPr>
          <w:rFonts w:hint="eastAsia" w:ascii="仿宋" w:hAnsi="仿宋" w:eastAsia="仿宋" w:cs="仿宋"/>
          <w:spacing w:val="0"/>
          <w:w w:val="100"/>
          <w:sz w:val="24"/>
          <w:szCs w:val="24"/>
          <w:lang w:val="en-US" w:eastAsia="zh-CN"/>
        </w:rPr>
        <w:t>7.3</w:t>
      </w:r>
      <w:r>
        <w:rPr>
          <w:rFonts w:hint="eastAsia" w:ascii="仿宋" w:hAnsi="仿宋" w:eastAsia="仿宋" w:cs="仿宋"/>
          <w:spacing w:val="0"/>
          <w:w w:val="100"/>
          <w:sz w:val="24"/>
          <w:szCs w:val="24"/>
        </w:rPr>
        <w:t xml:space="preserve">履约担保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7.3.1</w:t>
      </w:r>
      <w:r>
        <w:rPr>
          <w:rFonts w:hint="eastAsia" w:ascii="仿宋" w:hAnsi="仿宋" w:eastAsia="仿宋" w:cs="仿宋"/>
          <w:spacing w:val="0"/>
          <w:w w:val="100"/>
          <w:sz w:val="24"/>
          <w:szCs w:val="24"/>
        </w:rPr>
        <w:t xml:space="preserve">在签订合同前，中标人应按投标人须知前附表规定的金额、担保形式和招标文件第四章“合同条款及格式”规定的履约担保格式向招标人提交履约担保。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7.3.2</w:t>
      </w:r>
      <w:r>
        <w:rPr>
          <w:rFonts w:hint="eastAsia" w:ascii="仿宋" w:hAnsi="仿宋" w:eastAsia="仿宋" w:cs="仿宋"/>
          <w:spacing w:val="0"/>
          <w:w w:val="100"/>
          <w:sz w:val="24"/>
          <w:szCs w:val="24"/>
        </w:rPr>
        <w:t xml:space="preserve">中标人不能按本章第7.3.1项要求提交履约担保的，视为放弃中标，其投标保证金不予退还，给招标人造成的损失超过投标保证金数额的，中标人还应当对超过部分予以赔偿。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7.4 签订合同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7.4.1</w:t>
      </w:r>
      <w:r>
        <w:rPr>
          <w:rFonts w:hint="eastAsia" w:ascii="仿宋" w:hAnsi="仿宋" w:eastAsia="仿宋" w:cs="仿宋"/>
          <w:spacing w:val="0"/>
          <w:w w:val="100"/>
          <w:sz w:val="24"/>
          <w:szCs w:val="24"/>
        </w:rPr>
        <w:t>招标人和中标人应当自中标通知书发出之日起</w:t>
      </w:r>
      <w:r>
        <w:rPr>
          <w:rFonts w:hint="eastAsia" w:ascii="仿宋" w:hAnsi="仿宋" w:eastAsia="仿宋" w:cs="仿宋"/>
          <w:spacing w:val="0"/>
          <w:w w:val="100"/>
          <w:sz w:val="24"/>
          <w:szCs w:val="24"/>
          <w:lang w:val="en-US" w:eastAsia="zh-CN"/>
        </w:rPr>
        <w:t>1</w:t>
      </w:r>
      <w:r>
        <w:rPr>
          <w:rFonts w:hint="eastAsia" w:ascii="仿宋" w:hAnsi="仿宋" w:eastAsia="仿宋" w:cs="仿宋"/>
          <w:spacing w:val="0"/>
          <w:w w:val="100"/>
          <w:sz w:val="24"/>
          <w:szCs w:val="24"/>
        </w:rPr>
        <w:t xml:space="preserve">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pStyle w:val="37"/>
        <w:keepNext w:val="0"/>
        <w:keepLines w:val="0"/>
        <w:pageBreakBefore w:val="0"/>
        <w:widowControl w:val="0"/>
        <w:numPr>
          <w:ilvl w:val="0"/>
          <w:numId w:val="0"/>
        </w:numPr>
        <w:tabs>
          <w:tab w:val="left" w:pos="1438"/>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7.4.2</w:t>
      </w:r>
      <w:r>
        <w:rPr>
          <w:rFonts w:hint="eastAsia" w:ascii="仿宋" w:hAnsi="仿宋" w:eastAsia="仿宋" w:cs="仿宋"/>
          <w:spacing w:val="0"/>
          <w:w w:val="100"/>
          <w:sz w:val="24"/>
          <w:szCs w:val="24"/>
        </w:rPr>
        <w:t xml:space="preserve">发出中标通知书后，招标人无正当理由拒签合同的，招标人向中标人退还投标保证金；给中标人造成损失的，还应当赔偿损失。 </w:t>
      </w:r>
    </w:p>
    <w:p>
      <w:pPr>
        <w:pStyle w:val="8"/>
        <w:keepNext w:val="0"/>
        <w:keepLines w:val="0"/>
        <w:pageBreakBefore w:val="0"/>
        <w:widowControl w:val="0"/>
        <w:numPr>
          <w:ilvl w:val="0"/>
          <w:numId w:val="0"/>
        </w:numPr>
        <w:tabs>
          <w:tab w:val="left" w:pos="912"/>
        </w:tabs>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63" w:name="8. 重新招标和不再招标"/>
      <w:bookmarkEnd w:id="63"/>
      <w:bookmarkStart w:id="64" w:name="8. 重新招标和不再招标"/>
      <w:bookmarkEnd w:id="64"/>
      <w:r>
        <w:rPr>
          <w:rFonts w:hint="eastAsia" w:ascii="仿宋" w:hAnsi="仿宋" w:eastAsia="仿宋" w:cs="仿宋"/>
          <w:spacing w:val="0"/>
          <w:w w:val="100"/>
          <w:sz w:val="24"/>
          <w:szCs w:val="24"/>
          <w:lang w:val="en-US" w:eastAsia="zh-CN"/>
        </w:rPr>
        <w:t>8.</w:t>
      </w:r>
      <w:r>
        <w:rPr>
          <w:rFonts w:hint="eastAsia" w:ascii="仿宋" w:hAnsi="仿宋" w:eastAsia="仿宋" w:cs="仿宋"/>
          <w:spacing w:val="0"/>
          <w:w w:val="100"/>
          <w:sz w:val="24"/>
          <w:szCs w:val="24"/>
        </w:rPr>
        <w:t xml:space="preserve">重新招标和不再招标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65" w:name="8.1 重新招标"/>
      <w:bookmarkEnd w:id="65"/>
      <w:bookmarkStart w:id="66" w:name="8.1 重新招标"/>
      <w:bookmarkEnd w:id="66"/>
      <w:r>
        <w:rPr>
          <w:rFonts w:hint="eastAsia" w:ascii="仿宋" w:hAnsi="仿宋" w:eastAsia="仿宋" w:cs="仿宋"/>
          <w:spacing w:val="0"/>
          <w:w w:val="100"/>
          <w:sz w:val="24"/>
          <w:szCs w:val="24"/>
          <w:lang w:val="en-US" w:eastAsia="zh-CN"/>
        </w:rPr>
        <w:t>8.1</w:t>
      </w:r>
      <w:r>
        <w:rPr>
          <w:rFonts w:hint="eastAsia" w:ascii="仿宋" w:hAnsi="仿宋" w:eastAsia="仿宋" w:cs="仿宋"/>
          <w:spacing w:val="0"/>
          <w:w w:val="100"/>
          <w:sz w:val="24"/>
          <w:szCs w:val="24"/>
        </w:rPr>
        <w:t xml:space="preserve">重新招标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有下列情形之一的，招标人将重新招标： </w:t>
      </w:r>
    </w:p>
    <w:p>
      <w:pPr>
        <w:pStyle w:val="37"/>
        <w:keepNext w:val="0"/>
        <w:keepLines w:val="0"/>
        <w:pageBreakBefore w:val="0"/>
        <w:widowControl w:val="0"/>
        <w:numPr>
          <w:ilvl w:val="0"/>
          <w:numId w:val="5"/>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投标截止时间止，投标人少于3个的； </w:t>
      </w:r>
    </w:p>
    <w:p>
      <w:pPr>
        <w:pStyle w:val="37"/>
        <w:keepNext w:val="0"/>
        <w:keepLines w:val="0"/>
        <w:pageBreakBefore w:val="0"/>
        <w:widowControl w:val="0"/>
        <w:numPr>
          <w:ilvl w:val="0"/>
          <w:numId w:val="5"/>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经评标委员会评审后否决所有投标的。</w:t>
      </w:r>
      <w:bookmarkStart w:id="67" w:name="8.2 不再招标"/>
      <w:bookmarkEnd w:id="67"/>
    </w:p>
    <w:p>
      <w:pPr>
        <w:pStyle w:val="37"/>
        <w:keepNext w:val="0"/>
        <w:keepLines w:val="0"/>
        <w:pageBreakBefore w:val="0"/>
        <w:widowControl w:val="0"/>
        <w:numPr>
          <w:ilvl w:val="0"/>
          <w:numId w:val="0"/>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8.2 不再招标 </w:t>
      </w:r>
    </w:p>
    <w:p>
      <w:pPr>
        <w:pStyle w:val="37"/>
        <w:keepNext w:val="0"/>
        <w:keepLines w:val="0"/>
        <w:pageBreakBefore w:val="0"/>
        <w:widowControl w:val="0"/>
        <w:numPr>
          <w:ilvl w:val="0"/>
          <w:numId w:val="0"/>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重新招标后投标人仍少于3个或者所有投标被否决的，属于必须审批或核准的工程建设项目，经原审批或核准部门批准后不再进行招标。</w:t>
      </w:r>
      <w:bookmarkStart w:id="68" w:name="9. 纪律和监督"/>
      <w:bookmarkEnd w:id="68"/>
      <w:bookmarkStart w:id="69" w:name="9. 纪律和监督"/>
      <w:bookmarkEnd w:id="69"/>
    </w:p>
    <w:p>
      <w:pPr>
        <w:pStyle w:val="37"/>
        <w:keepNext w:val="0"/>
        <w:keepLines w:val="0"/>
        <w:pageBreakBefore w:val="0"/>
        <w:widowControl w:val="0"/>
        <w:numPr>
          <w:ilvl w:val="0"/>
          <w:numId w:val="0"/>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9.</w:t>
      </w:r>
      <w:r>
        <w:rPr>
          <w:rFonts w:hint="eastAsia" w:ascii="仿宋" w:hAnsi="仿宋" w:eastAsia="仿宋" w:cs="仿宋"/>
          <w:spacing w:val="0"/>
          <w:w w:val="100"/>
          <w:sz w:val="24"/>
          <w:szCs w:val="24"/>
        </w:rPr>
        <w:t>纪律和监督</w:t>
      </w:r>
    </w:p>
    <w:p>
      <w:pPr>
        <w:pStyle w:val="37"/>
        <w:keepNext w:val="0"/>
        <w:keepLines w:val="0"/>
        <w:pageBreakBefore w:val="0"/>
        <w:widowControl w:val="0"/>
        <w:numPr>
          <w:ilvl w:val="0"/>
          <w:numId w:val="0"/>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 </w:t>
      </w:r>
      <w:bookmarkStart w:id="70" w:name="9.1 对招标人的纪律要求"/>
      <w:bookmarkEnd w:id="70"/>
      <w:bookmarkStart w:id="71" w:name="9.1 对招标人的纪律要求"/>
      <w:bookmarkEnd w:id="71"/>
      <w:r>
        <w:rPr>
          <w:rFonts w:hint="eastAsia" w:ascii="仿宋" w:hAnsi="仿宋" w:eastAsia="仿宋" w:cs="仿宋"/>
          <w:spacing w:val="0"/>
          <w:w w:val="100"/>
          <w:sz w:val="24"/>
          <w:szCs w:val="24"/>
          <w:lang w:val="en-US" w:eastAsia="zh-CN"/>
        </w:rPr>
        <w:t>9.1</w:t>
      </w:r>
      <w:r>
        <w:rPr>
          <w:rFonts w:hint="eastAsia" w:ascii="仿宋" w:hAnsi="仿宋" w:eastAsia="仿宋" w:cs="仿宋"/>
          <w:spacing w:val="0"/>
          <w:w w:val="100"/>
          <w:sz w:val="24"/>
          <w:szCs w:val="24"/>
        </w:rPr>
        <w:t>对招标人的纪律要求</w:t>
      </w:r>
    </w:p>
    <w:p>
      <w:pPr>
        <w:pStyle w:val="37"/>
        <w:keepNext w:val="0"/>
        <w:keepLines w:val="0"/>
        <w:pageBreakBefore w:val="0"/>
        <w:widowControl w:val="0"/>
        <w:numPr>
          <w:ilvl w:val="0"/>
          <w:numId w:val="0"/>
        </w:numPr>
        <w:tabs>
          <w:tab w:val="left" w:pos="1439"/>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招标人不得泄漏招标投标活动中应当保密的情况和资料，不得与投标人串通损害国家利益、社会公共利益或者他人合法权益。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72" w:name="9.2 对投标人的纪律要求"/>
      <w:bookmarkEnd w:id="72"/>
      <w:bookmarkStart w:id="73" w:name="9.2 对投标人的纪律要求"/>
      <w:bookmarkEnd w:id="73"/>
      <w:r>
        <w:rPr>
          <w:rFonts w:hint="eastAsia" w:ascii="仿宋" w:hAnsi="仿宋" w:eastAsia="仿宋" w:cs="仿宋"/>
          <w:spacing w:val="0"/>
          <w:w w:val="100"/>
          <w:sz w:val="24"/>
          <w:szCs w:val="24"/>
          <w:lang w:val="en-US" w:eastAsia="zh-CN"/>
        </w:rPr>
        <w:t>9.2</w:t>
      </w:r>
      <w:r>
        <w:rPr>
          <w:rFonts w:hint="eastAsia" w:ascii="仿宋" w:hAnsi="仿宋" w:eastAsia="仿宋" w:cs="仿宋"/>
          <w:spacing w:val="0"/>
          <w:w w:val="100"/>
          <w:sz w:val="24"/>
          <w:szCs w:val="24"/>
        </w:rPr>
        <w:t xml:space="preserve">对投标人的纪律要求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74" w:name="9.3 对评标委员会成员的纪律要求"/>
      <w:bookmarkEnd w:id="74"/>
      <w:bookmarkStart w:id="75" w:name="9.3 对评标委员会成员的纪律要求"/>
      <w:bookmarkEnd w:id="75"/>
      <w:r>
        <w:rPr>
          <w:rFonts w:hint="eastAsia" w:ascii="仿宋" w:hAnsi="仿宋" w:eastAsia="仿宋" w:cs="仿宋"/>
          <w:spacing w:val="0"/>
          <w:w w:val="100"/>
          <w:sz w:val="24"/>
          <w:szCs w:val="24"/>
          <w:lang w:val="en-US" w:eastAsia="zh-CN"/>
        </w:rPr>
        <w:t>9.3</w:t>
      </w:r>
      <w:r>
        <w:rPr>
          <w:rFonts w:hint="eastAsia" w:ascii="仿宋" w:hAnsi="仿宋" w:eastAsia="仿宋" w:cs="仿宋"/>
          <w:spacing w:val="0"/>
          <w:w w:val="100"/>
          <w:sz w:val="24"/>
          <w:szCs w:val="24"/>
        </w:rPr>
        <w:t xml:space="preserve">对评标委员会成员的纪律要求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76" w:name="9.4 对与评标活动有关的工作人员的纪律要求"/>
      <w:bookmarkEnd w:id="76"/>
      <w:bookmarkStart w:id="77" w:name="9.4 对与评标活动有关的工作人员的纪律要求"/>
      <w:bookmarkEnd w:id="77"/>
      <w:r>
        <w:rPr>
          <w:rFonts w:hint="eastAsia" w:ascii="仿宋" w:hAnsi="仿宋" w:eastAsia="仿宋" w:cs="仿宋"/>
          <w:spacing w:val="0"/>
          <w:w w:val="100"/>
          <w:sz w:val="24"/>
          <w:szCs w:val="24"/>
          <w:lang w:val="en-US" w:eastAsia="zh-CN"/>
        </w:rPr>
        <w:t>9.4</w:t>
      </w:r>
      <w:r>
        <w:rPr>
          <w:rFonts w:hint="eastAsia" w:ascii="仿宋" w:hAnsi="仿宋" w:eastAsia="仿宋" w:cs="仿宋"/>
          <w:spacing w:val="0"/>
          <w:w w:val="100"/>
          <w:sz w:val="24"/>
          <w:szCs w:val="24"/>
        </w:rPr>
        <w:t xml:space="preserve">对与评标活动有关的工作人员的纪律要求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bookmarkStart w:id="78" w:name="9.5 投诉"/>
      <w:bookmarkEnd w:id="78"/>
      <w:bookmarkStart w:id="79" w:name="9.5 投诉"/>
      <w:bookmarkEnd w:id="79"/>
      <w:r>
        <w:rPr>
          <w:rFonts w:hint="eastAsia" w:ascii="仿宋" w:hAnsi="仿宋" w:eastAsia="仿宋" w:cs="仿宋"/>
          <w:spacing w:val="0"/>
          <w:w w:val="100"/>
          <w:sz w:val="24"/>
          <w:szCs w:val="24"/>
          <w:lang w:val="en-US" w:eastAsia="zh-CN"/>
        </w:rPr>
        <w:t>9.5</w:t>
      </w:r>
      <w:r>
        <w:rPr>
          <w:rFonts w:hint="eastAsia" w:ascii="仿宋" w:hAnsi="仿宋" w:eastAsia="仿宋" w:cs="仿宋"/>
          <w:spacing w:val="0"/>
          <w:w w:val="100"/>
          <w:sz w:val="24"/>
          <w:szCs w:val="24"/>
        </w:rPr>
        <w:t xml:space="preserve">投诉 </w:t>
      </w:r>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spacing w:val="0"/>
          <w:w w:val="100"/>
          <w:sz w:val="24"/>
          <w:szCs w:val="24"/>
        </w:rPr>
      </w:pPr>
      <w:r>
        <w:rPr>
          <w:rFonts w:hint="eastAsia" w:ascii="仿宋" w:hAnsi="仿宋" w:eastAsia="仿宋" w:cs="仿宋"/>
          <w:spacing w:val="0"/>
          <w:w w:val="100"/>
          <w:sz w:val="24"/>
          <w:szCs w:val="24"/>
        </w:rPr>
        <w:t xml:space="preserve">投标人和其他利害关系人认为本次招标活动违反法律、法规和规章规定的，有权向有关行政监督部门投诉。 </w:t>
      </w:r>
      <w:bookmarkStart w:id="80" w:name="10. 需要补充的其他内容"/>
      <w:bookmarkEnd w:id="80"/>
      <w:bookmarkStart w:id="81" w:name="10. 需要补充的其他内容"/>
      <w:bookmarkEnd w:id="81"/>
    </w:p>
    <w:p>
      <w:pPr>
        <w:pStyle w:val="37"/>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 w:hAnsi="仿宋" w:eastAsia="仿宋" w:cs="仿宋"/>
          <w:b/>
          <w:spacing w:val="0"/>
          <w:w w:val="100"/>
          <w:sz w:val="24"/>
          <w:szCs w:val="24"/>
        </w:rPr>
      </w:pPr>
      <w:r>
        <w:rPr>
          <w:rFonts w:hint="eastAsia" w:ascii="仿宋" w:hAnsi="仿宋" w:eastAsia="仿宋" w:cs="仿宋"/>
          <w:spacing w:val="0"/>
          <w:w w:val="100"/>
          <w:sz w:val="24"/>
          <w:szCs w:val="24"/>
          <w:lang w:val="en-US" w:eastAsia="zh-CN"/>
        </w:rPr>
        <w:t>10.</w:t>
      </w:r>
      <w:r>
        <w:rPr>
          <w:rFonts w:hint="eastAsia" w:ascii="仿宋" w:hAnsi="仿宋" w:eastAsia="仿宋" w:cs="仿宋"/>
          <w:spacing w:val="0"/>
          <w:w w:val="100"/>
          <w:sz w:val="24"/>
          <w:szCs w:val="24"/>
        </w:rPr>
        <w:t>需要补充的其他内容</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pacing w:val="0"/>
          <w:w w:val="100"/>
        </w:rPr>
      </w:pPr>
      <w:r>
        <w:rPr>
          <w:rFonts w:hint="eastAsia" w:ascii="仿宋" w:hAnsi="仿宋" w:eastAsia="仿宋" w:cs="仿宋"/>
          <w:spacing w:val="0"/>
          <w:w w:val="100"/>
          <w:sz w:val="24"/>
          <w:szCs w:val="24"/>
        </w:rPr>
        <w:t>需要补充的其他内容：见投标人须知前附表。</w:t>
      </w:r>
      <w:r>
        <w:rPr>
          <w:rFonts w:hint="eastAsia" w:ascii="仿宋" w:hAnsi="仿宋" w:eastAsia="仿宋" w:cs="仿宋"/>
          <w:spacing w:val="0"/>
          <w:w w:val="100"/>
        </w:rPr>
        <w:t xml:space="preserve"> </w:t>
      </w:r>
    </w:p>
    <w:p>
      <w:pPr>
        <w:pStyle w:val="10"/>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仿宋" w:hAnsi="仿宋" w:eastAsia="仿宋" w:cs="仿宋"/>
          <w:spacing w:val="0"/>
          <w:w w:val="100"/>
        </w:rPr>
        <w:sectPr>
          <w:footerReference r:id="rId6" w:type="default"/>
          <w:pgSz w:w="11910" w:h="16850"/>
          <w:pgMar w:top="1440" w:right="1080" w:bottom="1440" w:left="1080" w:header="850" w:footer="781" w:gutter="0"/>
          <w:pgNumType w:fmt="decimal" w:start="1"/>
          <w:cols w:space="720" w:num="1"/>
          <w:rtlGutter w:val="0"/>
        </w:sectPr>
      </w:pPr>
    </w:p>
    <w:p>
      <w:pPr>
        <w:rPr>
          <w:rFonts w:hint="eastAsia" w:ascii="仿宋" w:hAnsi="仿宋" w:eastAsia="仿宋" w:cs="仿宋"/>
          <w:b/>
          <w:bCs/>
          <w:sz w:val="32"/>
          <w:szCs w:val="32"/>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bCs/>
          <w:sz w:val="32"/>
          <w:szCs w:val="32"/>
        </w:rPr>
        <w:t>附件一： 开标记录表（以线上开标系统内置开标记录表为准）</w:t>
      </w:r>
    </w:p>
    <w:p>
      <w:pPr>
        <w:spacing w:before="104" w:line="182" w:lineRule="auto"/>
        <w:jc w:val="left"/>
        <w:rPr>
          <w:rFonts w:ascii="仿宋" w:hAnsi="仿宋" w:eastAsia="仿宋" w:cs="仿宋"/>
          <w:sz w:val="32"/>
          <w:szCs w:val="32"/>
        </w:rPr>
      </w:pPr>
      <w:r>
        <w:rPr>
          <w:rFonts w:ascii="仿宋" w:hAnsi="仿宋" w:eastAsia="仿宋" w:cs="仿宋"/>
          <w:spacing w:val="-25"/>
          <w:sz w:val="32"/>
          <w:szCs w:val="32"/>
          <w14:textOutline w14:w="5724" w14:cap="flat" w14:cmpd="sng">
            <w14:solidFill>
              <w14:srgbClr w14:val="000000"/>
            </w14:solidFill>
            <w14:prstDash w14:val="solid"/>
            <w14:miter w14:val="0"/>
          </w14:textOutline>
        </w:rPr>
        <w:t>附表二：</w:t>
      </w:r>
      <w:r>
        <w:rPr>
          <w:rFonts w:ascii="仿宋" w:hAnsi="仿宋" w:eastAsia="仿宋" w:cs="仿宋"/>
          <w:spacing w:val="114"/>
          <w:sz w:val="32"/>
          <w:szCs w:val="32"/>
        </w:rPr>
        <w:t xml:space="preserve"> </w:t>
      </w:r>
      <w:r>
        <w:rPr>
          <w:rFonts w:ascii="仿宋" w:hAnsi="仿宋" w:eastAsia="仿宋" w:cs="仿宋"/>
          <w:spacing w:val="-25"/>
          <w:sz w:val="32"/>
          <w:szCs w:val="32"/>
          <w14:textOutline w14:w="5724" w14:cap="flat" w14:cmpd="sng">
            <w14:solidFill>
              <w14:srgbClr w14:val="000000"/>
            </w14:solidFill>
            <w14:prstDash w14:val="solid"/>
            <w14:miter w14:val="0"/>
          </w14:textOutline>
        </w:rPr>
        <w:t>问题澄清通知</w:t>
      </w:r>
    </w:p>
    <w:p>
      <w:pPr>
        <w:spacing w:before="104" w:line="182" w:lineRule="auto"/>
        <w:jc w:val="center"/>
        <w:rPr>
          <w:rFonts w:ascii="仿宋" w:hAnsi="仿宋" w:eastAsia="仿宋" w:cs="仿宋"/>
          <w:sz w:val="32"/>
          <w:szCs w:val="32"/>
        </w:rPr>
      </w:pPr>
      <w:r>
        <w:rPr>
          <w:rFonts w:ascii="仿宋" w:hAnsi="仿宋" w:eastAsia="仿宋" w:cs="仿宋"/>
          <w:spacing w:val="11"/>
          <w:sz w:val="32"/>
          <w:szCs w:val="32"/>
          <w14:textOutline w14:w="5724" w14:cap="flat" w14:cmpd="sng">
            <w14:solidFill>
              <w14:srgbClr w14:val="000000"/>
            </w14:solidFill>
            <w14:prstDash w14:val="solid"/>
            <w14:miter w14:val="0"/>
          </w14:textOutline>
        </w:rPr>
        <w:t>问题澄清通知</w:t>
      </w:r>
    </w:p>
    <w:p>
      <w:pPr>
        <w:spacing w:before="349" w:line="185" w:lineRule="auto"/>
        <w:ind w:firstLine="8878"/>
        <w:rPr>
          <w:rFonts w:ascii="仿宋" w:hAnsi="仿宋" w:eastAsia="仿宋" w:cs="仿宋"/>
          <w:sz w:val="24"/>
          <w:szCs w:val="24"/>
        </w:rPr>
      </w:pPr>
      <w:r>
        <w:rPr>
          <w:rFonts w:ascii="仿宋" w:hAnsi="仿宋" w:eastAsia="仿宋" w:cs="仿宋"/>
          <w:spacing w:val="-19"/>
          <w:sz w:val="24"/>
          <w:szCs w:val="24"/>
        </w:rPr>
        <w:t>编</w:t>
      </w:r>
      <w:r>
        <w:rPr>
          <w:rFonts w:ascii="仿宋" w:hAnsi="仿宋" w:eastAsia="仿宋" w:cs="仿宋"/>
          <w:spacing w:val="24"/>
          <w:sz w:val="24"/>
          <w:szCs w:val="24"/>
        </w:rPr>
        <w:t xml:space="preserve"> </w:t>
      </w:r>
      <w:r>
        <w:rPr>
          <w:rFonts w:ascii="仿宋" w:hAnsi="仿宋" w:eastAsia="仿宋" w:cs="仿宋"/>
          <w:spacing w:val="-19"/>
          <w:sz w:val="24"/>
          <w:szCs w:val="24"/>
        </w:rPr>
        <w:t>号：</w:t>
      </w:r>
    </w:p>
    <w:p>
      <w:pPr>
        <w:keepNext w:val="0"/>
        <w:keepLines w:val="0"/>
        <w:pageBreakBefore w:val="0"/>
        <w:widowControl w:val="0"/>
        <w:tabs>
          <w:tab w:val="left" w:pos="3332"/>
        </w:tabs>
        <w:kinsoku/>
        <w:wordWrap/>
        <w:overflowPunct/>
        <w:topLinePunct w:val="0"/>
        <w:autoSpaceDE/>
        <w:autoSpaceDN/>
        <w:bidi w:val="0"/>
        <w:adjustRightInd/>
        <w:snapToGrid/>
        <w:spacing w:line="185" w:lineRule="auto"/>
        <w:ind w:right="0" w:firstLine="336" w:firstLineChars="200"/>
        <w:textAlignment w:val="auto"/>
        <w:rPr>
          <w:rFonts w:ascii="仿宋" w:hAnsi="仿宋" w:eastAsia="仿宋" w:cs="仿宋"/>
          <w:sz w:val="21"/>
          <w:szCs w:val="21"/>
        </w:rPr>
      </w:pPr>
      <w:r>
        <w:rPr>
          <w:rFonts w:ascii="仿宋" w:hAnsi="仿宋" w:eastAsia="仿宋" w:cs="仿宋"/>
          <w:spacing w:val="-21"/>
          <w:sz w:val="21"/>
          <w:szCs w:val="21"/>
        </w:rPr>
        <w:t>（投标人名称</w:t>
      </w:r>
      <w:r>
        <w:rPr>
          <w:rFonts w:ascii="仿宋" w:hAnsi="仿宋" w:eastAsia="仿宋" w:cs="仿宋"/>
          <w:spacing w:val="-8"/>
          <w:sz w:val="21"/>
          <w:szCs w:val="21"/>
        </w:rPr>
        <w:t>）：</w:t>
      </w:r>
    </w:p>
    <w:p>
      <w:pPr>
        <w:keepNext w:val="0"/>
        <w:keepLines w:val="0"/>
        <w:pageBreakBefore w:val="0"/>
        <w:widowControl w:val="0"/>
        <w:tabs>
          <w:tab w:val="left" w:pos="3497"/>
        </w:tabs>
        <w:kinsoku/>
        <w:wordWrap/>
        <w:overflowPunct/>
        <w:topLinePunct w:val="0"/>
        <w:autoSpaceDE/>
        <w:autoSpaceDN/>
        <w:bidi w:val="0"/>
        <w:adjustRightInd/>
        <w:snapToGrid/>
        <w:spacing w:line="435" w:lineRule="auto"/>
        <w:ind w:right="0" w:firstLine="420" w:firstLineChars="200"/>
        <w:textAlignment w:val="auto"/>
        <w:rPr>
          <w:rFonts w:ascii="仿宋" w:hAnsi="仿宋" w:eastAsia="仿宋" w:cs="仿宋"/>
          <w:sz w:val="21"/>
          <w:szCs w:val="21"/>
        </w:rPr>
      </w:pPr>
      <w:r>
        <w:rPr>
          <w:rFonts w:ascii="仿宋" w:hAnsi="仿宋" w:eastAsia="仿宋" w:cs="仿宋"/>
          <w:sz w:val="21"/>
          <w:szCs w:val="21"/>
          <w:u w:val="single" w:color="auto"/>
        </w:rPr>
        <w:tab/>
      </w:r>
      <w:r>
        <w:rPr>
          <w:rFonts w:ascii="仿宋" w:hAnsi="仿宋" w:eastAsia="仿宋" w:cs="仿宋"/>
          <w:spacing w:val="-4"/>
          <w:sz w:val="21"/>
          <w:szCs w:val="21"/>
        </w:rPr>
        <w:t>（项目名称）施工招标的评标委员会，对你方的投标文件进行了仔细的审查，现</w:t>
      </w:r>
      <w:r>
        <w:rPr>
          <w:rFonts w:ascii="仿宋" w:hAnsi="仿宋" w:eastAsia="仿宋" w:cs="仿宋"/>
          <w:spacing w:val="34"/>
          <w:sz w:val="21"/>
          <w:szCs w:val="21"/>
        </w:rPr>
        <w:t xml:space="preserve"> </w:t>
      </w:r>
      <w:r>
        <w:rPr>
          <w:rFonts w:ascii="仿宋" w:hAnsi="仿宋" w:eastAsia="仿宋" w:cs="仿宋"/>
          <w:spacing w:val="-4"/>
          <w:sz w:val="21"/>
          <w:szCs w:val="21"/>
        </w:rPr>
        <w:t>需你方对下列问题以书面形式予以澄清：</w:t>
      </w:r>
    </w:p>
    <w:p>
      <w:pPr>
        <w:keepNext w:val="0"/>
        <w:keepLines w:val="0"/>
        <w:pageBreakBefore w:val="0"/>
        <w:widowControl w:val="0"/>
        <w:kinsoku/>
        <w:wordWrap/>
        <w:overflowPunct/>
        <w:topLinePunct w:val="0"/>
        <w:autoSpaceDE/>
        <w:autoSpaceDN/>
        <w:bidi w:val="0"/>
        <w:adjustRightInd/>
        <w:snapToGrid/>
        <w:spacing w:line="496" w:lineRule="exact"/>
        <w:ind w:right="0" w:firstLine="380" w:firstLineChars="200"/>
        <w:textAlignment w:val="auto"/>
        <w:rPr>
          <w:rFonts w:ascii="仿宋" w:hAnsi="仿宋" w:eastAsia="仿宋" w:cs="仿宋"/>
          <w:sz w:val="21"/>
          <w:szCs w:val="21"/>
        </w:rPr>
      </w:pPr>
      <w:r>
        <w:rPr>
          <w:rFonts w:ascii="仿宋" w:hAnsi="仿宋" w:eastAsia="仿宋" w:cs="仿宋"/>
          <w:spacing w:val="-10"/>
          <w:position w:val="21"/>
          <w:sz w:val="21"/>
          <w:szCs w:val="21"/>
        </w:rPr>
        <w:t>1．……</w:t>
      </w:r>
    </w:p>
    <w:p>
      <w:pPr>
        <w:keepNext w:val="0"/>
        <w:keepLines w:val="0"/>
        <w:pageBreakBefore w:val="0"/>
        <w:widowControl w:val="0"/>
        <w:kinsoku/>
        <w:wordWrap/>
        <w:overflowPunct/>
        <w:topLinePunct w:val="0"/>
        <w:autoSpaceDE/>
        <w:autoSpaceDN/>
        <w:bidi w:val="0"/>
        <w:adjustRightInd/>
        <w:snapToGrid/>
        <w:spacing w:line="204" w:lineRule="auto"/>
        <w:ind w:right="0" w:firstLine="392" w:firstLineChars="200"/>
        <w:textAlignment w:val="auto"/>
        <w:rPr>
          <w:rFonts w:ascii="仿宋" w:hAnsi="仿宋" w:eastAsia="仿宋" w:cs="仿宋"/>
          <w:sz w:val="21"/>
          <w:szCs w:val="21"/>
        </w:rPr>
      </w:pPr>
      <w:r>
        <w:rPr>
          <w:rFonts w:ascii="仿宋" w:hAnsi="仿宋" w:eastAsia="仿宋" w:cs="仿宋"/>
          <w:spacing w:val="-7"/>
          <w:sz w:val="21"/>
          <w:szCs w:val="21"/>
        </w:rPr>
        <w:t>2．……</w:t>
      </w:r>
    </w:p>
    <w:p>
      <w:pPr>
        <w:keepNext w:val="0"/>
        <w:keepLines w:val="0"/>
        <w:pageBreakBefore w:val="0"/>
        <w:widowControl w:val="0"/>
        <w:kinsoku/>
        <w:wordWrap/>
        <w:overflowPunct/>
        <w:topLinePunct w:val="0"/>
        <w:autoSpaceDE/>
        <w:autoSpaceDN/>
        <w:bidi w:val="0"/>
        <w:adjustRightInd/>
        <w:snapToGrid/>
        <w:spacing w:line="185" w:lineRule="auto"/>
        <w:ind w:right="0" w:firstLine="396" w:firstLineChars="200"/>
        <w:textAlignment w:val="auto"/>
        <w:rPr>
          <w:rFonts w:ascii="仿宋" w:hAnsi="仿宋" w:eastAsia="仿宋" w:cs="仿宋"/>
          <w:sz w:val="21"/>
          <w:szCs w:val="21"/>
        </w:rPr>
      </w:pPr>
      <w:r>
        <w:rPr>
          <w:rFonts w:ascii="仿宋" w:hAnsi="仿宋" w:eastAsia="仿宋" w:cs="仿宋"/>
          <w:spacing w:val="-6"/>
          <w:sz w:val="21"/>
          <w:szCs w:val="21"/>
        </w:rPr>
        <w:t>……</w:t>
      </w:r>
    </w:p>
    <w:p>
      <w:pPr>
        <w:keepNext w:val="0"/>
        <w:keepLines w:val="0"/>
        <w:pageBreakBefore w:val="0"/>
        <w:widowControl w:val="0"/>
        <w:kinsoku/>
        <w:wordWrap/>
        <w:overflowPunct/>
        <w:topLinePunct w:val="0"/>
        <w:autoSpaceDE/>
        <w:autoSpaceDN/>
        <w:bidi w:val="0"/>
        <w:adjustRightInd/>
        <w:snapToGrid/>
        <w:spacing w:line="442" w:lineRule="auto"/>
        <w:ind w:right="0" w:firstLine="388" w:firstLineChars="200"/>
        <w:textAlignment w:val="auto"/>
        <w:rPr>
          <w:rFonts w:ascii="仿宋" w:hAnsi="仿宋" w:eastAsia="仿宋" w:cs="仿宋"/>
          <w:sz w:val="21"/>
          <w:szCs w:val="21"/>
        </w:rPr>
      </w:pPr>
      <w:r>
        <w:rPr>
          <w:rFonts w:ascii="仿宋" w:hAnsi="仿宋" w:eastAsia="仿宋" w:cs="仿宋"/>
          <w:spacing w:val="-8"/>
          <w:sz w:val="21"/>
          <w:szCs w:val="21"/>
        </w:rPr>
        <w:t>请将上述问题的澄清函于</w:t>
      </w:r>
      <w:r>
        <w:rPr>
          <w:rFonts w:ascii="仿宋" w:hAnsi="仿宋" w:eastAsia="仿宋" w:cs="仿宋"/>
          <w:spacing w:val="3"/>
          <w:sz w:val="21"/>
          <w:szCs w:val="21"/>
          <w:u w:val="single" w:color="auto"/>
        </w:rPr>
        <w:t xml:space="preserve">         </w:t>
      </w:r>
      <w:r>
        <w:rPr>
          <w:rFonts w:ascii="仿宋" w:hAnsi="仿宋" w:eastAsia="仿宋" w:cs="仿宋"/>
          <w:spacing w:val="-8"/>
          <w:sz w:val="21"/>
          <w:szCs w:val="21"/>
        </w:rPr>
        <w:t>年</w:t>
      </w:r>
      <w:r>
        <w:rPr>
          <w:rFonts w:ascii="仿宋" w:hAnsi="仿宋" w:eastAsia="仿宋" w:cs="仿宋"/>
          <w:spacing w:val="3"/>
          <w:sz w:val="21"/>
          <w:szCs w:val="21"/>
          <w:u w:val="single" w:color="auto"/>
        </w:rPr>
        <w:t xml:space="preserve">         </w:t>
      </w:r>
      <w:r>
        <w:rPr>
          <w:rFonts w:ascii="仿宋" w:hAnsi="仿宋" w:eastAsia="仿宋" w:cs="仿宋"/>
          <w:spacing w:val="-8"/>
          <w:sz w:val="21"/>
          <w:szCs w:val="21"/>
        </w:rPr>
        <w:t>月</w:t>
      </w:r>
      <w:r>
        <w:rPr>
          <w:rFonts w:ascii="仿宋" w:hAnsi="仿宋" w:eastAsia="仿宋" w:cs="仿宋"/>
          <w:spacing w:val="7"/>
          <w:sz w:val="21"/>
          <w:szCs w:val="21"/>
          <w:u w:val="single" w:color="auto"/>
        </w:rPr>
        <w:t xml:space="preserve">         </w:t>
      </w:r>
      <w:r>
        <w:rPr>
          <w:rFonts w:ascii="仿宋" w:hAnsi="仿宋" w:eastAsia="仿宋" w:cs="仿宋"/>
          <w:spacing w:val="-8"/>
          <w:sz w:val="21"/>
          <w:szCs w:val="21"/>
        </w:rPr>
        <w:t>日</w:t>
      </w:r>
      <w:r>
        <w:rPr>
          <w:rFonts w:ascii="仿宋" w:hAnsi="仿宋" w:eastAsia="仿宋" w:cs="仿宋"/>
          <w:spacing w:val="3"/>
          <w:sz w:val="21"/>
          <w:szCs w:val="21"/>
          <w:u w:val="single" w:color="auto"/>
        </w:rPr>
        <w:t xml:space="preserve">          </w:t>
      </w:r>
      <w:r>
        <w:rPr>
          <w:rFonts w:ascii="仿宋" w:hAnsi="仿宋" w:eastAsia="仿宋" w:cs="仿宋"/>
          <w:spacing w:val="-8"/>
          <w:sz w:val="21"/>
          <w:szCs w:val="21"/>
        </w:rPr>
        <w:t>时前递交至</w:t>
      </w:r>
      <w:r>
        <w:rPr>
          <w:rFonts w:ascii="仿宋" w:hAnsi="仿宋" w:eastAsia="仿宋" w:cs="仿宋"/>
          <w:sz w:val="21"/>
          <w:szCs w:val="21"/>
          <w:u w:val="single" w:color="auto"/>
        </w:rPr>
        <w:t xml:space="preserve">        </w:t>
      </w:r>
      <w:r>
        <w:rPr>
          <w:rFonts w:ascii="仿宋" w:hAnsi="仿宋" w:eastAsia="仿宋" w:cs="仿宋"/>
          <w:spacing w:val="2"/>
          <w:sz w:val="21"/>
          <w:szCs w:val="21"/>
        </w:rPr>
        <w:t xml:space="preserve"> </w:t>
      </w:r>
      <w:r>
        <w:rPr>
          <w:rFonts w:ascii="仿宋" w:hAnsi="仿宋" w:eastAsia="仿宋" w:cs="仿宋"/>
          <w:spacing w:val="-20"/>
          <w:sz w:val="21"/>
          <w:szCs w:val="21"/>
        </w:rPr>
        <w:t>（详细地址）或传真至</w:t>
      </w:r>
      <w:r>
        <w:rPr>
          <w:rFonts w:ascii="仿宋" w:hAnsi="仿宋" w:eastAsia="仿宋" w:cs="仿宋"/>
          <w:spacing w:val="11"/>
          <w:sz w:val="21"/>
          <w:szCs w:val="21"/>
          <w:u w:val="single" w:color="auto"/>
        </w:rPr>
        <w:t xml:space="preserve">       </w:t>
      </w:r>
      <w:r>
        <w:rPr>
          <w:rFonts w:ascii="仿宋" w:hAnsi="仿宋" w:eastAsia="仿宋" w:cs="仿宋"/>
          <w:spacing w:val="-20"/>
          <w:sz w:val="21"/>
          <w:szCs w:val="21"/>
        </w:rPr>
        <w:t>（传真号码）。采用传真方式的，</w:t>
      </w:r>
      <w:r>
        <w:rPr>
          <w:rFonts w:ascii="仿宋" w:hAnsi="仿宋" w:eastAsia="仿宋" w:cs="仿宋"/>
          <w:spacing w:val="-33"/>
          <w:sz w:val="21"/>
          <w:szCs w:val="21"/>
        </w:rPr>
        <w:t xml:space="preserve"> </w:t>
      </w:r>
      <w:r>
        <w:rPr>
          <w:rFonts w:ascii="仿宋" w:hAnsi="仿宋" w:eastAsia="仿宋" w:cs="仿宋"/>
          <w:spacing w:val="-20"/>
          <w:sz w:val="21"/>
          <w:szCs w:val="21"/>
        </w:rPr>
        <w:t>应在</w:t>
      </w:r>
      <w:r>
        <w:rPr>
          <w:rFonts w:ascii="仿宋" w:hAnsi="仿宋" w:eastAsia="仿宋" w:cs="仿宋"/>
          <w:spacing w:val="2"/>
          <w:sz w:val="21"/>
          <w:szCs w:val="21"/>
          <w:u w:val="single" w:color="auto"/>
        </w:rPr>
        <w:t xml:space="preserve">        </w:t>
      </w:r>
      <w:r>
        <w:rPr>
          <w:rFonts w:ascii="仿宋" w:hAnsi="仿宋" w:eastAsia="仿宋" w:cs="仿宋"/>
          <w:spacing w:val="-20"/>
          <w:sz w:val="21"/>
          <w:szCs w:val="21"/>
        </w:rPr>
        <w:t>年</w:t>
      </w:r>
      <w:r>
        <w:rPr>
          <w:rFonts w:ascii="仿宋" w:hAnsi="仿宋" w:eastAsia="仿宋" w:cs="仿宋"/>
          <w:spacing w:val="3"/>
          <w:sz w:val="21"/>
          <w:szCs w:val="21"/>
          <w:u w:val="single" w:color="auto"/>
        </w:rPr>
        <w:t xml:space="preserve">        </w:t>
      </w:r>
      <w:r>
        <w:rPr>
          <w:rFonts w:ascii="仿宋" w:hAnsi="仿宋" w:eastAsia="仿宋" w:cs="仿宋"/>
          <w:spacing w:val="-20"/>
          <w:sz w:val="21"/>
          <w:szCs w:val="21"/>
        </w:rPr>
        <w:t>月</w:t>
      </w:r>
      <w:r>
        <w:rPr>
          <w:rFonts w:ascii="仿宋" w:hAnsi="仿宋" w:eastAsia="仿宋" w:cs="仿宋"/>
          <w:spacing w:val="6"/>
          <w:sz w:val="21"/>
          <w:szCs w:val="21"/>
          <w:u w:val="single" w:color="auto"/>
        </w:rPr>
        <w:t xml:space="preserve">        </w:t>
      </w:r>
      <w:r>
        <w:rPr>
          <w:rFonts w:ascii="仿宋" w:hAnsi="仿宋" w:eastAsia="仿宋" w:cs="仿宋"/>
          <w:spacing w:val="-20"/>
          <w:sz w:val="21"/>
          <w:szCs w:val="21"/>
        </w:rPr>
        <w:t>日</w:t>
      </w:r>
      <w:r>
        <w:rPr>
          <w:rFonts w:ascii="仿宋" w:hAnsi="仿宋" w:eastAsia="仿宋" w:cs="仿宋"/>
          <w:sz w:val="21"/>
          <w:szCs w:val="21"/>
        </w:rPr>
        <w:t xml:space="preserve"> </w:t>
      </w:r>
      <w:r>
        <w:rPr>
          <w:rFonts w:ascii="仿宋" w:hAnsi="仿宋" w:eastAsia="仿宋" w:cs="仿宋"/>
          <w:spacing w:val="-9"/>
          <w:sz w:val="21"/>
          <w:szCs w:val="21"/>
        </w:rPr>
        <w:t>时前将原件递交至</w:t>
      </w:r>
      <w:r>
        <w:rPr>
          <w:rFonts w:ascii="仿宋" w:hAnsi="仿宋" w:eastAsia="仿宋" w:cs="仿宋"/>
          <w:spacing w:val="1"/>
          <w:sz w:val="21"/>
          <w:szCs w:val="21"/>
          <w:u w:val="single" w:color="auto"/>
        </w:rPr>
        <w:t xml:space="preserve">         </w:t>
      </w:r>
      <w:r>
        <w:rPr>
          <w:rFonts w:ascii="仿宋" w:hAnsi="仿宋" w:eastAsia="仿宋" w:cs="仿宋"/>
          <w:spacing w:val="-9"/>
          <w:sz w:val="21"/>
          <w:szCs w:val="21"/>
        </w:rPr>
        <w:t>（详细地址）。</w:t>
      </w:r>
    </w:p>
    <w:p>
      <w:pPr>
        <w:keepNext w:val="0"/>
        <w:keepLines w:val="0"/>
        <w:pageBreakBefore w:val="0"/>
        <w:widowControl w:val="0"/>
        <w:kinsoku/>
        <w:wordWrap/>
        <w:overflowPunct/>
        <w:topLinePunct w:val="0"/>
        <w:autoSpaceDE/>
        <w:autoSpaceDN/>
        <w:bidi w:val="0"/>
        <w:adjustRightInd/>
        <w:snapToGrid/>
        <w:spacing w:line="630" w:lineRule="exact"/>
        <w:ind w:right="0" w:firstLine="336" w:firstLineChars="200"/>
        <w:textAlignment w:val="auto"/>
        <w:rPr>
          <w:rFonts w:ascii="仿宋" w:hAnsi="仿宋" w:eastAsia="仿宋" w:cs="仿宋"/>
          <w:sz w:val="21"/>
          <w:szCs w:val="21"/>
        </w:rPr>
      </w:pPr>
      <w:r>
        <w:rPr>
          <w:rFonts w:ascii="仿宋" w:hAnsi="仿宋" w:eastAsia="仿宋" w:cs="仿宋"/>
          <w:spacing w:val="-21"/>
          <w:position w:val="32"/>
          <w:sz w:val="21"/>
          <w:szCs w:val="21"/>
        </w:rPr>
        <w:t>评标委员会成员</w:t>
      </w:r>
      <w:r>
        <w:rPr>
          <w:rFonts w:ascii="仿宋" w:hAnsi="仿宋" w:eastAsia="仿宋" w:cs="仿宋"/>
          <w:spacing w:val="-10"/>
          <w:position w:val="32"/>
          <w:sz w:val="21"/>
          <w:szCs w:val="21"/>
        </w:rPr>
        <w:t>：</w:t>
      </w:r>
      <w:r>
        <w:rPr>
          <w:rFonts w:ascii="仿宋" w:hAnsi="仿宋" w:eastAsia="仿宋" w:cs="仿宋"/>
          <w:spacing w:val="1"/>
          <w:position w:val="32"/>
          <w:sz w:val="21"/>
          <w:szCs w:val="21"/>
          <w:u w:val="single" w:color="auto"/>
        </w:rPr>
        <w:t xml:space="preserve">               </w:t>
      </w:r>
      <w:r>
        <w:rPr>
          <w:rFonts w:ascii="仿宋" w:hAnsi="仿宋" w:eastAsia="仿宋" w:cs="仿宋"/>
          <w:spacing w:val="-10"/>
          <w:position w:val="32"/>
          <w:sz w:val="21"/>
          <w:szCs w:val="21"/>
        </w:rPr>
        <w:t>（</w:t>
      </w:r>
      <w:r>
        <w:rPr>
          <w:rFonts w:ascii="仿宋" w:hAnsi="仿宋" w:eastAsia="仿宋" w:cs="仿宋"/>
          <w:spacing w:val="-21"/>
          <w:position w:val="32"/>
          <w:sz w:val="21"/>
          <w:szCs w:val="21"/>
        </w:rPr>
        <w:t>签字）</w:t>
      </w:r>
    </w:p>
    <w:p>
      <w:pPr>
        <w:pStyle w:val="10"/>
        <w:keepNext w:val="0"/>
        <w:keepLines w:val="0"/>
        <w:pageBreakBefore w:val="0"/>
        <w:widowControl w:val="0"/>
        <w:kinsoku/>
        <w:wordWrap/>
        <w:overflowPunct/>
        <w:topLinePunct w:val="0"/>
        <w:autoSpaceDE/>
        <w:autoSpaceDN/>
        <w:bidi w:val="0"/>
        <w:adjustRightInd/>
        <w:snapToGrid/>
        <w:spacing w:after="0" w:afterLines="0"/>
        <w:ind w:right="0" w:firstLine="420" w:firstLineChars="200"/>
        <w:jc w:val="right"/>
        <w:textAlignment w:val="auto"/>
        <w:rPr>
          <w:rFonts w:ascii="仿宋" w:hAnsi="仿宋" w:eastAsia="仿宋" w:cs="仿宋"/>
          <w:spacing w:val="-14"/>
          <w:sz w:val="21"/>
          <w:szCs w:val="21"/>
        </w:rPr>
        <w:sectPr>
          <w:pgSz w:w="11906" w:h="16838"/>
          <w:pgMar w:top="1440" w:right="1080" w:bottom="1440" w:left="1080" w:header="851" w:footer="992" w:gutter="0"/>
          <w:pgNumType w:fmt="decimal"/>
          <w:cols w:space="425" w:num="1"/>
          <w:docGrid w:type="lines" w:linePitch="312" w:charSpace="0"/>
        </w:sectPr>
      </w:pPr>
      <w:r>
        <w:rPr>
          <w:rFonts w:ascii="仿宋" w:hAnsi="仿宋" w:eastAsia="仿宋" w:cs="仿宋"/>
          <w:sz w:val="21"/>
          <w:szCs w:val="21"/>
          <w:u w:val="single" w:color="auto"/>
        </w:rPr>
        <w:tab/>
      </w:r>
      <w:r>
        <w:rPr>
          <w:rFonts w:ascii="仿宋" w:hAnsi="仿宋" w:eastAsia="仿宋" w:cs="仿宋"/>
          <w:spacing w:val="-14"/>
          <w:sz w:val="21"/>
          <w:szCs w:val="21"/>
        </w:rPr>
        <w:t>年</w:t>
      </w:r>
      <w:r>
        <w:rPr>
          <w:rFonts w:ascii="仿宋" w:hAnsi="仿宋" w:eastAsia="仿宋" w:cs="仿宋"/>
          <w:spacing w:val="3"/>
          <w:sz w:val="21"/>
          <w:szCs w:val="21"/>
          <w:u w:val="single" w:color="auto"/>
        </w:rPr>
        <w:t xml:space="preserve">       </w:t>
      </w:r>
      <w:r>
        <w:rPr>
          <w:rFonts w:ascii="仿宋" w:hAnsi="仿宋" w:eastAsia="仿宋" w:cs="仿宋"/>
          <w:spacing w:val="-14"/>
          <w:sz w:val="21"/>
          <w:szCs w:val="21"/>
        </w:rPr>
        <w:t>月</w:t>
      </w:r>
      <w:r>
        <w:rPr>
          <w:rFonts w:ascii="仿宋" w:hAnsi="仿宋" w:eastAsia="仿宋" w:cs="仿宋"/>
          <w:spacing w:val="9"/>
          <w:sz w:val="21"/>
          <w:szCs w:val="21"/>
          <w:u w:val="single" w:color="auto"/>
        </w:rPr>
        <w:t xml:space="preserve">       </w:t>
      </w:r>
      <w:r>
        <w:rPr>
          <w:rFonts w:ascii="仿宋" w:hAnsi="仿宋" w:eastAsia="仿宋" w:cs="仿宋"/>
          <w:spacing w:val="-14"/>
          <w:sz w:val="21"/>
          <w:szCs w:val="21"/>
        </w:rPr>
        <w:t>日</w:t>
      </w:r>
    </w:p>
    <w:p>
      <w:pPr>
        <w:spacing w:before="104" w:line="182" w:lineRule="auto"/>
        <w:jc w:val="both"/>
        <w:rPr>
          <w:rFonts w:ascii="仿宋" w:hAnsi="仿宋" w:eastAsia="仿宋" w:cs="仿宋"/>
          <w:spacing w:val="-29"/>
          <w:sz w:val="32"/>
          <w:szCs w:val="32"/>
          <w14:textOutline w14:w="5724" w14:cap="flat" w14:cmpd="sng">
            <w14:solidFill>
              <w14:srgbClr w14:val="000000"/>
            </w14:solidFill>
            <w14:prstDash w14:val="solid"/>
            <w14:miter w14:val="0"/>
          </w14:textOutline>
        </w:rPr>
      </w:pPr>
      <w:r>
        <w:rPr>
          <w:rFonts w:ascii="仿宋" w:hAnsi="仿宋" w:eastAsia="仿宋" w:cs="仿宋"/>
          <w:spacing w:val="-29"/>
          <w:sz w:val="32"/>
          <w:szCs w:val="32"/>
          <w14:textOutline w14:w="5724" w14:cap="flat" w14:cmpd="sng">
            <w14:solidFill>
              <w14:srgbClr w14:val="000000"/>
            </w14:solidFill>
            <w14:prstDash w14:val="solid"/>
            <w14:miter w14:val="0"/>
          </w14:textOutline>
        </w:rPr>
        <w:t>附表三：</w:t>
      </w:r>
      <w:r>
        <w:rPr>
          <w:rFonts w:ascii="仿宋" w:hAnsi="仿宋" w:eastAsia="仿宋" w:cs="仿宋"/>
          <w:spacing w:val="115"/>
          <w:sz w:val="32"/>
          <w:szCs w:val="32"/>
        </w:rPr>
        <w:t xml:space="preserve"> </w:t>
      </w:r>
      <w:r>
        <w:rPr>
          <w:rFonts w:ascii="仿宋" w:hAnsi="仿宋" w:eastAsia="仿宋" w:cs="仿宋"/>
          <w:spacing w:val="-29"/>
          <w:sz w:val="32"/>
          <w:szCs w:val="32"/>
          <w14:textOutline w14:w="5724" w14:cap="flat" w14:cmpd="sng">
            <w14:solidFill>
              <w14:srgbClr w14:val="000000"/>
            </w14:solidFill>
            <w14:prstDash w14:val="solid"/>
            <w14:miter w14:val="0"/>
          </w14:textOutline>
        </w:rPr>
        <w:t>问题的澄清</w:t>
      </w:r>
    </w:p>
    <w:p>
      <w:pPr>
        <w:spacing w:before="104" w:line="182" w:lineRule="auto"/>
        <w:jc w:val="center"/>
        <w:rPr>
          <w:rFonts w:ascii="仿宋" w:hAnsi="仿宋" w:eastAsia="仿宋" w:cs="仿宋"/>
          <w:sz w:val="32"/>
          <w:szCs w:val="32"/>
        </w:rPr>
      </w:pPr>
      <w:r>
        <w:rPr>
          <w:rFonts w:ascii="仿宋" w:hAnsi="仿宋" w:eastAsia="仿宋" w:cs="仿宋"/>
          <w:spacing w:val="9"/>
          <w:sz w:val="32"/>
          <w:szCs w:val="32"/>
          <w14:textOutline w14:w="5724" w14:cap="flat" w14:cmpd="sng">
            <w14:solidFill>
              <w14:srgbClr w14:val="000000"/>
            </w14:solidFill>
            <w14:prstDash w14:val="solid"/>
            <w14:miter w14:val="0"/>
          </w14:textOutline>
        </w:rPr>
        <w:t>问题的澄清</w:t>
      </w:r>
    </w:p>
    <w:p>
      <w:pPr>
        <w:spacing w:before="78" w:line="626" w:lineRule="exact"/>
        <w:ind w:firstLine="5154"/>
        <w:rPr>
          <w:rFonts w:ascii="仿宋" w:hAnsi="仿宋" w:eastAsia="仿宋" w:cs="仿宋"/>
          <w:sz w:val="24"/>
          <w:szCs w:val="24"/>
        </w:rPr>
      </w:pPr>
      <w:r>
        <w:rPr>
          <w:rFonts w:ascii="仿宋" w:hAnsi="仿宋" w:eastAsia="仿宋" w:cs="仿宋"/>
          <w:spacing w:val="-16"/>
          <w:position w:val="29"/>
          <w:sz w:val="24"/>
          <w:szCs w:val="24"/>
        </w:rPr>
        <w:t>编号：</w:t>
      </w:r>
    </w:p>
    <w:p>
      <w:pPr>
        <w:tabs>
          <w:tab w:val="left" w:pos="4488"/>
        </w:tabs>
        <w:spacing w:line="204" w:lineRule="auto"/>
        <w:ind w:firstLine="1531"/>
        <w:rPr>
          <w:rFonts w:ascii="仿宋" w:hAnsi="仿宋" w:eastAsia="仿宋" w:cs="仿宋"/>
          <w:sz w:val="21"/>
          <w:szCs w:val="21"/>
        </w:rPr>
      </w:pPr>
      <w:r>
        <w:rPr>
          <w:rFonts w:ascii="仿宋" w:hAnsi="仿宋" w:eastAsia="仿宋" w:cs="仿宋"/>
          <w:sz w:val="21"/>
          <w:szCs w:val="21"/>
          <w:u w:val="single" w:color="auto"/>
        </w:rPr>
        <w:tab/>
      </w:r>
      <w:r>
        <w:rPr>
          <w:rFonts w:ascii="仿宋" w:hAnsi="仿宋" w:eastAsia="仿宋" w:cs="仿宋"/>
          <w:spacing w:val="-10"/>
          <w:sz w:val="21"/>
          <w:szCs w:val="21"/>
        </w:rPr>
        <w:t>（项目名称）施工招标评标委员会：</w:t>
      </w:r>
    </w:p>
    <w:p>
      <w:pPr>
        <w:spacing w:line="263" w:lineRule="auto"/>
        <w:rPr>
          <w:rFonts w:ascii="仿宋"/>
          <w:sz w:val="21"/>
        </w:rPr>
      </w:pPr>
    </w:p>
    <w:p>
      <w:pPr>
        <w:spacing w:before="68" w:line="185" w:lineRule="auto"/>
        <w:ind w:firstLine="1566"/>
        <w:rPr>
          <w:rFonts w:ascii="仿宋" w:hAnsi="仿宋" w:eastAsia="仿宋" w:cs="仿宋"/>
          <w:sz w:val="21"/>
          <w:szCs w:val="21"/>
        </w:rPr>
      </w:pPr>
      <w:r>
        <w:rPr>
          <w:rFonts w:ascii="仿宋" w:hAnsi="仿宋" w:eastAsia="仿宋" w:cs="仿宋"/>
          <w:spacing w:val="-12"/>
          <w:sz w:val="21"/>
          <w:szCs w:val="21"/>
        </w:rPr>
        <w:t>问题澄清通知（编号</w:t>
      </w:r>
      <w:r>
        <w:rPr>
          <w:rFonts w:ascii="仿宋" w:hAnsi="仿宋" w:eastAsia="仿宋" w:cs="仿宋"/>
          <w:spacing w:val="-10"/>
          <w:sz w:val="21"/>
          <w:szCs w:val="21"/>
        </w:rPr>
        <w:t>：</w:t>
      </w:r>
      <w:r>
        <w:rPr>
          <w:rFonts w:ascii="仿宋" w:hAnsi="仿宋" w:eastAsia="仿宋" w:cs="仿宋"/>
          <w:spacing w:val="12"/>
          <w:sz w:val="21"/>
          <w:szCs w:val="21"/>
          <w:u w:val="single" w:color="auto"/>
        </w:rPr>
        <w:t xml:space="preserve">      </w:t>
      </w:r>
      <w:r>
        <w:rPr>
          <w:rFonts w:ascii="仿宋" w:hAnsi="仿宋" w:eastAsia="仿宋" w:cs="仿宋"/>
          <w:spacing w:val="-10"/>
          <w:sz w:val="21"/>
          <w:szCs w:val="21"/>
        </w:rPr>
        <w:t>）</w:t>
      </w:r>
      <w:r>
        <w:rPr>
          <w:rFonts w:ascii="仿宋" w:hAnsi="仿宋" w:eastAsia="仿宋" w:cs="仿宋"/>
          <w:spacing w:val="-12"/>
          <w:sz w:val="21"/>
          <w:szCs w:val="21"/>
        </w:rPr>
        <w:t>已收悉，现澄清如下：</w:t>
      </w:r>
    </w:p>
    <w:p>
      <w:pPr>
        <w:spacing w:line="315" w:lineRule="auto"/>
        <w:rPr>
          <w:rFonts w:ascii="仿宋"/>
          <w:sz w:val="21"/>
        </w:rPr>
      </w:pPr>
    </w:p>
    <w:p>
      <w:pPr>
        <w:spacing w:before="69" w:line="180" w:lineRule="auto"/>
        <w:ind w:firstLine="1554"/>
        <w:rPr>
          <w:rFonts w:ascii="仿宋" w:hAnsi="仿宋" w:eastAsia="仿宋" w:cs="仿宋"/>
          <w:sz w:val="21"/>
          <w:szCs w:val="21"/>
        </w:rPr>
      </w:pPr>
      <w:r>
        <w:rPr>
          <w:rFonts w:ascii="仿宋" w:hAnsi="仿宋" w:eastAsia="仿宋" w:cs="仿宋"/>
          <w:spacing w:val="-6"/>
          <w:sz w:val="21"/>
          <w:szCs w:val="21"/>
        </w:rPr>
        <w:t>1.</w:t>
      </w:r>
    </w:p>
    <w:p>
      <w:pPr>
        <w:spacing w:line="289" w:lineRule="auto"/>
        <w:rPr>
          <w:rFonts w:ascii="仿宋"/>
          <w:sz w:val="21"/>
        </w:rPr>
      </w:pPr>
    </w:p>
    <w:p>
      <w:pPr>
        <w:spacing w:before="68" w:line="180" w:lineRule="auto"/>
        <w:ind w:firstLine="1541"/>
        <w:rPr>
          <w:rFonts w:ascii="仿宋" w:hAnsi="仿宋" w:eastAsia="仿宋" w:cs="仿宋"/>
          <w:sz w:val="21"/>
          <w:szCs w:val="21"/>
        </w:rPr>
      </w:pPr>
      <w:r>
        <w:rPr>
          <w:rFonts w:ascii="仿宋" w:hAnsi="仿宋" w:eastAsia="仿宋" w:cs="仿宋"/>
          <w:spacing w:val="-3"/>
          <w:sz w:val="21"/>
          <w:szCs w:val="21"/>
        </w:rPr>
        <w:t>2.</w:t>
      </w:r>
    </w:p>
    <w:p>
      <w:pPr>
        <w:spacing w:line="253" w:lineRule="auto"/>
        <w:rPr>
          <w:rFonts w:ascii="仿宋"/>
          <w:sz w:val="21"/>
        </w:rPr>
      </w:pPr>
    </w:p>
    <w:p>
      <w:pPr>
        <w:spacing w:before="69" w:line="185" w:lineRule="auto"/>
        <w:ind w:firstLine="1545"/>
        <w:rPr>
          <w:rFonts w:ascii="仿宋" w:hAnsi="仿宋" w:eastAsia="仿宋" w:cs="仿宋"/>
          <w:sz w:val="21"/>
          <w:szCs w:val="21"/>
        </w:rPr>
      </w:pPr>
      <w:r>
        <w:rPr>
          <w:rFonts w:ascii="仿宋" w:hAnsi="仿宋" w:eastAsia="仿宋" w:cs="仿宋"/>
          <w:spacing w:val="-3"/>
          <w:sz w:val="21"/>
          <w:szCs w:val="21"/>
        </w:rPr>
        <w:t>.....</w:t>
      </w:r>
    </w:p>
    <w:p>
      <w:pPr>
        <w:spacing w:line="282" w:lineRule="auto"/>
        <w:rPr>
          <w:rFonts w:ascii="仿宋"/>
          <w:sz w:val="21"/>
        </w:rPr>
      </w:pPr>
    </w:p>
    <w:p>
      <w:pPr>
        <w:spacing w:before="69" w:line="185" w:lineRule="auto"/>
        <w:jc w:val="right"/>
        <w:rPr>
          <w:rFonts w:ascii="仿宋" w:hAnsi="仿宋" w:eastAsia="仿宋" w:cs="仿宋"/>
          <w:sz w:val="21"/>
          <w:szCs w:val="21"/>
        </w:rPr>
      </w:pPr>
      <w:r>
        <w:rPr>
          <w:rFonts w:ascii="仿宋" w:hAnsi="仿宋" w:eastAsia="仿宋" w:cs="仿宋"/>
          <w:spacing w:val="-20"/>
          <w:w w:val="97"/>
          <w:sz w:val="21"/>
          <w:szCs w:val="21"/>
        </w:rPr>
        <w:t>投标人</w:t>
      </w:r>
      <w:r>
        <w:rPr>
          <w:rFonts w:ascii="仿宋" w:hAnsi="仿宋" w:eastAsia="仿宋" w:cs="仿宋"/>
          <w:spacing w:val="-24"/>
          <w:sz w:val="21"/>
          <w:szCs w:val="21"/>
        </w:rPr>
        <w:t>：</w:t>
      </w:r>
      <w:r>
        <w:rPr>
          <w:rFonts w:ascii="仿宋" w:hAnsi="仿宋" w:eastAsia="仿宋" w:cs="仿宋"/>
          <w:spacing w:val="2"/>
          <w:sz w:val="21"/>
          <w:szCs w:val="21"/>
          <w:u w:val="single" w:color="auto"/>
        </w:rPr>
        <w:t xml:space="preserve">                      </w:t>
      </w:r>
      <w:r>
        <w:rPr>
          <w:rFonts w:ascii="仿宋" w:hAnsi="仿宋" w:eastAsia="仿宋" w:cs="仿宋"/>
          <w:spacing w:val="-24"/>
          <w:sz w:val="21"/>
          <w:szCs w:val="21"/>
        </w:rPr>
        <w:t>（</w:t>
      </w:r>
      <w:r>
        <w:rPr>
          <w:rFonts w:ascii="仿宋" w:hAnsi="仿宋" w:eastAsia="仿宋" w:cs="仿宋"/>
          <w:spacing w:val="-20"/>
          <w:w w:val="97"/>
          <w:sz w:val="21"/>
          <w:szCs w:val="21"/>
        </w:rPr>
        <w:t>盖单位章）</w:t>
      </w:r>
    </w:p>
    <w:p>
      <w:pPr>
        <w:spacing w:line="282" w:lineRule="auto"/>
        <w:jc w:val="right"/>
        <w:rPr>
          <w:rFonts w:ascii="仿宋"/>
          <w:sz w:val="21"/>
        </w:rPr>
      </w:pPr>
    </w:p>
    <w:p>
      <w:pPr>
        <w:spacing w:before="70" w:line="185" w:lineRule="auto"/>
        <w:jc w:val="right"/>
        <w:rPr>
          <w:rFonts w:ascii="仿宋" w:hAnsi="仿宋" w:eastAsia="仿宋" w:cs="仿宋"/>
          <w:sz w:val="21"/>
          <w:szCs w:val="21"/>
        </w:rPr>
      </w:pPr>
      <w:r>
        <w:rPr>
          <w:rFonts w:ascii="仿宋" w:hAnsi="仿宋" w:eastAsia="仿宋" w:cs="仿宋"/>
          <w:spacing w:val="-15"/>
          <w:sz w:val="21"/>
          <w:szCs w:val="21"/>
        </w:rPr>
        <w:t>法定代表人或其委托代理人</w:t>
      </w:r>
      <w:r>
        <w:rPr>
          <w:rFonts w:ascii="仿宋" w:hAnsi="仿宋" w:eastAsia="仿宋" w:cs="仿宋"/>
          <w:spacing w:val="-4"/>
          <w:sz w:val="21"/>
          <w:szCs w:val="21"/>
        </w:rPr>
        <w:t>：</w:t>
      </w:r>
      <w:r>
        <w:rPr>
          <w:rFonts w:ascii="仿宋" w:hAnsi="仿宋" w:eastAsia="仿宋" w:cs="仿宋"/>
          <w:spacing w:val="2"/>
          <w:sz w:val="21"/>
          <w:szCs w:val="21"/>
          <w:u w:val="single" w:color="auto"/>
        </w:rPr>
        <w:t xml:space="preserve">             </w:t>
      </w:r>
      <w:r>
        <w:rPr>
          <w:rFonts w:ascii="仿宋" w:hAnsi="仿宋" w:eastAsia="仿宋" w:cs="仿宋"/>
          <w:spacing w:val="-4"/>
          <w:sz w:val="21"/>
          <w:szCs w:val="21"/>
        </w:rPr>
        <w:t>（</w:t>
      </w:r>
      <w:r>
        <w:rPr>
          <w:rFonts w:ascii="仿宋" w:hAnsi="仿宋" w:eastAsia="仿宋" w:cs="仿宋"/>
          <w:spacing w:val="-15"/>
          <w:sz w:val="21"/>
          <w:szCs w:val="21"/>
        </w:rPr>
        <w:t>签字）</w:t>
      </w:r>
    </w:p>
    <w:p>
      <w:pPr>
        <w:tabs>
          <w:tab w:val="left" w:pos="8834"/>
        </w:tabs>
        <w:spacing w:before="69" w:line="185" w:lineRule="auto"/>
        <w:ind w:firstLine="182" w:firstLineChars="100"/>
        <w:jc w:val="right"/>
        <w:rPr>
          <w:rFonts w:ascii="仿宋" w:hAnsi="仿宋" w:eastAsia="仿宋" w:cs="仿宋"/>
          <w:spacing w:val="-14"/>
          <w:sz w:val="21"/>
          <w:szCs w:val="21"/>
        </w:rPr>
      </w:pPr>
    </w:p>
    <w:p>
      <w:pPr>
        <w:tabs>
          <w:tab w:val="left" w:pos="8834"/>
        </w:tabs>
        <w:spacing w:before="69" w:line="185" w:lineRule="auto"/>
        <w:ind w:firstLine="182" w:firstLineChars="100"/>
        <w:jc w:val="center"/>
        <w:rPr>
          <w:rFonts w:ascii="仿宋" w:hAnsi="仿宋" w:eastAsia="仿宋" w:cs="仿宋"/>
          <w:sz w:val="21"/>
          <w:szCs w:val="21"/>
        </w:rPr>
      </w:pPr>
      <w:r>
        <w:rPr>
          <w:rFonts w:hint="eastAsia" w:ascii="仿宋" w:hAnsi="仿宋" w:eastAsia="仿宋" w:cs="仿宋"/>
          <w:spacing w:val="-14"/>
          <w:sz w:val="21"/>
          <w:szCs w:val="21"/>
          <w:lang w:val="en-US" w:eastAsia="zh-CN"/>
        </w:rPr>
        <w:t xml:space="preserve">                                                                                                 </w:t>
      </w:r>
      <w:r>
        <w:rPr>
          <w:rFonts w:ascii="仿宋" w:hAnsi="仿宋" w:eastAsia="仿宋" w:cs="仿宋"/>
          <w:spacing w:val="-14"/>
          <w:sz w:val="21"/>
          <w:szCs w:val="21"/>
        </w:rPr>
        <w:t>年</w:t>
      </w:r>
      <w:r>
        <w:rPr>
          <w:rFonts w:ascii="仿宋" w:hAnsi="仿宋" w:eastAsia="仿宋" w:cs="仿宋"/>
          <w:spacing w:val="4"/>
          <w:sz w:val="21"/>
          <w:szCs w:val="21"/>
          <w:u w:val="single" w:color="auto"/>
        </w:rPr>
        <w:t xml:space="preserve">     </w:t>
      </w:r>
      <w:r>
        <w:rPr>
          <w:rFonts w:ascii="仿宋" w:hAnsi="仿宋" w:eastAsia="仿宋" w:cs="仿宋"/>
          <w:spacing w:val="-14"/>
          <w:sz w:val="21"/>
          <w:szCs w:val="21"/>
        </w:rPr>
        <w:t>月</w:t>
      </w:r>
      <w:r>
        <w:rPr>
          <w:rFonts w:ascii="仿宋" w:hAnsi="仿宋" w:eastAsia="仿宋" w:cs="仿宋"/>
          <w:spacing w:val="12"/>
          <w:sz w:val="21"/>
          <w:szCs w:val="21"/>
          <w:u w:val="single" w:color="auto"/>
        </w:rPr>
        <w:t xml:space="preserve">     </w:t>
      </w:r>
      <w:r>
        <w:rPr>
          <w:rFonts w:ascii="仿宋" w:hAnsi="仿宋" w:eastAsia="仿宋" w:cs="仿宋"/>
          <w:spacing w:val="-14"/>
          <w:sz w:val="21"/>
          <w:szCs w:val="21"/>
        </w:rPr>
        <w:t>日</w:t>
      </w:r>
    </w:p>
    <w:p>
      <w:pPr>
        <w:pStyle w:val="10"/>
        <w:jc w:val="right"/>
        <w:sectPr>
          <w:pgSz w:w="11906" w:h="16838"/>
          <w:pgMar w:top="1440" w:right="1080" w:bottom="1440" w:left="1080" w:header="851" w:footer="992" w:gutter="0"/>
          <w:pgNumType w:fmt="decimal"/>
          <w:cols w:space="425" w:num="1"/>
          <w:docGrid w:type="lines" w:linePitch="312" w:charSpace="0"/>
        </w:sectPr>
      </w:pPr>
    </w:p>
    <w:p>
      <w:pPr>
        <w:keepNext/>
        <w:keepLines/>
        <w:spacing w:line="360" w:lineRule="auto"/>
        <w:jc w:val="center"/>
        <w:outlineLvl w:val="0"/>
        <w:rPr>
          <w:rFonts w:hint="eastAsia" w:ascii="仿宋" w:hAnsi="仿宋" w:eastAsia="仿宋" w:cs="仿宋"/>
          <w:b/>
          <w:bCs/>
          <w:color w:val="000000"/>
          <w:kern w:val="0"/>
          <w:sz w:val="32"/>
          <w:szCs w:val="32"/>
          <w:highlight w:val="none"/>
        </w:rPr>
      </w:pPr>
      <w:bookmarkStart w:id="82" w:name="_Toc25340"/>
      <w:r>
        <w:rPr>
          <w:rFonts w:hint="eastAsia" w:ascii="仿宋" w:hAnsi="仿宋" w:eastAsia="仿宋" w:cs="仿宋"/>
          <w:b/>
          <w:bCs/>
          <w:color w:val="000000"/>
          <w:kern w:val="0"/>
          <w:sz w:val="32"/>
          <w:szCs w:val="32"/>
          <w:highlight w:val="none"/>
        </w:rPr>
        <w:t>第三章  评标办法</w:t>
      </w:r>
      <w:bookmarkEnd w:id="82"/>
    </w:p>
    <w:p>
      <w:pPr>
        <w:pStyle w:val="17"/>
        <w:jc w:val="center"/>
        <w:rPr>
          <w:rFonts w:hint="eastAsia" w:ascii="仿宋" w:hAnsi="仿宋" w:eastAsia="仿宋" w:cs="仿宋"/>
          <w:color w:val="000000"/>
          <w:kern w:val="0"/>
          <w:highlight w:val="none"/>
        </w:rPr>
      </w:pPr>
      <w:bookmarkStart w:id="83" w:name="_Toc27087"/>
      <w:bookmarkStart w:id="84" w:name="_Toc15637"/>
      <w:bookmarkStart w:id="85" w:name="_Toc2920"/>
      <w:bookmarkStart w:id="86" w:name="_Toc24042"/>
      <w:r>
        <w:rPr>
          <w:rFonts w:hint="eastAsia" w:ascii="仿宋" w:hAnsi="仿宋" w:eastAsia="仿宋" w:cs="仿宋"/>
          <w:color w:val="000000"/>
          <w:kern w:val="0"/>
          <w:highlight w:val="none"/>
        </w:rPr>
        <w:t>评标办法前附表</w:t>
      </w:r>
      <w:bookmarkEnd w:id="83"/>
      <w:bookmarkEnd w:id="84"/>
      <w:bookmarkEnd w:id="85"/>
      <w:bookmarkEnd w:id="86"/>
    </w:p>
    <w:tbl>
      <w:tblPr>
        <w:tblStyle w:val="19"/>
        <w:tblW w:w="9658"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41"/>
        <w:gridCol w:w="1047"/>
        <w:gridCol w:w="2247"/>
        <w:gridCol w:w="5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16" w:type="dxa"/>
            <w:gridSpan w:val="3"/>
            <w:tcBorders>
              <w:top w:val="single" w:color="auto" w:sz="12" w:space="0"/>
            </w:tcBorders>
            <w:noWrap w:val="0"/>
            <w:vAlign w:val="center"/>
          </w:tcPr>
          <w:p>
            <w:pPr>
              <w:jc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条款号</w:t>
            </w:r>
          </w:p>
        </w:tc>
        <w:tc>
          <w:tcPr>
            <w:tcW w:w="2247" w:type="dxa"/>
            <w:tcBorders>
              <w:top w:val="single" w:color="auto" w:sz="12" w:space="0"/>
            </w:tcBorders>
            <w:noWrap w:val="0"/>
            <w:vAlign w:val="center"/>
          </w:tcPr>
          <w:p>
            <w:pPr>
              <w:jc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评审因素</w:t>
            </w:r>
          </w:p>
        </w:tc>
        <w:tc>
          <w:tcPr>
            <w:tcW w:w="5195" w:type="dxa"/>
            <w:tcBorders>
              <w:top w:val="single" w:color="auto" w:sz="12" w:space="0"/>
            </w:tcBorders>
            <w:noWrap w:val="0"/>
            <w:vAlign w:val="center"/>
          </w:tcPr>
          <w:p>
            <w:pPr>
              <w:jc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8" w:type="dxa"/>
            <w:tcBorders>
              <w:top w:val="single" w:color="auto" w:sz="12" w:space="0"/>
            </w:tcBorders>
            <w:noWrap w:val="0"/>
            <w:vAlign w:val="center"/>
          </w:tcPr>
          <w:p>
            <w:pPr>
              <w:adjustRightInd w:val="0"/>
              <w:spacing w:line="360" w:lineRule="auto"/>
              <w:jc w:val="center"/>
              <w:textAlignment w:val="baseline"/>
              <w:rPr>
                <w:rFonts w:hint="eastAsia" w:ascii="仿宋" w:hAnsi="仿宋" w:eastAsia="仿宋" w:cs="仿宋"/>
                <w:b/>
                <w:color w:val="000000"/>
                <w:szCs w:val="21"/>
                <w:highlight w:val="none"/>
              </w:rPr>
            </w:pPr>
            <w:r>
              <w:rPr>
                <w:rFonts w:hint="eastAsia" w:ascii="仿宋" w:hAnsi="仿宋" w:eastAsia="仿宋" w:cs="仿宋"/>
                <w:szCs w:val="21"/>
                <w:highlight w:val="none"/>
              </w:rPr>
              <w:t>1</w:t>
            </w:r>
          </w:p>
        </w:tc>
        <w:tc>
          <w:tcPr>
            <w:tcW w:w="1288" w:type="dxa"/>
            <w:gridSpan w:val="2"/>
            <w:tcBorders>
              <w:top w:val="single" w:color="auto" w:sz="12" w:space="0"/>
            </w:tcBorders>
            <w:noWrap w:val="0"/>
            <w:vAlign w:val="center"/>
          </w:tcPr>
          <w:p>
            <w:pPr>
              <w:adjustRightInd w:val="0"/>
              <w:spacing w:line="360" w:lineRule="auto"/>
              <w:jc w:val="center"/>
              <w:textAlignment w:val="baseline"/>
              <w:rPr>
                <w:rFonts w:hint="eastAsia" w:ascii="仿宋" w:hAnsi="仿宋" w:eastAsia="仿宋" w:cs="仿宋"/>
                <w:b/>
                <w:color w:val="000000"/>
                <w:szCs w:val="21"/>
                <w:highlight w:val="none"/>
              </w:rPr>
            </w:pPr>
            <w:r>
              <w:rPr>
                <w:rFonts w:hint="eastAsia" w:ascii="仿宋" w:hAnsi="仿宋" w:eastAsia="仿宋" w:cs="仿宋"/>
                <w:szCs w:val="21"/>
                <w:highlight w:val="none"/>
              </w:rPr>
              <w:t>评标方法</w:t>
            </w:r>
          </w:p>
        </w:tc>
        <w:tc>
          <w:tcPr>
            <w:tcW w:w="2247" w:type="dxa"/>
            <w:tcBorders>
              <w:top w:val="single" w:color="auto" w:sz="12" w:space="0"/>
            </w:tcBorders>
            <w:noWrap w:val="0"/>
            <w:vAlign w:val="center"/>
          </w:tcPr>
          <w:p>
            <w:pPr>
              <w:adjustRightInd w:val="0"/>
              <w:spacing w:line="36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中标候选人</w:t>
            </w:r>
          </w:p>
          <w:p>
            <w:pPr>
              <w:adjustRightInd w:val="0"/>
              <w:spacing w:line="360" w:lineRule="auto"/>
              <w:jc w:val="center"/>
              <w:textAlignment w:val="baseline"/>
              <w:rPr>
                <w:rFonts w:hint="eastAsia" w:ascii="仿宋" w:hAnsi="仿宋" w:eastAsia="仿宋" w:cs="仿宋"/>
                <w:b/>
                <w:color w:val="000000"/>
                <w:szCs w:val="21"/>
                <w:highlight w:val="none"/>
              </w:rPr>
            </w:pPr>
            <w:r>
              <w:rPr>
                <w:rFonts w:hint="eastAsia" w:ascii="仿宋" w:hAnsi="仿宋" w:eastAsia="仿宋" w:cs="仿宋"/>
                <w:szCs w:val="21"/>
                <w:highlight w:val="none"/>
              </w:rPr>
              <w:t>排序方法</w:t>
            </w:r>
          </w:p>
        </w:tc>
        <w:tc>
          <w:tcPr>
            <w:tcW w:w="5195" w:type="dxa"/>
            <w:tcBorders>
              <w:top w:val="single" w:color="auto" w:sz="12" w:space="0"/>
            </w:tcBorders>
            <w:noWrap w:val="0"/>
            <w:vAlign w:val="center"/>
          </w:tcPr>
          <w:p>
            <w:pPr>
              <w:adjustRightInd w:val="0"/>
              <w:spacing w:line="360" w:lineRule="auto"/>
              <w:textAlignment w:val="baseline"/>
              <w:rPr>
                <w:rFonts w:hint="eastAsia" w:ascii="仿宋" w:hAnsi="仿宋" w:eastAsia="仿宋" w:cs="仿宋"/>
                <w:b/>
                <w:color w:val="000000"/>
                <w:szCs w:val="21"/>
                <w:highlight w:val="none"/>
              </w:rPr>
            </w:pPr>
            <w:r>
              <w:rPr>
                <w:rFonts w:hint="eastAsia" w:ascii="仿宋" w:hAnsi="仿宋" w:eastAsia="仿宋" w:cs="仿宋"/>
                <w:szCs w:val="21"/>
                <w:highlight w:val="none"/>
              </w:rPr>
              <w:t>按投标人总得分从高到低的顺序推荐3名中标候选人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restart"/>
            <w:noWrap w:val="0"/>
            <w:vAlign w:val="center"/>
          </w:tcPr>
          <w:p>
            <w:pPr>
              <w:adjustRightInd w:val="0"/>
              <w:spacing w:line="36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2.1.1</w:t>
            </w:r>
          </w:p>
          <w:p>
            <w:pPr>
              <w:widowControl/>
              <w:jc w:val="center"/>
              <w:rPr>
                <w:rFonts w:hint="eastAsia"/>
              </w:rPr>
            </w:pPr>
          </w:p>
          <w:p>
            <w:pPr>
              <w:pStyle w:val="10"/>
              <w:rPr>
                <w:rFonts w:hint="eastAsia"/>
              </w:rPr>
            </w:pPr>
          </w:p>
        </w:tc>
        <w:tc>
          <w:tcPr>
            <w:tcW w:w="1288" w:type="dxa"/>
            <w:gridSpan w:val="2"/>
            <w:vMerge w:val="restart"/>
            <w:noWrap w:val="0"/>
            <w:vAlign w:val="center"/>
          </w:tcPr>
          <w:p>
            <w:pPr>
              <w:adjustRightInd w:val="0"/>
              <w:spacing w:line="360" w:lineRule="auto"/>
              <w:jc w:val="center"/>
              <w:textAlignment w:val="baseline"/>
              <w:rPr>
                <w:rFonts w:hint="eastAsia" w:ascii="仿宋" w:hAnsi="仿宋" w:eastAsia="仿宋" w:cs="仿宋"/>
                <w:color w:val="000000"/>
                <w:kern w:val="0"/>
                <w:szCs w:val="21"/>
                <w:highlight w:val="none"/>
              </w:rPr>
            </w:pPr>
            <w:r>
              <w:rPr>
                <w:rFonts w:hint="eastAsia" w:ascii="仿宋" w:hAnsi="仿宋" w:eastAsia="仿宋" w:cs="仿宋"/>
                <w:spacing w:val="-4"/>
                <w:sz w:val="21"/>
                <w:szCs w:val="21"/>
                <w:lang w:eastAsia="zh-CN"/>
              </w:rPr>
              <w:t>符合</w:t>
            </w:r>
            <w:r>
              <w:rPr>
                <w:rFonts w:ascii="仿宋" w:hAnsi="仿宋" w:eastAsia="仿宋" w:cs="仿宋"/>
                <w:spacing w:val="-4"/>
                <w:sz w:val="21"/>
                <w:szCs w:val="21"/>
              </w:rPr>
              <w:t>性评</w:t>
            </w:r>
            <w:r>
              <w:rPr>
                <w:rFonts w:ascii="仿宋" w:hAnsi="仿宋" w:eastAsia="仿宋" w:cs="仿宋"/>
                <w:spacing w:val="3"/>
                <w:sz w:val="21"/>
                <w:szCs w:val="21"/>
              </w:rPr>
              <w:t xml:space="preserve"> </w:t>
            </w:r>
            <w:r>
              <w:rPr>
                <w:rFonts w:ascii="仿宋" w:hAnsi="仿宋" w:eastAsia="仿宋" w:cs="仿宋"/>
                <w:spacing w:val="-7"/>
                <w:sz w:val="21"/>
                <w:szCs w:val="21"/>
              </w:rPr>
              <w:t>审标准</w:t>
            </w: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投标人名称</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电子签章</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投标文件格式</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符合第八章“投标文件格式”的规定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报价唯一</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投标内容</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工期</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质量要求</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adjustRightInd w:val="0"/>
              <w:spacing w:line="360" w:lineRule="auto"/>
              <w:jc w:val="center"/>
              <w:textAlignment w:val="baseline"/>
              <w:rPr>
                <w:rFonts w:hint="eastAsia" w:ascii="仿宋" w:hAnsi="仿宋" w:eastAsia="仿宋" w:cs="仿宋"/>
                <w:color w:val="000000"/>
                <w:kern w:val="0"/>
                <w:szCs w:val="21"/>
                <w:highlight w:val="none"/>
              </w:rPr>
            </w:pPr>
            <w:r>
              <w:rPr>
                <w:rFonts w:hint="eastAsia" w:ascii="仿宋" w:hAnsi="仿宋" w:eastAsia="仿宋" w:cs="仿宋"/>
                <w:szCs w:val="21"/>
                <w:highlight w:val="none"/>
              </w:rPr>
              <w:t>安全目标</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adjustRightInd w:val="0"/>
              <w:spacing w:line="360" w:lineRule="auto"/>
              <w:jc w:val="center"/>
              <w:textAlignment w:val="baseline"/>
              <w:rPr>
                <w:rFonts w:hint="eastAsia" w:ascii="仿宋" w:hAnsi="仿宋" w:eastAsia="仿宋" w:cs="仿宋"/>
                <w:color w:val="000000"/>
                <w:kern w:val="0"/>
                <w:szCs w:val="21"/>
                <w:highlight w:val="none"/>
              </w:rPr>
            </w:pPr>
            <w:r>
              <w:rPr>
                <w:rFonts w:hint="eastAsia" w:ascii="仿宋" w:hAnsi="仿宋" w:eastAsia="仿宋" w:cs="仿宋"/>
                <w:szCs w:val="21"/>
                <w:highlight w:val="none"/>
              </w:rPr>
              <w:t>文明工地目标</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adjustRightInd w:val="0"/>
              <w:spacing w:line="360" w:lineRule="auto"/>
              <w:jc w:val="center"/>
              <w:textAlignment w:val="baseline"/>
              <w:rPr>
                <w:rFonts w:hint="eastAsia" w:ascii="仿宋" w:hAnsi="仿宋" w:eastAsia="仿宋" w:cs="仿宋"/>
                <w:color w:val="000000"/>
                <w:kern w:val="0"/>
                <w:szCs w:val="21"/>
                <w:highlight w:val="none"/>
              </w:rPr>
            </w:pPr>
            <w:r>
              <w:rPr>
                <w:rFonts w:hint="eastAsia" w:ascii="仿宋" w:hAnsi="仿宋" w:eastAsia="仿宋" w:cs="仿宋"/>
                <w:szCs w:val="21"/>
                <w:highlight w:val="none"/>
              </w:rPr>
              <w:t>扬尘治理目标</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adjustRightInd w:val="0"/>
              <w:spacing w:line="360" w:lineRule="auto"/>
              <w:jc w:val="center"/>
              <w:textAlignment w:val="baseline"/>
              <w:rPr>
                <w:rFonts w:hint="eastAsia" w:ascii="仿宋" w:hAnsi="仿宋" w:eastAsia="仿宋" w:cs="仿宋"/>
                <w:color w:val="000000"/>
                <w:kern w:val="0"/>
                <w:szCs w:val="21"/>
                <w:highlight w:val="none"/>
              </w:rPr>
            </w:pPr>
            <w:r>
              <w:rPr>
                <w:rFonts w:hint="eastAsia" w:ascii="仿宋" w:hAnsi="仿宋" w:eastAsia="仿宋" w:cs="仿宋"/>
                <w:szCs w:val="21"/>
                <w:highlight w:val="none"/>
                <w:lang w:eastAsia="zh-CN"/>
              </w:rPr>
              <w:t>付款方式</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符合第二章“投标人须知前附表”的规定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center"/>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投标有效期</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投标有效期内</w:t>
            </w:r>
            <w:r>
              <w:rPr>
                <w:rFonts w:hint="eastAsia" w:ascii="仿宋" w:hAnsi="仿宋" w:eastAsia="仿宋" w:cs="仿宋"/>
                <w:color w:val="000000"/>
                <w:szCs w:val="21"/>
                <w:highlight w:val="none"/>
                <w:lang w:val="en-US" w:eastAsia="zh-CN"/>
              </w:rPr>
              <w:t>90</w:t>
            </w:r>
            <w:r>
              <w:rPr>
                <w:rFonts w:hint="eastAsia" w:ascii="仿宋" w:hAnsi="仿宋" w:eastAsia="仿宋" w:cs="仿宋"/>
                <w:color w:val="000000"/>
                <w:szCs w:val="21"/>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pStyle w:val="10"/>
              <w:rPr>
                <w:rFonts w:hint="eastAsia"/>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投标报价</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低于（含等于）招标控制价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pStyle w:val="10"/>
              <w:rPr>
                <w:rFonts w:hint="eastAsia"/>
              </w:rPr>
            </w:pPr>
          </w:p>
        </w:tc>
        <w:tc>
          <w:tcPr>
            <w:tcW w:w="1288" w:type="dxa"/>
            <w:gridSpan w:val="2"/>
            <w:vMerge w:val="continue"/>
            <w:noWrap w:val="0"/>
            <w:vAlign w:val="center"/>
          </w:tcPr>
          <w:p>
            <w:pPr>
              <w:widowControl/>
              <w:jc w:val="center"/>
              <w:rPr>
                <w:rFonts w:hint="eastAsia" w:ascii="仿宋" w:hAnsi="仿宋" w:eastAsia="仿宋" w:cs="仿宋"/>
                <w:color w:val="000000"/>
                <w:kern w:val="0"/>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已标价工程量清单</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符合第五章“工程量清单”给出的范围及数量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28" w:type="dxa"/>
            <w:vMerge w:val="restart"/>
            <w:noWrap w:val="0"/>
            <w:vAlign w:val="center"/>
          </w:tcPr>
          <w:p>
            <w:pPr>
              <w:adjustRightInd w:val="0"/>
              <w:spacing w:line="360" w:lineRule="auto"/>
              <w:jc w:val="center"/>
              <w:textAlignment w:val="baseline"/>
              <w:rPr>
                <w:rFonts w:hint="eastAsia" w:ascii="仿宋" w:hAnsi="仿宋" w:eastAsia="仿宋" w:cs="仿宋"/>
                <w:color w:val="000000"/>
                <w:szCs w:val="21"/>
                <w:highlight w:val="none"/>
              </w:rPr>
            </w:pPr>
            <w:r>
              <w:rPr>
                <w:rFonts w:hint="eastAsia" w:ascii="仿宋" w:hAnsi="仿宋" w:eastAsia="仿宋" w:cs="仿宋"/>
                <w:szCs w:val="21"/>
                <w:highlight w:val="none"/>
              </w:rPr>
              <w:t>2.1.2</w:t>
            </w:r>
          </w:p>
        </w:tc>
        <w:tc>
          <w:tcPr>
            <w:tcW w:w="1288" w:type="dxa"/>
            <w:gridSpan w:val="2"/>
            <w:vMerge w:val="restart"/>
            <w:noWrap w:val="0"/>
            <w:vAlign w:val="center"/>
          </w:tcPr>
          <w:p>
            <w:pPr>
              <w:adjustRightInd w:val="0"/>
              <w:spacing w:line="36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资格评审</w:t>
            </w:r>
          </w:p>
          <w:p>
            <w:pPr>
              <w:adjustRightInd w:val="0"/>
              <w:spacing w:line="360" w:lineRule="auto"/>
              <w:jc w:val="center"/>
              <w:textAlignment w:val="baseline"/>
              <w:rPr>
                <w:rFonts w:hint="eastAsia" w:ascii="仿宋" w:hAnsi="仿宋" w:eastAsia="仿宋" w:cs="仿宋"/>
                <w:color w:val="000000"/>
                <w:kern w:val="0"/>
                <w:szCs w:val="21"/>
                <w:highlight w:val="none"/>
              </w:rPr>
            </w:pPr>
            <w:r>
              <w:rPr>
                <w:rFonts w:hint="eastAsia" w:ascii="仿宋" w:hAnsi="仿宋" w:eastAsia="仿宋" w:cs="仿宋"/>
                <w:szCs w:val="21"/>
                <w:highlight w:val="none"/>
              </w:rPr>
              <w:t>标准</w:t>
            </w:r>
          </w:p>
        </w:tc>
        <w:tc>
          <w:tcPr>
            <w:tcW w:w="2247" w:type="dxa"/>
            <w:noWrap w:val="0"/>
            <w:vAlign w:val="center"/>
          </w:tcPr>
          <w:p>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营业执照</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具备有效的营业执照、税务登记证、组织机构代码证（或三证合一后有效的营业执照）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8" w:type="dxa"/>
            <w:vMerge w:val="continue"/>
            <w:noWrap w:val="0"/>
            <w:vAlign w:val="center"/>
          </w:tcPr>
          <w:p>
            <w:pPr>
              <w:adjustRightInd w:val="0"/>
              <w:spacing w:line="360" w:lineRule="auto"/>
              <w:jc w:val="center"/>
              <w:textAlignment w:val="baseline"/>
              <w:rPr>
                <w:rFonts w:hint="eastAsia" w:ascii="仿宋" w:hAnsi="仿宋" w:eastAsia="仿宋" w:cs="仿宋"/>
                <w:szCs w:val="21"/>
                <w:highlight w:val="none"/>
              </w:rPr>
            </w:pPr>
          </w:p>
        </w:tc>
        <w:tc>
          <w:tcPr>
            <w:tcW w:w="1288" w:type="dxa"/>
            <w:gridSpan w:val="2"/>
            <w:vMerge w:val="continue"/>
            <w:noWrap w:val="0"/>
            <w:vAlign w:val="center"/>
          </w:tcPr>
          <w:p>
            <w:pPr>
              <w:adjustRightInd w:val="0"/>
              <w:spacing w:line="360" w:lineRule="auto"/>
              <w:jc w:val="center"/>
              <w:textAlignment w:val="baseline"/>
              <w:rPr>
                <w:rFonts w:hint="eastAsia" w:ascii="仿宋" w:hAnsi="仿宋" w:eastAsia="仿宋" w:cs="仿宋"/>
                <w:szCs w:val="21"/>
                <w:highlight w:val="none"/>
              </w:rPr>
            </w:pPr>
          </w:p>
        </w:tc>
        <w:tc>
          <w:tcPr>
            <w:tcW w:w="2247" w:type="dxa"/>
            <w:noWrap w:val="0"/>
            <w:vAlign w:val="center"/>
          </w:tcPr>
          <w:p>
            <w:pPr>
              <w:jc w:val="cente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lang w:eastAsia="zh-CN"/>
              </w:rPr>
              <w:t>资质证书</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符合第二章“投标人须知前附表</w:t>
            </w:r>
            <w:r>
              <w:rPr>
                <w:rFonts w:hint="eastAsia" w:ascii="仿宋" w:hAnsi="仿宋" w:eastAsia="仿宋" w:cs="仿宋"/>
                <w:color w:val="000000"/>
                <w:szCs w:val="21"/>
                <w:highlight w:val="none"/>
              </w:rPr>
              <w:t>1.4.1</w:t>
            </w:r>
            <w:r>
              <w:rPr>
                <w:rFonts w:hint="eastAsia" w:ascii="仿宋" w:hAnsi="仿宋" w:eastAsia="仿宋" w:cs="仿宋"/>
                <w:color w:val="000000"/>
                <w:kern w:val="0"/>
                <w:szCs w:val="21"/>
                <w:highlight w:val="none"/>
              </w:rPr>
              <w:t>”的规定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jc w:val="left"/>
              <w:rPr>
                <w:rFonts w:hint="eastAsia" w:ascii="仿宋" w:hAnsi="仿宋" w:eastAsia="仿宋" w:cs="仿宋"/>
                <w:color w:val="000000"/>
                <w:szCs w:val="21"/>
                <w:highlight w:val="none"/>
              </w:rPr>
            </w:pPr>
          </w:p>
        </w:tc>
        <w:tc>
          <w:tcPr>
            <w:tcW w:w="1288" w:type="dxa"/>
            <w:gridSpan w:val="2"/>
            <w:vMerge w:val="continue"/>
            <w:noWrap w:val="0"/>
            <w:vAlign w:val="center"/>
          </w:tcPr>
          <w:p>
            <w:pPr>
              <w:jc w:val="left"/>
              <w:rPr>
                <w:rFonts w:hint="eastAsia" w:ascii="仿宋" w:hAnsi="仿宋" w:eastAsia="仿宋" w:cs="仿宋"/>
                <w:color w:val="000000"/>
                <w:kern w:val="0"/>
                <w:szCs w:val="21"/>
                <w:highlight w:val="none"/>
              </w:rPr>
            </w:pP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安全生产许可证</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符合第二章“投标人须知前附表</w:t>
            </w:r>
            <w:r>
              <w:rPr>
                <w:rFonts w:hint="eastAsia" w:ascii="仿宋" w:hAnsi="仿宋" w:eastAsia="仿宋" w:cs="仿宋"/>
                <w:color w:val="000000"/>
                <w:szCs w:val="21"/>
                <w:highlight w:val="none"/>
              </w:rPr>
              <w:t>1.4.1</w:t>
            </w:r>
            <w:r>
              <w:rPr>
                <w:rFonts w:hint="eastAsia" w:ascii="仿宋" w:hAnsi="仿宋" w:eastAsia="仿宋" w:cs="仿宋"/>
                <w:color w:val="000000"/>
                <w:kern w:val="0"/>
                <w:szCs w:val="21"/>
                <w:highlight w:val="none"/>
              </w:rPr>
              <w:t>”的规定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left"/>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left"/>
              <w:rPr>
                <w:rFonts w:hint="eastAsia" w:ascii="仿宋" w:hAnsi="仿宋" w:eastAsia="仿宋" w:cs="仿宋"/>
                <w:color w:val="000000"/>
                <w:kern w:val="0"/>
                <w:szCs w:val="21"/>
                <w:highlight w:val="none"/>
              </w:rPr>
            </w:pP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eastAsia="zh-CN"/>
              </w:rPr>
              <w:t>项目</w:t>
            </w:r>
            <w:r>
              <w:rPr>
                <w:rFonts w:hint="eastAsia" w:ascii="仿宋" w:hAnsi="仿宋" w:eastAsia="仿宋" w:cs="仿宋"/>
                <w:color w:val="000000"/>
                <w:kern w:val="0"/>
                <w:szCs w:val="21"/>
                <w:highlight w:val="none"/>
              </w:rPr>
              <w:t>经理</w:t>
            </w:r>
          </w:p>
        </w:tc>
        <w:tc>
          <w:tcPr>
            <w:tcW w:w="5195" w:type="dxa"/>
            <w:noWrap w:val="0"/>
            <w:vAlign w:val="center"/>
          </w:tcPr>
          <w:p>
            <w:pPr>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符合第二章“投标人须知前附表</w:t>
            </w:r>
            <w:r>
              <w:rPr>
                <w:rFonts w:hint="eastAsia" w:ascii="仿宋" w:hAnsi="仿宋" w:eastAsia="仿宋" w:cs="仿宋"/>
                <w:color w:val="000000"/>
                <w:szCs w:val="21"/>
                <w:highlight w:val="none"/>
              </w:rPr>
              <w:t>1.4.1</w:t>
            </w:r>
            <w:r>
              <w:rPr>
                <w:rFonts w:hint="eastAsia" w:ascii="仿宋" w:hAnsi="仿宋" w:eastAsia="仿宋" w:cs="仿宋"/>
                <w:color w:val="000000"/>
                <w:kern w:val="0"/>
                <w:szCs w:val="21"/>
                <w:highlight w:val="none"/>
              </w:rPr>
              <w:t>”的规定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dxa"/>
            <w:vMerge w:val="continue"/>
            <w:noWrap w:val="0"/>
            <w:vAlign w:val="center"/>
          </w:tcPr>
          <w:p>
            <w:pPr>
              <w:widowControl/>
              <w:jc w:val="left"/>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left"/>
              <w:rPr>
                <w:rFonts w:hint="eastAsia" w:ascii="仿宋" w:hAnsi="仿宋" w:eastAsia="仿宋" w:cs="仿宋"/>
                <w:color w:val="000000"/>
                <w:kern w:val="0"/>
                <w:szCs w:val="21"/>
                <w:highlight w:val="none"/>
              </w:rPr>
            </w:pP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Cs w:val="21"/>
                <w:highlight w:val="none"/>
              </w:rPr>
            </w:pPr>
            <w:r>
              <w:rPr>
                <w:rFonts w:ascii="仿宋" w:hAnsi="仿宋" w:eastAsia="仿宋" w:cs="仿宋"/>
                <w:spacing w:val="-3"/>
                <w:sz w:val="21"/>
                <w:szCs w:val="21"/>
              </w:rPr>
              <w:t>信用承诺</w:t>
            </w:r>
          </w:p>
        </w:tc>
        <w:tc>
          <w:tcPr>
            <w:tcW w:w="5195" w:type="dxa"/>
            <w:noWrap w:val="0"/>
            <w:vAlign w:val="top"/>
          </w:tcPr>
          <w:p>
            <w:pPr>
              <w:spacing w:before="243" w:line="185" w:lineRule="auto"/>
              <w:ind w:firstLine="122" w:firstLineChars="0"/>
              <w:rPr>
                <w:rFonts w:hint="eastAsia" w:ascii="仿宋" w:hAnsi="仿宋" w:eastAsia="仿宋" w:cs="仿宋"/>
                <w:color w:val="000000"/>
                <w:kern w:val="0"/>
                <w:szCs w:val="21"/>
                <w:highlight w:val="none"/>
              </w:rPr>
            </w:pPr>
            <w:r>
              <w:rPr>
                <w:rFonts w:ascii="仿宋" w:hAnsi="仿宋" w:eastAsia="仿宋" w:cs="仿宋"/>
                <w:spacing w:val="-2"/>
                <w:sz w:val="21"/>
                <w:szCs w:val="21"/>
              </w:rPr>
              <w:t>符合第二章“投标人须知前附表”第</w:t>
            </w:r>
            <w:r>
              <w:rPr>
                <w:rFonts w:ascii="仿宋" w:hAnsi="仿宋" w:eastAsia="仿宋" w:cs="仿宋"/>
                <w:spacing w:val="-21"/>
                <w:sz w:val="21"/>
                <w:szCs w:val="21"/>
              </w:rPr>
              <w:t xml:space="preserve"> </w:t>
            </w:r>
            <w:r>
              <w:rPr>
                <w:rFonts w:ascii="仿宋" w:hAnsi="仿宋" w:eastAsia="仿宋" w:cs="仿宋"/>
                <w:spacing w:val="-2"/>
                <w:sz w:val="21"/>
                <w:szCs w:val="21"/>
              </w:rPr>
              <w:t>1.4.1</w:t>
            </w:r>
            <w:r>
              <w:rPr>
                <w:rFonts w:ascii="仿宋" w:hAnsi="仿宋" w:eastAsia="仿宋" w:cs="仿宋"/>
                <w:spacing w:val="-30"/>
                <w:sz w:val="21"/>
                <w:szCs w:val="21"/>
              </w:rPr>
              <w:t xml:space="preserve"> </w:t>
            </w:r>
            <w:r>
              <w:rPr>
                <w:rFonts w:ascii="仿宋" w:hAnsi="仿宋" w:eastAsia="仿宋" w:cs="仿宋"/>
                <w:spacing w:val="-2"/>
                <w:sz w:val="21"/>
                <w:szCs w:val="21"/>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8" w:type="dxa"/>
            <w:vMerge w:val="continue"/>
            <w:noWrap w:val="0"/>
            <w:vAlign w:val="center"/>
          </w:tcPr>
          <w:p>
            <w:pPr>
              <w:widowControl/>
              <w:jc w:val="left"/>
              <w:rPr>
                <w:rFonts w:hint="eastAsia" w:ascii="仿宋" w:hAnsi="仿宋" w:eastAsia="仿宋" w:cs="仿宋"/>
                <w:color w:val="000000"/>
                <w:szCs w:val="21"/>
                <w:highlight w:val="none"/>
              </w:rPr>
            </w:pPr>
          </w:p>
        </w:tc>
        <w:tc>
          <w:tcPr>
            <w:tcW w:w="1288" w:type="dxa"/>
            <w:gridSpan w:val="2"/>
            <w:vMerge w:val="continue"/>
            <w:noWrap w:val="0"/>
            <w:vAlign w:val="center"/>
          </w:tcPr>
          <w:p>
            <w:pPr>
              <w:widowControl/>
              <w:jc w:val="left"/>
              <w:rPr>
                <w:rFonts w:hint="eastAsia" w:ascii="仿宋" w:hAnsi="仿宋" w:eastAsia="仿宋" w:cs="仿宋"/>
                <w:color w:val="000000"/>
                <w:kern w:val="0"/>
                <w:szCs w:val="21"/>
                <w:highlight w:val="none"/>
              </w:rPr>
            </w:pP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Cs w:val="21"/>
                <w:highlight w:val="none"/>
              </w:rPr>
            </w:pPr>
            <w:r>
              <w:rPr>
                <w:rFonts w:ascii="仿宋" w:hAnsi="仿宋" w:eastAsia="仿宋" w:cs="仿宋"/>
                <w:spacing w:val="-4"/>
                <w:sz w:val="21"/>
                <w:szCs w:val="21"/>
              </w:rPr>
              <w:t>其他</w:t>
            </w:r>
          </w:p>
        </w:tc>
        <w:tc>
          <w:tcPr>
            <w:tcW w:w="5195" w:type="dxa"/>
            <w:noWrap w:val="0"/>
            <w:vAlign w:val="top"/>
          </w:tcPr>
          <w:p>
            <w:pPr>
              <w:spacing w:before="259" w:line="185" w:lineRule="auto"/>
              <w:ind w:firstLine="122" w:firstLineChars="0"/>
              <w:rPr>
                <w:rFonts w:hint="eastAsia" w:ascii="仿宋" w:hAnsi="仿宋" w:eastAsia="仿宋" w:cs="仿宋"/>
                <w:color w:val="000000"/>
                <w:kern w:val="0"/>
                <w:szCs w:val="21"/>
                <w:highlight w:val="none"/>
              </w:rPr>
            </w:pPr>
            <w:r>
              <w:rPr>
                <w:rFonts w:ascii="仿宋" w:hAnsi="仿宋" w:eastAsia="仿宋" w:cs="仿宋"/>
                <w:spacing w:val="-2"/>
                <w:sz w:val="21"/>
                <w:szCs w:val="21"/>
              </w:rPr>
              <w:t>符合第二章“投标人须知前附表”第</w:t>
            </w:r>
            <w:r>
              <w:rPr>
                <w:rFonts w:ascii="仿宋" w:hAnsi="仿宋" w:eastAsia="仿宋" w:cs="仿宋"/>
                <w:spacing w:val="-21"/>
                <w:sz w:val="21"/>
                <w:szCs w:val="21"/>
              </w:rPr>
              <w:t xml:space="preserve"> </w:t>
            </w:r>
            <w:r>
              <w:rPr>
                <w:rFonts w:ascii="仿宋" w:hAnsi="仿宋" w:eastAsia="仿宋" w:cs="仿宋"/>
                <w:spacing w:val="-2"/>
                <w:sz w:val="21"/>
                <w:szCs w:val="21"/>
              </w:rPr>
              <w:t>1.4.1</w:t>
            </w:r>
            <w:r>
              <w:rPr>
                <w:rFonts w:ascii="仿宋" w:hAnsi="仿宋" w:eastAsia="仿宋" w:cs="仿宋"/>
                <w:spacing w:val="-30"/>
                <w:sz w:val="21"/>
                <w:szCs w:val="21"/>
              </w:rPr>
              <w:t xml:space="preserve"> </w:t>
            </w:r>
            <w:r>
              <w:rPr>
                <w:rFonts w:ascii="仿宋" w:hAnsi="仿宋" w:eastAsia="仿宋" w:cs="仿宋"/>
                <w:spacing w:val="-2"/>
                <w:sz w:val="21"/>
                <w:szCs w:val="21"/>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6" w:type="dxa"/>
            <w:gridSpan w:val="3"/>
            <w:noWrap w:val="0"/>
            <w:vAlign w:val="center"/>
          </w:tcPr>
          <w:p>
            <w:pPr>
              <w:widowControl/>
              <w:jc w:val="center"/>
              <w:rPr>
                <w:rFonts w:hint="eastAsia" w:ascii="仿宋" w:hAnsi="仿宋" w:eastAsia="仿宋" w:cs="仿宋"/>
                <w:color w:val="000000"/>
                <w:kern w:val="0"/>
                <w:szCs w:val="21"/>
                <w:highlight w:val="none"/>
              </w:rPr>
            </w:pPr>
            <w:r>
              <w:rPr>
                <w:rFonts w:ascii="仿宋" w:hAnsi="仿宋" w:eastAsia="仿宋" w:cs="仿宋"/>
                <w:spacing w:val="4"/>
                <w:sz w:val="21"/>
                <w:szCs w:val="21"/>
                <w14:textOutline w14:w="3810" w14:cap="flat" w14:cmpd="sng">
                  <w14:solidFill>
                    <w14:srgbClr w14:val="000000"/>
                  </w14:solidFill>
                  <w14:prstDash w14:val="solid"/>
                  <w14:miter w14:val="0"/>
                </w14:textOutline>
              </w:rPr>
              <w:t>条款号</w:t>
            </w:r>
          </w:p>
        </w:tc>
        <w:tc>
          <w:tcPr>
            <w:tcW w:w="2247" w:type="dxa"/>
            <w:noWrap w:val="0"/>
            <w:vAlign w:val="center"/>
          </w:tcPr>
          <w:p>
            <w:pPr>
              <w:jc w:val="center"/>
              <w:rPr>
                <w:rFonts w:hint="eastAsia" w:ascii="仿宋" w:hAnsi="仿宋" w:eastAsia="仿宋" w:cs="仿宋"/>
                <w:color w:val="000000"/>
                <w:kern w:val="0"/>
                <w:szCs w:val="21"/>
                <w:highlight w:val="none"/>
              </w:rPr>
            </w:pPr>
            <w:r>
              <w:rPr>
                <w:rFonts w:ascii="仿宋" w:hAnsi="仿宋" w:eastAsia="仿宋" w:cs="仿宋"/>
                <w:spacing w:val="7"/>
                <w:sz w:val="21"/>
                <w:szCs w:val="21"/>
                <w14:textOutline w14:w="3810" w14:cap="flat" w14:cmpd="sng">
                  <w14:solidFill>
                    <w14:srgbClr w14:val="000000"/>
                  </w14:solidFill>
                  <w14:prstDash w14:val="solid"/>
                  <w14:miter w14:val="0"/>
                </w14:textOutline>
              </w:rPr>
              <w:t>条款内容</w:t>
            </w:r>
          </w:p>
        </w:tc>
        <w:tc>
          <w:tcPr>
            <w:tcW w:w="5195" w:type="dxa"/>
            <w:noWrap w:val="0"/>
            <w:vAlign w:val="center"/>
          </w:tcPr>
          <w:p>
            <w:pPr>
              <w:jc w:val="center"/>
              <w:rPr>
                <w:rFonts w:hint="eastAsia" w:ascii="仿宋" w:hAnsi="仿宋" w:eastAsia="仿宋" w:cs="仿宋"/>
                <w:color w:val="000000"/>
                <w:kern w:val="0"/>
                <w:szCs w:val="21"/>
                <w:highlight w:val="none"/>
              </w:rPr>
            </w:pPr>
            <w:r>
              <w:rPr>
                <w:rFonts w:ascii="仿宋" w:hAnsi="仿宋" w:eastAsia="仿宋" w:cs="仿宋"/>
                <w:spacing w:val="7"/>
                <w:sz w:val="21"/>
                <w:szCs w:val="21"/>
                <w14:textOutline w14:w="3810" w14:cap="flat" w14:cmpd="sng">
                  <w14:solidFill>
                    <w14:srgbClr w14:val="000000"/>
                  </w14:solidFill>
                  <w14:prstDash w14:val="solid"/>
                  <w14:miter w14:val="0"/>
                </w14:textOutline>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2.2.1</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评标基准价</w: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计算方法</w:t>
            </w:r>
          </w:p>
        </w:tc>
        <w:tc>
          <w:tcPr>
            <w:tcW w:w="51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评标基准价=A*50%+B*50%，其中：</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（1）A=招标人最高投标限价；</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（2）B=所有有效投标人在 A 的100%（含 100%）～95%（含 95%）区间的投标报价的算术平均值。（所有有效投标人的投标报价均不在 A的100% （含 100%）～95%（含 95%）区间，评标基准价为最高投标限价）</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有效投标人指通过形式评审、资格评审、响应性评审，且投标报价不高于招标人发布的最高投标限价的投标人。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2.2.2</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偏差率</w:t>
            </w:r>
          </w:p>
        </w:tc>
        <w:tc>
          <w:tcPr>
            <w:tcW w:w="51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偏差率=100%×（投标报价－评标基准价）/评标基准价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2.2.3(1)</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投标报价（</w:t>
            </w:r>
            <w:r>
              <w:rPr>
                <w:rFonts w:hint="eastAsia" w:ascii="仿宋" w:hAnsi="仿宋" w:eastAsia="仿宋" w:cs="仿宋"/>
                <w:spacing w:val="-4"/>
                <w:sz w:val="24"/>
                <w:szCs w:val="24"/>
                <w:lang w:val="en-US" w:eastAsia="zh-CN"/>
              </w:rPr>
              <w:t>50</w:t>
            </w:r>
            <w:r>
              <w:rPr>
                <w:rFonts w:hint="eastAsia" w:ascii="仿宋" w:hAnsi="仿宋" w:eastAsia="仿宋" w:cs="仿宋"/>
                <w:spacing w:val="-4"/>
                <w:sz w:val="24"/>
                <w:szCs w:val="24"/>
              </w:rPr>
              <w:t>分）</w:t>
            </w:r>
          </w:p>
        </w:tc>
        <w:tc>
          <w:tcPr>
            <w:tcW w:w="51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投标人的投标报价等于评标基准值的得</w:t>
            </w:r>
            <w:r>
              <w:rPr>
                <w:rFonts w:hint="eastAsia" w:ascii="仿宋" w:hAnsi="仿宋" w:eastAsia="仿宋" w:cs="仿宋"/>
                <w:spacing w:val="-4"/>
                <w:sz w:val="24"/>
                <w:szCs w:val="24"/>
                <w:lang w:val="en-US" w:eastAsia="zh-CN"/>
              </w:rPr>
              <w:t>50</w:t>
            </w:r>
            <w:r>
              <w:rPr>
                <w:rFonts w:hint="eastAsia" w:ascii="仿宋" w:hAnsi="仿宋" w:eastAsia="仿宋" w:cs="仿宋"/>
                <w:spacing w:val="-4"/>
                <w:sz w:val="24"/>
                <w:szCs w:val="24"/>
              </w:rPr>
              <w:t>分；高于评标基准值，每高1%在</w:t>
            </w:r>
            <w:r>
              <w:rPr>
                <w:rFonts w:hint="eastAsia" w:ascii="仿宋" w:hAnsi="仿宋" w:eastAsia="仿宋" w:cs="仿宋"/>
                <w:spacing w:val="-4"/>
                <w:sz w:val="24"/>
                <w:szCs w:val="24"/>
                <w:lang w:val="en-US" w:eastAsia="zh-CN"/>
              </w:rPr>
              <w:t>50</w:t>
            </w:r>
            <w:r>
              <w:rPr>
                <w:rFonts w:hint="eastAsia" w:ascii="仿宋" w:hAnsi="仿宋" w:eastAsia="仿宋" w:cs="仿宋"/>
                <w:spacing w:val="-4"/>
                <w:sz w:val="24"/>
                <w:szCs w:val="24"/>
              </w:rPr>
              <w:t>分基础上扣1分,扣完为止；低于评标基准值者，每低1%在</w:t>
            </w:r>
            <w:r>
              <w:rPr>
                <w:rFonts w:hint="eastAsia" w:ascii="仿宋" w:hAnsi="仿宋" w:eastAsia="仿宋" w:cs="仿宋"/>
                <w:spacing w:val="-4"/>
                <w:sz w:val="24"/>
                <w:szCs w:val="24"/>
                <w:lang w:val="en-US" w:eastAsia="zh-CN"/>
              </w:rPr>
              <w:t>50</w:t>
            </w:r>
            <w:r>
              <w:rPr>
                <w:rFonts w:hint="eastAsia" w:ascii="仿宋" w:hAnsi="仿宋" w:eastAsia="仿宋" w:cs="仿宋"/>
                <w:spacing w:val="-4"/>
                <w:sz w:val="24"/>
                <w:szCs w:val="24"/>
              </w:rPr>
              <w:t>分基础上扣1分，扣完为止。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2.2.3(</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firstLine="232" w:firstLineChars="100"/>
              <w:textAlignment w:val="auto"/>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小微企业加分</w:t>
            </w:r>
          </w:p>
          <w:p>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textAlignment w:val="auto"/>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2.5分</w:t>
            </w:r>
            <w:r>
              <w:rPr>
                <w:rFonts w:hint="eastAsia" w:ascii="仿宋" w:hAnsi="仿宋" w:eastAsia="仿宋" w:cs="仿宋"/>
                <w:spacing w:val="-4"/>
                <w:sz w:val="24"/>
                <w:szCs w:val="24"/>
                <w:lang w:eastAsia="zh-CN"/>
              </w:rPr>
              <w:t>）</w:t>
            </w:r>
          </w:p>
        </w:tc>
        <w:tc>
          <w:tcPr>
            <w:tcW w:w="51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 xml:space="preserve">根据《政府采购促进中小企业发展管理办法》〔财库〔2020)46 号）的规定，投标人为小微企业的， 在采用原报价进行评分的基础上增加其价格得分的 </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%作为其价格分。计算公式如下：</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小微企业投标报价得分（政策分）=采用原报价评审得分×</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（注：1、中、小、微企业参加政府采购活动，应当如实出具招标文件规定格式的《中小企业声明函》， 否则不得享受相关中小企业扶持政策。2、提供声明函内容不实的，属于弄虚作假骗取中标，依照《中华人民共和国招标投标法》等国家有关规定追究相应责任。）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restart"/>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r>
              <w:rPr>
                <w:rFonts w:hint="eastAsia" w:ascii="仿宋" w:hAnsi="仿宋" w:eastAsia="仿宋" w:cs="仿宋"/>
                <w:spacing w:val="-4"/>
                <w:sz w:val="24"/>
                <w:szCs w:val="24"/>
              </w:rPr>
              <w:t>2.2.3（</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w:t>
            </w:r>
          </w:p>
        </w:tc>
        <w:tc>
          <w:tcPr>
            <w:tcW w:w="1047" w:type="dxa"/>
            <w:vMerge w:val="restart"/>
            <w:noWrap w:val="0"/>
            <w:vAlign w:val="center"/>
          </w:tcPr>
          <w:p>
            <w:pPr>
              <w:widowControl/>
              <w:jc w:val="center"/>
              <w:rPr>
                <w:rFonts w:hint="eastAsia" w:ascii="仿宋" w:hAnsi="仿宋" w:eastAsia="仿宋" w:cs="仿宋"/>
                <w:spacing w:val="4"/>
                <w:sz w:val="24"/>
                <w:szCs w:val="24"/>
                <w:lang w:eastAsia="zh-CN"/>
                <w14:textOutline w14:w="3810" w14:cap="flat" w14:cmpd="sng">
                  <w14:solidFill>
                    <w14:srgbClr w14:val="000000"/>
                  </w14:solidFill>
                  <w14:prstDash w14:val="solid"/>
                  <w14:miter w14:val="0"/>
                </w14:textOutline>
              </w:rPr>
            </w:pPr>
            <w:r>
              <w:rPr>
                <w:rFonts w:hint="eastAsia" w:ascii="仿宋" w:hAnsi="仿宋" w:eastAsia="仿宋" w:cs="仿宋"/>
                <w:spacing w:val="4"/>
                <w:sz w:val="24"/>
                <w:szCs w:val="24"/>
                <w14:textOutline w14:w="3810" w14:cap="flat" w14:cmpd="sng">
                  <w14:solidFill>
                    <w14:srgbClr w14:val="000000"/>
                  </w14:solidFill>
                  <w14:prstDash w14:val="solid"/>
                  <w14:miter w14:val="0"/>
                </w14:textOutline>
              </w:rPr>
              <w:t>技术部分（</w:t>
            </w:r>
            <w:r>
              <w:rPr>
                <w:rFonts w:hint="eastAsia" w:ascii="仿宋" w:hAnsi="仿宋" w:eastAsia="仿宋" w:cs="仿宋"/>
                <w:spacing w:val="4"/>
                <w:sz w:val="24"/>
                <w:szCs w:val="24"/>
                <w:lang w:val="en-US" w:eastAsia="zh-CN"/>
                <w14:textOutline w14:w="3810" w14:cap="flat" w14:cmpd="sng">
                  <w14:solidFill>
                    <w14:srgbClr w14:val="000000"/>
                  </w14:solidFill>
                  <w14:prstDash w14:val="solid"/>
                  <w14:miter w14:val="0"/>
                </w14:textOutline>
              </w:rPr>
              <w:t>35</w:t>
            </w:r>
          </w:p>
          <w:p>
            <w:pPr>
              <w:widowControl/>
              <w:jc w:val="center"/>
              <w:rPr>
                <w:rFonts w:hint="eastAsia" w:ascii="仿宋" w:hAnsi="仿宋" w:eastAsia="仿宋" w:cs="仿宋"/>
                <w:spacing w:val="4"/>
                <w:sz w:val="21"/>
                <w:szCs w:val="21"/>
                <w:lang w:eastAsia="zh-CN"/>
                <w14:textOutline w14:w="3810" w14:cap="flat" w14:cmpd="sng">
                  <w14:solidFill>
                    <w14:srgbClr w14:val="000000"/>
                  </w14:solidFill>
                  <w14:prstDash w14:val="solid"/>
                  <w14:miter w14:val="0"/>
                </w14:textOutline>
              </w:rPr>
            </w:pPr>
            <w:r>
              <w:rPr>
                <w:rFonts w:hint="eastAsia" w:ascii="仿宋" w:hAnsi="仿宋" w:eastAsia="仿宋" w:cs="仿宋"/>
                <w:spacing w:val="4"/>
                <w:sz w:val="24"/>
                <w:szCs w:val="24"/>
                <w14:textOutline w14:w="3810" w14:cap="flat" w14:cmpd="sng">
                  <w14:solidFill>
                    <w14:srgbClr w14:val="000000"/>
                  </w14:solidFill>
                  <w14:prstDash w14:val="solid"/>
                  <w14:miter w14:val="0"/>
                </w14:textOutline>
              </w:rPr>
              <w:t>分</w:t>
            </w:r>
            <w:r>
              <w:rPr>
                <w:rFonts w:hint="eastAsia" w:ascii="仿宋" w:hAnsi="仿宋" w:eastAsia="仿宋" w:cs="仿宋"/>
                <w:spacing w:val="4"/>
                <w:sz w:val="24"/>
                <w:szCs w:val="24"/>
                <w:lang w:eastAsia="zh-CN"/>
                <w14:textOutline w14:w="3810" w14:cap="flat" w14:cmpd="sng">
                  <w14:solidFill>
                    <w14:srgbClr w14:val="000000"/>
                  </w14:solidFill>
                  <w14:prstDash w14:val="solid"/>
                  <w14:miter w14:val="0"/>
                </w14:textOutline>
              </w:rPr>
              <w:t>）</w:t>
            </w: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项目组织机构的设置（</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方案针对性强、内容完整、方案优者得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 xml:space="preserve"> 分；基本符合的得1分；缺项者得0分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劳动力安排计划（</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合理、措施可行得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分，基本可行得1分,缺项者得0分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color w:val="auto"/>
                <w:spacing w:val="14"/>
                <w:kern w:val="0"/>
                <w:sz w:val="24"/>
                <w:szCs w:val="24"/>
                <w:highlight w:val="none"/>
              </w:rPr>
            </w:pPr>
            <w:r>
              <w:rPr>
                <w:rFonts w:hint="eastAsia" w:ascii="仿宋" w:hAnsi="仿宋" w:eastAsia="仿宋" w:cs="仿宋"/>
                <w:color w:val="auto"/>
                <w:spacing w:val="14"/>
                <w:kern w:val="0"/>
                <w:sz w:val="24"/>
                <w:szCs w:val="24"/>
                <w:highlight w:val="none"/>
              </w:rPr>
              <w:t>施工机械计划</w:t>
            </w:r>
          </w:p>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合理、措施可行得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分，基本可行得1分,缺项者得0分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z w:val="24"/>
                <w:szCs w:val="24"/>
                <w:highlight w:val="none"/>
                <w:lang w:eastAsia="zh-CN"/>
              </w:rPr>
              <w:t>施工方案与技术措施（</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合理、措施可行得</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分，基本可行得</w:t>
            </w:r>
            <w:r>
              <w:rPr>
                <w:rFonts w:hint="eastAsia" w:ascii="仿宋" w:hAnsi="仿宋" w:eastAsia="仿宋" w:cs="仿宋"/>
                <w:color w:val="auto"/>
                <w:spacing w:val="14"/>
                <w:kern w:val="0"/>
                <w:sz w:val="24"/>
                <w:szCs w:val="24"/>
                <w:highlight w:val="none"/>
                <w:lang w:val="en-US" w:eastAsia="zh-CN"/>
              </w:rPr>
              <w:t>3</w:t>
            </w:r>
            <w:r>
              <w:rPr>
                <w:rFonts w:hint="eastAsia" w:ascii="仿宋" w:hAnsi="仿宋" w:eastAsia="仿宋" w:cs="仿宋"/>
                <w:color w:val="auto"/>
                <w:spacing w:val="14"/>
                <w:kern w:val="0"/>
                <w:sz w:val="24"/>
                <w:szCs w:val="24"/>
                <w:highlight w:val="none"/>
              </w:rPr>
              <w:t>分,其次得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确保工程质量的技术组织措施（</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质量管理体系健全、技术组织先进、合理得</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分，基本合理得3分,其次得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lang w:val="en-US" w:eastAsia="zh-CN"/>
              </w:rPr>
            </w:pPr>
            <w:r>
              <w:rPr>
                <w:rFonts w:hint="eastAsia" w:ascii="仿宋" w:hAnsi="仿宋" w:eastAsia="仿宋" w:cs="仿宋"/>
                <w:color w:val="auto"/>
                <w:spacing w:val="14"/>
                <w:kern w:val="0"/>
                <w:sz w:val="24"/>
                <w:szCs w:val="24"/>
                <w:highlight w:val="none"/>
              </w:rPr>
              <w:t>确保安全生产的技术组织措施（</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val="en-US" w:eastAsia="zh-CN"/>
              </w:rPr>
            </w:pPr>
            <w:r>
              <w:rPr>
                <w:rFonts w:hint="eastAsia" w:ascii="仿宋" w:hAnsi="仿宋" w:eastAsia="仿宋" w:cs="仿宋"/>
                <w:color w:val="auto"/>
                <w:spacing w:val="14"/>
                <w:kern w:val="0"/>
                <w:sz w:val="24"/>
                <w:szCs w:val="24"/>
                <w:highlight w:val="none"/>
              </w:rPr>
              <w:t>安全管理体系健全、安全措施得当、合理得</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分，基本合理得3分,其次得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color w:val="auto"/>
                <w:spacing w:val="14"/>
                <w:kern w:val="0"/>
                <w:sz w:val="24"/>
                <w:szCs w:val="24"/>
                <w:highlight w:val="none"/>
              </w:rPr>
            </w:pPr>
            <w:r>
              <w:rPr>
                <w:rFonts w:hint="eastAsia" w:ascii="仿宋" w:hAnsi="仿宋" w:eastAsia="仿宋" w:cs="仿宋"/>
                <w:color w:val="auto"/>
                <w:spacing w:val="14"/>
                <w:kern w:val="0"/>
                <w:sz w:val="24"/>
                <w:szCs w:val="24"/>
                <w:highlight w:val="none"/>
              </w:rPr>
              <w:t>确保工期的技术组织措施</w:t>
            </w:r>
          </w:p>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技术组织安排合理、措施可行得</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分，基本可行得3分,其次得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确保文明施工的技术组织措施（</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文明施工、环境保护管理体系健全、措施得当、合理、可行得</w:t>
            </w:r>
            <w:r>
              <w:rPr>
                <w:rFonts w:hint="eastAsia" w:ascii="仿宋" w:hAnsi="仿宋" w:eastAsia="仿宋" w:cs="仿宋"/>
                <w:color w:val="auto"/>
                <w:spacing w:val="14"/>
                <w:kern w:val="0"/>
                <w:sz w:val="24"/>
                <w:szCs w:val="24"/>
                <w:highlight w:val="none"/>
                <w:lang w:val="en-US" w:eastAsia="zh-CN"/>
              </w:rPr>
              <w:t>4</w:t>
            </w:r>
            <w:r>
              <w:rPr>
                <w:rFonts w:hint="eastAsia" w:ascii="仿宋" w:hAnsi="仿宋" w:eastAsia="仿宋" w:cs="仿宋"/>
                <w:color w:val="auto"/>
                <w:spacing w:val="14"/>
                <w:kern w:val="0"/>
                <w:sz w:val="24"/>
                <w:szCs w:val="24"/>
                <w:highlight w:val="none"/>
              </w:rPr>
              <w:t>分，基本可行得</w:t>
            </w:r>
            <w:r>
              <w:rPr>
                <w:rFonts w:hint="eastAsia" w:ascii="仿宋" w:hAnsi="仿宋" w:eastAsia="仿宋" w:cs="仿宋"/>
                <w:color w:val="auto"/>
                <w:spacing w:val="14"/>
                <w:kern w:val="0"/>
                <w:sz w:val="24"/>
                <w:szCs w:val="24"/>
                <w:highlight w:val="none"/>
                <w:lang w:val="en-US" w:eastAsia="zh-CN"/>
              </w:rPr>
              <w:t>3</w:t>
            </w:r>
            <w:r>
              <w:rPr>
                <w:rFonts w:hint="eastAsia" w:ascii="仿宋" w:hAnsi="仿宋" w:eastAsia="仿宋" w:cs="仿宋"/>
                <w:color w:val="auto"/>
                <w:spacing w:val="14"/>
                <w:kern w:val="0"/>
                <w:sz w:val="24"/>
                <w:szCs w:val="24"/>
                <w:highlight w:val="none"/>
              </w:rPr>
              <w:t>分,其次得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color w:val="auto"/>
                <w:spacing w:val="14"/>
                <w:kern w:val="0"/>
                <w:sz w:val="24"/>
                <w:szCs w:val="24"/>
                <w:highlight w:val="none"/>
              </w:rPr>
            </w:pPr>
            <w:r>
              <w:rPr>
                <w:rFonts w:hint="eastAsia" w:ascii="仿宋" w:hAnsi="仿宋" w:eastAsia="仿宋" w:cs="仿宋"/>
                <w:color w:val="auto"/>
                <w:spacing w:val="14"/>
                <w:kern w:val="0"/>
                <w:sz w:val="24"/>
                <w:szCs w:val="24"/>
                <w:highlight w:val="none"/>
              </w:rPr>
              <w:t>施工总进度表或工期网络图</w:t>
            </w:r>
          </w:p>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w:t>
            </w:r>
            <w:r>
              <w:rPr>
                <w:rFonts w:hint="eastAsia" w:ascii="仿宋" w:hAnsi="仿宋" w:eastAsia="仿宋" w:cs="仿宋"/>
                <w:color w:val="auto"/>
                <w:spacing w:val="14"/>
                <w:kern w:val="0"/>
                <w:sz w:val="24"/>
                <w:szCs w:val="24"/>
                <w:highlight w:val="none"/>
                <w:lang w:val="en-US" w:eastAsia="zh-CN"/>
              </w:rPr>
              <w:t>3</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val="en-US" w:eastAsia="zh-CN"/>
              </w:rPr>
            </w:pPr>
            <w:r>
              <w:rPr>
                <w:rFonts w:hint="eastAsia" w:ascii="仿宋" w:hAnsi="仿宋" w:eastAsia="仿宋" w:cs="仿宋"/>
                <w:color w:val="auto"/>
                <w:spacing w:val="14"/>
                <w:kern w:val="0"/>
                <w:sz w:val="24"/>
                <w:szCs w:val="24"/>
                <w:highlight w:val="none"/>
              </w:rPr>
              <w:t>进度计划合理、可行得</w:t>
            </w:r>
            <w:r>
              <w:rPr>
                <w:rFonts w:hint="eastAsia" w:ascii="仿宋" w:hAnsi="仿宋" w:eastAsia="仿宋" w:cs="仿宋"/>
                <w:color w:val="auto"/>
                <w:spacing w:val="14"/>
                <w:kern w:val="0"/>
                <w:sz w:val="24"/>
                <w:szCs w:val="24"/>
                <w:highlight w:val="none"/>
                <w:lang w:val="en-US" w:eastAsia="zh-CN"/>
              </w:rPr>
              <w:t>3</w:t>
            </w:r>
            <w:r>
              <w:rPr>
                <w:rFonts w:hint="eastAsia" w:ascii="仿宋" w:hAnsi="仿宋" w:eastAsia="仿宋" w:cs="仿宋"/>
                <w:color w:val="auto"/>
                <w:spacing w:val="14"/>
                <w:kern w:val="0"/>
                <w:sz w:val="24"/>
                <w:szCs w:val="24"/>
                <w:highlight w:val="none"/>
              </w:rPr>
              <w:t>分，基本可行得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分,其次得</w:t>
            </w:r>
            <w:r>
              <w:rPr>
                <w:rFonts w:hint="eastAsia" w:ascii="仿宋" w:hAnsi="仿宋" w:eastAsia="仿宋" w:cs="仿宋"/>
                <w:color w:val="auto"/>
                <w:spacing w:val="14"/>
                <w:kern w:val="0"/>
                <w:sz w:val="24"/>
                <w:szCs w:val="24"/>
                <w:highlight w:val="none"/>
                <w:lang w:val="en-US" w:eastAsia="zh-CN"/>
              </w:rPr>
              <w:t>1</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color w:val="auto"/>
                <w:spacing w:val="14"/>
                <w:kern w:val="0"/>
                <w:sz w:val="24"/>
                <w:szCs w:val="24"/>
                <w:highlight w:val="none"/>
              </w:rPr>
            </w:pPr>
            <w:r>
              <w:rPr>
                <w:rFonts w:hint="eastAsia" w:ascii="仿宋" w:hAnsi="仿宋" w:eastAsia="仿宋" w:cs="仿宋"/>
                <w:color w:val="auto"/>
                <w:spacing w:val="14"/>
                <w:kern w:val="0"/>
                <w:sz w:val="24"/>
                <w:szCs w:val="24"/>
                <w:highlight w:val="none"/>
              </w:rPr>
              <w:t>施工总平面图</w:t>
            </w:r>
          </w:p>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平面布局合理</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 基本</w:t>
            </w:r>
            <w:r>
              <w:rPr>
                <w:rFonts w:hint="eastAsia" w:ascii="仿宋" w:hAnsi="仿宋" w:eastAsia="仿宋" w:cs="仿宋"/>
                <w:color w:val="auto"/>
                <w:spacing w:val="14"/>
                <w:kern w:val="0"/>
                <w:sz w:val="24"/>
                <w:szCs w:val="24"/>
                <w:highlight w:val="none"/>
                <w:lang w:eastAsia="zh-CN"/>
              </w:rPr>
              <w:t>合理得</w:t>
            </w:r>
            <w:r>
              <w:rPr>
                <w:rFonts w:hint="eastAsia" w:ascii="仿宋" w:hAnsi="仿宋" w:eastAsia="仿宋" w:cs="仿宋"/>
                <w:color w:val="auto"/>
                <w:spacing w:val="14"/>
                <w:kern w:val="0"/>
                <w:sz w:val="24"/>
                <w:szCs w:val="24"/>
                <w:highlight w:val="none"/>
                <w:lang w:val="en-US" w:eastAsia="zh-CN"/>
              </w:rPr>
              <w:t>1</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配合措施及重点难点解决措施（</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rPr>
              <w:t>有与发包人、监理人、设计人的配合措施及重点难点解决措施，措施合理、可行得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分，基本可行得</w:t>
            </w:r>
            <w:r>
              <w:rPr>
                <w:rFonts w:hint="eastAsia" w:ascii="仿宋" w:hAnsi="仿宋" w:eastAsia="仿宋" w:cs="仿宋"/>
                <w:color w:val="auto"/>
                <w:spacing w:val="14"/>
                <w:kern w:val="0"/>
                <w:sz w:val="24"/>
                <w:szCs w:val="24"/>
                <w:highlight w:val="none"/>
                <w:lang w:val="en-US" w:eastAsia="zh-CN"/>
              </w:rPr>
              <w:t>1</w:t>
            </w:r>
            <w:r>
              <w:rPr>
                <w:rFonts w:hint="eastAsia" w:ascii="仿宋" w:hAnsi="仿宋" w:eastAsia="仿宋" w:cs="仿宋"/>
                <w:color w:val="auto"/>
                <w:spacing w:val="14"/>
                <w:kern w:val="0"/>
                <w:sz w:val="24"/>
                <w:szCs w:val="24"/>
                <w:highlight w:val="none"/>
              </w:rPr>
              <w:t>分,缺项者得0分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spacing w:line="276" w:lineRule="auto"/>
              <w:jc w:val="center"/>
              <w:rPr>
                <w:rFonts w:hint="eastAsia" w:ascii="仿宋" w:hAnsi="仿宋" w:eastAsia="仿宋" w:cs="仿宋"/>
                <w:spacing w:val="-4"/>
                <w:sz w:val="24"/>
                <w:szCs w:val="24"/>
              </w:rPr>
            </w:pPr>
            <w:r>
              <w:rPr>
                <w:rFonts w:hint="eastAsia" w:ascii="仿宋" w:hAnsi="仿宋" w:eastAsia="仿宋" w:cs="仿宋"/>
                <w:color w:val="auto"/>
                <w:spacing w:val="14"/>
                <w:kern w:val="0"/>
                <w:sz w:val="24"/>
                <w:szCs w:val="24"/>
                <w:highlight w:val="none"/>
              </w:rPr>
              <w:t>内容完整性和编制水平（</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w:t>
            </w:r>
          </w:p>
        </w:tc>
        <w:tc>
          <w:tcPr>
            <w:tcW w:w="5195" w:type="dxa"/>
            <w:noWrap w:val="0"/>
            <w:vAlign w:val="center"/>
          </w:tcPr>
          <w:p>
            <w:pPr>
              <w:spacing w:line="276" w:lineRule="auto"/>
              <w:jc w:val="left"/>
              <w:rPr>
                <w:rFonts w:hint="eastAsia" w:ascii="仿宋" w:hAnsi="仿宋" w:eastAsia="仿宋" w:cs="仿宋"/>
                <w:spacing w:val="-4"/>
                <w:sz w:val="24"/>
                <w:szCs w:val="24"/>
                <w:lang w:eastAsia="zh-CN"/>
              </w:rPr>
            </w:pPr>
            <w:r>
              <w:rPr>
                <w:rFonts w:hint="eastAsia" w:ascii="仿宋" w:hAnsi="仿宋" w:eastAsia="仿宋" w:cs="仿宋"/>
                <w:color w:val="auto"/>
                <w:spacing w:val="14"/>
                <w:kern w:val="0"/>
                <w:sz w:val="24"/>
                <w:szCs w:val="24"/>
                <w:highlight w:val="none"/>
                <w:lang w:val="en-US"/>
              </w:rPr>
              <w:t>编制内容完整，对</w:t>
            </w:r>
            <w:r>
              <w:rPr>
                <w:rFonts w:hint="eastAsia" w:ascii="仿宋" w:hAnsi="仿宋" w:eastAsia="仿宋" w:cs="仿宋"/>
                <w:color w:val="auto"/>
                <w:spacing w:val="14"/>
                <w:kern w:val="0"/>
                <w:sz w:val="24"/>
                <w:szCs w:val="24"/>
                <w:highlight w:val="none"/>
                <w:lang w:val="en-US" w:eastAsia="zh-CN"/>
              </w:rPr>
              <w:t>磋商</w:t>
            </w:r>
            <w:r>
              <w:rPr>
                <w:rFonts w:hint="eastAsia" w:ascii="仿宋" w:hAnsi="仿宋" w:eastAsia="仿宋" w:cs="仿宋"/>
                <w:color w:val="auto"/>
                <w:spacing w:val="14"/>
                <w:kern w:val="0"/>
                <w:sz w:val="24"/>
                <w:szCs w:val="24"/>
                <w:highlight w:val="none"/>
                <w:lang w:val="en-US"/>
              </w:rPr>
              <w:t>范围内各专业工程均有叙述，施工组织措施编制针对性强，切实可行</w:t>
            </w:r>
            <w:r>
              <w:rPr>
                <w:rFonts w:hint="eastAsia" w:ascii="仿宋" w:hAnsi="仿宋" w:eastAsia="仿宋" w:cs="仿宋"/>
                <w:color w:val="auto"/>
                <w:spacing w:val="0"/>
                <w:kern w:val="0"/>
                <w:sz w:val="24"/>
                <w:szCs w:val="24"/>
                <w:highlight w:val="none"/>
              </w:rPr>
              <w:t>得</w:t>
            </w:r>
            <w:r>
              <w:rPr>
                <w:rFonts w:hint="eastAsia" w:ascii="仿宋" w:hAnsi="仿宋" w:eastAsia="仿宋" w:cs="仿宋"/>
                <w:color w:val="auto"/>
                <w:spacing w:val="0"/>
                <w:kern w:val="0"/>
                <w:sz w:val="24"/>
                <w:szCs w:val="24"/>
                <w:highlight w:val="none"/>
                <w:lang w:val="en-US" w:eastAsia="zh-CN"/>
              </w:rPr>
              <w:t>2</w:t>
            </w:r>
            <w:r>
              <w:rPr>
                <w:rFonts w:hint="eastAsia" w:ascii="仿宋" w:hAnsi="仿宋" w:eastAsia="仿宋" w:cs="仿宋"/>
                <w:color w:val="auto"/>
                <w:spacing w:val="0"/>
                <w:kern w:val="0"/>
                <w:sz w:val="24"/>
                <w:szCs w:val="24"/>
                <w:highlight w:val="none"/>
              </w:rPr>
              <w:t xml:space="preserve"> 分；基本</w:t>
            </w:r>
            <w:r>
              <w:rPr>
                <w:rFonts w:hint="eastAsia" w:ascii="仿宋" w:hAnsi="仿宋" w:eastAsia="仿宋" w:cs="仿宋"/>
                <w:color w:val="auto"/>
                <w:spacing w:val="0"/>
                <w:kern w:val="0"/>
                <w:sz w:val="24"/>
                <w:szCs w:val="24"/>
                <w:highlight w:val="none"/>
                <w:lang w:eastAsia="zh-CN"/>
              </w:rPr>
              <w:t>可行</w:t>
            </w:r>
            <w:r>
              <w:rPr>
                <w:rFonts w:hint="eastAsia" w:ascii="仿宋" w:hAnsi="仿宋" w:eastAsia="仿宋" w:cs="仿宋"/>
                <w:color w:val="auto"/>
                <w:spacing w:val="0"/>
                <w:kern w:val="0"/>
                <w:sz w:val="24"/>
                <w:szCs w:val="24"/>
                <w:highlight w:val="none"/>
              </w:rPr>
              <w:t>的得</w:t>
            </w:r>
            <w:r>
              <w:rPr>
                <w:rFonts w:hint="eastAsia" w:ascii="仿宋" w:hAnsi="仿宋" w:eastAsia="仿宋" w:cs="仿宋"/>
                <w:color w:val="auto"/>
                <w:spacing w:val="0"/>
                <w:kern w:val="0"/>
                <w:sz w:val="24"/>
                <w:szCs w:val="24"/>
                <w:highlight w:val="none"/>
                <w:lang w:val="en-US" w:eastAsia="zh-CN"/>
              </w:rPr>
              <w:t>1</w:t>
            </w:r>
            <w:r>
              <w:rPr>
                <w:rFonts w:hint="eastAsia" w:ascii="仿宋" w:hAnsi="仿宋" w:eastAsia="仿宋" w:cs="仿宋"/>
                <w:color w:val="auto"/>
                <w:spacing w:val="0"/>
                <w:kern w:val="0"/>
                <w:sz w:val="24"/>
                <w:szCs w:val="24"/>
                <w:highlight w:val="none"/>
              </w:rPr>
              <w:t>分；缺项者得0分</w:t>
            </w:r>
            <w:r>
              <w:rPr>
                <w:rFonts w:hint="eastAsia" w:ascii="仿宋" w:hAnsi="仿宋" w:eastAsia="仿宋" w:cs="仿宋"/>
                <w:color w:val="auto"/>
                <w:spacing w:val="0"/>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restart"/>
            <w:noWrap w:val="0"/>
            <w:vAlign w:val="center"/>
          </w:tcPr>
          <w:p>
            <w:pPr>
              <w:widowControl/>
              <w:jc w:val="center"/>
              <w:rPr>
                <w:rFonts w:hint="eastAsia" w:ascii="仿宋" w:hAnsi="仿宋" w:eastAsia="仿宋" w:cs="仿宋"/>
                <w:color w:val="auto"/>
                <w:spacing w:val="4"/>
                <w:sz w:val="21"/>
                <w:szCs w:val="21"/>
                <w14:textOutline w14:w="3810" w14:cap="flat" w14:cmpd="sng">
                  <w14:solidFill>
                    <w14:srgbClr w14:val="000000"/>
                  </w14:solidFill>
                  <w14:prstDash w14:val="solid"/>
                  <w14:miter w14:val="0"/>
                </w14:textOutline>
              </w:rPr>
            </w:pPr>
            <w:r>
              <w:rPr>
                <w:rFonts w:hint="eastAsia" w:ascii="仿宋" w:hAnsi="仿宋" w:eastAsia="仿宋" w:cs="仿宋"/>
                <w:color w:val="auto"/>
                <w:spacing w:val="4"/>
                <w:sz w:val="21"/>
                <w:szCs w:val="21"/>
                <w14:textOutline w14:w="3810" w14:cap="flat" w14:cmpd="sng">
                  <w14:solidFill>
                    <w14:srgbClr w14:val="000000"/>
                  </w14:solidFill>
                  <w14:prstDash w14:val="solid"/>
                  <w14:miter w14:val="0"/>
                </w14:textOutline>
              </w:rPr>
              <w:t>2.2.3 （</w:t>
            </w:r>
            <w:r>
              <w:rPr>
                <w:rFonts w:hint="eastAsia" w:ascii="仿宋" w:hAnsi="仿宋" w:eastAsia="仿宋" w:cs="仿宋"/>
                <w:color w:val="auto"/>
                <w:spacing w:val="4"/>
                <w:sz w:val="21"/>
                <w:szCs w:val="21"/>
                <w:lang w:val="en-US" w:eastAsia="zh-CN"/>
                <w14:textOutline w14:w="3810" w14:cap="flat" w14:cmpd="sng">
                  <w14:solidFill>
                    <w14:srgbClr w14:val="000000"/>
                  </w14:solidFill>
                  <w14:prstDash w14:val="solid"/>
                  <w14:miter w14:val="0"/>
                </w14:textOutline>
              </w:rPr>
              <w:t>4</w:t>
            </w:r>
            <w:r>
              <w:rPr>
                <w:rFonts w:hint="eastAsia" w:ascii="仿宋" w:hAnsi="仿宋" w:eastAsia="仿宋" w:cs="仿宋"/>
                <w:color w:val="auto"/>
                <w:spacing w:val="4"/>
                <w:sz w:val="21"/>
                <w:szCs w:val="21"/>
                <w14:textOutline w14:w="3810" w14:cap="flat" w14:cmpd="sng">
                  <w14:solidFill>
                    <w14:srgbClr w14:val="000000"/>
                  </w14:solidFill>
                  <w14:prstDash w14:val="solid"/>
                  <w14:miter w14:val="0"/>
                </w14:textOutline>
              </w:rPr>
              <w:t>）</w:t>
            </w:r>
          </w:p>
        </w:tc>
        <w:tc>
          <w:tcPr>
            <w:tcW w:w="1047" w:type="dxa"/>
            <w:vMerge w:val="restart"/>
            <w:noWrap w:val="0"/>
            <w:vAlign w:val="center"/>
          </w:tcPr>
          <w:p>
            <w:pPr>
              <w:widowControl/>
              <w:jc w:val="center"/>
              <w:rPr>
                <w:rFonts w:hint="eastAsia" w:ascii="仿宋" w:hAnsi="仿宋" w:eastAsia="仿宋" w:cs="仿宋"/>
                <w:color w:val="auto"/>
                <w:spacing w:val="4"/>
                <w:sz w:val="21"/>
                <w:szCs w:val="21"/>
                <w14:textOutline w14:w="3810" w14:cap="flat" w14:cmpd="sng">
                  <w14:solidFill>
                    <w14:srgbClr w14:val="000000"/>
                  </w14:solidFill>
                  <w14:prstDash w14:val="solid"/>
                  <w14:miter w14:val="0"/>
                </w14:textOutline>
              </w:rPr>
            </w:pPr>
          </w:p>
          <w:p>
            <w:pPr>
              <w:widowControl/>
              <w:jc w:val="center"/>
              <w:rPr>
                <w:rFonts w:hint="eastAsia" w:ascii="仿宋" w:hAnsi="仿宋" w:eastAsia="仿宋" w:cs="仿宋"/>
                <w:color w:val="auto"/>
                <w:spacing w:val="4"/>
                <w:sz w:val="21"/>
                <w:szCs w:val="21"/>
                <w:lang w:val="en-US" w:eastAsia="zh-CN"/>
                <w14:textOutline w14:w="3810" w14:cap="flat" w14:cmpd="sng">
                  <w14:solidFill>
                    <w14:srgbClr w14:val="000000"/>
                  </w14:solidFill>
                  <w14:prstDash w14:val="solid"/>
                  <w14:miter w14:val="0"/>
                </w14:textOutline>
              </w:rPr>
            </w:pPr>
            <w:r>
              <w:rPr>
                <w:rFonts w:hint="eastAsia" w:ascii="仿宋" w:hAnsi="仿宋" w:eastAsia="仿宋" w:cs="仿宋"/>
                <w:color w:val="auto"/>
                <w:spacing w:val="4"/>
                <w:sz w:val="21"/>
                <w:szCs w:val="21"/>
                <w:lang w:val="en-US" w:eastAsia="zh-CN"/>
                <w14:textOutline w14:w="3810" w14:cap="flat" w14:cmpd="sng">
                  <w14:solidFill>
                    <w14:srgbClr w14:val="000000"/>
                  </w14:solidFill>
                  <w14:prstDash w14:val="solid"/>
                  <w14:miter w14:val="0"/>
                </w14:textOutline>
              </w:rPr>
              <w:t>综合部分（15 分）</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企业业绩（</w:t>
            </w: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rPr>
              <w:t>分）</w:t>
            </w:r>
          </w:p>
        </w:tc>
        <w:tc>
          <w:tcPr>
            <w:tcW w:w="51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color w:val="auto"/>
                <w:spacing w:val="-4"/>
                <w:sz w:val="24"/>
                <w:szCs w:val="24"/>
              </w:rPr>
            </w:pPr>
            <w:r>
              <w:rPr>
                <w:rFonts w:hint="eastAsia" w:ascii="仿宋" w:hAnsi="仿宋" w:eastAsia="仿宋" w:cs="仿宋"/>
                <w:color w:val="0000FF"/>
                <w:spacing w:val="-4"/>
                <w:sz w:val="24"/>
                <w:szCs w:val="24"/>
              </w:rPr>
              <w:t>投标人20</w:t>
            </w:r>
            <w:r>
              <w:rPr>
                <w:rFonts w:hint="eastAsia" w:ascii="仿宋" w:hAnsi="仿宋" w:eastAsia="仿宋" w:cs="仿宋"/>
                <w:color w:val="0000FF"/>
                <w:spacing w:val="-4"/>
                <w:sz w:val="24"/>
                <w:szCs w:val="24"/>
                <w:lang w:val="en-US" w:eastAsia="zh-CN"/>
              </w:rPr>
              <w:t>20</w:t>
            </w:r>
            <w:r>
              <w:rPr>
                <w:rFonts w:hint="eastAsia" w:ascii="仿宋" w:hAnsi="仿宋" w:eastAsia="仿宋" w:cs="仿宋"/>
                <w:color w:val="0000FF"/>
                <w:spacing w:val="-4"/>
                <w:sz w:val="24"/>
                <w:szCs w:val="24"/>
              </w:rPr>
              <w:t>年</w:t>
            </w:r>
            <w:r>
              <w:rPr>
                <w:rFonts w:hint="eastAsia" w:ascii="仿宋" w:hAnsi="仿宋" w:eastAsia="仿宋" w:cs="仿宋"/>
                <w:color w:val="0000FF"/>
                <w:spacing w:val="-4"/>
                <w:sz w:val="24"/>
                <w:szCs w:val="24"/>
                <w:lang w:val="en-US" w:eastAsia="zh-CN"/>
              </w:rPr>
              <w:t>0</w:t>
            </w:r>
            <w:r>
              <w:rPr>
                <w:rFonts w:hint="eastAsia" w:ascii="仿宋" w:hAnsi="仿宋" w:eastAsia="仿宋" w:cs="仿宋"/>
                <w:color w:val="0000FF"/>
                <w:spacing w:val="-4"/>
                <w:sz w:val="24"/>
                <w:szCs w:val="24"/>
              </w:rPr>
              <w:t>1月</w:t>
            </w:r>
            <w:r>
              <w:rPr>
                <w:rFonts w:hint="eastAsia" w:ascii="仿宋" w:hAnsi="仿宋" w:eastAsia="仿宋" w:cs="仿宋"/>
                <w:color w:val="0000FF"/>
                <w:spacing w:val="-4"/>
                <w:sz w:val="24"/>
                <w:szCs w:val="24"/>
                <w:lang w:val="en-US" w:eastAsia="zh-CN"/>
              </w:rPr>
              <w:t>0</w:t>
            </w:r>
            <w:r>
              <w:rPr>
                <w:rFonts w:hint="eastAsia" w:ascii="仿宋" w:hAnsi="仿宋" w:eastAsia="仿宋" w:cs="仿宋"/>
                <w:color w:val="0000FF"/>
                <w:spacing w:val="-4"/>
                <w:sz w:val="24"/>
                <w:szCs w:val="24"/>
              </w:rPr>
              <w:t>1日（以合同签订日期为准）</w:t>
            </w:r>
            <w:r>
              <w:rPr>
                <w:rFonts w:hint="eastAsia" w:ascii="仿宋" w:hAnsi="仿宋" w:eastAsia="仿宋" w:cs="仿宋"/>
                <w:color w:val="auto"/>
                <w:spacing w:val="-4"/>
                <w:sz w:val="24"/>
                <w:szCs w:val="24"/>
              </w:rPr>
              <w:t>以来承担过同类工程业绩的，每有1项得</w:t>
            </w:r>
            <w:r>
              <w:rPr>
                <w:rFonts w:hint="eastAsia" w:ascii="仿宋" w:hAnsi="仿宋" w:eastAsia="仿宋" w:cs="仿宋"/>
                <w:color w:val="auto"/>
                <w:spacing w:val="-4"/>
                <w:sz w:val="24"/>
                <w:szCs w:val="24"/>
                <w:lang w:val="en-US" w:eastAsia="zh-CN"/>
              </w:rPr>
              <w:t>3</w:t>
            </w:r>
            <w:r>
              <w:rPr>
                <w:rFonts w:hint="eastAsia" w:ascii="仿宋" w:hAnsi="仿宋" w:eastAsia="仿宋" w:cs="仿宋"/>
                <w:color w:val="auto"/>
                <w:spacing w:val="-4"/>
                <w:sz w:val="24"/>
                <w:szCs w:val="24"/>
              </w:rPr>
              <w:t>分， 最多得</w:t>
            </w: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rPr>
              <w:t>分。投标文件中须附合同、中标通知书的扫描件</w:t>
            </w:r>
            <w:r>
              <w:rPr>
                <w:rFonts w:hint="eastAsia" w:ascii="仿宋" w:hAnsi="仿宋" w:eastAsia="仿宋" w:cs="仿宋"/>
                <w:color w:val="auto"/>
                <w:spacing w:val="-4"/>
                <w:sz w:val="24"/>
                <w:szCs w:val="24"/>
                <w:lang w:eastAsia="zh-CN"/>
              </w:rPr>
              <w:t>以及中标网站截图</w:t>
            </w:r>
            <w:r>
              <w:rPr>
                <w:rFonts w:hint="eastAsia" w:ascii="仿宋" w:hAnsi="仿宋" w:eastAsia="仿宋" w:cs="仿宋"/>
                <w:color w:val="auto"/>
                <w:spacing w:val="-4"/>
                <w:sz w:val="24"/>
                <w:szCs w:val="24"/>
              </w:rPr>
              <w:t>，否则不得分。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服务承诺（</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tc>
        <w:tc>
          <w:tcPr>
            <w:tcW w:w="51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1.施工期间，加强安全防护措施，施工现场符合安全文明施工标准，保证不发生各种安全事故， 并承担由此发生的费用</w:t>
            </w:r>
            <w:r>
              <w:rPr>
                <w:rFonts w:hint="eastAsia" w:ascii="仿宋" w:hAnsi="仿宋" w:eastAsia="仿宋" w:cs="仿宋"/>
                <w:spacing w:val="-4"/>
                <w:sz w:val="24"/>
                <w:szCs w:val="24"/>
                <w:lang w:eastAsia="zh-CN"/>
              </w:rPr>
              <w:t>，承诺</w:t>
            </w:r>
            <w:r>
              <w:rPr>
                <w:rFonts w:hint="eastAsia" w:ascii="仿宋" w:hAnsi="仿宋" w:eastAsia="仿宋" w:cs="仿宋"/>
                <w:color w:val="auto"/>
                <w:spacing w:val="14"/>
                <w:kern w:val="0"/>
                <w:sz w:val="24"/>
                <w:szCs w:val="24"/>
                <w:highlight w:val="none"/>
              </w:rPr>
              <w:t>合理</w:t>
            </w:r>
            <w:r>
              <w:rPr>
                <w:rFonts w:hint="eastAsia" w:ascii="仿宋" w:hAnsi="仿宋" w:eastAsia="仿宋" w:cs="仿宋"/>
                <w:color w:val="auto"/>
                <w:spacing w:val="14"/>
                <w:kern w:val="0"/>
                <w:sz w:val="24"/>
                <w:szCs w:val="24"/>
                <w:highlight w:val="none"/>
                <w:lang w:val="en-US" w:eastAsia="zh-CN"/>
              </w:rPr>
              <w:t>3</w:t>
            </w:r>
            <w:r>
              <w:rPr>
                <w:rFonts w:hint="eastAsia" w:ascii="仿宋" w:hAnsi="仿宋" w:eastAsia="仿宋" w:cs="仿宋"/>
                <w:color w:val="auto"/>
                <w:spacing w:val="14"/>
                <w:kern w:val="0"/>
                <w:sz w:val="24"/>
                <w:szCs w:val="24"/>
                <w:highlight w:val="none"/>
              </w:rPr>
              <w:t>分，基本</w:t>
            </w:r>
            <w:r>
              <w:rPr>
                <w:rFonts w:hint="eastAsia" w:ascii="仿宋" w:hAnsi="仿宋" w:eastAsia="仿宋" w:cs="仿宋"/>
                <w:color w:val="auto"/>
                <w:spacing w:val="14"/>
                <w:kern w:val="0"/>
                <w:sz w:val="24"/>
                <w:szCs w:val="24"/>
                <w:highlight w:val="none"/>
                <w:lang w:eastAsia="zh-CN"/>
              </w:rPr>
              <w:t>合理得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分，其次得</w:t>
            </w:r>
            <w:r>
              <w:rPr>
                <w:rFonts w:hint="eastAsia" w:ascii="仿宋" w:hAnsi="仿宋" w:eastAsia="仿宋" w:cs="仿宋"/>
                <w:color w:val="auto"/>
                <w:spacing w:val="14"/>
                <w:kern w:val="0"/>
                <w:sz w:val="24"/>
                <w:szCs w:val="24"/>
                <w:highlight w:val="none"/>
                <w:lang w:val="en-US" w:eastAsia="zh-CN"/>
              </w:rPr>
              <w:t>1</w:t>
            </w:r>
            <w:r>
              <w:rPr>
                <w:rFonts w:hint="eastAsia" w:ascii="仿宋" w:hAnsi="仿宋" w:eastAsia="仿宋" w:cs="仿宋"/>
                <w:color w:val="auto"/>
                <w:spacing w:val="14"/>
                <w:kern w:val="0"/>
                <w:sz w:val="24"/>
                <w:szCs w:val="24"/>
                <w:highlight w:val="none"/>
              </w:rPr>
              <w:t>分</w:t>
            </w:r>
            <w:r>
              <w:rPr>
                <w:rFonts w:hint="eastAsia" w:ascii="仿宋" w:hAnsi="仿宋" w:eastAsia="仿宋" w:cs="仿宋"/>
                <w:color w:val="auto"/>
                <w:spacing w:val="14"/>
                <w:kern w:val="0"/>
                <w:sz w:val="24"/>
                <w:szCs w:val="24"/>
                <w:highlight w:val="none"/>
                <w:lang w:eastAsia="zh-CN"/>
              </w:rPr>
              <w:t>，</w:t>
            </w:r>
            <w:r>
              <w:rPr>
                <w:rFonts w:hint="eastAsia" w:ascii="仿宋" w:hAnsi="仿宋" w:eastAsia="仿宋" w:cs="仿宋"/>
                <w:color w:val="auto"/>
                <w:spacing w:val="14"/>
                <w:kern w:val="0"/>
                <w:sz w:val="24"/>
                <w:szCs w:val="24"/>
                <w:highlight w:val="none"/>
              </w:rPr>
              <w:t>缺项者得0分</w:t>
            </w:r>
            <w:r>
              <w:rPr>
                <w:rFonts w:hint="eastAsia" w:ascii="仿宋" w:hAnsi="仿宋" w:eastAsia="仿宋" w:cs="仿宋"/>
                <w:color w:val="auto"/>
                <w:spacing w:val="14"/>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2.具有保证技术措施落实到位和保证各类关键</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岗位人员按规定在岗、在工程竣工验收合格前不</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更换、且有明确切实可行的奖惩和违约处罚措施</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承诺</w:t>
            </w:r>
            <w:r>
              <w:rPr>
                <w:rFonts w:hint="eastAsia" w:ascii="仿宋" w:hAnsi="仿宋" w:eastAsia="仿宋" w:cs="仿宋"/>
                <w:spacing w:val="-4"/>
                <w:sz w:val="24"/>
                <w:szCs w:val="24"/>
                <w:lang w:eastAsia="zh-CN"/>
              </w:rPr>
              <w:t>，承诺</w:t>
            </w:r>
            <w:r>
              <w:rPr>
                <w:rFonts w:hint="eastAsia" w:ascii="仿宋" w:hAnsi="仿宋" w:eastAsia="仿宋" w:cs="仿宋"/>
                <w:color w:val="auto"/>
                <w:spacing w:val="14"/>
                <w:kern w:val="0"/>
                <w:sz w:val="24"/>
                <w:szCs w:val="24"/>
                <w:highlight w:val="none"/>
              </w:rPr>
              <w:t>合理</w:t>
            </w:r>
            <w:r>
              <w:rPr>
                <w:rFonts w:hint="eastAsia" w:ascii="仿宋" w:hAnsi="仿宋" w:eastAsia="仿宋" w:cs="仿宋"/>
                <w:color w:val="auto"/>
                <w:spacing w:val="14"/>
                <w:kern w:val="0"/>
                <w:sz w:val="24"/>
                <w:szCs w:val="24"/>
                <w:highlight w:val="none"/>
                <w:lang w:val="en-US" w:eastAsia="zh-CN"/>
              </w:rPr>
              <w:t>3</w:t>
            </w:r>
            <w:r>
              <w:rPr>
                <w:rFonts w:hint="eastAsia" w:ascii="仿宋" w:hAnsi="仿宋" w:eastAsia="仿宋" w:cs="仿宋"/>
                <w:color w:val="auto"/>
                <w:spacing w:val="14"/>
                <w:kern w:val="0"/>
                <w:sz w:val="24"/>
                <w:szCs w:val="24"/>
                <w:highlight w:val="none"/>
              </w:rPr>
              <w:t>分，基本</w:t>
            </w:r>
            <w:r>
              <w:rPr>
                <w:rFonts w:hint="eastAsia" w:ascii="仿宋" w:hAnsi="仿宋" w:eastAsia="仿宋" w:cs="仿宋"/>
                <w:color w:val="auto"/>
                <w:spacing w:val="14"/>
                <w:kern w:val="0"/>
                <w:sz w:val="24"/>
                <w:szCs w:val="24"/>
                <w:highlight w:val="none"/>
                <w:lang w:eastAsia="zh-CN"/>
              </w:rPr>
              <w:t>合理得</w:t>
            </w:r>
            <w:r>
              <w:rPr>
                <w:rFonts w:hint="eastAsia" w:ascii="仿宋" w:hAnsi="仿宋" w:eastAsia="仿宋" w:cs="仿宋"/>
                <w:color w:val="auto"/>
                <w:spacing w:val="14"/>
                <w:kern w:val="0"/>
                <w:sz w:val="24"/>
                <w:szCs w:val="24"/>
                <w:highlight w:val="none"/>
                <w:lang w:val="en-US" w:eastAsia="zh-CN"/>
              </w:rPr>
              <w:t>2</w:t>
            </w:r>
            <w:r>
              <w:rPr>
                <w:rFonts w:hint="eastAsia" w:ascii="仿宋" w:hAnsi="仿宋" w:eastAsia="仿宋" w:cs="仿宋"/>
                <w:color w:val="auto"/>
                <w:spacing w:val="14"/>
                <w:kern w:val="0"/>
                <w:sz w:val="24"/>
                <w:szCs w:val="24"/>
                <w:highlight w:val="none"/>
              </w:rPr>
              <w:t>分，其次得</w:t>
            </w:r>
            <w:r>
              <w:rPr>
                <w:rFonts w:hint="eastAsia" w:ascii="仿宋" w:hAnsi="仿宋" w:eastAsia="仿宋" w:cs="仿宋"/>
                <w:color w:val="auto"/>
                <w:spacing w:val="14"/>
                <w:kern w:val="0"/>
                <w:sz w:val="24"/>
                <w:szCs w:val="24"/>
                <w:highlight w:val="none"/>
                <w:lang w:val="en-US" w:eastAsia="zh-CN"/>
              </w:rPr>
              <w:t>1</w:t>
            </w:r>
            <w:r>
              <w:rPr>
                <w:rFonts w:hint="eastAsia" w:ascii="仿宋" w:hAnsi="仿宋" w:eastAsia="仿宋" w:cs="仿宋"/>
                <w:color w:val="auto"/>
                <w:spacing w:val="14"/>
                <w:kern w:val="0"/>
                <w:sz w:val="24"/>
                <w:szCs w:val="24"/>
                <w:highlight w:val="none"/>
              </w:rPr>
              <w:t>分</w:t>
            </w:r>
            <w:r>
              <w:rPr>
                <w:rFonts w:hint="eastAsia" w:ascii="仿宋" w:hAnsi="仿宋" w:eastAsia="仿宋" w:cs="仿宋"/>
                <w:color w:val="auto"/>
                <w:spacing w:val="14"/>
                <w:kern w:val="0"/>
                <w:sz w:val="24"/>
                <w:szCs w:val="24"/>
                <w:highlight w:val="none"/>
                <w:lang w:eastAsia="zh-CN"/>
              </w:rPr>
              <w:t>，</w:t>
            </w:r>
            <w:r>
              <w:rPr>
                <w:rFonts w:hint="eastAsia" w:ascii="仿宋" w:hAnsi="仿宋" w:eastAsia="仿宋" w:cs="仿宋"/>
                <w:color w:val="auto"/>
                <w:spacing w:val="14"/>
                <w:kern w:val="0"/>
                <w:sz w:val="24"/>
                <w:szCs w:val="24"/>
                <w:highlight w:val="none"/>
              </w:rPr>
              <w:t>缺项者得0分</w:t>
            </w:r>
            <w:r>
              <w:rPr>
                <w:rFonts w:hint="eastAsia" w:ascii="仿宋" w:hAnsi="仿宋" w:eastAsia="仿宋" w:cs="仿宋"/>
                <w:color w:val="auto"/>
                <w:spacing w:val="14"/>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9" w:type="dxa"/>
            <w:gridSpan w:val="2"/>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1047" w:type="dxa"/>
            <w:vMerge w:val="continue"/>
            <w:noWrap w:val="0"/>
            <w:vAlign w:val="center"/>
          </w:tcPr>
          <w:p>
            <w:pPr>
              <w:widowControl/>
              <w:jc w:val="center"/>
              <w:rPr>
                <w:rFonts w:ascii="仿宋" w:hAnsi="仿宋" w:eastAsia="仿宋" w:cs="仿宋"/>
                <w:spacing w:val="4"/>
                <w:sz w:val="21"/>
                <w:szCs w:val="21"/>
                <w14:textOutline w14:w="3810" w14:cap="flat" w14:cmpd="sng">
                  <w14:solidFill>
                    <w14:srgbClr w14:val="000000"/>
                  </w14:solidFill>
                  <w14:prstDash w14:val="solid"/>
                  <w14:miter w14:val="0"/>
                </w14:textOutline>
              </w:rPr>
            </w:pP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综合评价（</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p>
        </w:tc>
        <w:tc>
          <w:tcPr>
            <w:tcW w:w="51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评委根据投标人的实力及投标文件编制情况</w:t>
            </w:r>
            <w:r>
              <w:rPr>
                <w:rFonts w:hint="eastAsia" w:ascii="仿宋" w:hAnsi="仿宋" w:eastAsia="仿宋" w:cs="仿宋"/>
                <w:color w:val="auto"/>
                <w:spacing w:val="0"/>
                <w:sz w:val="24"/>
                <w:szCs w:val="24"/>
              </w:rPr>
              <w:t>等综合印象进行打分，</w:t>
            </w:r>
            <w:r>
              <w:rPr>
                <w:rFonts w:hint="eastAsia" w:ascii="仿宋" w:hAnsi="仿宋" w:eastAsia="仿宋" w:cs="仿宋"/>
                <w:color w:val="auto"/>
                <w:spacing w:val="0"/>
                <w:sz w:val="24"/>
                <w:szCs w:val="24"/>
                <w:lang w:eastAsia="zh-CN"/>
              </w:rPr>
              <w:t>优的</w:t>
            </w:r>
            <w:r>
              <w:rPr>
                <w:rFonts w:hint="eastAsia" w:ascii="仿宋" w:hAnsi="仿宋" w:eastAsia="仿宋" w:cs="仿宋"/>
                <w:color w:val="auto"/>
                <w:spacing w:val="0"/>
                <w:sz w:val="24"/>
                <w:szCs w:val="24"/>
              </w:rPr>
              <w:t>得</w:t>
            </w: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rPr>
              <w:t>分</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好的得</w:t>
            </w:r>
            <w:r>
              <w:rPr>
                <w:rFonts w:hint="eastAsia" w:ascii="仿宋" w:hAnsi="仿宋" w:eastAsia="仿宋" w:cs="仿宋"/>
                <w:color w:val="auto"/>
                <w:spacing w:val="0"/>
                <w:sz w:val="24"/>
                <w:szCs w:val="24"/>
                <w:lang w:val="en-US" w:eastAsia="zh-CN"/>
              </w:rPr>
              <w:t>2</w:t>
            </w:r>
            <w:r>
              <w:rPr>
                <w:rFonts w:hint="eastAsia" w:ascii="仿宋" w:hAnsi="仿宋" w:eastAsia="仿宋" w:cs="仿宋"/>
                <w:color w:val="auto"/>
                <w:spacing w:val="0"/>
                <w:sz w:val="24"/>
                <w:szCs w:val="24"/>
              </w:rPr>
              <w:t>分，一般得</w:t>
            </w: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rPr>
              <w:t>分，差的得</w:t>
            </w:r>
            <w:r>
              <w:rPr>
                <w:rFonts w:hint="eastAsia" w:ascii="仿宋" w:hAnsi="仿宋" w:eastAsia="仿宋" w:cs="仿宋"/>
                <w:color w:val="auto"/>
                <w:spacing w:val="0"/>
                <w:sz w:val="24"/>
                <w:szCs w:val="24"/>
                <w:lang w:val="en-US" w:eastAsia="zh-CN"/>
              </w:rPr>
              <w:t>0.5</w:t>
            </w:r>
            <w:r>
              <w:rPr>
                <w:rFonts w:hint="eastAsia" w:ascii="仿宋" w:hAnsi="仿宋" w:eastAsia="仿宋" w:cs="仿宋"/>
                <w:color w:val="auto"/>
                <w:spacing w:val="0"/>
                <w:sz w:val="24"/>
                <w:szCs w:val="24"/>
              </w:rPr>
              <w:t>分。</w:t>
            </w:r>
          </w:p>
        </w:tc>
      </w:tr>
    </w:tbl>
    <w:p>
      <w:pPr>
        <w:pStyle w:val="34"/>
        <w:keepNext w:val="0"/>
        <w:keepLines w:val="0"/>
        <w:pageBreakBefore w:val="0"/>
        <w:widowControl w:val="0"/>
        <w:kinsoku/>
        <w:wordWrap/>
        <w:overflowPunct/>
        <w:topLinePunct w:val="0"/>
        <w:bidi w:val="0"/>
        <w:adjustRightInd/>
        <w:snapToGrid/>
        <w:spacing w:line="460" w:lineRule="exact"/>
        <w:ind w:left="0" w:right="0"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bidi="ar-SA"/>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2.评审标准</w:t>
      </w:r>
    </w:p>
    <w:p>
      <w:pPr>
        <w:pStyle w:val="37"/>
        <w:keepNext w:val="0"/>
        <w:keepLines w:val="0"/>
        <w:pageBreakBefore w:val="0"/>
        <w:widowControl w:val="0"/>
        <w:tabs>
          <w:tab w:val="left" w:pos="523"/>
        </w:tabs>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eastAsia="zh-CN"/>
        </w:rPr>
        <w:t>2.1</w:t>
      </w:r>
      <w:r>
        <w:rPr>
          <w:rFonts w:hint="eastAsia" w:ascii="仿宋" w:hAnsi="仿宋" w:eastAsia="仿宋" w:cs="仿宋"/>
          <w:b/>
          <w:color w:val="auto"/>
          <w:highlight w:val="none"/>
        </w:rPr>
        <w:t>初步评审标准</w:t>
      </w:r>
    </w:p>
    <w:p>
      <w:pPr>
        <w:pStyle w:val="37"/>
        <w:keepNext w:val="0"/>
        <w:keepLines w:val="0"/>
        <w:pageBreakBefore w:val="0"/>
        <w:widowControl w:val="0"/>
        <w:tabs>
          <w:tab w:val="left" w:pos="1209"/>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2.1.1符合性</w:t>
      </w:r>
      <w:r>
        <w:rPr>
          <w:rFonts w:hint="eastAsia" w:ascii="仿宋" w:hAnsi="仿宋" w:eastAsia="仿宋" w:cs="仿宋"/>
          <w:color w:val="auto"/>
          <w:highlight w:val="none"/>
        </w:rPr>
        <w:t>评审标准：见评标办法前附表；</w:t>
      </w:r>
    </w:p>
    <w:p>
      <w:pPr>
        <w:pStyle w:val="37"/>
        <w:keepNext w:val="0"/>
        <w:keepLines w:val="0"/>
        <w:pageBreakBefore w:val="0"/>
        <w:widowControl w:val="0"/>
        <w:tabs>
          <w:tab w:val="left" w:pos="1209"/>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2.1.2</w:t>
      </w:r>
      <w:r>
        <w:rPr>
          <w:rFonts w:hint="eastAsia" w:ascii="仿宋" w:hAnsi="仿宋" w:eastAsia="仿宋" w:cs="仿宋"/>
          <w:color w:val="auto"/>
          <w:highlight w:val="none"/>
        </w:rPr>
        <w:t>资格评审标准：见评标办法前附表；</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2.2分值构成与评分标准</w:t>
      </w:r>
    </w:p>
    <w:p>
      <w:pPr>
        <w:pStyle w:val="37"/>
        <w:keepNext w:val="0"/>
        <w:keepLines w:val="0"/>
        <w:pageBreakBefore w:val="0"/>
        <w:widowControl w:val="0"/>
        <w:tabs>
          <w:tab w:val="left" w:pos="1209"/>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2.2.1分值构成详见评标办法前附表</w:t>
      </w:r>
    </w:p>
    <w:p>
      <w:pPr>
        <w:pStyle w:val="37"/>
        <w:keepNext w:val="0"/>
        <w:keepLines w:val="0"/>
        <w:pageBreakBefore w:val="0"/>
        <w:widowControl w:val="0"/>
        <w:tabs>
          <w:tab w:val="left" w:pos="1209"/>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2.2.2评标基准值计算见评标办法前附表。</w:t>
      </w:r>
    </w:p>
    <w:p>
      <w:pPr>
        <w:pStyle w:val="37"/>
        <w:keepNext w:val="0"/>
        <w:keepLines w:val="0"/>
        <w:pageBreakBefore w:val="0"/>
        <w:widowControl w:val="0"/>
        <w:tabs>
          <w:tab w:val="left" w:pos="1209"/>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2.2.3投标报价的偏差率计算见评标办法前附表。</w:t>
      </w:r>
    </w:p>
    <w:p>
      <w:pPr>
        <w:pStyle w:val="37"/>
        <w:keepNext w:val="0"/>
        <w:keepLines w:val="0"/>
        <w:pageBreakBefore w:val="0"/>
        <w:widowControl w:val="0"/>
        <w:tabs>
          <w:tab w:val="left" w:pos="1209"/>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2.2.4评分标准</w:t>
      </w:r>
    </w:p>
    <w:p>
      <w:pPr>
        <w:pStyle w:val="10"/>
        <w:keepNext w:val="0"/>
        <w:keepLines w:val="0"/>
        <w:pageBreakBefore w:val="0"/>
        <w:widowControl w:val="0"/>
        <w:kinsoku/>
        <w:wordWrap/>
        <w:overflowPunct/>
        <w:topLinePunct w:val="0"/>
        <w:bidi w:val="0"/>
        <w:adjustRightInd/>
        <w:snapToGrid/>
        <w:spacing w:after="0" w:afterLines="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评分标准：见评标办法前附表；</w:t>
      </w:r>
    </w:p>
    <w:p>
      <w:pPr>
        <w:pStyle w:val="10"/>
        <w:keepNext w:val="0"/>
        <w:keepLines w:val="0"/>
        <w:pageBreakBefore w:val="0"/>
        <w:widowControl w:val="0"/>
        <w:kinsoku/>
        <w:wordWrap/>
        <w:overflowPunct/>
        <w:topLinePunct w:val="0"/>
        <w:bidi w:val="0"/>
        <w:adjustRightInd/>
        <w:snapToGrid/>
        <w:spacing w:after="0" w:afterLines="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技术标</w:t>
      </w:r>
      <w:r>
        <w:rPr>
          <w:rFonts w:hint="eastAsia" w:ascii="仿宋" w:hAnsi="仿宋" w:eastAsia="仿宋" w:cs="仿宋"/>
          <w:color w:val="auto"/>
          <w:sz w:val="24"/>
          <w:szCs w:val="24"/>
          <w:highlight w:val="none"/>
        </w:rPr>
        <w:t>标评分标准：见评标办法前附表；</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after="0" w:afterLines="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综合评价评分标准：</w:t>
      </w:r>
      <w:r>
        <w:rPr>
          <w:rFonts w:hint="eastAsia" w:ascii="仿宋" w:hAnsi="仿宋" w:eastAsia="仿宋" w:cs="仿宋"/>
          <w:color w:val="auto"/>
          <w:sz w:val="24"/>
          <w:szCs w:val="24"/>
          <w:highlight w:val="none"/>
        </w:rPr>
        <w:t>见评标办法前附表。</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3.评标程序</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3.1初步评审</w:t>
      </w:r>
    </w:p>
    <w:p>
      <w:pPr>
        <w:pStyle w:val="37"/>
        <w:keepNext w:val="0"/>
        <w:keepLines w:val="0"/>
        <w:pageBreakBefore w:val="0"/>
        <w:widowControl w:val="0"/>
        <w:tabs>
          <w:tab w:val="left" w:pos="967"/>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bidi="ar-SA"/>
        </w:rPr>
        <w:t>3.1.1评标委员会依据本章第1款规定的标准对投标文件进行初步评审。有一项不符合评审标准的，作废标处理。</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3.1.2</w:t>
      </w:r>
      <w:r>
        <w:rPr>
          <w:rFonts w:hint="eastAsia" w:ascii="仿宋" w:hAnsi="仿宋" w:eastAsia="仿宋" w:cs="仿宋"/>
          <w:b/>
          <w:bCs/>
          <w:color w:val="auto"/>
          <w:highlight w:val="none"/>
        </w:rPr>
        <w:t>投标人有以下情形之一的，其投标作废标处理：</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（1）第二章“投标人须知”第 1.4.3 项规定的任何一种情形的；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（2）串通投标或弄虚作假或有其他违法行为的；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（3）不按评标委员会要求澄清、说明或补正的；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（4）投标文件不按规定签字盖章的；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（5）投标文件的关键内容字迹模糊，无法辨认的；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（6）投标人的投标报价高于最高投标限价或低于成本价的；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（7）未按招标文件规定编制各项报价的；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）规费和安全文明施工费违反工程造价计价有关规定的；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）分部分项工程项目、措施项目报价中的项目编码、项目名称、项目特征、计量单位和工程量与招标文件的清单不一致的；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）未对《洛阳市工程建设项目廉洁自律告知书》、《洛阳市工程建设项目廉洁自律承诺书》承诺的；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）借用他人资质进行多重身份投标，不同的两家（或两家以上）投标人出现相同联系人的；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）开标前已有反映，开标后发现各投标人的报价等与反映情况相吻合的；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）投标人之间为谋取中标或者排斥特定投标人而联合采取行动的；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lang w:eastAsia="zh-CN"/>
        </w:rPr>
        <w:t>）不同投标人的投标文件由同一单位或者个人编制；</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）不同投标人的投标文件及其它材料等相互混装的；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lang w:eastAsia="zh-CN"/>
        </w:rPr>
        <w:t>）不同投标人的投标文件的错漏之处非正常一致的；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lang w:eastAsia="zh-CN"/>
        </w:rPr>
        <w:t>）不同投标人的投标文件载明的项目管理班子或其他成员存在相同人员的；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lang w:eastAsia="zh-CN"/>
        </w:rPr>
        <w:t>）不同投标人的施工组织设计方案雷同的；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eastAsia="zh-CN"/>
        </w:rPr>
        <w:t>）投标人之间事先约定中标者或相互约定抬高或者压低投标报价的；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lang w:eastAsia="zh-CN"/>
        </w:rPr>
        <w:t>）属于同一法人组织、集团公司等组织成员的投标人,在投标中采取协同行动的；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lang w:eastAsia="zh-CN"/>
        </w:rPr>
        <w:t>）提供虚假材料或不符合法律、法规和本招标文件规定的其他实质性要求的。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bidi="ar-SA"/>
        </w:rPr>
      </w:pPr>
      <w:r>
        <w:rPr>
          <w:rFonts w:hint="eastAsia" w:ascii="仿宋" w:hAnsi="仿宋" w:eastAsia="仿宋" w:cs="仿宋"/>
          <w:color w:val="auto"/>
          <w:highlight w:val="none"/>
          <w:shd w:val="clear" w:color="auto" w:fill="FFFFFF"/>
          <w:lang w:eastAsia="zh-CN" w:bidi="ar-SA"/>
        </w:rPr>
        <w:t>评标委员会否决投标时应审慎。因招标文件或工程量清单表述歧义或逻辑错误等原因， 造成投标文件表述不一致的，不作为否决投标的因素。投标人明显打字或排版错误且不影响实质内容的，评标委员会可要求投标人作出书面澄清、说明或补正，不予以否决投标。</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bidi="ar-SA"/>
        </w:rPr>
      </w:pPr>
      <w:r>
        <w:rPr>
          <w:rFonts w:hint="eastAsia" w:ascii="仿宋" w:hAnsi="仿宋" w:eastAsia="仿宋" w:cs="仿宋"/>
          <w:color w:val="auto"/>
          <w:highlight w:val="none"/>
          <w:shd w:val="clear" w:color="auto" w:fill="FFFFFF"/>
          <w:lang w:eastAsia="zh-CN" w:bidi="ar-SA"/>
        </w:rPr>
        <w:t>评标委员会根据《评标委员会和评标方法暂行规定》第二十七条，否决不合格投标或者界定为废标后，因有效投标不足三个使得投标明显缺乏竞争的，评标委员会可以否决全部投标。</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highlight w:val="none"/>
          <w:shd w:val="clear" w:color="auto" w:fill="FFFFFF"/>
          <w:lang w:eastAsia="zh-CN" w:bidi="ar-SA"/>
        </w:rPr>
      </w:pPr>
      <w:r>
        <w:rPr>
          <w:rFonts w:hint="eastAsia" w:ascii="仿宋" w:hAnsi="仿宋" w:eastAsia="仿宋" w:cs="仿宋"/>
          <w:b/>
          <w:bCs/>
          <w:color w:val="auto"/>
          <w:highlight w:val="none"/>
          <w:shd w:val="clear" w:color="auto" w:fill="FFFFFF"/>
          <w:lang w:val="en-US" w:eastAsia="zh-CN" w:bidi="ar-SA"/>
        </w:rPr>
        <w:t>3</w:t>
      </w:r>
      <w:r>
        <w:rPr>
          <w:rFonts w:hint="eastAsia" w:ascii="仿宋" w:hAnsi="仿宋" w:eastAsia="仿宋" w:cs="仿宋"/>
          <w:b/>
          <w:bCs/>
          <w:color w:val="auto"/>
          <w:highlight w:val="none"/>
          <w:shd w:val="clear" w:color="auto" w:fill="FFFFFF"/>
          <w:lang w:eastAsia="zh-CN" w:bidi="ar-SA"/>
        </w:rPr>
        <w:t>.1.</w:t>
      </w:r>
      <w:r>
        <w:rPr>
          <w:rFonts w:hint="eastAsia" w:ascii="仿宋" w:hAnsi="仿宋" w:eastAsia="仿宋" w:cs="仿宋"/>
          <w:b/>
          <w:bCs/>
          <w:color w:val="auto"/>
          <w:highlight w:val="none"/>
          <w:shd w:val="clear" w:color="auto" w:fill="FFFFFF"/>
          <w:lang w:val="en-US" w:eastAsia="zh-CN" w:bidi="ar-SA"/>
        </w:rPr>
        <w:t>3</w:t>
      </w:r>
      <w:r>
        <w:rPr>
          <w:rFonts w:hint="eastAsia" w:ascii="仿宋" w:hAnsi="仿宋" w:eastAsia="仿宋" w:cs="仿宋"/>
          <w:b/>
          <w:bCs/>
          <w:color w:val="auto"/>
          <w:highlight w:val="none"/>
          <w:shd w:val="clear" w:color="auto" w:fill="FFFFFF"/>
          <w:lang w:eastAsia="zh-CN" w:bidi="ar-SA"/>
        </w:rPr>
        <w:t xml:space="preserve"> 电子投标文件雷同性认定及处理：</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bidi="ar-SA"/>
        </w:rPr>
      </w:pPr>
      <w:r>
        <w:rPr>
          <w:rFonts w:hint="eastAsia" w:ascii="仿宋" w:hAnsi="仿宋" w:eastAsia="仿宋" w:cs="仿宋"/>
          <w:color w:val="auto"/>
          <w:highlight w:val="none"/>
          <w:shd w:val="clear" w:color="auto" w:fill="FFFFFF"/>
          <w:lang w:eastAsia="zh-CN" w:bidi="ar-SA"/>
        </w:rPr>
        <w:t>（1）出现以下情况的，评标委员会应认定为《中华人民共和国招标投标法实施条例》第四十条第（一）项“不同投标人的投标文件由同一单位或者个人编制”的情形：</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bidi="ar-SA"/>
        </w:rPr>
      </w:pPr>
      <w:r>
        <w:rPr>
          <w:rFonts w:hint="eastAsia" w:ascii="仿宋" w:hAnsi="仿宋" w:eastAsia="仿宋" w:cs="仿宋"/>
          <w:color w:val="auto"/>
          <w:highlight w:val="none"/>
          <w:shd w:val="clear" w:color="auto" w:fill="FFFFFF"/>
          <w:lang w:eastAsia="zh-CN" w:bidi="ar-SA"/>
        </w:rPr>
        <w:t>1）电子开评标系统提示不同投标人的电子投标文件的文件制作机器码、文件创建标识码等软硬件信息，有一条及以上相同的；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bidi="ar-SA"/>
        </w:rPr>
      </w:pPr>
      <w:r>
        <w:rPr>
          <w:rFonts w:hint="eastAsia" w:ascii="仿宋" w:hAnsi="仿宋" w:eastAsia="仿宋" w:cs="仿宋"/>
          <w:color w:val="auto"/>
          <w:highlight w:val="none"/>
          <w:shd w:val="clear" w:color="auto" w:fill="FFFFFF"/>
          <w:lang w:eastAsia="zh-CN" w:bidi="ar-SA"/>
        </w:rPr>
        <w:t>2）电子开评标系统提示不同投标人的投标技术文件存在内容高度一致的、投标报价或报价组成出现非正常一致或者呈规律性变化的，评标委员会可以要求投标人作出澄清，评标委员会集体表决认定属于《中华人民共和国招标投标法实施条例》第四十条第（四）项“不同投标人的投标文件异常一致或者投标报价呈规律性差异”的。</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bidi="ar-SA"/>
        </w:rPr>
      </w:pPr>
      <w:r>
        <w:rPr>
          <w:rFonts w:hint="eastAsia" w:ascii="仿宋" w:hAnsi="仿宋" w:eastAsia="仿宋" w:cs="仿宋"/>
          <w:color w:val="auto"/>
          <w:highlight w:val="none"/>
          <w:shd w:val="clear" w:color="auto" w:fill="FFFFFF"/>
          <w:lang w:eastAsia="zh-CN" w:bidi="ar-SA"/>
        </w:rPr>
        <w:t>注：电子开评标系统对不同投标人的电子投标文件作出雷同性提示或预警的，资格评审委员会或评标委员会集体表决认定属于《中华人民共和国招标投标法实施条例 》第四十条“视为投标人相互串通投标”的情形 ，同时写出串（围）标行为认定报告并签字。</w:t>
      </w:r>
    </w:p>
    <w:p>
      <w:pPr>
        <w:pStyle w:val="37"/>
        <w:keepNext w:val="0"/>
        <w:keepLines w:val="0"/>
        <w:pageBreakBefore w:val="0"/>
        <w:widowControl w:val="0"/>
        <w:tabs>
          <w:tab w:val="left" w:pos="1046"/>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bidi="ar-SA"/>
        </w:rPr>
        <w:t>3.1.</w:t>
      </w:r>
      <w:r>
        <w:rPr>
          <w:rFonts w:hint="eastAsia" w:ascii="仿宋" w:hAnsi="仿宋" w:eastAsia="仿宋" w:cs="仿宋"/>
          <w:color w:val="auto"/>
          <w:highlight w:val="none"/>
          <w:shd w:val="clear" w:color="auto" w:fill="FFFFFF"/>
          <w:lang w:val="en-US" w:eastAsia="zh-CN" w:bidi="ar-SA"/>
        </w:rPr>
        <w:t>4</w:t>
      </w:r>
      <w:r>
        <w:rPr>
          <w:rFonts w:hint="eastAsia" w:ascii="仿宋" w:hAnsi="仿宋" w:eastAsia="仿宋" w:cs="仿宋"/>
          <w:color w:val="auto"/>
          <w:highlight w:val="none"/>
          <w:shd w:val="clear" w:color="auto" w:fill="FFFFFF"/>
          <w:lang w:eastAsia="zh-CN" w:bidi="ar-SA"/>
        </w:rPr>
        <w:t>投标报价有算术错误的，评标委员会按以下原则对投标报价进行修正，修正的价格经投标人书面确认后具有约束力。投标人不接受修正价格的，其投标作废标处理。</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bookmarkStart w:id="87" w:name="_bookmark15"/>
      <w:bookmarkEnd w:id="87"/>
      <w:bookmarkStart w:id="88" w:name="第四章_合同条款及格式"/>
      <w:bookmarkEnd w:id="88"/>
      <w:r>
        <w:rPr>
          <w:rFonts w:hint="eastAsia" w:ascii="仿宋" w:hAnsi="仿宋" w:eastAsia="仿宋" w:cs="仿宋"/>
          <w:color w:val="auto"/>
          <w:highlight w:val="none"/>
          <w:lang w:eastAsia="zh-CN"/>
        </w:rPr>
        <w:t>（1）投标文件中的大写金额与小写金额不一致的，以大写金额为准；</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（2）总价金额与按单价汇总金额不一致的，以单价金额计算结果为</w:t>
      </w:r>
      <w:r>
        <w:rPr>
          <w:rFonts w:hint="eastAsia" w:ascii="仿宋" w:hAnsi="仿宋" w:eastAsia="仿宋" w:cs="仿宋"/>
          <w:color w:val="auto"/>
          <w:highlight w:val="none"/>
          <w:shd w:val="clear" w:color="auto" w:fill="FFFFFF"/>
          <w:lang w:eastAsia="zh-CN" w:bidi="ar-SA"/>
        </w:rPr>
        <w:t>准；单价金额小数点有明显错位的，应以总价为准，并修改单价。</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3.2详细评审</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3.2.1评标委员会按本章第2.2款规定的量化因素和分值进行打分，并计算出综合评估得分。</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3.2.2评分分值计算保留小数点后两位，小数点后第三位“四舍五入”。</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3.2.3投标人得分等于各评分因素得分和各量化因素得分之和。</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3.3投标文件的澄清和补正</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3.3.1在评标过程中，评标委员会可以书面形式要求投标人对所提交投标文件中不明确的内容进行书面澄清或说明，或者对细微偏差进行补正。评标委员会不接受投标人主动提出的澄清、说明或补正。</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3.3.2澄清、说明和补正不得改变投标文件的实质性内容（算术性错误修正的除外）。投标人的书面澄清、说明和补正属于投标文件的组成部分。</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3.3.3评标委员会对投标人提交的澄清、说明或补正有疑问的，可以要求投标人进一步澄清、说明或补正，直至满足评标委员会的要求。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bidi w:val="0"/>
        <w:adjustRightInd/>
        <w:snapToGrid/>
        <w:spacing w:line="460" w:lineRule="exact"/>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3.4评标结果</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3.4.1评标委员会按照经评审的得分由高到低顺序推荐3名中标候选人，并标明推荐顺序。</w:t>
      </w:r>
    </w:p>
    <w:p>
      <w:pPr>
        <w:pStyle w:val="37"/>
        <w:keepNext w:val="0"/>
        <w:keepLines w:val="0"/>
        <w:pageBreakBefore w:val="0"/>
        <w:widowControl w:val="0"/>
        <w:tabs>
          <w:tab w:val="left" w:pos="1072"/>
        </w:tabs>
        <w:kinsoku/>
        <w:wordWrap/>
        <w:overflowPunct/>
        <w:topLinePunct w:val="0"/>
        <w:bidi w:val="0"/>
        <w:adjustRightInd/>
        <w:snapToGrid/>
        <w:spacing w:line="460" w:lineRule="exact"/>
        <w:ind w:left="0" w:right="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3.4.2评标委员会完成评标后，应当向招标人提交书面评标报告。</w:t>
      </w:r>
    </w:p>
    <w:p>
      <w:pPr>
        <w:pStyle w:val="3"/>
        <w:keepLines w:val="0"/>
        <w:pageBreakBefore w:val="0"/>
        <w:widowControl w:val="0"/>
        <w:kinsoku/>
        <w:wordWrap/>
        <w:overflowPunct/>
        <w:topLinePunct w:val="0"/>
        <w:bidi w:val="0"/>
        <w:adjustRightInd/>
        <w:snapToGrid/>
        <w:spacing w:line="460" w:lineRule="exact"/>
        <w:jc w:val="both"/>
        <w:textAlignment w:val="auto"/>
        <w:rPr>
          <w:rFonts w:hint="eastAsia" w:ascii="仿宋" w:hAnsi="仿宋" w:eastAsia="仿宋" w:cs="仿宋"/>
          <w:b/>
          <w:bCs/>
          <w:sz w:val="32"/>
          <w:szCs w:val="32"/>
        </w:rPr>
        <w:sectPr>
          <w:pgSz w:w="11907" w:h="16840"/>
          <w:pgMar w:top="1440" w:right="1080" w:bottom="1440" w:left="1080" w:header="680" w:footer="680" w:gutter="0"/>
          <w:pgNumType w:fmt="decimal"/>
          <w:cols w:space="720" w:num="1"/>
          <w:docGrid w:linePitch="312" w:charSpace="0"/>
        </w:sectPr>
      </w:pPr>
    </w:p>
    <w:p>
      <w:pPr>
        <w:spacing w:line="460" w:lineRule="exact"/>
        <w:jc w:val="center"/>
        <w:rPr>
          <w:rFonts w:hint="eastAsia" w:ascii="仿宋" w:hAnsi="仿宋" w:eastAsia="仿宋" w:cs="仿宋"/>
          <w:b/>
          <w:sz w:val="32"/>
        </w:rPr>
      </w:pPr>
      <w:r>
        <w:rPr>
          <w:rFonts w:hint="eastAsia" w:ascii="仿宋" w:hAnsi="仿宋" w:eastAsia="仿宋" w:cs="仿宋"/>
          <w:b/>
          <w:sz w:val="32"/>
        </w:rPr>
        <w:t>建设工程危险性较大的分部分项工程清单</w:t>
      </w:r>
    </w:p>
    <w:p>
      <w:pPr>
        <w:pStyle w:val="7"/>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仿宋" w:hAnsi="仿宋" w:eastAsia="仿宋" w:cs="仿宋"/>
          <w:sz w:val="24"/>
          <w:szCs w:val="24"/>
        </w:rPr>
      </w:pPr>
      <w:r>
        <w:rPr>
          <w:rFonts w:hint="eastAsia" w:ascii="仿宋" w:hAnsi="仿宋" w:eastAsia="仿宋" w:cs="仿宋"/>
          <w:sz w:val="24"/>
          <w:szCs w:val="24"/>
        </w:rPr>
        <w:t>一、基坑支护降水工程和土方开挖</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（一）普通</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开挖深度超过3米（含3米）或虽未超过3米但地质条件和周围环境复杂的基坑（槽）支护、降水工程。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（二）超过一定规模</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w w:val="95"/>
          <w:sz w:val="24"/>
        </w:rPr>
      </w:pPr>
      <w:r>
        <w:rPr>
          <w:rFonts w:hint="eastAsia" w:ascii="仿宋" w:hAnsi="仿宋" w:eastAsia="仿宋" w:cs="仿宋"/>
          <w:w w:val="95"/>
          <w:sz w:val="24"/>
        </w:rPr>
        <w:t xml:space="preserve">开挖深度超过5米（含5米）或虽未超过5米但地质条件和周围环境复杂的基坑（槽）支护、降水工程。   </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b/>
          <w:sz w:val="24"/>
        </w:rPr>
      </w:pPr>
      <w:r>
        <w:rPr>
          <w:rFonts w:hint="eastAsia" w:ascii="仿宋" w:hAnsi="仿宋" w:eastAsia="仿宋" w:cs="仿宋"/>
          <w:b/>
          <w:sz w:val="24"/>
        </w:rPr>
        <w:t>二、模板工程及支撑体系</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（一）普通</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1、工具式模板工程（大模板）。</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w w:val="95"/>
          <w:sz w:val="24"/>
        </w:rPr>
        <w:t>2、搭设高度5米及以上，跨度10米及以上，施工总荷载10KN/㎡及以上，集中线荷载15KN/㎡及以上，高度</w:t>
      </w:r>
      <w:r>
        <w:rPr>
          <w:rFonts w:hint="eastAsia" w:ascii="仿宋" w:hAnsi="仿宋" w:eastAsia="仿宋" w:cs="仿宋"/>
          <w:sz w:val="24"/>
        </w:rPr>
        <w:t>大于支撑水平投影宽度且相对独立无联系构件的混凝土模板支撑工程。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3、用于钢结构安装等满堂支撑体系。</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（二）超过一定规模</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1、工具式模板工程（滑模、爬模、飞模等）；</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2、搭设高度8米及以上，跨度18米及以上，施工总荷载15KN/㎡及以上，集中线荷载20KN/㎡及以上。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rPr>
      </w:pPr>
      <w:r>
        <w:rPr>
          <w:rFonts w:hint="eastAsia" w:ascii="仿宋" w:hAnsi="仿宋" w:eastAsia="仿宋" w:cs="仿宋"/>
          <w:sz w:val="24"/>
        </w:rPr>
        <w:t>3、用于钢结构安装等满堂支撑体系，承受单点集中荷载700KG 以上。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三、起重吊装及安装拆卸工程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（一）普通</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1、采用非常规起重设备、方法，且单件起吊重量在10KN 及以上的起重吊装工程。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2、采用起重机械进行安装的工程。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3、起重机械设备自身的安装、拆卸。</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（二）超过一定规模</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1、采用非常规起重设备、方法，且单件起吊重量在100KN 及以上的起重吊装工程。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2、起重量300KN 及以上的起重设备安装工程。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rPr>
      </w:pPr>
      <w:r>
        <w:rPr>
          <w:rFonts w:hint="eastAsia" w:ascii="仿宋" w:hAnsi="仿宋" w:eastAsia="仿宋" w:cs="仿宋"/>
          <w:sz w:val="24"/>
        </w:rPr>
        <w:t>3、高度200M 及以上内爬起重设备的拆除工程。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四、脚手架工程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（一）普通</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1、搭设高度24M 及以上的落地式钢管脚手架工程。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2、附着式整体和分片提升脚手架工程。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3、悬挑式脚手架工程。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4、吊篮脚手架工程。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5、自制卸料平台、移动操作平台工程。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6、新型及异型脚手架工程。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（二）超过一定规模</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1、搭设高度50M 及以上的落地式钢管脚手架工程。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2、提升高度150M 及以上附着式整体和分片提升脚手架工程。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rPr>
      </w:pPr>
      <w:r>
        <w:rPr>
          <w:rFonts w:hint="eastAsia" w:ascii="仿宋" w:hAnsi="仿宋" w:eastAsia="仿宋" w:cs="仿宋"/>
          <w:sz w:val="24"/>
        </w:rPr>
        <w:t>3、架体高度20M 及以上悬挑式脚手架工程。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五、拆除、爆破工程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（一）普通</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建筑物、构筑物拆除工程。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（二）超过一定规模</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1、拆用爆破拆除的工程。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2、码头、桥梁、高架、烟囱、水塔或拆除中容易引起有毒有害气（液）体或粉尘扩散、易燃易爆事故发生的特殊建、构筑物的拆除工程。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3、可能影响行人、交通、电力设施、通讯设施或其他建、构筑物安全的拆除工程。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w w:val="95"/>
          <w:sz w:val="24"/>
        </w:rPr>
      </w:pPr>
      <w:r>
        <w:rPr>
          <w:rFonts w:hint="eastAsia" w:ascii="仿宋" w:hAnsi="仿宋" w:eastAsia="仿宋" w:cs="仿宋"/>
          <w:w w:val="95"/>
          <w:sz w:val="24"/>
        </w:rPr>
        <w:t xml:space="preserve">4、文物保护建筑、优秀历史建筑或历史文化风貌区控制范围的拆除工程。  </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b/>
          <w:sz w:val="24"/>
        </w:rPr>
      </w:pPr>
      <w:r>
        <w:rPr>
          <w:rFonts w:hint="eastAsia" w:ascii="仿宋" w:hAnsi="仿宋" w:eastAsia="仿宋" w:cs="仿宋"/>
          <w:b/>
          <w:sz w:val="24"/>
        </w:rPr>
        <w:t>六、其他</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（一）普通</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1、建筑幕墙安装工程。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2、钢结构、网架安装工程。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3、人工挖孔桩工程。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4、预应力工程。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5、采用新技术、新工艺、新材料、新设备及尚无相关技术标准的危险性较大的分部分项工程。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（二）超过一定规模</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1、施工高度50M 及以上的建筑幕墙安装工程。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2、跨度大于36M 及以上的钢结构安装工程；跨度大于60M 及以上的网架和索膜结构安装工程。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3、开挖深度超过16M 的人工挖孔桩工程。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sz w:val="24"/>
        </w:rPr>
      </w:pPr>
      <w:r>
        <w:rPr>
          <w:rFonts w:hint="eastAsia" w:ascii="仿宋" w:hAnsi="仿宋" w:eastAsia="仿宋" w:cs="仿宋"/>
          <w:sz w:val="24"/>
        </w:rPr>
        <w:t>4、地下暗挖工程、顶管工程、水下作业工程。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textAlignment w:val="auto"/>
        <w:rPr>
          <w:rFonts w:hint="eastAsia" w:ascii="仿宋" w:hAnsi="仿宋" w:eastAsia="仿宋" w:cs="仿宋"/>
        </w:rPr>
      </w:pPr>
      <w:r>
        <w:rPr>
          <w:rFonts w:hint="eastAsia" w:ascii="仿宋" w:hAnsi="仿宋" w:eastAsia="仿宋" w:cs="仿宋"/>
          <w:sz w:val="24"/>
        </w:rPr>
        <w:t>包括但不限于以上内容，请根据本项目实际情况及相关法律法规自行判定填报。</w:t>
      </w:r>
    </w:p>
    <w:p>
      <w:pPr>
        <w:rPr>
          <w:rFonts w:hint="eastAsia" w:ascii="仿宋" w:hAnsi="仿宋" w:eastAsia="仿宋" w:cs="仿宋"/>
        </w:rPr>
        <w:sectPr>
          <w:footerReference r:id="rId7" w:type="default"/>
          <w:pgSz w:w="11907" w:h="16840"/>
          <w:pgMar w:top="1440" w:right="1080" w:bottom="1440" w:left="1080" w:header="680" w:footer="680" w:gutter="0"/>
          <w:pgNumType w:fmt="decimal"/>
          <w:cols w:space="720" w:num="1"/>
          <w:docGrid w:linePitch="312" w:charSpace="0"/>
        </w:sectPr>
      </w:pPr>
    </w:p>
    <w:p>
      <w:pPr>
        <w:pStyle w:val="3"/>
        <w:jc w:val="center"/>
        <w:rPr>
          <w:rFonts w:hint="eastAsia" w:ascii="仿宋" w:hAnsi="仿宋" w:eastAsia="仿宋" w:cs="仿宋"/>
          <w:b/>
          <w:bCs/>
          <w:sz w:val="32"/>
          <w:szCs w:val="32"/>
        </w:rPr>
      </w:pPr>
      <w:bookmarkStart w:id="89" w:name="_Toc20702"/>
      <w:r>
        <w:rPr>
          <w:rFonts w:hint="eastAsia" w:ascii="仿宋" w:hAnsi="仿宋" w:eastAsia="仿宋" w:cs="仿宋"/>
          <w:b/>
          <w:bCs/>
          <w:sz w:val="32"/>
          <w:szCs w:val="32"/>
        </w:rPr>
        <w:t>第四章 合同条款及格式</w:t>
      </w:r>
      <w:bookmarkEnd w:id="89"/>
    </w:p>
    <w:p>
      <w:pPr>
        <w:rPr>
          <w:rFonts w:hint="eastAsia"/>
        </w:rPr>
      </w:pP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bidi="ar"/>
        </w:rPr>
        <w:t xml:space="preserve">双方应根据招标文件、中标通知书、中标人的投标文件（包括澄清说明），以及与本项目招标相关的资料、图纸签订招标合同。所签订的合同不得背离招标文件的实质性内容要求和投标文件的承诺。 </w:t>
      </w:r>
    </w:p>
    <w:p>
      <w:pPr>
        <w:pStyle w:val="10"/>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（本合同条款仅供参考，最终以甲方提供的样本并经甲乙双方协商一致的合同为准。）</w:t>
      </w:r>
    </w:p>
    <w:p>
      <w:pPr>
        <w:pStyle w:val="10"/>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使用《建设工程施工合同示范文本》（GF-2017-0201）</w:t>
      </w: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ascii="仿宋" w:hAnsi="仿宋" w:eastAsia="仿宋" w:cs="仿宋"/>
          <w:color w:val="000000"/>
          <w:kern w:val="0"/>
          <w:sz w:val="24"/>
          <w:lang w:bidi="ar"/>
        </w:rPr>
      </w:pPr>
    </w:p>
    <w:p>
      <w:pPr>
        <w:pStyle w:val="10"/>
        <w:rPr>
          <w:rFonts w:hint="eastAsia" w:ascii="仿宋" w:hAnsi="仿宋" w:eastAsia="仿宋" w:cs="仿宋"/>
          <w:color w:val="000000"/>
          <w:kern w:val="0"/>
          <w:sz w:val="24"/>
          <w:lang w:bidi="ar"/>
        </w:rPr>
      </w:pPr>
    </w:p>
    <w:p>
      <w:pPr>
        <w:pStyle w:val="11"/>
        <w:rPr>
          <w:rFonts w:hint="eastAsia"/>
        </w:rPr>
      </w:pPr>
    </w:p>
    <w:p>
      <w:pPr>
        <w:pStyle w:val="4"/>
        <w:jc w:val="center"/>
        <w:rPr>
          <w:rFonts w:hint="eastAsia" w:ascii="仿宋" w:hAnsi="仿宋" w:eastAsia="仿宋" w:cs="仿宋"/>
          <w:b w:val="0"/>
          <w:sz w:val="24"/>
          <w:szCs w:val="24"/>
        </w:rPr>
      </w:pPr>
      <w:bookmarkStart w:id="90" w:name="_Toc1017"/>
      <w:bookmarkStart w:id="91" w:name="_Toc36021957"/>
      <w:bookmarkStart w:id="92" w:name="_Toc23648"/>
      <w:bookmarkStart w:id="93" w:name="_Toc26011"/>
      <w:bookmarkStart w:id="94" w:name="_Toc13395"/>
      <w:r>
        <w:rPr>
          <w:rFonts w:hint="eastAsia" w:ascii="仿宋" w:hAnsi="仿宋" w:eastAsia="仿宋" w:cs="仿宋"/>
          <w:sz w:val="24"/>
          <w:szCs w:val="24"/>
        </w:rPr>
        <w:t>第一部分 合同协议书</w:t>
      </w:r>
      <w:bookmarkEnd w:id="90"/>
      <w:bookmarkEnd w:id="91"/>
      <w:bookmarkEnd w:id="92"/>
      <w:bookmarkEnd w:id="93"/>
      <w:bookmarkEnd w:id="94"/>
    </w:p>
    <w:p>
      <w:pPr>
        <w:spacing w:line="460" w:lineRule="exact"/>
        <w:rPr>
          <w:rFonts w:hint="eastAsia" w:ascii="仿宋" w:hAnsi="仿宋" w:eastAsia="仿宋" w:cs="仿宋"/>
          <w:b/>
          <w:sz w:val="24"/>
          <w:u w:val="single"/>
        </w:rPr>
      </w:pPr>
      <w:r>
        <w:rPr>
          <w:rFonts w:hint="eastAsia" w:ascii="仿宋" w:hAnsi="仿宋" w:eastAsia="仿宋" w:cs="仿宋"/>
          <w:b/>
          <w:sz w:val="24"/>
        </w:rPr>
        <w:t>发包人（全称）：</w:t>
      </w:r>
      <w:r>
        <w:rPr>
          <w:rFonts w:hint="eastAsia" w:ascii="仿宋" w:hAnsi="仿宋" w:eastAsia="仿宋" w:cs="仿宋"/>
          <w:b/>
          <w:sz w:val="24"/>
          <w:u w:val="single"/>
        </w:rPr>
        <w:t>                       </w:t>
      </w:r>
    </w:p>
    <w:p>
      <w:pPr>
        <w:spacing w:line="460" w:lineRule="exact"/>
        <w:rPr>
          <w:rFonts w:hint="eastAsia" w:ascii="仿宋" w:hAnsi="仿宋" w:eastAsia="仿宋" w:cs="仿宋"/>
          <w:b/>
          <w:sz w:val="24"/>
          <w:u w:val="single"/>
        </w:rPr>
      </w:pPr>
      <w:r>
        <w:rPr>
          <w:rFonts w:hint="eastAsia" w:ascii="仿宋" w:hAnsi="仿宋" w:eastAsia="仿宋" w:cs="仿宋"/>
          <w:b/>
          <w:sz w:val="24"/>
        </w:rPr>
        <w:t>承包人（全称）：</w:t>
      </w:r>
      <w:r>
        <w:rPr>
          <w:rFonts w:hint="eastAsia" w:ascii="仿宋" w:hAnsi="仿宋" w:eastAsia="仿宋" w:cs="仿宋"/>
          <w:b/>
          <w:sz w:val="24"/>
          <w:u w:val="single"/>
        </w:rPr>
        <w:t>                      </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根据《中华人民共和国合同法》、《中华人民共和国建筑法》及有关法律规定，遵循平等、自愿、公平和诚实信用的原则，双方就工程施工及有关事项协商一致，共同达成如下协议：</w:t>
      </w:r>
    </w:p>
    <w:p>
      <w:pPr>
        <w:spacing w:line="460" w:lineRule="exact"/>
        <w:ind w:firstLine="482" w:firstLineChars="200"/>
        <w:rPr>
          <w:rFonts w:hint="eastAsia" w:ascii="仿宋" w:hAnsi="仿宋" w:eastAsia="仿宋" w:cs="仿宋"/>
          <w:b/>
          <w:bCs/>
          <w:sz w:val="24"/>
        </w:rPr>
      </w:pPr>
      <w:bookmarkStart w:id="95" w:name="_Toc18055"/>
      <w:bookmarkStart w:id="96" w:name="_Toc351203481"/>
      <w:r>
        <w:rPr>
          <w:rFonts w:hint="eastAsia" w:ascii="仿宋" w:hAnsi="仿宋" w:eastAsia="仿宋" w:cs="仿宋"/>
          <w:b/>
          <w:bCs/>
          <w:sz w:val="24"/>
        </w:rPr>
        <w:t>一、工程概况</w:t>
      </w:r>
      <w:bookmarkEnd w:id="95"/>
      <w:bookmarkEnd w:id="96"/>
    </w:p>
    <w:p>
      <w:pPr>
        <w:spacing w:line="460" w:lineRule="exact"/>
        <w:ind w:firstLine="470" w:firstLineChars="196"/>
        <w:rPr>
          <w:rFonts w:hint="eastAsia" w:ascii="仿宋" w:hAnsi="仿宋" w:eastAsia="仿宋" w:cs="仿宋"/>
          <w:sz w:val="24"/>
          <w:u w:val="single"/>
        </w:rPr>
      </w:pPr>
      <w:r>
        <w:rPr>
          <w:rFonts w:hint="eastAsia" w:ascii="仿宋" w:hAnsi="仿宋" w:eastAsia="仿宋" w:cs="仿宋"/>
          <w:bCs/>
          <w:sz w:val="24"/>
        </w:rPr>
        <w:t>1.工程名称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70" w:firstLineChars="196"/>
        <w:rPr>
          <w:rFonts w:hint="eastAsia" w:ascii="仿宋" w:hAnsi="仿宋" w:eastAsia="仿宋" w:cs="仿宋"/>
          <w:bCs/>
          <w:sz w:val="24"/>
        </w:rPr>
      </w:pPr>
      <w:r>
        <w:rPr>
          <w:rFonts w:hint="eastAsia" w:ascii="仿宋" w:hAnsi="仿宋" w:eastAsia="仿宋" w:cs="仿宋"/>
          <w:bCs/>
          <w:sz w:val="24"/>
        </w:rPr>
        <w:t>2.工程地点：</w:t>
      </w:r>
      <w:r>
        <w:rPr>
          <w:rFonts w:hint="eastAsia" w:ascii="仿宋" w:hAnsi="仿宋" w:eastAsia="仿宋" w:cs="仿宋"/>
          <w:bCs/>
          <w:sz w:val="24"/>
          <w:u w:val="single"/>
        </w:rPr>
        <w:t xml:space="preserve">                                   </w:t>
      </w:r>
      <w:r>
        <w:rPr>
          <w:rFonts w:hint="eastAsia" w:ascii="仿宋" w:hAnsi="仿宋" w:eastAsia="仿宋" w:cs="仿宋"/>
          <w:sz w:val="24"/>
        </w:rPr>
        <w:t>。</w:t>
      </w:r>
    </w:p>
    <w:p>
      <w:pPr>
        <w:spacing w:line="460" w:lineRule="exact"/>
        <w:ind w:firstLine="470" w:firstLineChars="196"/>
        <w:rPr>
          <w:rFonts w:hint="eastAsia" w:ascii="仿宋" w:hAnsi="仿宋" w:eastAsia="仿宋" w:cs="仿宋"/>
          <w:bCs/>
          <w:sz w:val="24"/>
        </w:rPr>
      </w:pPr>
      <w:r>
        <w:rPr>
          <w:rFonts w:hint="eastAsia" w:ascii="仿宋" w:hAnsi="仿宋" w:eastAsia="仿宋" w:cs="仿宋"/>
          <w:bCs/>
          <w:sz w:val="24"/>
        </w:rPr>
        <w:t>3.工程立项批准文号：</w:t>
      </w:r>
      <w:r>
        <w:rPr>
          <w:rFonts w:hint="eastAsia" w:ascii="仿宋" w:hAnsi="仿宋" w:eastAsia="仿宋" w:cs="仿宋"/>
          <w:sz w:val="24"/>
          <w:u w:val="single"/>
        </w:rPr>
        <w:t xml:space="preserve">                                        </w:t>
      </w:r>
      <w:r>
        <w:rPr>
          <w:rFonts w:hint="eastAsia" w:ascii="仿宋" w:hAnsi="仿宋" w:eastAsia="仿宋" w:cs="仿宋"/>
          <w:bCs/>
          <w:sz w:val="24"/>
        </w:rPr>
        <w:t>。</w:t>
      </w:r>
    </w:p>
    <w:p>
      <w:pPr>
        <w:spacing w:line="460" w:lineRule="exact"/>
        <w:ind w:firstLine="470" w:firstLineChars="196"/>
        <w:rPr>
          <w:rFonts w:hint="eastAsia" w:ascii="仿宋" w:hAnsi="仿宋" w:eastAsia="仿宋" w:cs="仿宋"/>
          <w:bCs/>
          <w:sz w:val="24"/>
        </w:rPr>
      </w:pPr>
      <w:r>
        <w:rPr>
          <w:rFonts w:hint="eastAsia" w:ascii="仿宋" w:hAnsi="仿宋" w:eastAsia="仿宋" w:cs="仿宋"/>
          <w:bCs/>
          <w:sz w:val="24"/>
        </w:rPr>
        <w:t>4.资金来源：</w:t>
      </w:r>
      <w:r>
        <w:rPr>
          <w:rFonts w:hint="eastAsia" w:ascii="仿宋" w:hAnsi="仿宋" w:eastAsia="仿宋" w:cs="仿宋"/>
          <w:sz w:val="24"/>
          <w:u w:val="single"/>
        </w:rPr>
        <w:t xml:space="preserve">                                                  </w:t>
      </w:r>
      <w:r>
        <w:rPr>
          <w:rFonts w:hint="eastAsia" w:ascii="仿宋" w:hAnsi="仿宋" w:eastAsia="仿宋" w:cs="仿宋"/>
          <w:bCs/>
          <w:sz w:val="24"/>
        </w:rPr>
        <w:t>。</w:t>
      </w:r>
    </w:p>
    <w:p>
      <w:pPr>
        <w:spacing w:line="460" w:lineRule="exact"/>
        <w:ind w:firstLine="470" w:firstLineChars="196"/>
        <w:rPr>
          <w:rFonts w:hint="eastAsia" w:ascii="仿宋" w:hAnsi="仿宋" w:eastAsia="仿宋" w:cs="仿宋"/>
          <w:bCs/>
          <w:sz w:val="24"/>
        </w:rPr>
      </w:pPr>
      <w:r>
        <w:rPr>
          <w:rFonts w:hint="eastAsia" w:ascii="仿宋" w:hAnsi="仿宋" w:eastAsia="仿宋" w:cs="仿宋"/>
          <w:bCs/>
          <w:sz w:val="24"/>
        </w:rPr>
        <w:t>5.工程内容：</w:t>
      </w:r>
      <w:r>
        <w:rPr>
          <w:rFonts w:hint="eastAsia" w:ascii="仿宋" w:hAnsi="仿宋" w:eastAsia="仿宋" w:cs="仿宋"/>
          <w:sz w:val="24"/>
          <w:u w:val="single"/>
        </w:rPr>
        <w:t xml:space="preserve">                                                  </w:t>
      </w:r>
      <w:r>
        <w:rPr>
          <w:rFonts w:hint="eastAsia" w:ascii="仿宋" w:hAnsi="仿宋" w:eastAsia="仿宋" w:cs="仿宋"/>
          <w:bCs/>
          <w:sz w:val="24"/>
        </w:rPr>
        <w:t>。</w:t>
      </w:r>
    </w:p>
    <w:p>
      <w:pPr>
        <w:spacing w:line="460" w:lineRule="exact"/>
        <w:ind w:firstLine="470" w:firstLineChars="196"/>
        <w:rPr>
          <w:rFonts w:hint="eastAsia" w:ascii="仿宋" w:hAnsi="仿宋" w:eastAsia="仿宋" w:cs="仿宋"/>
          <w:bCs/>
          <w:sz w:val="24"/>
        </w:rPr>
      </w:pPr>
      <w:r>
        <w:rPr>
          <w:rFonts w:hint="eastAsia" w:ascii="仿宋" w:hAnsi="仿宋" w:eastAsia="仿宋" w:cs="仿宋"/>
          <w:sz w:val="24"/>
        </w:rPr>
        <w:t>群体工程应附《承包人承揽工程项目一览表》（附件1）。</w:t>
      </w:r>
    </w:p>
    <w:p>
      <w:pPr>
        <w:spacing w:line="460" w:lineRule="exact"/>
        <w:ind w:firstLine="470" w:firstLineChars="196"/>
        <w:rPr>
          <w:rFonts w:hint="eastAsia" w:ascii="仿宋" w:hAnsi="仿宋" w:eastAsia="仿宋" w:cs="仿宋"/>
          <w:bCs/>
          <w:sz w:val="24"/>
        </w:rPr>
      </w:pPr>
      <w:r>
        <w:rPr>
          <w:rFonts w:hint="eastAsia" w:ascii="仿宋" w:hAnsi="仿宋" w:eastAsia="仿宋" w:cs="仿宋"/>
          <w:bCs/>
          <w:sz w:val="24"/>
        </w:rPr>
        <w:t>6.工程承包范围：</w:t>
      </w:r>
    </w:p>
    <w:p>
      <w:pPr>
        <w:spacing w:line="460" w:lineRule="exact"/>
        <w:ind w:firstLine="463" w:firstLineChars="193"/>
        <w:rPr>
          <w:rFonts w:hint="eastAsia" w:ascii="仿宋" w:hAnsi="仿宋" w:eastAsia="仿宋" w:cs="仿宋"/>
          <w:sz w:val="24"/>
        </w:rPr>
      </w:pPr>
      <w:r>
        <w:rPr>
          <w:rFonts w:hint="eastAsia" w:ascii="仿宋" w:hAnsi="仿宋" w:eastAsia="仿宋" w:cs="仿宋"/>
          <w:sz w:val="24"/>
          <w:u w:val="single"/>
        </w:rPr>
        <w:t xml:space="preserve">                         </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 </w:t>
      </w:r>
      <w:r>
        <w:rPr>
          <w:rFonts w:hint="eastAsia" w:ascii="仿宋" w:hAnsi="仿宋" w:eastAsia="仿宋" w:cs="仿宋"/>
          <w:sz w:val="24"/>
        </w:rPr>
        <w:t>。</w:t>
      </w:r>
    </w:p>
    <w:p>
      <w:pPr>
        <w:spacing w:line="460" w:lineRule="exact"/>
        <w:ind w:firstLine="482" w:firstLineChars="200"/>
        <w:rPr>
          <w:rFonts w:hint="eastAsia" w:ascii="仿宋" w:hAnsi="仿宋" w:eastAsia="仿宋" w:cs="仿宋"/>
          <w:b/>
          <w:bCs/>
          <w:sz w:val="24"/>
        </w:rPr>
      </w:pPr>
      <w:bookmarkStart w:id="97" w:name="_Toc9676"/>
      <w:bookmarkStart w:id="98" w:name="_Toc351203482"/>
      <w:r>
        <w:rPr>
          <w:rFonts w:hint="eastAsia" w:ascii="仿宋" w:hAnsi="仿宋" w:eastAsia="仿宋" w:cs="仿宋"/>
          <w:b/>
          <w:bCs/>
          <w:sz w:val="24"/>
        </w:rPr>
        <w:t>二、合同工期</w:t>
      </w:r>
      <w:bookmarkEnd w:id="97"/>
      <w:bookmarkEnd w:id="98"/>
    </w:p>
    <w:p>
      <w:pPr>
        <w:spacing w:line="460" w:lineRule="exact"/>
        <w:ind w:firstLine="459"/>
        <w:rPr>
          <w:rFonts w:hint="eastAsia" w:ascii="仿宋" w:hAnsi="仿宋" w:eastAsia="仿宋" w:cs="仿宋"/>
          <w:sz w:val="24"/>
        </w:rPr>
      </w:pPr>
      <w:r>
        <w:rPr>
          <w:rFonts w:hint="eastAsia" w:ascii="仿宋" w:hAnsi="仿宋" w:eastAsia="仿宋" w:cs="仿宋"/>
          <w:sz w:val="24"/>
        </w:rPr>
        <w:t>计划开工日期：</w:t>
      </w:r>
      <w:r>
        <w:rPr>
          <w:rFonts w:hint="eastAsia" w:ascii="仿宋" w:hAnsi="仿宋" w:eastAsia="仿宋" w:cs="仿宋"/>
          <w:sz w:val="24"/>
          <w:u w:val="single"/>
        </w:rPr>
        <w:t></w:t>
      </w:r>
      <w:r>
        <w:rPr>
          <w:rFonts w:hint="eastAsia" w:ascii="仿宋" w:hAnsi="仿宋" w:eastAsia="仿宋" w:cs="仿宋"/>
          <w:sz w:val="24"/>
        </w:rPr>
        <w:t>年</w:t>
      </w:r>
      <w:r>
        <w:rPr>
          <w:rFonts w:hint="eastAsia" w:ascii="仿宋" w:hAnsi="仿宋" w:eastAsia="仿宋" w:cs="仿宋"/>
          <w:sz w:val="24"/>
          <w:u w:val="single"/>
        </w:rPr>
        <w:t></w:t>
      </w:r>
      <w:r>
        <w:rPr>
          <w:rFonts w:hint="eastAsia" w:ascii="仿宋" w:hAnsi="仿宋" w:eastAsia="仿宋" w:cs="仿宋"/>
          <w:sz w:val="24"/>
        </w:rPr>
        <w:t>月</w:t>
      </w:r>
      <w:r>
        <w:rPr>
          <w:rFonts w:hint="eastAsia" w:ascii="仿宋" w:hAnsi="仿宋" w:eastAsia="仿宋" w:cs="仿宋"/>
          <w:sz w:val="24"/>
          <w:u w:val="single"/>
        </w:rPr>
        <w:t></w:t>
      </w:r>
      <w:r>
        <w:rPr>
          <w:rFonts w:hint="eastAsia" w:ascii="仿宋" w:hAnsi="仿宋" w:eastAsia="仿宋" w:cs="仿宋"/>
          <w:sz w:val="24"/>
        </w:rPr>
        <w:t>日。</w:t>
      </w:r>
    </w:p>
    <w:p>
      <w:pPr>
        <w:spacing w:line="460" w:lineRule="exact"/>
        <w:ind w:firstLine="459"/>
        <w:rPr>
          <w:rFonts w:hint="eastAsia" w:ascii="仿宋" w:hAnsi="仿宋" w:eastAsia="仿宋" w:cs="仿宋"/>
          <w:sz w:val="24"/>
        </w:rPr>
      </w:pPr>
      <w:r>
        <w:rPr>
          <w:rFonts w:hint="eastAsia" w:ascii="仿宋" w:hAnsi="仿宋" w:eastAsia="仿宋" w:cs="仿宋"/>
          <w:sz w:val="24"/>
        </w:rPr>
        <w:t>计划竣工日期：</w:t>
      </w:r>
      <w:r>
        <w:rPr>
          <w:rFonts w:hint="eastAsia" w:ascii="仿宋" w:hAnsi="仿宋" w:eastAsia="仿宋" w:cs="仿宋"/>
          <w:sz w:val="24"/>
          <w:u w:val="single"/>
        </w:rPr>
        <w:t></w:t>
      </w:r>
      <w:r>
        <w:rPr>
          <w:rFonts w:hint="eastAsia" w:ascii="仿宋" w:hAnsi="仿宋" w:eastAsia="仿宋" w:cs="仿宋"/>
          <w:sz w:val="24"/>
        </w:rPr>
        <w:t>年</w:t>
      </w:r>
      <w:r>
        <w:rPr>
          <w:rFonts w:hint="eastAsia" w:ascii="仿宋" w:hAnsi="仿宋" w:eastAsia="仿宋" w:cs="仿宋"/>
          <w:sz w:val="24"/>
          <w:u w:val="single"/>
        </w:rPr>
        <w:t></w:t>
      </w:r>
      <w:r>
        <w:rPr>
          <w:rFonts w:hint="eastAsia" w:ascii="仿宋" w:hAnsi="仿宋" w:eastAsia="仿宋" w:cs="仿宋"/>
          <w:sz w:val="24"/>
        </w:rPr>
        <w:t>月</w:t>
      </w:r>
      <w:r>
        <w:rPr>
          <w:rFonts w:hint="eastAsia" w:ascii="仿宋" w:hAnsi="仿宋" w:eastAsia="仿宋" w:cs="仿宋"/>
          <w:sz w:val="24"/>
          <w:u w:val="single"/>
        </w:rPr>
        <w:t></w:t>
      </w:r>
      <w:r>
        <w:rPr>
          <w:rFonts w:hint="eastAsia" w:ascii="仿宋" w:hAnsi="仿宋" w:eastAsia="仿宋" w:cs="仿宋"/>
          <w:sz w:val="24"/>
        </w:rPr>
        <w:t>日。</w:t>
      </w:r>
    </w:p>
    <w:p>
      <w:pPr>
        <w:spacing w:line="460" w:lineRule="exact"/>
        <w:ind w:firstLine="459"/>
        <w:rPr>
          <w:rFonts w:hint="eastAsia" w:ascii="仿宋" w:hAnsi="仿宋" w:eastAsia="仿宋" w:cs="仿宋"/>
          <w:sz w:val="24"/>
        </w:rPr>
      </w:pPr>
      <w:r>
        <w:rPr>
          <w:rFonts w:hint="eastAsia" w:ascii="仿宋" w:hAnsi="仿宋" w:eastAsia="仿宋" w:cs="仿宋"/>
          <w:sz w:val="24"/>
        </w:rPr>
        <w:t>工期总日历天数：</w:t>
      </w:r>
      <w:r>
        <w:rPr>
          <w:rFonts w:hint="eastAsia" w:ascii="仿宋" w:hAnsi="仿宋" w:eastAsia="仿宋" w:cs="仿宋"/>
          <w:sz w:val="24"/>
          <w:u w:val="single"/>
        </w:rPr>
        <w:t></w:t>
      </w:r>
      <w:r>
        <w:rPr>
          <w:rFonts w:hint="eastAsia" w:ascii="仿宋" w:hAnsi="仿宋" w:eastAsia="仿宋" w:cs="仿宋"/>
          <w:sz w:val="24"/>
        </w:rPr>
        <w:t>天。工期总日历天数与根据前述计划开竣工日期计算的工期天数不一致的，以工期总日历天数为准。</w:t>
      </w:r>
    </w:p>
    <w:p>
      <w:pPr>
        <w:spacing w:line="460" w:lineRule="exact"/>
        <w:ind w:firstLine="482" w:firstLineChars="200"/>
        <w:rPr>
          <w:rFonts w:hint="eastAsia" w:ascii="仿宋" w:hAnsi="仿宋" w:eastAsia="仿宋" w:cs="仿宋"/>
          <w:b/>
          <w:bCs/>
          <w:sz w:val="24"/>
        </w:rPr>
      </w:pPr>
      <w:bookmarkStart w:id="99" w:name="_Toc351203483"/>
      <w:bookmarkStart w:id="100" w:name="_Toc8013"/>
      <w:r>
        <w:rPr>
          <w:rFonts w:hint="eastAsia" w:ascii="仿宋" w:hAnsi="仿宋" w:eastAsia="仿宋" w:cs="仿宋"/>
          <w:b/>
          <w:bCs/>
          <w:sz w:val="24"/>
        </w:rPr>
        <w:t>三、质量标准</w:t>
      </w:r>
      <w:bookmarkEnd w:id="99"/>
      <w:bookmarkEnd w:id="100"/>
    </w:p>
    <w:p>
      <w:pPr>
        <w:spacing w:line="460" w:lineRule="exact"/>
        <w:ind w:firstLine="459"/>
        <w:rPr>
          <w:rFonts w:hint="eastAsia" w:ascii="仿宋" w:hAnsi="仿宋" w:eastAsia="仿宋" w:cs="仿宋"/>
          <w:sz w:val="24"/>
        </w:rPr>
      </w:pPr>
      <w:r>
        <w:rPr>
          <w:rFonts w:hint="eastAsia" w:ascii="仿宋" w:hAnsi="仿宋" w:eastAsia="仿宋" w:cs="仿宋"/>
          <w:sz w:val="24"/>
        </w:rPr>
        <w:t>工程质量符合</w:t>
      </w:r>
      <w:r>
        <w:rPr>
          <w:rFonts w:hint="eastAsia" w:ascii="仿宋" w:hAnsi="仿宋" w:eastAsia="仿宋" w:cs="仿宋"/>
          <w:sz w:val="24"/>
          <w:u w:val="single"/>
        </w:rPr>
        <w:t></w:t>
      </w:r>
      <w:r>
        <w:rPr>
          <w:rFonts w:hint="eastAsia" w:ascii="仿宋" w:hAnsi="仿宋" w:eastAsia="仿宋" w:cs="仿宋"/>
          <w:sz w:val="24"/>
        </w:rPr>
        <w:t>标准。</w:t>
      </w:r>
    </w:p>
    <w:p>
      <w:pPr>
        <w:spacing w:line="460" w:lineRule="exact"/>
        <w:ind w:firstLine="482" w:firstLineChars="200"/>
        <w:rPr>
          <w:rFonts w:hint="eastAsia" w:ascii="仿宋" w:hAnsi="仿宋" w:eastAsia="仿宋" w:cs="仿宋"/>
          <w:b/>
          <w:bCs/>
          <w:sz w:val="24"/>
        </w:rPr>
      </w:pPr>
      <w:bookmarkStart w:id="101" w:name="_Toc351203484"/>
      <w:bookmarkStart w:id="102" w:name="_Toc8140"/>
      <w:r>
        <w:rPr>
          <w:rFonts w:hint="eastAsia" w:ascii="仿宋" w:hAnsi="仿宋" w:eastAsia="仿宋" w:cs="仿宋"/>
          <w:b/>
          <w:bCs/>
          <w:sz w:val="24"/>
        </w:rPr>
        <w:t>四、签约合同价与合同价格形式</w:t>
      </w:r>
      <w:bookmarkEnd w:id="101"/>
      <w:bookmarkEnd w:id="102"/>
      <w:r>
        <w:rPr>
          <w:rFonts w:hint="eastAsia" w:ascii="仿宋" w:hAnsi="仿宋" w:eastAsia="仿宋" w:cs="仿宋"/>
          <w:b/>
          <w:bCs/>
          <w:sz w:val="24"/>
        </w:rPr>
        <w:tab/>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1.签约合同价为：</w:t>
      </w:r>
    </w:p>
    <w:p>
      <w:pPr>
        <w:spacing w:line="460" w:lineRule="exact"/>
        <w:ind w:firstLine="600" w:firstLineChars="250"/>
        <w:rPr>
          <w:rFonts w:hint="eastAsia" w:ascii="仿宋" w:hAnsi="仿宋" w:eastAsia="仿宋" w:cs="仿宋"/>
          <w:sz w:val="24"/>
        </w:rPr>
      </w:pPr>
      <w:r>
        <w:rPr>
          <w:rFonts w:hint="eastAsia" w:ascii="仿宋" w:hAnsi="仿宋" w:eastAsia="仿宋" w:cs="仿宋"/>
          <w:sz w:val="24"/>
        </w:rPr>
        <w:t>人民币（大写）(¥元)；</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其中：</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（1）安全文明施工费：</w:t>
      </w:r>
    </w:p>
    <w:p>
      <w:pPr>
        <w:spacing w:line="460" w:lineRule="exact"/>
        <w:ind w:firstLine="1080" w:firstLineChars="450"/>
        <w:rPr>
          <w:rFonts w:hint="eastAsia" w:ascii="仿宋" w:hAnsi="仿宋" w:eastAsia="仿宋" w:cs="仿宋"/>
          <w:sz w:val="24"/>
        </w:rPr>
      </w:pPr>
      <w:r>
        <w:rPr>
          <w:rFonts w:hint="eastAsia" w:ascii="仿宋" w:hAnsi="仿宋" w:eastAsia="仿宋" w:cs="仿宋"/>
          <w:sz w:val="24"/>
        </w:rPr>
        <w:t>人民币（大写） (¥元)；</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（2）材料和工程设备暂估价金额：</w:t>
      </w:r>
    </w:p>
    <w:p>
      <w:pPr>
        <w:spacing w:line="460" w:lineRule="exact"/>
        <w:ind w:firstLine="1080" w:firstLineChars="450"/>
        <w:rPr>
          <w:rFonts w:hint="eastAsia" w:ascii="仿宋" w:hAnsi="仿宋" w:eastAsia="仿宋" w:cs="仿宋"/>
          <w:sz w:val="24"/>
        </w:rPr>
      </w:pPr>
      <w:r>
        <w:rPr>
          <w:rFonts w:hint="eastAsia" w:ascii="仿宋" w:hAnsi="仿宋" w:eastAsia="仿宋" w:cs="仿宋"/>
          <w:sz w:val="24"/>
        </w:rPr>
        <w:t>人民币（大写） (¥元)；</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（3）专业工程暂估价金额：</w:t>
      </w:r>
    </w:p>
    <w:p>
      <w:pPr>
        <w:spacing w:line="460" w:lineRule="exact"/>
        <w:ind w:firstLine="1080" w:firstLineChars="450"/>
        <w:rPr>
          <w:rFonts w:hint="eastAsia" w:ascii="仿宋" w:hAnsi="仿宋" w:eastAsia="仿宋" w:cs="仿宋"/>
          <w:sz w:val="24"/>
        </w:rPr>
      </w:pPr>
      <w:r>
        <w:rPr>
          <w:rFonts w:hint="eastAsia" w:ascii="仿宋" w:hAnsi="仿宋" w:eastAsia="仿宋" w:cs="仿宋"/>
          <w:sz w:val="24"/>
        </w:rPr>
        <w:t>人民币（大写） (¥元)；</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（4）暂列金额：</w:t>
      </w:r>
    </w:p>
    <w:p>
      <w:pPr>
        <w:spacing w:line="460" w:lineRule="exact"/>
        <w:ind w:firstLine="1080" w:firstLineChars="450"/>
        <w:rPr>
          <w:rFonts w:hint="eastAsia" w:ascii="仿宋" w:hAnsi="仿宋" w:eastAsia="仿宋" w:cs="仿宋"/>
          <w:sz w:val="24"/>
        </w:rPr>
      </w:pPr>
      <w:r>
        <w:rPr>
          <w:rFonts w:hint="eastAsia" w:ascii="仿宋" w:hAnsi="仿宋" w:eastAsia="仿宋" w:cs="仿宋"/>
          <w:sz w:val="24"/>
        </w:rPr>
        <w:t>人民币（大写） (¥元)。</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2.合同价格形式：</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2" w:firstLineChars="200"/>
        <w:rPr>
          <w:rFonts w:hint="eastAsia" w:ascii="仿宋" w:hAnsi="仿宋" w:eastAsia="仿宋" w:cs="仿宋"/>
          <w:b/>
          <w:bCs/>
          <w:sz w:val="24"/>
        </w:rPr>
      </w:pPr>
      <w:bookmarkStart w:id="103" w:name="_Toc351203485"/>
      <w:bookmarkStart w:id="104" w:name="_Toc32382"/>
      <w:r>
        <w:rPr>
          <w:rFonts w:hint="eastAsia" w:ascii="仿宋" w:hAnsi="仿宋" w:eastAsia="仿宋" w:cs="仿宋"/>
          <w:b/>
          <w:bCs/>
          <w:sz w:val="24"/>
        </w:rPr>
        <w:t>五、</w:t>
      </w:r>
      <w:bookmarkEnd w:id="103"/>
      <w:r>
        <w:rPr>
          <w:rFonts w:hint="eastAsia" w:ascii="仿宋" w:hAnsi="仿宋" w:eastAsia="仿宋" w:cs="仿宋"/>
          <w:b/>
          <w:bCs/>
          <w:sz w:val="24"/>
        </w:rPr>
        <w:t>项目经理</w:t>
      </w:r>
      <w:bookmarkEnd w:id="104"/>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承包人项目经理：</w:t>
      </w:r>
      <w:r>
        <w:rPr>
          <w:rFonts w:hint="eastAsia" w:ascii="仿宋" w:hAnsi="仿宋" w:eastAsia="仿宋" w:cs="仿宋"/>
          <w:sz w:val="24"/>
          <w:u w:val="single"/>
        </w:rPr>
        <w:t>                     </w:t>
      </w:r>
      <w:r>
        <w:rPr>
          <w:rFonts w:hint="eastAsia" w:ascii="仿宋" w:hAnsi="仿宋" w:eastAsia="仿宋" w:cs="仿宋"/>
          <w:sz w:val="24"/>
        </w:rPr>
        <w:t>。</w:t>
      </w:r>
    </w:p>
    <w:p>
      <w:pPr>
        <w:spacing w:line="460" w:lineRule="exact"/>
        <w:ind w:firstLine="482" w:firstLineChars="200"/>
        <w:rPr>
          <w:rFonts w:hint="eastAsia" w:ascii="仿宋" w:hAnsi="仿宋" w:eastAsia="仿宋" w:cs="仿宋"/>
          <w:b/>
          <w:bCs/>
          <w:sz w:val="24"/>
        </w:rPr>
      </w:pPr>
      <w:bookmarkStart w:id="105" w:name="_Toc351203486"/>
      <w:bookmarkStart w:id="106" w:name="_Toc3144"/>
      <w:r>
        <w:rPr>
          <w:rFonts w:hint="eastAsia" w:ascii="仿宋" w:hAnsi="仿宋" w:eastAsia="仿宋" w:cs="仿宋"/>
          <w:b/>
          <w:bCs/>
          <w:sz w:val="24"/>
        </w:rPr>
        <w:t>六、合同文件构成</w:t>
      </w:r>
      <w:bookmarkEnd w:id="105"/>
      <w:bookmarkEnd w:id="106"/>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本协议书与下列文件一起构成合同文件：</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（1）中标通知书（如果有）；</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（2）投标函及其附录（如果有）； </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（3）专用合同条款及其附件；</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（4）通用合同条款；</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（5）技术标准和要求；</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（6）图纸；</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（7）已标价工程量清单或预算书；</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（8）其他合同文件。</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在合同订立及履行过程中形成的与合同有关的文件均构成合同文件组成部分。</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pPr>
        <w:spacing w:line="460" w:lineRule="exact"/>
        <w:ind w:firstLine="482" w:firstLineChars="200"/>
        <w:rPr>
          <w:rFonts w:hint="eastAsia" w:ascii="仿宋" w:hAnsi="仿宋" w:eastAsia="仿宋" w:cs="仿宋"/>
          <w:b/>
          <w:bCs/>
          <w:sz w:val="24"/>
        </w:rPr>
      </w:pPr>
      <w:bookmarkStart w:id="107" w:name="_Toc351203487"/>
      <w:bookmarkStart w:id="108" w:name="_Toc17914"/>
      <w:r>
        <w:rPr>
          <w:rFonts w:hint="eastAsia" w:ascii="仿宋" w:hAnsi="仿宋" w:eastAsia="仿宋" w:cs="仿宋"/>
          <w:b/>
          <w:bCs/>
          <w:sz w:val="24"/>
        </w:rPr>
        <w:t>七、承诺</w:t>
      </w:r>
      <w:bookmarkEnd w:id="107"/>
      <w:bookmarkEnd w:id="108"/>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1.发包人承诺按照法律规定履行项目审批手续、筹集工程建设资金并按照合同约定的期限和方式支付合同价款。</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2.承包人承诺按照法律规定及合同约定组织完成工程施工，确保工程质量和安全，不进行转包及违法分包，并在缺陷责任期及保修期内承担相应的工程维修责任。</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3.发包人和承包人通过招投标形式签订合同的，双方理解并承诺不再就同一工程另行签订与合同实质性内容相背离的协议。</w:t>
      </w:r>
    </w:p>
    <w:p>
      <w:pPr>
        <w:spacing w:line="460" w:lineRule="exact"/>
        <w:ind w:firstLine="482" w:firstLineChars="200"/>
        <w:rPr>
          <w:rFonts w:hint="eastAsia" w:ascii="仿宋" w:hAnsi="仿宋" w:eastAsia="仿宋" w:cs="仿宋"/>
          <w:b/>
          <w:bCs/>
          <w:sz w:val="24"/>
        </w:rPr>
      </w:pPr>
      <w:bookmarkStart w:id="109" w:name="_Toc351203488"/>
      <w:r>
        <w:rPr>
          <w:rFonts w:hint="eastAsia" w:ascii="仿宋" w:hAnsi="仿宋" w:eastAsia="仿宋" w:cs="仿宋"/>
          <w:b/>
          <w:bCs/>
          <w:sz w:val="24"/>
        </w:rPr>
        <w:t>八、词语含义</w:t>
      </w:r>
      <w:bookmarkEnd w:id="109"/>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本协议书中词语含义与第二部分通用合同条款中赋予的含义相同。</w:t>
      </w:r>
    </w:p>
    <w:p>
      <w:pPr>
        <w:spacing w:line="460" w:lineRule="exact"/>
        <w:ind w:firstLine="482" w:firstLineChars="200"/>
        <w:rPr>
          <w:rFonts w:hint="eastAsia" w:ascii="仿宋" w:hAnsi="仿宋" w:eastAsia="仿宋" w:cs="仿宋"/>
          <w:b/>
          <w:bCs/>
          <w:sz w:val="24"/>
        </w:rPr>
      </w:pPr>
      <w:bookmarkStart w:id="110" w:name="_Toc3496"/>
      <w:bookmarkStart w:id="111" w:name="_Toc351203489"/>
      <w:r>
        <w:rPr>
          <w:rFonts w:hint="eastAsia" w:ascii="仿宋" w:hAnsi="仿宋" w:eastAsia="仿宋" w:cs="仿宋"/>
          <w:b/>
          <w:bCs/>
          <w:sz w:val="24"/>
        </w:rPr>
        <w:t>九、签订时间</w:t>
      </w:r>
      <w:bookmarkEnd w:id="110"/>
      <w:bookmarkEnd w:id="111"/>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本合同于</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日签订。</w:t>
      </w:r>
    </w:p>
    <w:p>
      <w:pPr>
        <w:spacing w:line="460" w:lineRule="exact"/>
        <w:ind w:firstLine="482" w:firstLineChars="200"/>
        <w:rPr>
          <w:rFonts w:hint="eastAsia" w:ascii="仿宋" w:hAnsi="仿宋" w:eastAsia="仿宋" w:cs="仿宋"/>
          <w:b/>
          <w:bCs/>
          <w:sz w:val="24"/>
        </w:rPr>
      </w:pPr>
      <w:bookmarkStart w:id="112" w:name="_Toc351203490"/>
      <w:bookmarkStart w:id="113" w:name="_Toc16002"/>
      <w:r>
        <w:rPr>
          <w:rFonts w:hint="eastAsia" w:ascii="仿宋" w:hAnsi="仿宋" w:eastAsia="仿宋" w:cs="仿宋"/>
          <w:b/>
          <w:bCs/>
          <w:sz w:val="24"/>
        </w:rPr>
        <w:t>十、签订地点</w:t>
      </w:r>
      <w:bookmarkEnd w:id="112"/>
      <w:bookmarkEnd w:id="113"/>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本合同在</w:t>
      </w:r>
      <w:r>
        <w:rPr>
          <w:rFonts w:hint="eastAsia" w:ascii="仿宋" w:hAnsi="仿宋" w:eastAsia="仿宋" w:cs="仿宋"/>
          <w:bCs/>
          <w:sz w:val="24"/>
          <w:u w:val="single"/>
        </w:rPr>
        <w:t xml:space="preserve">           </w:t>
      </w:r>
      <w:r>
        <w:rPr>
          <w:rFonts w:hint="eastAsia" w:ascii="仿宋" w:hAnsi="仿宋" w:eastAsia="仿宋" w:cs="仿宋"/>
          <w:bCs/>
          <w:sz w:val="24"/>
        </w:rPr>
        <w:t>签订。</w:t>
      </w:r>
    </w:p>
    <w:p>
      <w:pPr>
        <w:spacing w:line="460" w:lineRule="exact"/>
        <w:ind w:firstLine="482" w:firstLineChars="200"/>
        <w:rPr>
          <w:rFonts w:hint="eastAsia" w:ascii="仿宋" w:hAnsi="仿宋" w:eastAsia="仿宋" w:cs="仿宋"/>
          <w:b/>
          <w:bCs/>
          <w:sz w:val="24"/>
        </w:rPr>
      </w:pPr>
      <w:bookmarkStart w:id="114" w:name="_Toc351203491"/>
      <w:bookmarkStart w:id="115" w:name="_Toc8629"/>
      <w:r>
        <w:rPr>
          <w:rFonts w:hint="eastAsia" w:ascii="仿宋" w:hAnsi="仿宋" w:eastAsia="仿宋" w:cs="仿宋"/>
          <w:b/>
          <w:bCs/>
          <w:sz w:val="24"/>
        </w:rPr>
        <w:t>十一、补充协议</w:t>
      </w:r>
      <w:bookmarkEnd w:id="114"/>
      <w:bookmarkEnd w:id="115"/>
    </w:p>
    <w:p>
      <w:pPr>
        <w:spacing w:line="460" w:lineRule="exact"/>
        <w:ind w:firstLine="480" w:firstLineChars="200"/>
        <w:rPr>
          <w:rFonts w:hint="eastAsia" w:ascii="仿宋" w:hAnsi="仿宋" w:eastAsia="仿宋" w:cs="仿宋"/>
          <w:b/>
          <w:bCs/>
          <w:sz w:val="24"/>
        </w:rPr>
      </w:pPr>
      <w:r>
        <w:rPr>
          <w:rFonts w:hint="eastAsia" w:ascii="仿宋" w:hAnsi="仿宋" w:eastAsia="仿宋" w:cs="仿宋"/>
          <w:bCs/>
          <w:sz w:val="24"/>
        </w:rPr>
        <w:t>合同未尽事宜，合同当事人另行签订补充协议，补充协议是合同的组成部分。</w:t>
      </w:r>
    </w:p>
    <w:p>
      <w:pPr>
        <w:spacing w:line="460" w:lineRule="exact"/>
        <w:ind w:firstLine="482" w:firstLineChars="200"/>
        <w:rPr>
          <w:rFonts w:hint="eastAsia" w:ascii="仿宋" w:hAnsi="仿宋" w:eastAsia="仿宋" w:cs="仿宋"/>
          <w:b/>
          <w:bCs/>
          <w:sz w:val="24"/>
        </w:rPr>
      </w:pPr>
      <w:bookmarkStart w:id="116" w:name="_Toc11909"/>
      <w:bookmarkStart w:id="117" w:name="_Toc351203492"/>
      <w:r>
        <w:rPr>
          <w:rFonts w:hint="eastAsia" w:ascii="仿宋" w:hAnsi="仿宋" w:eastAsia="仿宋" w:cs="仿宋"/>
          <w:b/>
          <w:bCs/>
          <w:sz w:val="24"/>
        </w:rPr>
        <w:t>十二、合同生效</w:t>
      </w:r>
      <w:bookmarkEnd w:id="116"/>
      <w:bookmarkEnd w:id="117"/>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本合同自</w:t>
      </w:r>
      <w:r>
        <w:rPr>
          <w:rFonts w:hint="eastAsia" w:ascii="仿宋" w:hAnsi="仿宋" w:eastAsia="仿宋" w:cs="仿宋"/>
          <w:bCs/>
          <w:sz w:val="24"/>
          <w:u w:val="single"/>
        </w:rPr>
        <w:t xml:space="preserve">             </w:t>
      </w:r>
      <w:r>
        <w:rPr>
          <w:rFonts w:hint="eastAsia" w:ascii="仿宋" w:hAnsi="仿宋" w:eastAsia="仿宋" w:cs="仿宋"/>
          <w:bCs/>
          <w:sz w:val="24"/>
        </w:rPr>
        <w:t>生效。</w:t>
      </w:r>
    </w:p>
    <w:p>
      <w:pPr>
        <w:spacing w:line="460" w:lineRule="exact"/>
        <w:ind w:firstLine="482" w:firstLineChars="200"/>
        <w:rPr>
          <w:rFonts w:hint="eastAsia" w:ascii="仿宋" w:hAnsi="仿宋" w:eastAsia="仿宋" w:cs="仿宋"/>
          <w:b/>
          <w:bCs/>
          <w:sz w:val="24"/>
        </w:rPr>
      </w:pPr>
      <w:bookmarkStart w:id="118" w:name="_Toc24009"/>
      <w:bookmarkStart w:id="119" w:name="_Toc351203493"/>
      <w:r>
        <w:rPr>
          <w:rFonts w:hint="eastAsia" w:ascii="仿宋" w:hAnsi="仿宋" w:eastAsia="仿宋" w:cs="仿宋"/>
          <w:b/>
          <w:bCs/>
          <w:sz w:val="24"/>
        </w:rPr>
        <w:t>十三、合同份数</w:t>
      </w:r>
      <w:bookmarkEnd w:id="118"/>
      <w:bookmarkEnd w:id="119"/>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本合同一式份，均具有同等法律效力，发包人执份，承包人执份。</w:t>
      </w:r>
    </w:p>
    <w:p>
      <w:pPr>
        <w:spacing w:line="460" w:lineRule="exact"/>
        <w:rPr>
          <w:rFonts w:hint="eastAsia" w:ascii="仿宋" w:hAnsi="仿宋" w:eastAsia="仿宋" w:cs="仿宋"/>
          <w:bCs/>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r>
        <w:rPr>
          <w:rFonts w:hint="eastAsia" w:ascii="仿宋" w:hAnsi="仿宋" w:eastAsia="仿宋" w:cs="仿宋"/>
          <w:sz w:val="24"/>
        </w:rPr>
        <w:t>发包人：  (公章)                        承包人：  (公章)</w:t>
      </w:r>
    </w:p>
    <w:p>
      <w:pPr>
        <w:spacing w:line="460" w:lineRule="exact"/>
        <w:rPr>
          <w:rFonts w:hint="eastAsia" w:ascii="仿宋" w:hAnsi="仿宋" w:eastAsia="仿宋" w:cs="仿宋"/>
          <w:sz w:val="24"/>
          <w:u w:val="single"/>
        </w:rPr>
      </w:pPr>
    </w:p>
    <w:p>
      <w:pPr>
        <w:spacing w:line="460" w:lineRule="exact"/>
        <w:rPr>
          <w:rFonts w:hint="eastAsia" w:ascii="仿宋" w:hAnsi="仿宋" w:eastAsia="仿宋" w:cs="仿宋"/>
          <w:sz w:val="24"/>
        </w:rPr>
      </w:pPr>
      <w:r>
        <w:rPr>
          <w:rFonts w:hint="eastAsia" w:ascii="仿宋" w:hAnsi="仿宋" w:eastAsia="仿宋" w:cs="仿宋"/>
          <w:sz w:val="24"/>
        </w:rPr>
        <w:t>法定代表人或其委托代理人：             法定代表人或其委托代理人：</w:t>
      </w:r>
    </w:p>
    <w:p>
      <w:pPr>
        <w:spacing w:line="460" w:lineRule="exact"/>
        <w:rPr>
          <w:rFonts w:hint="eastAsia" w:ascii="仿宋" w:hAnsi="仿宋" w:eastAsia="仿宋" w:cs="仿宋"/>
          <w:sz w:val="24"/>
          <w:u w:val="single"/>
        </w:rPr>
      </w:pPr>
      <w:r>
        <w:rPr>
          <w:rFonts w:hint="eastAsia" w:ascii="仿宋" w:hAnsi="仿宋" w:eastAsia="仿宋" w:cs="仿宋"/>
          <w:sz w:val="24"/>
        </w:rPr>
        <w:t>（签字）                               （签字）</w:t>
      </w:r>
    </w:p>
    <w:p>
      <w:pPr>
        <w:tabs>
          <w:tab w:val="left" w:pos="4410"/>
        </w:tabs>
        <w:spacing w:line="460" w:lineRule="exact"/>
        <w:rPr>
          <w:rFonts w:hint="eastAsia" w:ascii="仿宋" w:hAnsi="仿宋" w:eastAsia="仿宋" w:cs="仿宋"/>
          <w:sz w:val="24"/>
        </w:rPr>
      </w:pPr>
      <w:r>
        <w:rPr>
          <w:rFonts w:hint="eastAsia" w:ascii="仿宋" w:hAnsi="仿宋" w:eastAsia="仿宋" w:cs="仿宋"/>
          <w:sz w:val="24"/>
        </w:rPr>
        <w:t>组织机构代码：</w:t>
      </w:r>
      <w:r>
        <w:rPr>
          <w:rFonts w:hint="eastAsia" w:ascii="仿宋" w:hAnsi="仿宋" w:eastAsia="仿宋" w:cs="仿宋"/>
          <w:sz w:val="24"/>
          <w:u w:val="single"/>
        </w:rPr>
        <w:t xml:space="preserve">       </w:t>
      </w:r>
      <w:r>
        <w:rPr>
          <w:rFonts w:hint="eastAsia" w:ascii="仿宋" w:hAnsi="仿宋" w:eastAsia="仿宋" w:cs="仿宋"/>
          <w:sz w:val="24"/>
        </w:rPr>
        <w:t xml:space="preserve">            组织机构代码：</w:t>
      </w:r>
      <w:r>
        <w:rPr>
          <w:rFonts w:hint="eastAsia" w:ascii="仿宋" w:hAnsi="仿宋" w:eastAsia="仿宋" w:cs="仿宋"/>
          <w:sz w:val="24"/>
          <w:u w:val="single"/>
        </w:rPr>
        <w:t xml:space="preserve">          </w:t>
      </w:r>
    </w:p>
    <w:p>
      <w:pPr>
        <w:spacing w:line="46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    </w:t>
      </w:r>
      <w:r>
        <w:rPr>
          <w:rFonts w:hint="eastAsia" w:ascii="仿宋" w:hAnsi="仿宋" w:eastAsia="仿宋" w:cs="仿宋"/>
          <w:sz w:val="24"/>
        </w:rPr>
        <w:t xml:space="preserve">            地  址：</w:t>
      </w:r>
      <w:r>
        <w:rPr>
          <w:rFonts w:hint="eastAsia" w:ascii="仿宋" w:hAnsi="仿宋" w:eastAsia="仿宋" w:cs="仿宋"/>
          <w:sz w:val="24"/>
          <w:u w:val="single"/>
        </w:rPr>
        <w:t xml:space="preserve">        </w:t>
      </w:r>
    </w:p>
    <w:p>
      <w:pPr>
        <w:spacing w:line="460" w:lineRule="exact"/>
        <w:rPr>
          <w:rFonts w:hint="eastAsia"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    </w:t>
      </w:r>
      <w:r>
        <w:rPr>
          <w:rFonts w:hint="eastAsia" w:ascii="仿宋" w:hAnsi="仿宋" w:eastAsia="仿宋" w:cs="仿宋"/>
          <w:sz w:val="24"/>
        </w:rPr>
        <w:t xml:space="preserve">            邮政编码：</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      </w:t>
      </w:r>
      <w:r>
        <w:rPr>
          <w:rFonts w:hint="eastAsia" w:ascii="仿宋" w:hAnsi="仿宋" w:eastAsia="仿宋" w:cs="仿宋"/>
          <w:sz w:val="24"/>
        </w:rPr>
        <w:t xml:space="preserve">            法定代表人：</w:t>
      </w:r>
      <w:r>
        <w:rPr>
          <w:rFonts w:hint="eastAsia" w:ascii="仿宋" w:hAnsi="仿宋" w:eastAsia="仿宋" w:cs="仿宋"/>
          <w:sz w:val="24"/>
          <w:u w:val="single"/>
        </w:rPr>
        <w:t xml:space="preserve">             </w:t>
      </w:r>
    </w:p>
    <w:p>
      <w:pPr>
        <w:spacing w:line="460" w:lineRule="exact"/>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 xml:space="preserve">            委托代理人：</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传  真：</w:t>
      </w:r>
      <w:r>
        <w:rPr>
          <w:rFonts w:hint="eastAsia" w:ascii="仿宋" w:hAnsi="仿宋" w:eastAsia="仿宋" w:cs="仿宋"/>
          <w:sz w:val="24"/>
          <w:u w:val="single"/>
        </w:rPr>
        <w:t xml:space="preserve">     </w:t>
      </w:r>
    </w:p>
    <w:p>
      <w:pPr>
        <w:spacing w:line="460" w:lineRule="exact"/>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 xml:space="preserve">            电子信箱：</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开户银行：</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账  号：</w:t>
      </w:r>
      <w:r>
        <w:rPr>
          <w:rFonts w:hint="eastAsia" w:ascii="仿宋" w:hAnsi="仿宋" w:eastAsia="仿宋" w:cs="仿宋"/>
          <w:sz w:val="24"/>
          <w:u w:val="single"/>
        </w:rPr>
        <w:t xml:space="preserve">       </w:t>
      </w:r>
      <w:r>
        <w:rPr>
          <w:rFonts w:hint="eastAsia" w:ascii="仿宋" w:hAnsi="仿宋" w:eastAsia="仿宋" w:cs="仿宋"/>
          <w:sz w:val="24"/>
        </w:rPr>
        <w:t xml:space="preserve">            账  号：</w:t>
      </w:r>
      <w:r>
        <w:rPr>
          <w:rFonts w:hint="eastAsia" w:ascii="仿宋" w:hAnsi="仿宋" w:eastAsia="仿宋" w:cs="仿宋"/>
          <w:sz w:val="24"/>
          <w:u w:val="single"/>
        </w:rPr>
        <w:t xml:space="preserve">     </w:t>
      </w:r>
    </w:p>
    <w:p>
      <w:pPr>
        <w:pStyle w:val="4"/>
        <w:jc w:val="center"/>
        <w:rPr>
          <w:rFonts w:hint="eastAsia" w:ascii="仿宋" w:hAnsi="仿宋" w:eastAsia="仿宋" w:cs="仿宋"/>
          <w:kern w:val="0"/>
          <w:sz w:val="24"/>
          <w:szCs w:val="24"/>
        </w:rPr>
      </w:pPr>
      <w:r>
        <w:rPr>
          <w:rFonts w:hint="eastAsia" w:ascii="仿宋" w:hAnsi="仿宋" w:eastAsia="仿宋" w:cs="仿宋"/>
          <w:kern w:val="0"/>
          <w:sz w:val="24"/>
          <w:szCs w:val="24"/>
        </w:rPr>
        <w:br w:type="page"/>
      </w:r>
      <w:bookmarkStart w:id="120" w:name="_Toc351203494"/>
      <w:bookmarkStart w:id="121" w:name="_Toc18977"/>
      <w:bookmarkStart w:id="122" w:name="_Toc36021958"/>
      <w:bookmarkStart w:id="123" w:name="_Toc26415"/>
      <w:bookmarkStart w:id="124" w:name="_Toc390272729"/>
      <w:bookmarkStart w:id="125" w:name="_Toc27457"/>
      <w:bookmarkStart w:id="126" w:name="_Toc23810"/>
      <w:r>
        <w:rPr>
          <w:rFonts w:hint="eastAsia" w:ascii="仿宋" w:hAnsi="仿宋" w:eastAsia="仿宋" w:cs="仿宋"/>
          <w:sz w:val="24"/>
          <w:szCs w:val="24"/>
        </w:rPr>
        <w:t>第二部分 通用合同条款</w:t>
      </w:r>
      <w:bookmarkEnd w:id="120"/>
      <w:bookmarkEnd w:id="121"/>
      <w:bookmarkEnd w:id="122"/>
      <w:bookmarkEnd w:id="123"/>
      <w:bookmarkEnd w:id="124"/>
      <w:bookmarkEnd w:id="125"/>
      <w:bookmarkEnd w:id="126"/>
      <w:bookmarkStart w:id="127" w:name="_Toc337558727"/>
    </w:p>
    <w:bookmarkEnd w:id="127"/>
    <w:p>
      <w:pPr>
        <w:rPr>
          <w:rFonts w:hint="eastAsia" w:ascii="仿宋" w:hAnsi="仿宋" w:eastAsia="仿宋" w:cs="仿宋"/>
          <w:b/>
          <w:bCs/>
          <w:sz w:val="24"/>
        </w:rPr>
      </w:pPr>
      <w:bookmarkStart w:id="128" w:name="_Toc428370623"/>
      <w:bookmarkStart w:id="129" w:name="_Toc379995333"/>
      <w:bookmarkStart w:id="130" w:name="_Toc351203632"/>
      <w:bookmarkStart w:id="131" w:name="_Toc390272730"/>
      <w:r>
        <w:rPr>
          <w:rFonts w:hint="eastAsia" w:ascii="仿宋" w:hAnsi="仿宋" w:eastAsia="仿宋" w:cs="仿宋"/>
          <w:b/>
          <w:bCs/>
          <w:sz w:val="24"/>
        </w:rPr>
        <w:t>详见“《建设工程施工合同（示范文本）》（GF-2017-0201）”通用合同条款</w:t>
      </w:r>
    </w:p>
    <w:p>
      <w:pPr>
        <w:pStyle w:val="4"/>
        <w:jc w:val="center"/>
        <w:rPr>
          <w:rFonts w:hint="eastAsia" w:ascii="仿宋" w:hAnsi="仿宋" w:eastAsia="仿宋" w:cs="仿宋"/>
          <w:sz w:val="24"/>
          <w:szCs w:val="24"/>
        </w:rPr>
      </w:pPr>
      <w:r>
        <w:rPr>
          <w:rFonts w:hint="eastAsia" w:ascii="仿宋" w:hAnsi="仿宋" w:eastAsia="仿宋" w:cs="仿宋"/>
          <w:kern w:val="0"/>
          <w:sz w:val="24"/>
          <w:szCs w:val="24"/>
        </w:rPr>
        <w:br w:type="page"/>
      </w:r>
      <w:bookmarkEnd w:id="128"/>
      <w:bookmarkEnd w:id="129"/>
      <w:bookmarkEnd w:id="130"/>
      <w:bookmarkEnd w:id="131"/>
      <w:bookmarkStart w:id="132" w:name="_Toc14108"/>
      <w:bookmarkStart w:id="133" w:name="_Toc26127"/>
      <w:bookmarkStart w:id="134" w:name="_Toc23555"/>
      <w:bookmarkStart w:id="135" w:name="_Toc24554"/>
      <w:bookmarkStart w:id="136" w:name="_Toc30552"/>
      <w:bookmarkStart w:id="137" w:name="_Toc36021959"/>
      <w:r>
        <w:rPr>
          <w:rFonts w:hint="eastAsia" w:ascii="仿宋" w:hAnsi="仿宋" w:eastAsia="仿宋" w:cs="仿宋"/>
          <w:sz w:val="24"/>
          <w:szCs w:val="24"/>
        </w:rPr>
        <w:t>第三部分 专用合同条款</w:t>
      </w:r>
      <w:bookmarkEnd w:id="132"/>
      <w:bookmarkEnd w:id="133"/>
      <w:bookmarkEnd w:id="134"/>
      <w:bookmarkEnd w:id="135"/>
      <w:bookmarkEnd w:id="136"/>
      <w:bookmarkEnd w:id="137"/>
    </w:p>
    <w:p>
      <w:pPr>
        <w:pStyle w:val="5"/>
        <w:spacing w:before="0" w:after="0" w:line="460" w:lineRule="exact"/>
        <w:ind w:firstLine="482" w:firstLineChars="200"/>
        <w:rPr>
          <w:rFonts w:hint="eastAsia" w:ascii="仿宋" w:hAnsi="仿宋" w:eastAsia="仿宋" w:cs="仿宋"/>
          <w:sz w:val="24"/>
          <w:szCs w:val="24"/>
        </w:rPr>
      </w:pPr>
      <w:bookmarkStart w:id="138" w:name="_Toc16854"/>
      <w:bookmarkStart w:id="139" w:name="_Toc6880"/>
      <w:bookmarkStart w:id="140" w:name="_Toc15137"/>
      <w:bookmarkStart w:id="141" w:name="_Toc36021960"/>
      <w:bookmarkStart w:id="142" w:name="_Toc13060"/>
      <w:r>
        <w:rPr>
          <w:rFonts w:hint="eastAsia" w:ascii="仿宋" w:hAnsi="仿宋" w:eastAsia="仿宋" w:cs="仿宋"/>
          <w:sz w:val="24"/>
          <w:szCs w:val="24"/>
        </w:rPr>
        <w:t>1</w:t>
      </w:r>
      <w:bookmarkStart w:id="143" w:name="_Toc296944495"/>
      <w:bookmarkStart w:id="144" w:name="_Toc292559866"/>
      <w:bookmarkStart w:id="145" w:name="_Toc296347155"/>
      <w:bookmarkStart w:id="146" w:name="_Toc296891196"/>
      <w:bookmarkStart w:id="147" w:name="_Toc292559361"/>
      <w:bookmarkStart w:id="148" w:name="_Toc296890984"/>
      <w:bookmarkStart w:id="149" w:name="_Toc296346657"/>
      <w:bookmarkStart w:id="150" w:name="_Toc297120456"/>
      <w:bookmarkStart w:id="151" w:name="_Toc296503156"/>
      <w:bookmarkStart w:id="152" w:name="_Toc297048342"/>
      <w:r>
        <w:rPr>
          <w:rFonts w:hint="eastAsia" w:ascii="仿宋" w:hAnsi="仿宋" w:eastAsia="仿宋" w:cs="仿宋"/>
          <w:sz w:val="24"/>
          <w:szCs w:val="24"/>
        </w:rPr>
        <w:t>. 一般约定</w:t>
      </w:r>
      <w:bookmarkEnd w:id="138"/>
      <w:bookmarkEnd w:id="139"/>
      <w:bookmarkEnd w:id="140"/>
      <w:bookmarkEnd w:id="141"/>
      <w:bookmarkEnd w:id="142"/>
    </w:p>
    <w:bookmarkEnd w:id="143"/>
    <w:bookmarkEnd w:id="144"/>
    <w:bookmarkEnd w:id="145"/>
    <w:bookmarkEnd w:id="146"/>
    <w:bookmarkEnd w:id="147"/>
    <w:bookmarkEnd w:id="148"/>
    <w:bookmarkEnd w:id="149"/>
    <w:bookmarkEnd w:id="150"/>
    <w:bookmarkEnd w:id="151"/>
    <w:bookmarkEnd w:id="152"/>
    <w:p>
      <w:pPr>
        <w:spacing w:line="460" w:lineRule="exact"/>
        <w:ind w:firstLine="480" w:firstLineChars="200"/>
        <w:rPr>
          <w:rFonts w:hint="eastAsia" w:ascii="仿宋" w:hAnsi="仿宋" w:eastAsia="仿宋" w:cs="仿宋"/>
          <w:sz w:val="24"/>
        </w:rPr>
      </w:pPr>
      <w:bookmarkStart w:id="153" w:name="_Toc16728"/>
      <w:r>
        <w:rPr>
          <w:rFonts w:hint="eastAsia" w:ascii="仿宋" w:hAnsi="仿宋" w:eastAsia="仿宋" w:cs="仿宋"/>
          <w:sz w:val="24"/>
        </w:rPr>
        <w:t>1.1 词语定义</w:t>
      </w:r>
      <w:bookmarkEnd w:id="153"/>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1.1.1合同</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1.1.1.10其他合同文件包括：</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1.1.2 合同当事人及其他相关方</w:t>
      </w:r>
    </w:p>
    <w:p>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1.1.2.4监理人：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1.1.2.5 设计人：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1.1.3 工程和设备</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1.1.3.7 作为施工现场组成部分的其他场所包括：</w:t>
      </w:r>
      <w:r>
        <w:rPr>
          <w:rFonts w:hint="eastAsia" w:ascii="仿宋" w:hAnsi="仿宋" w:eastAsia="仿宋" w:cs="仿宋"/>
          <w:sz w:val="24"/>
          <w:u w:val="single"/>
        </w:rPr>
        <w:t xml:space="preserve">          。</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1.1.3.9 永久占地包括：</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1.1.3.10 临时占地包括：</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1.3法律 </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适用于合同的其他规范性文件：</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1.4 标准和规范</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1.4.1适用于工程的标准规范包括：</w:t>
      </w:r>
      <w:bookmarkStart w:id="154" w:name="_Toc25854"/>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rPr>
        <w:t>1.4.2 发包人提供国外标准、规范的名称：</w:t>
      </w:r>
      <w:bookmarkEnd w:id="154"/>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发包人提供国外标准、规范的份数：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发包人提供国外标准、规范的名称：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1.4.3发包人对工程的技术标准和功能要求的特殊要求：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155" w:name="_Toc17274"/>
      <w:r>
        <w:rPr>
          <w:rFonts w:hint="eastAsia" w:ascii="仿宋" w:hAnsi="仿宋" w:eastAsia="仿宋" w:cs="仿宋"/>
          <w:sz w:val="24"/>
        </w:rPr>
        <w:t>1.5 合同文件的优先顺序</w:t>
      </w:r>
      <w:bookmarkEnd w:id="155"/>
    </w:p>
    <w:p>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合同文件组成及优先顺序为：</w:t>
      </w:r>
      <w:bookmarkStart w:id="156" w:name="_Toc31723"/>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1.6 图纸和承包人文件</w:t>
      </w:r>
      <w:bookmarkEnd w:id="156"/>
      <w:r>
        <w:rPr>
          <w:rFonts w:hint="eastAsia" w:ascii="仿宋" w:hAnsi="仿宋" w:eastAsia="仿宋" w:cs="仿宋"/>
          <w:sz w:val="24"/>
        </w:rPr>
        <w:tab/>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1.6.1 图纸的提供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发包人向承包人提供图纸的期限：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发包人向承包人提供图纸的数量：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发包人向承包人提供图纸的内容：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1.6.4 承包人文件</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需要由承包人提供的文件，包括：</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承包人提供的文件的期限为：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承包人提供的文件的数量为：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承包人提供的文件的形式为：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发包人审批承包人文件的期限：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1.6.5 现场图纸准备</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关于现场图纸准备的约定：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157" w:name="_Toc1625"/>
      <w:r>
        <w:rPr>
          <w:rFonts w:hint="eastAsia" w:ascii="仿宋" w:hAnsi="仿宋" w:eastAsia="仿宋" w:cs="仿宋"/>
          <w:sz w:val="24"/>
        </w:rPr>
        <w:t>1.7 联络</w:t>
      </w:r>
      <w:bookmarkEnd w:id="157"/>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1.7.1发包人和承包人应当在天内将与合同有关的通知、批准、证明、证书、指示、指令、要求、请求、同意、意见、确定和决定等书面函件送达对方当事人。</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1.7.2 发包人接收文件的地点：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发包人指定的接收人为：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承包人接收文件的地点：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承包人指定的接收人为：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监理人接收文件的地点：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监理人指定的接收人为：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158" w:name="_Toc32124"/>
      <w:r>
        <w:rPr>
          <w:rFonts w:hint="eastAsia" w:ascii="仿宋" w:hAnsi="仿宋" w:eastAsia="仿宋" w:cs="仿宋"/>
          <w:sz w:val="24"/>
        </w:rPr>
        <w:t>1.10 交通运输</w:t>
      </w:r>
      <w:bookmarkEnd w:id="158"/>
    </w:p>
    <w:p>
      <w:pPr>
        <w:spacing w:line="460" w:lineRule="exact"/>
        <w:ind w:firstLine="480" w:firstLineChars="200"/>
        <w:rPr>
          <w:rFonts w:hint="eastAsia" w:ascii="仿宋" w:hAnsi="仿宋" w:eastAsia="仿宋" w:cs="仿宋"/>
          <w:sz w:val="24"/>
        </w:rPr>
      </w:pPr>
      <w:bookmarkStart w:id="159" w:name="_Toc32698"/>
      <w:r>
        <w:rPr>
          <w:rFonts w:hint="eastAsia" w:ascii="仿宋" w:hAnsi="仿宋" w:eastAsia="仿宋" w:cs="仿宋"/>
          <w:sz w:val="24"/>
        </w:rPr>
        <w:t>1</w:t>
      </w:r>
      <w:bookmarkStart w:id="160" w:name="_Toc312677986"/>
      <w:bookmarkStart w:id="161" w:name="_Toc303539100"/>
      <w:bookmarkStart w:id="162" w:name="_Toc304295521"/>
      <w:bookmarkStart w:id="163" w:name="_Toc300934943"/>
      <w:bookmarkStart w:id="164" w:name="_Toc318581155"/>
      <w:r>
        <w:rPr>
          <w:rFonts w:hint="eastAsia" w:ascii="仿宋" w:hAnsi="仿宋" w:eastAsia="仿宋" w:cs="仿宋"/>
          <w:sz w:val="24"/>
        </w:rPr>
        <w:t>.10.1 出入现场的权利</w:t>
      </w:r>
      <w:bookmarkEnd w:id="159"/>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关于出入现场的权利的约定：</w:t>
      </w:r>
      <w:bookmarkEnd w:id="160"/>
      <w:bookmarkEnd w:id="161"/>
      <w:bookmarkEnd w:id="162"/>
      <w:bookmarkEnd w:id="163"/>
      <w:bookmarkEnd w:id="164"/>
      <w:bookmarkStart w:id="165" w:name="_Toc318"/>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Start w:id="166" w:name="_Toc318581156"/>
      <w:bookmarkStart w:id="167" w:name="_Toc304295522"/>
      <w:bookmarkStart w:id="168" w:name="_Toc312677987"/>
      <w:bookmarkStart w:id="169" w:name="_Toc300934944"/>
      <w:bookmarkStart w:id="170" w:name="_Toc303539101"/>
      <w:r>
        <w:rPr>
          <w:rFonts w:hint="eastAsia" w:ascii="仿宋" w:hAnsi="仿宋" w:eastAsia="仿宋" w:cs="仿宋"/>
          <w:sz w:val="24"/>
        </w:rPr>
        <w:t>.10.3 场内交通</w:t>
      </w:r>
      <w:bookmarkEnd w:id="165"/>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关于场外交通和场内交通的边界的约定：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关于发包人向承包人免费提供满足工程施工需要的场内道路和交通设施的约定：</w:t>
      </w:r>
      <w:bookmarkEnd w:id="166"/>
      <w:bookmarkEnd w:id="167"/>
      <w:bookmarkEnd w:id="168"/>
      <w:bookmarkEnd w:id="169"/>
      <w:bookmarkEnd w:id="170"/>
      <w:bookmarkStart w:id="171" w:name="_Toc318581157"/>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1.10.4超大件和超重件的运输</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运输超大件或超重件所需的道路和桥梁临时加固改造费用和其他有关费用由</w:t>
      </w:r>
      <w:r>
        <w:rPr>
          <w:rFonts w:hint="eastAsia" w:ascii="仿宋" w:hAnsi="仿宋" w:eastAsia="仿宋" w:cs="仿宋"/>
          <w:sz w:val="24"/>
          <w:u w:val="single"/>
        </w:rPr>
        <w:t xml:space="preserve">      </w:t>
      </w:r>
      <w:r>
        <w:rPr>
          <w:rFonts w:hint="eastAsia" w:ascii="仿宋" w:hAnsi="仿宋" w:eastAsia="仿宋" w:cs="仿宋"/>
          <w:sz w:val="24"/>
        </w:rPr>
        <w:t>承担。</w:t>
      </w:r>
    </w:p>
    <w:bookmarkEnd w:id="171"/>
    <w:p>
      <w:pPr>
        <w:spacing w:line="460" w:lineRule="exact"/>
        <w:ind w:firstLine="480" w:firstLineChars="200"/>
        <w:rPr>
          <w:rFonts w:hint="eastAsia" w:ascii="仿宋" w:hAnsi="仿宋" w:eastAsia="仿宋" w:cs="仿宋"/>
          <w:sz w:val="24"/>
        </w:rPr>
      </w:pPr>
      <w:bookmarkStart w:id="172" w:name="_Toc26216"/>
      <w:r>
        <w:rPr>
          <w:rFonts w:hint="eastAsia" w:ascii="仿宋" w:hAnsi="仿宋" w:eastAsia="仿宋" w:cs="仿宋"/>
          <w:sz w:val="24"/>
        </w:rPr>
        <w:t>1.11 知识产权</w:t>
      </w:r>
      <w:bookmarkEnd w:id="172"/>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关于发包人提供的上述文件的使用限制的要求：</w:t>
      </w:r>
      <w:bookmarkStart w:id="173" w:name="_Toc12920"/>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1.11.2 关于承包人为实施工程所编制文件的著作权的归属：</w:t>
      </w:r>
      <w:bookmarkEnd w:id="173"/>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关于承包人提供的上述文件的使用限制的要求：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bookmarkStart w:id="174" w:name="_Toc29074"/>
      <w:r>
        <w:rPr>
          <w:rFonts w:hint="eastAsia" w:ascii="仿宋" w:hAnsi="仿宋" w:eastAsia="仿宋" w:cs="仿宋"/>
          <w:sz w:val="24"/>
        </w:rPr>
        <w:t>1.11.4 承包人在施工过程中所采用的专利、专有技术、技术秘密的使用费的承担方式：</w:t>
      </w:r>
      <w:bookmarkEnd w:id="174"/>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1.13工程量清单错误的修正</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出现工程量清单错误时，是否调整合同价格：是</w:t>
      </w:r>
      <w:r>
        <w:rPr>
          <w:rFonts w:hint="eastAsia" w:ascii="仿宋" w:hAnsi="仿宋" w:eastAsia="仿宋" w:cs="仿宋"/>
          <w:kern w:val="0"/>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允许调整合同价格的工程量偏差范围：5%</w:t>
      </w:r>
      <w:r>
        <w:rPr>
          <w:rFonts w:hint="eastAsia" w:ascii="仿宋" w:hAnsi="仿宋" w:eastAsia="仿宋" w:cs="仿宋"/>
          <w:kern w:val="0"/>
          <w:sz w:val="24"/>
        </w:rPr>
        <w:t>。</w:t>
      </w:r>
    </w:p>
    <w:p>
      <w:pPr>
        <w:pStyle w:val="5"/>
        <w:spacing w:before="0" w:after="0" w:line="460" w:lineRule="exact"/>
        <w:ind w:firstLine="482" w:firstLineChars="200"/>
        <w:rPr>
          <w:rFonts w:hint="eastAsia" w:ascii="仿宋" w:hAnsi="仿宋" w:eastAsia="仿宋" w:cs="仿宋"/>
          <w:sz w:val="24"/>
          <w:szCs w:val="24"/>
        </w:rPr>
      </w:pPr>
      <w:bookmarkStart w:id="175" w:name="_Toc29250"/>
      <w:bookmarkStart w:id="176" w:name="_Toc28212"/>
      <w:bookmarkStart w:id="177" w:name="_Toc15411"/>
      <w:bookmarkStart w:id="178" w:name="_Toc36021961"/>
      <w:bookmarkStart w:id="179" w:name="_Toc18582"/>
      <w:r>
        <w:rPr>
          <w:rFonts w:hint="eastAsia" w:ascii="仿宋" w:hAnsi="仿宋" w:eastAsia="仿宋" w:cs="仿宋"/>
          <w:sz w:val="24"/>
          <w:szCs w:val="24"/>
        </w:rPr>
        <w:t>2</w:t>
      </w:r>
      <w:bookmarkStart w:id="180" w:name="_Toc296944496"/>
      <w:bookmarkStart w:id="181" w:name="_Toc297048343"/>
      <w:bookmarkStart w:id="182" w:name="_Toc296891197"/>
      <w:bookmarkStart w:id="183" w:name="_Toc296346658"/>
      <w:bookmarkStart w:id="184" w:name="_Toc297120457"/>
      <w:bookmarkStart w:id="185" w:name="_Toc292559867"/>
      <w:bookmarkStart w:id="186" w:name="_Toc296503157"/>
      <w:bookmarkStart w:id="187" w:name="_Toc292559362"/>
      <w:bookmarkStart w:id="188" w:name="_Toc296347156"/>
      <w:bookmarkStart w:id="189" w:name="_Toc296890985"/>
      <w:r>
        <w:rPr>
          <w:rFonts w:hint="eastAsia" w:ascii="仿宋" w:hAnsi="仿宋" w:eastAsia="仿宋" w:cs="仿宋"/>
          <w:sz w:val="24"/>
          <w:szCs w:val="24"/>
        </w:rPr>
        <w:t>. 发包人</w:t>
      </w:r>
      <w:bookmarkEnd w:id="175"/>
      <w:bookmarkEnd w:id="176"/>
      <w:bookmarkEnd w:id="177"/>
      <w:bookmarkEnd w:id="178"/>
      <w:bookmarkEnd w:id="179"/>
    </w:p>
    <w:bookmarkEnd w:id="180"/>
    <w:bookmarkEnd w:id="181"/>
    <w:bookmarkEnd w:id="182"/>
    <w:bookmarkEnd w:id="183"/>
    <w:bookmarkEnd w:id="184"/>
    <w:bookmarkEnd w:id="185"/>
    <w:bookmarkEnd w:id="186"/>
    <w:bookmarkEnd w:id="187"/>
    <w:bookmarkEnd w:id="188"/>
    <w:bookmarkEnd w:id="189"/>
    <w:p>
      <w:pPr>
        <w:spacing w:line="460" w:lineRule="exact"/>
        <w:ind w:firstLine="480" w:firstLineChars="200"/>
        <w:rPr>
          <w:rFonts w:hint="eastAsia" w:ascii="仿宋" w:hAnsi="仿宋" w:eastAsia="仿宋" w:cs="仿宋"/>
          <w:sz w:val="24"/>
        </w:rPr>
      </w:pPr>
      <w:bookmarkStart w:id="190" w:name="_Toc19459"/>
      <w:r>
        <w:rPr>
          <w:rFonts w:hint="eastAsia" w:ascii="仿宋" w:hAnsi="仿宋" w:eastAsia="仿宋" w:cs="仿宋"/>
          <w:sz w:val="24"/>
        </w:rPr>
        <w:t>2.2 发包人代表</w:t>
      </w:r>
      <w:bookmarkEnd w:id="190"/>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发包人代表：</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b/>
          <w:sz w:val="24"/>
        </w:rPr>
      </w:pPr>
      <w:r>
        <w:rPr>
          <w:rFonts w:hint="eastAsia" w:ascii="仿宋" w:hAnsi="仿宋" w:eastAsia="仿宋" w:cs="仿宋"/>
          <w:sz w:val="24"/>
        </w:rPr>
        <w:t>发包人对发包人代表的授权范围如下：</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191" w:name="_Toc6146"/>
      <w:r>
        <w:rPr>
          <w:rFonts w:hint="eastAsia" w:ascii="仿宋" w:hAnsi="仿宋" w:eastAsia="仿宋" w:cs="仿宋"/>
          <w:sz w:val="24"/>
        </w:rPr>
        <w:t>2.4 施工现场、施工条件和基础资料的提供</w:t>
      </w:r>
      <w:bookmarkEnd w:id="191"/>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2.4.1 提供施工现场</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关于发包人移交施工现场的期限要求：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2.4.2 提供施工条件</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关于发包人应负责提供施工所需要的条件，包括：</w:t>
      </w:r>
      <w:bookmarkStart w:id="192" w:name="_Toc8735"/>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2.5 资金来源证明及支付担保</w:t>
      </w:r>
      <w:bookmarkEnd w:id="192"/>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发包人提供资金来源证明的期限要求：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发包人是否提供支付担保：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发包人提供支付担保的形式：</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193" w:name="_Toc1887"/>
      <w:bookmarkStart w:id="194" w:name="_Toc36021962"/>
      <w:bookmarkStart w:id="195" w:name="_Toc23718"/>
      <w:bookmarkStart w:id="196" w:name="_Toc21890"/>
      <w:bookmarkStart w:id="197" w:name="_Toc9899"/>
      <w:r>
        <w:rPr>
          <w:rFonts w:hint="eastAsia" w:ascii="仿宋" w:hAnsi="仿宋" w:eastAsia="仿宋" w:cs="仿宋"/>
          <w:sz w:val="24"/>
          <w:szCs w:val="24"/>
        </w:rPr>
        <w:t>3</w:t>
      </w:r>
      <w:bookmarkStart w:id="198" w:name="_Toc296346659"/>
      <w:bookmarkStart w:id="199" w:name="_Toc296891198"/>
      <w:bookmarkStart w:id="200" w:name="_Toc296347157"/>
      <w:bookmarkStart w:id="201" w:name="_Toc292559868"/>
      <w:bookmarkStart w:id="202" w:name="_Toc296944497"/>
      <w:bookmarkStart w:id="203" w:name="_Toc297120458"/>
      <w:bookmarkStart w:id="204" w:name="_Toc296890986"/>
      <w:bookmarkStart w:id="205" w:name="_Toc292559363"/>
      <w:bookmarkStart w:id="206" w:name="_Toc297048344"/>
      <w:bookmarkStart w:id="207" w:name="_Toc296503158"/>
      <w:r>
        <w:rPr>
          <w:rFonts w:hint="eastAsia" w:ascii="仿宋" w:hAnsi="仿宋" w:eastAsia="仿宋" w:cs="仿宋"/>
          <w:sz w:val="24"/>
          <w:szCs w:val="24"/>
        </w:rPr>
        <w:t>. 承包人</w:t>
      </w:r>
      <w:bookmarkEnd w:id="193"/>
      <w:bookmarkEnd w:id="194"/>
      <w:bookmarkEnd w:id="195"/>
      <w:bookmarkEnd w:id="196"/>
      <w:bookmarkEnd w:id="197"/>
    </w:p>
    <w:bookmarkEnd w:id="198"/>
    <w:bookmarkEnd w:id="199"/>
    <w:bookmarkEnd w:id="200"/>
    <w:bookmarkEnd w:id="201"/>
    <w:bookmarkEnd w:id="202"/>
    <w:bookmarkEnd w:id="203"/>
    <w:bookmarkEnd w:id="204"/>
    <w:bookmarkEnd w:id="205"/>
    <w:bookmarkEnd w:id="206"/>
    <w:bookmarkEnd w:id="207"/>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3.1 承包人的一般义务</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（9）</w:t>
      </w:r>
      <w:r>
        <w:rPr>
          <w:rFonts w:hint="eastAsia" w:ascii="仿宋" w:hAnsi="仿宋" w:eastAsia="仿宋" w:cs="仿宋"/>
          <w:sz w:val="24"/>
        </w:rPr>
        <w:t>承包人提交的竣工资料的内容：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承包人需要提交的竣工资料套数：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承包人提交的竣工资料移交时间：</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承包人提交的竣工资料形式要求：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（10）承包人应履行的其他义务：</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3.2 项目经理</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3.2.1 </w:t>
      </w:r>
      <w:r>
        <w:rPr>
          <w:rFonts w:hint="eastAsia" w:ascii="仿宋" w:hAnsi="仿宋" w:eastAsia="仿宋" w:cs="仿宋"/>
          <w:sz w:val="24"/>
        </w:rPr>
        <w:t>项目经理：</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建造师执业资格等级：</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建造师注册证书号：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建造师执业印章号：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安全生产考核合格证书号：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承包人对项目经理的授权范围如下：</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关于项目经理每月在施工现场的时间要求：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承包人未提交劳动合同，以及没有为项目经理缴纳社会保险证明的违约责任：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项目经理未经批准，擅自离开施工现场的违约责任：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3.2.3 承包人擅自更换项目经理的违约责任：</w:t>
      </w:r>
      <w:bookmarkStart w:id="208" w:name="_Toc10446"/>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3.2.4 承包人无正当理由拒绝更换项目经理的违约责任：</w:t>
      </w:r>
      <w:bookmarkEnd w:id="208"/>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3.3 承包人人员</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3.3.1 承包人提交项目管理机构及施工现场管理人员安排报告的期限：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3.3.3 承包人无正当理由拒绝撤换主要施工管理人员的违约责任：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3.3.4 承包人主要施工管理人员离开施工现场的批准要求：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3.3.5承包人擅自更换主要施工管理人员的违约责任：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承包人主要施工管理人员擅自离开施工现场的违约责任：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w:t>
      </w:r>
      <w:bookmarkStart w:id="209" w:name="_Toc304295523"/>
      <w:bookmarkStart w:id="210" w:name="_Toc292559869"/>
      <w:bookmarkStart w:id="211" w:name="_Toc297216151"/>
      <w:bookmarkStart w:id="212" w:name="_Toc303539102"/>
      <w:bookmarkStart w:id="213" w:name="_Toc292559364"/>
      <w:bookmarkStart w:id="214" w:name="_Toc312677988"/>
      <w:bookmarkStart w:id="215" w:name="_Toc296891199"/>
      <w:bookmarkStart w:id="216" w:name="_Toc296347158"/>
      <w:bookmarkStart w:id="217" w:name="_Toc296503159"/>
      <w:bookmarkStart w:id="218" w:name="_Toc297123492"/>
      <w:bookmarkStart w:id="219" w:name="_Toc300934945"/>
      <w:bookmarkStart w:id="220" w:name="_Toc296890987"/>
      <w:bookmarkStart w:id="221" w:name="_Toc296346660"/>
      <w:bookmarkStart w:id="222" w:name="_Toc297120459"/>
      <w:bookmarkStart w:id="223" w:name="_Toc296944498"/>
      <w:bookmarkStart w:id="224" w:name="_Toc297048345"/>
      <w:r>
        <w:rPr>
          <w:rFonts w:hint="eastAsia" w:ascii="仿宋" w:hAnsi="仿宋" w:eastAsia="仿宋" w:cs="仿宋"/>
          <w:sz w:val="24"/>
        </w:rPr>
        <w:t>.5 分包</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w:t>
      </w:r>
      <w:bookmarkStart w:id="225" w:name="_Toc304295524"/>
      <w:bookmarkStart w:id="226" w:name="_Toc296890988"/>
      <w:bookmarkStart w:id="227" w:name="_Toc296503160"/>
      <w:bookmarkStart w:id="228" w:name="_Toc297123493"/>
      <w:bookmarkStart w:id="229" w:name="_Toc297048346"/>
      <w:bookmarkStart w:id="230" w:name="_Toc292559365"/>
      <w:bookmarkStart w:id="231" w:name="_Toc303539103"/>
      <w:bookmarkStart w:id="232" w:name="_Toc296346661"/>
      <w:bookmarkStart w:id="233" w:name="_Toc297216152"/>
      <w:bookmarkStart w:id="234" w:name="_Toc296944499"/>
      <w:bookmarkStart w:id="235" w:name="_Toc300934946"/>
      <w:bookmarkStart w:id="236" w:name="_Toc296347159"/>
      <w:bookmarkStart w:id="237" w:name="_Toc292559870"/>
      <w:bookmarkStart w:id="238" w:name="_Toc296891200"/>
      <w:bookmarkStart w:id="239" w:name="_Toc297120460"/>
      <w:bookmarkStart w:id="240" w:name="_Toc312677989"/>
      <w:bookmarkStart w:id="241" w:name="_Toc318581158"/>
      <w:r>
        <w:rPr>
          <w:rFonts w:hint="eastAsia" w:ascii="仿宋" w:hAnsi="仿宋" w:eastAsia="仿宋" w:cs="仿宋"/>
          <w:sz w:val="24"/>
        </w:rPr>
        <w:t>.5.1 分包的一般约定</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禁止分包的工程包括：</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主体结构、关键性工作的范围：</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2" w:name="_Toc297120461"/>
      <w:bookmarkStart w:id="243" w:name="_Toc303539104"/>
      <w:bookmarkStart w:id="244" w:name="_Toc297123494"/>
      <w:bookmarkStart w:id="245" w:name="_Toc296890989"/>
      <w:bookmarkStart w:id="246" w:name="_Toc296347160"/>
      <w:bookmarkStart w:id="247" w:name="_Toc296891201"/>
      <w:bookmarkStart w:id="248" w:name="_Toc297216153"/>
      <w:bookmarkStart w:id="249" w:name="_Toc297048347"/>
      <w:bookmarkStart w:id="250" w:name="_Toc296944500"/>
      <w:bookmarkStart w:id="251" w:name="_Toc304295525"/>
      <w:bookmarkStart w:id="252" w:name="_Toc296503161"/>
      <w:bookmarkStart w:id="253" w:name="_Toc296346662"/>
      <w:bookmarkStart w:id="254" w:name="_Toc300934947"/>
      <w:r>
        <w:rPr>
          <w:rFonts w:hint="eastAsia" w:ascii="仿宋" w:hAnsi="仿宋" w:eastAsia="仿宋" w:cs="仿宋"/>
          <w:sz w:val="24"/>
          <w:u w:val="single"/>
        </w:rPr>
        <w:t xml:space="preserve">                       </w:t>
      </w:r>
      <w:r>
        <w:rPr>
          <w:rFonts w:hint="eastAsia" w:ascii="仿宋" w:hAnsi="仿宋" w:eastAsia="仿宋" w:cs="仿宋"/>
          <w:sz w:val="24"/>
        </w:rPr>
        <w:t>。</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w:t>
      </w:r>
      <w:bookmarkStart w:id="255" w:name="_Toc318581159"/>
      <w:bookmarkStart w:id="256" w:name="_Toc312677990"/>
      <w:r>
        <w:rPr>
          <w:rFonts w:hint="eastAsia" w:ascii="仿宋" w:hAnsi="仿宋" w:eastAsia="仿宋" w:cs="仿宋"/>
          <w:sz w:val="24"/>
        </w:rPr>
        <w:t>.5.2分包的确定</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允许分包的专业工程包括：</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其他关于分包的约定：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3.5.4 分包合同价款</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关于分包合同价款支付的约定：</w:t>
      </w:r>
      <w:bookmarkEnd w:id="255"/>
      <w:bookmarkEnd w:id="256"/>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3.6 工程照管与成品、半成品保护</w:t>
      </w: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承包人负责照管工程及工程相关的材料、工程设备的起始时间：</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3.7 履约担保</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承包人是否提供履约担保：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承包人提供履约担保的形式、金额及期限的：</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257" w:name="_Toc13690"/>
      <w:bookmarkStart w:id="258" w:name="_Toc23368"/>
      <w:bookmarkStart w:id="259" w:name="_Toc25371"/>
      <w:bookmarkStart w:id="260" w:name="_Toc11451"/>
      <w:bookmarkStart w:id="261" w:name="_Toc36021963"/>
      <w:r>
        <w:rPr>
          <w:rFonts w:hint="eastAsia" w:ascii="仿宋" w:hAnsi="仿宋" w:eastAsia="仿宋" w:cs="仿宋"/>
          <w:sz w:val="24"/>
          <w:szCs w:val="24"/>
        </w:rPr>
        <w:t>4</w:t>
      </w:r>
      <w:bookmarkStart w:id="262" w:name="_Toc296891202"/>
      <w:bookmarkStart w:id="263" w:name="_Toc296346663"/>
      <w:bookmarkStart w:id="264" w:name="_Toc292559366"/>
      <w:bookmarkStart w:id="265" w:name="_Toc296890990"/>
      <w:bookmarkStart w:id="266" w:name="_Toc296503162"/>
      <w:bookmarkStart w:id="267" w:name="_Toc267251413"/>
      <w:bookmarkStart w:id="268" w:name="_Toc292559871"/>
      <w:bookmarkStart w:id="269" w:name="_Toc296347161"/>
      <w:bookmarkStart w:id="270" w:name="_Toc296944501"/>
      <w:bookmarkStart w:id="271" w:name="_Toc297048348"/>
      <w:bookmarkStart w:id="272" w:name="_Toc297120462"/>
      <w:r>
        <w:rPr>
          <w:rFonts w:hint="eastAsia" w:ascii="仿宋" w:hAnsi="仿宋" w:eastAsia="仿宋" w:cs="仿宋"/>
          <w:sz w:val="24"/>
          <w:szCs w:val="24"/>
        </w:rPr>
        <w:t>. 监</w:t>
      </w:r>
      <w:bookmarkEnd w:id="262"/>
      <w:bookmarkEnd w:id="263"/>
      <w:bookmarkEnd w:id="264"/>
      <w:bookmarkEnd w:id="265"/>
      <w:bookmarkEnd w:id="266"/>
      <w:bookmarkEnd w:id="267"/>
      <w:bookmarkEnd w:id="268"/>
      <w:bookmarkEnd w:id="269"/>
      <w:bookmarkEnd w:id="270"/>
      <w:bookmarkEnd w:id="271"/>
      <w:bookmarkEnd w:id="272"/>
      <w:r>
        <w:rPr>
          <w:rFonts w:hint="eastAsia" w:ascii="仿宋" w:hAnsi="仿宋" w:eastAsia="仿宋" w:cs="仿宋"/>
          <w:sz w:val="24"/>
          <w:szCs w:val="24"/>
        </w:rPr>
        <w:t>理人</w:t>
      </w:r>
      <w:bookmarkEnd w:id="257"/>
      <w:bookmarkEnd w:id="258"/>
      <w:bookmarkEnd w:id="259"/>
      <w:bookmarkEnd w:id="260"/>
      <w:bookmarkEnd w:id="261"/>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4.1监理人的一般规定</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关于监理人的监理内容：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4.2 监理人员</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总监理工程师：</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监理工程师执业资格证书号：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关于监理人的其他约定：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4.4 商定或确定</w:t>
      </w:r>
    </w:p>
    <w:p>
      <w:pPr>
        <w:spacing w:line="460" w:lineRule="exact"/>
        <w:ind w:firstLine="480" w:firstLineChars="200"/>
        <w:rPr>
          <w:rFonts w:hint="eastAsia" w:ascii="仿宋" w:hAnsi="仿宋" w:eastAsia="仿宋" w:cs="仿宋"/>
          <w:sz w:val="24"/>
        </w:rPr>
      </w:pPr>
      <w:bookmarkStart w:id="273" w:name="_Toc267251418"/>
      <w:r>
        <w:rPr>
          <w:rFonts w:hint="eastAsia" w:ascii="仿宋" w:hAnsi="仿宋" w:eastAsia="仿宋" w:cs="仿宋"/>
          <w:sz w:val="24"/>
        </w:rPr>
        <w:t>在发包人和承包人不能通过协商达成一致意见时，发包人授权监理人对以下事项进行确定：</w:t>
      </w:r>
    </w:p>
    <w:p>
      <w:pPr>
        <w:numPr>
          <w:ilvl w:val="0"/>
          <w:numId w:val="7"/>
        </w:num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p>
    <w:p>
      <w:pPr>
        <w:numPr>
          <w:ilvl w:val="0"/>
          <w:numId w:val="7"/>
        </w:num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274" w:name="_Toc7960"/>
      <w:bookmarkStart w:id="275" w:name="_Toc26146"/>
      <w:bookmarkStart w:id="276" w:name="_Toc36021964"/>
      <w:bookmarkStart w:id="277" w:name="_Toc987"/>
      <w:bookmarkStart w:id="278" w:name="_Toc16000"/>
      <w:r>
        <w:rPr>
          <w:rFonts w:hint="eastAsia" w:ascii="仿宋" w:hAnsi="仿宋" w:eastAsia="仿宋" w:cs="仿宋"/>
          <w:sz w:val="24"/>
          <w:szCs w:val="24"/>
        </w:rPr>
        <w:t>5</w:t>
      </w:r>
      <w:bookmarkEnd w:id="273"/>
      <w:bookmarkStart w:id="279" w:name="_Toc296891203"/>
      <w:bookmarkStart w:id="280" w:name="_Toc297048349"/>
      <w:bookmarkStart w:id="281" w:name="_Toc296346664"/>
      <w:bookmarkStart w:id="282" w:name="_Toc296503163"/>
      <w:bookmarkStart w:id="283" w:name="_Toc297120463"/>
      <w:bookmarkStart w:id="284" w:name="_Toc292559367"/>
      <w:bookmarkStart w:id="285" w:name="_Toc292559872"/>
      <w:bookmarkStart w:id="286" w:name="_Toc296347162"/>
      <w:bookmarkStart w:id="287" w:name="_Toc296944502"/>
      <w:bookmarkStart w:id="288" w:name="_Toc296890991"/>
      <w:r>
        <w:rPr>
          <w:rFonts w:hint="eastAsia" w:ascii="仿宋" w:hAnsi="仿宋" w:eastAsia="仿宋" w:cs="仿宋"/>
          <w:sz w:val="24"/>
          <w:szCs w:val="24"/>
        </w:rPr>
        <w:t>. 工程质量</w:t>
      </w:r>
      <w:bookmarkEnd w:id="274"/>
      <w:bookmarkEnd w:id="275"/>
      <w:bookmarkEnd w:id="276"/>
      <w:bookmarkEnd w:id="277"/>
      <w:bookmarkEnd w:id="278"/>
    </w:p>
    <w:p>
      <w:pPr>
        <w:spacing w:line="460" w:lineRule="exact"/>
        <w:ind w:firstLine="480" w:firstLineChars="200"/>
        <w:rPr>
          <w:rFonts w:hint="eastAsia" w:ascii="仿宋" w:hAnsi="仿宋" w:eastAsia="仿宋" w:cs="仿宋"/>
          <w:sz w:val="24"/>
        </w:rPr>
      </w:pPr>
      <w:bookmarkStart w:id="289" w:name="_Toc29843"/>
      <w:r>
        <w:rPr>
          <w:rFonts w:hint="eastAsia" w:ascii="仿宋" w:hAnsi="仿宋" w:eastAsia="仿宋" w:cs="仿宋"/>
          <w:sz w:val="24"/>
        </w:rPr>
        <w:t>5.1 质量要求</w:t>
      </w:r>
      <w:bookmarkEnd w:id="289"/>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5</w:t>
      </w:r>
      <w:bookmarkStart w:id="290" w:name="_Toc300934949"/>
      <w:bookmarkStart w:id="291" w:name="_Toc318581164"/>
      <w:bookmarkStart w:id="292" w:name="_Toc312677997"/>
      <w:bookmarkStart w:id="293" w:name="_Toc303539106"/>
      <w:bookmarkStart w:id="294" w:name="_Toc304295527"/>
      <w:bookmarkStart w:id="295" w:name="_Toc297216155"/>
      <w:bookmarkStart w:id="296" w:name="_Toc297123496"/>
      <w:r>
        <w:rPr>
          <w:rFonts w:hint="eastAsia" w:ascii="仿宋" w:hAnsi="仿宋" w:eastAsia="仿宋" w:cs="仿宋"/>
          <w:sz w:val="24"/>
        </w:rPr>
        <w:t>.1.1 特殊质量标准和要求：</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关于工程奖项的约定：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297" w:name="_Toc32234"/>
      <w:r>
        <w:rPr>
          <w:rFonts w:hint="eastAsia" w:ascii="仿宋" w:hAnsi="仿宋" w:eastAsia="仿宋" w:cs="仿宋"/>
          <w:sz w:val="24"/>
        </w:rPr>
        <w:t>5.3 隐蔽工程检查</w:t>
      </w:r>
      <w:bookmarkEnd w:id="297"/>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5.3.2承包人提前通知监理人隐蔽工程检查的期限的约定：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sz w:val="24"/>
          <w:u w:val="single"/>
        </w:rPr>
        <w:t xml:space="preserve">   </w:t>
      </w:r>
      <w:r>
        <w:rPr>
          <w:rFonts w:hint="eastAsia" w:ascii="仿宋" w:hAnsi="仿宋" w:eastAsia="仿宋" w:cs="仿宋"/>
          <w:sz w:val="24"/>
        </w:rPr>
        <w:t>小时提交书面延期要求。</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w:t>
      </w:r>
      <w:r>
        <w:rPr>
          <w:rFonts w:hint="eastAsia" w:ascii="仿宋" w:hAnsi="仿宋" w:eastAsia="仿宋" w:cs="仿宋"/>
          <w:sz w:val="24"/>
        </w:rPr>
        <w:t>小时。</w:t>
      </w:r>
    </w:p>
    <w:p>
      <w:pPr>
        <w:pStyle w:val="5"/>
        <w:spacing w:before="0" w:after="0" w:line="460" w:lineRule="exact"/>
        <w:ind w:firstLine="482" w:firstLineChars="200"/>
        <w:rPr>
          <w:rFonts w:hint="eastAsia" w:ascii="仿宋" w:hAnsi="仿宋" w:eastAsia="仿宋" w:cs="仿宋"/>
          <w:sz w:val="24"/>
          <w:szCs w:val="24"/>
        </w:rPr>
      </w:pPr>
      <w:bookmarkStart w:id="298" w:name="_Toc36021965"/>
      <w:bookmarkStart w:id="299" w:name="_Toc22050"/>
      <w:bookmarkStart w:id="300" w:name="_Toc9647"/>
      <w:bookmarkStart w:id="301" w:name="_Toc18608"/>
      <w:bookmarkStart w:id="302" w:name="_Toc26934"/>
      <w:r>
        <w:rPr>
          <w:rFonts w:hint="eastAsia" w:ascii="仿宋" w:hAnsi="仿宋" w:eastAsia="仿宋" w:cs="仿宋"/>
          <w:sz w:val="24"/>
          <w:szCs w:val="24"/>
        </w:rPr>
        <w:t>6. 安全文明施工与环境保护</w:t>
      </w:r>
      <w:bookmarkEnd w:id="298"/>
      <w:bookmarkEnd w:id="299"/>
      <w:bookmarkEnd w:id="300"/>
      <w:bookmarkEnd w:id="301"/>
      <w:bookmarkEnd w:id="302"/>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6.1安全文明施工</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6.1.1 项目安全生产的达标目标及相应事项的约定：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6.1.4 关于治安保卫的特别约定：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关于编制施工场地治安管理计划的约定：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6.1.5 文明施工</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合同当事人对文明施工的要求：</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6.1.6 关于安全文明施工费支付比例和支付期限的约定：</w:t>
      </w:r>
      <w:r>
        <w:rPr>
          <w:rFonts w:hint="eastAsia" w:ascii="仿宋" w:hAnsi="仿宋" w:eastAsia="仿宋" w:cs="仿宋"/>
          <w:sz w:val="24"/>
          <w:u w:val="single"/>
        </w:rPr>
        <w:t xml:space="preserve">                           </w:t>
      </w:r>
      <w:r>
        <w:rPr>
          <w:rFonts w:hint="eastAsia" w:ascii="仿宋" w:hAnsi="仿宋" w:eastAsia="仿宋" w:cs="仿宋"/>
          <w:sz w:val="24"/>
        </w:rPr>
        <w:t>。</w:t>
      </w:r>
    </w:p>
    <w:bookmarkEnd w:id="290"/>
    <w:bookmarkEnd w:id="291"/>
    <w:bookmarkEnd w:id="292"/>
    <w:bookmarkEnd w:id="293"/>
    <w:bookmarkEnd w:id="294"/>
    <w:bookmarkEnd w:id="295"/>
    <w:bookmarkEnd w:id="296"/>
    <w:p>
      <w:pPr>
        <w:pStyle w:val="5"/>
        <w:spacing w:before="0" w:after="0" w:line="460" w:lineRule="exact"/>
        <w:ind w:firstLine="482" w:firstLineChars="200"/>
        <w:rPr>
          <w:rFonts w:hint="eastAsia" w:ascii="仿宋" w:hAnsi="仿宋" w:eastAsia="仿宋" w:cs="仿宋"/>
          <w:sz w:val="24"/>
          <w:szCs w:val="24"/>
        </w:rPr>
      </w:pPr>
      <w:bookmarkStart w:id="303" w:name="_Toc36021966"/>
      <w:bookmarkStart w:id="304" w:name="_Toc10667"/>
      <w:bookmarkStart w:id="305" w:name="_Toc31781"/>
      <w:bookmarkStart w:id="306" w:name="_Toc19442"/>
      <w:bookmarkStart w:id="307" w:name="_Toc19296"/>
      <w:r>
        <w:rPr>
          <w:rFonts w:hint="eastAsia" w:ascii="仿宋" w:hAnsi="仿宋" w:eastAsia="仿宋" w:cs="仿宋"/>
          <w:sz w:val="24"/>
          <w:szCs w:val="24"/>
        </w:rPr>
        <w:t>7. 工期和进度</w:t>
      </w:r>
      <w:bookmarkEnd w:id="303"/>
      <w:bookmarkEnd w:id="304"/>
      <w:bookmarkEnd w:id="305"/>
      <w:bookmarkEnd w:id="306"/>
      <w:bookmarkEnd w:id="307"/>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7.1 施工组织设计</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7.1.1 合</w:t>
      </w:r>
      <w:r>
        <w:rPr>
          <w:rFonts w:hint="eastAsia" w:ascii="仿宋" w:hAnsi="仿宋" w:eastAsia="仿宋" w:cs="仿宋"/>
          <w:kern w:val="0"/>
          <w:sz w:val="24"/>
        </w:rPr>
        <w:t>同当事人约定的施工组织设计应包括的其他内容：</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7.1.2</w:t>
      </w:r>
      <w:r>
        <w:rPr>
          <w:rFonts w:hint="eastAsia" w:ascii="仿宋" w:hAnsi="仿宋" w:eastAsia="仿宋" w:cs="仿宋"/>
          <w:kern w:val="0"/>
          <w:sz w:val="24"/>
        </w:rPr>
        <w:t>施工组织设计的提交和修改</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承包人提交详细施工组织设计的期限的约定：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发包人和监理人在收到详细的施工组织设计后确认或提出修改意见的期限：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308" w:name="_Toc297123514"/>
      <w:bookmarkStart w:id="309" w:name="_Toc297216173"/>
      <w:bookmarkStart w:id="310" w:name="_Toc300934966"/>
      <w:bookmarkStart w:id="311" w:name="_Toc303539123"/>
      <w:bookmarkStart w:id="312" w:name="_Toc304295541"/>
      <w:bookmarkStart w:id="313" w:name="_Toc312678005"/>
      <w:bookmarkStart w:id="314" w:name="_Toc312677479"/>
      <w:r>
        <w:rPr>
          <w:rFonts w:hint="eastAsia" w:ascii="仿宋" w:hAnsi="仿宋" w:eastAsia="仿宋" w:cs="仿宋"/>
          <w:sz w:val="24"/>
        </w:rPr>
        <w:t>.2 施工进度计划</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7.2.2 施工进度计划的修订</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发包人和监理人在收到修订的施工进度计划后确认或提出修改意见的期限：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7.3 开工</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7.3.1 开工准备</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关于承包人提交</w:t>
      </w:r>
      <w:r>
        <w:rPr>
          <w:rFonts w:hint="eastAsia" w:ascii="仿宋" w:hAnsi="仿宋" w:eastAsia="仿宋" w:cs="仿宋"/>
          <w:kern w:val="0"/>
          <w:sz w:val="24"/>
        </w:rPr>
        <w:t>工程开工报审表的期限：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关于发包人应完成的其他开工准备工作及期限：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关于承包人应完成的其他开工准备工作及期限：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7.3.2开工通知</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因发包人原因造成监理人未能在计划开工日期之日起</w:t>
      </w:r>
      <w:r>
        <w:rPr>
          <w:rFonts w:hint="eastAsia" w:ascii="仿宋" w:hAnsi="仿宋" w:eastAsia="仿宋" w:cs="仿宋"/>
          <w:sz w:val="24"/>
          <w:u w:val="single"/>
        </w:rPr>
        <w:t xml:space="preserve">    </w:t>
      </w:r>
      <w:r>
        <w:rPr>
          <w:rFonts w:hint="eastAsia" w:ascii="仿宋" w:hAnsi="仿宋" w:eastAsia="仿宋" w:cs="仿宋"/>
          <w:sz w:val="24"/>
        </w:rPr>
        <w:t>天内发出开工通知的，承包人有权提出价格调整要求，或者解除合同。</w:t>
      </w:r>
    </w:p>
    <w:bookmarkEnd w:id="308"/>
    <w:bookmarkEnd w:id="309"/>
    <w:bookmarkEnd w:id="310"/>
    <w:bookmarkEnd w:id="311"/>
    <w:bookmarkEnd w:id="312"/>
    <w:bookmarkEnd w:id="313"/>
    <w:bookmarkEnd w:id="314"/>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7.4 测量放线</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7.4.1发包人通过监理人向承包人提供测量基准点、基准线和水准点及其书面资料的期限：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315" w:name="_Toc297216175"/>
      <w:bookmarkStart w:id="316" w:name="_Toc297123516"/>
      <w:bookmarkStart w:id="317" w:name="_Toc300934968"/>
      <w:bookmarkStart w:id="318" w:name="_Toc312677484"/>
      <w:bookmarkStart w:id="319" w:name="_Toc304295546"/>
      <w:bookmarkStart w:id="320" w:name="_Toc303539125"/>
      <w:bookmarkStart w:id="321" w:name="_Toc312678010"/>
      <w:r>
        <w:rPr>
          <w:rFonts w:hint="eastAsia" w:ascii="仿宋" w:hAnsi="仿宋" w:eastAsia="仿宋" w:cs="仿宋"/>
          <w:sz w:val="24"/>
        </w:rPr>
        <w:t>.5 工期延误</w:t>
      </w:r>
    </w:p>
    <w:bookmarkEnd w:id="315"/>
    <w:bookmarkEnd w:id="316"/>
    <w:bookmarkEnd w:id="317"/>
    <w:bookmarkEnd w:id="318"/>
    <w:bookmarkEnd w:id="319"/>
    <w:bookmarkEnd w:id="320"/>
    <w:bookmarkEnd w:id="321"/>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7.5.1 因发包人原因导致工期延误</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（7）因发包人原因导致工期延误的其他情形：</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7</w:t>
      </w:r>
      <w:bookmarkStart w:id="322" w:name="_Toc318581169"/>
      <w:bookmarkStart w:id="323" w:name="_Toc312677486"/>
      <w:bookmarkStart w:id="324" w:name="_Toc312678012"/>
      <w:bookmarkStart w:id="325" w:name="_Toc304295548"/>
      <w:bookmarkStart w:id="326" w:name="_Toc297123518"/>
      <w:bookmarkStart w:id="327" w:name="_Toc297216177"/>
      <w:bookmarkStart w:id="328" w:name="_Toc303539127"/>
      <w:bookmarkStart w:id="329" w:name="_Toc300934970"/>
      <w:r>
        <w:rPr>
          <w:rFonts w:hint="eastAsia" w:ascii="仿宋" w:hAnsi="仿宋" w:eastAsia="仿宋" w:cs="仿宋"/>
          <w:sz w:val="24"/>
        </w:rPr>
        <w:t>.5.2 因承包人原因导致工期延误</w:t>
      </w:r>
    </w:p>
    <w:bookmarkEnd w:id="322"/>
    <w:bookmarkEnd w:id="323"/>
    <w:bookmarkEnd w:id="324"/>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因</w:t>
      </w:r>
      <w:bookmarkStart w:id="330" w:name="_Toc312678013"/>
      <w:bookmarkStart w:id="331" w:name="_Toc312677487"/>
      <w:bookmarkStart w:id="332" w:name="_Toc318581170"/>
      <w:r>
        <w:rPr>
          <w:rFonts w:hint="eastAsia" w:ascii="仿宋" w:hAnsi="仿宋" w:eastAsia="仿宋" w:cs="仿宋"/>
          <w:sz w:val="24"/>
        </w:rPr>
        <w:t>承包人原因造成工期延误，逾期竣工违约金的计算方法为：</w:t>
      </w:r>
      <w:bookmarkEnd w:id="325"/>
      <w:bookmarkEnd w:id="326"/>
      <w:bookmarkEnd w:id="327"/>
      <w:bookmarkEnd w:id="328"/>
      <w:bookmarkEnd w:id="329"/>
      <w:bookmarkEnd w:id="330"/>
      <w:bookmarkEnd w:id="331"/>
      <w:r>
        <w:rPr>
          <w:rFonts w:hint="eastAsia" w:ascii="仿宋" w:hAnsi="仿宋" w:eastAsia="仿宋" w:cs="仿宋"/>
          <w:sz w:val="24"/>
          <w:u w:val="single"/>
        </w:rPr>
        <w:t xml:space="preserve">                     </w:t>
      </w:r>
      <w:r>
        <w:rPr>
          <w:rFonts w:hint="eastAsia" w:ascii="仿宋" w:hAnsi="仿宋" w:eastAsia="仿宋" w:cs="仿宋"/>
          <w:sz w:val="24"/>
        </w:rPr>
        <w:t>。</w:t>
      </w:r>
    </w:p>
    <w:bookmarkEnd w:id="332"/>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因承包人原因造成工期延误，逾</w:t>
      </w:r>
      <w:bookmarkStart w:id="333" w:name="_Toc312678014"/>
      <w:bookmarkStart w:id="334" w:name="_Toc318581171"/>
      <w:r>
        <w:rPr>
          <w:rFonts w:hint="eastAsia" w:ascii="仿宋" w:hAnsi="仿宋" w:eastAsia="仿宋" w:cs="仿宋"/>
          <w:sz w:val="24"/>
        </w:rPr>
        <w:t>期竣工违约金的上限：</w:t>
      </w:r>
      <w:r>
        <w:rPr>
          <w:rFonts w:hint="eastAsia" w:ascii="仿宋" w:hAnsi="仿宋" w:eastAsia="仿宋" w:cs="仿宋"/>
          <w:sz w:val="24"/>
          <w:u w:val="single"/>
        </w:rPr>
        <w:t xml:space="preserve">                           </w:t>
      </w:r>
      <w:r>
        <w:rPr>
          <w:rFonts w:hint="eastAsia" w:ascii="仿宋" w:hAnsi="仿宋" w:eastAsia="仿宋" w:cs="仿宋"/>
          <w:sz w:val="24"/>
        </w:rPr>
        <w:t>。</w:t>
      </w:r>
    </w:p>
    <w:bookmarkEnd w:id="333"/>
    <w:bookmarkEnd w:id="334"/>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335" w:name="_Toc297216178"/>
      <w:bookmarkStart w:id="336" w:name="_Toc297123519"/>
      <w:bookmarkStart w:id="337" w:name="_Toc303539128"/>
      <w:bookmarkStart w:id="338" w:name="_Toc300934971"/>
      <w:bookmarkStart w:id="339" w:name="_Toc312678015"/>
      <w:bookmarkStart w:id="340" w:name="_Toc304295549"/>
      <w:r>
        <w:rPr>
          <w:rFonts w:hint="eastAsia" w:ascii="仿宋" w:hAnsi="仿宋" w:eastAsia="仿宋" w:cs="仿宋"/>
          <w:sz w:val="24"/>
        </w:rPr>
        <w:t>.6 不</w:t>
      </w:r>
      <w:bookmarkEnd w:id="335"/>
      <w:bookmarkEnd w:id="336"/>
      <w:bookmarkEnd w:id="337"/>
      <w:bookmarkEnd w:id="338"/>
      <w:bookmarkEnd w:id="339"/>
      <w:bookmarkEnd w:id="340"/>
      <w:r>
        <w:rPr>
          <w:rFonts w:hint="eastAsia" w:ascii="仿宋" w:hAnsi="仿宋" w:eastAsia="仿宋" w:cs="仿宋"/>
          <w:sz w:val="24"/>
        </w:rPr>
        <w:t>利物质条件</w:t>
      </w:r>
    </w:p>
    <w:p>
      <w:pPr>
        <w:autoSpaceDE w:val="0"/>
        <w:autoSpaceDN w:val="0"/>
        <w:adjustRightInd w:val="0"/>
        <w:spacing w:line="460" w:lineRule="exact"/>
        <w:ind w:firstLine="480" w:firstLineChars="200"/>
        <w:jc w:val="left"/>
        <w:rPr>
          <w:rFonts w:hint="eastAsia" w:ascii="仿宋" w:hAnsi="仿宋" w:eastAsia="仿宋" w:cs="仿宋"/>
          <w:sz w:val="24"/>
        </w:rPr>
      </w:pPr>
      <w:bookmarkStart w:id="341" w:name="_Toc304295550"/>
      <w:bookmarkStart w:id="342" w:name="_Toc303539129"/>
      <w:bookmarkStart w:id="343" w:name="_Toc297216179"/>
      <w:bookmarkStart w:id="344" w:name="_Toc300934972"/>
      <w:bookmarkStart w:id="345" w:name="_Toc312678016"/>
      <w:bookmarkStart w:id="346" w:name="_Toc318581172"/>
      <w:bookmarkStart w:id="347" w:name="_Toc297123520"/>
      <w:r>
        <w:rPr>
          <w:rFonts w:hint="eastAsia" w:ascii="仿宋" w:hAnsi="仿宋" w:eastAsia="仿宋" w:cs="仿宋"/>
          <w:sz w:val="24"/>
        </w:rPr>
        <w:t>不利物质条件的其他情形和有关约定：</w:t>
      </w:r>
      <w:r>
        <w:rPr>
          <w:rFonts w:hint="eastAsia" w:ascii="仿宋" w:hAnsi="仿宋" w:eastAsia="仿宋" w:cs="仿宋"/>
          <w:sz w:val="24"/>
          <w:u w:val="single"/>
        </w:rPr>
        <w:t xml:space="preserve">                           </w:t>
      </w:r>
      <w:r>
        <w:rPr>
          <w:rFonts w:hint="eastAsia" w:ascii="仿宋" w:hAnsi="仿宋" w:eastAsia="仿宋" w:cs="仿宋"/>
          <w:sz w:val="24"/>
        </w:rPr>
        <w:t>。</w:t>
      </w:r>
    </w:p>
    <w:bookmarkEnd w:id="341"/>
    <w:bookmarkEnd w:id="342"/>
    <w:bookmarkEnd w:id="343"/>
    <w:bookmarkEnd w:id="344"/>
    <w:bookmarkEnd w:id="345"/>
    <w:bookmarkEnd w:id="346"/>
    <w:bookmarkEnd w:id="347"/>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7</w:t>
      </w:r>
      <w:bookmarkStart w:id="348" w:name="_Toc312678017"/>
      <w:bookmarkStart w:id="349" w:name="_Toc297123521"/>
      <w:bookmarkStart w:id="350" w:name="_Toc303539130"/>
      <w:bookmarkStart w:id="351" w:name="_Toc304295551"/>
      <w:bookmarkStart w:id="352" w:name="_Toc300934973"/>
      <w:bookmarkStart w:id="353" w:name="_Toc297216180"/>
      <w:r>
        <w:rPr>
          <w:rFonts w:hint="eastAsia" w:ascii="仿宋" w:hAnsi="仿宋" w:eastAsia="仿宋" w:cs="仿宋"/>
          <w:sz w:val="24"/>
        </w:rPr>
        <w:t>.7异常恶劣的气候条件</w:t>
      </w:r>
    </w:p>
    <w:bookmarkEnd w:id="348"/>
    <w:bookmarkEnd w:id="349"/>
    <w:bookmarkEnd w:id="350"/>
    <w:bookmarkEnd w:id="351"/>
    <w:bookmarkEnd w:id="352"/>
    <w:bookmarkEnd w:id="353"/>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发包人和承包人同意以下情形视为异常恶劣的气候条件：</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354" w:name="_Toc7559"/>
      <w:r>
        <w:rPr>
          <w:rFonts w:hint="eastAsia" w:ascii="仿宋" w:hAnsi="仿宋" w:eastAsia="仿宋" w:cs="仿宋"/>
          <w:sz w:val="24"/>
        </w:rPr>
        <w:t>7.9 提前竣工的奖励</w:t>
      </w:r>
      <w:bookmarkEnd w:id="354"/>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7.9.2提前竣工的奖励：</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355" w:name="_Toc36021967"/>
      <w:bookmarkStart w:id="356" w:name="_Toc28731"/>
      <w:bookmarkStart w:id="357" w:name="_Toc17513"/>
      <w:bookmarkStart w:id="358" w:name="_Toc13913"/>
      <w:bookmarkStart w:id="359" w:name="_Toc8134"/>
      <w:r>
        <w:rPr>
          <w:rFonts w:hint="eastAsia" w:ascii="仿宋" w:hAnsi="仿宋" w:eastAsia="仿宋" w:cs="仿宋"/>
          <w:sz w:val="24"/>
          <w:szCs w:val="24"/>
        </w:rPr>
        <w:t>8. 材料与设备</w:t>
      </w:r>
      <w:bookmarkEnd w:id="355"/>
      <w:bookmarkEnd w:id="356"/>
      <w:bookmarkEnd w:id="357"/>
      <w:bookmarkEnd w:id="358"/>
      <w:bookmarkEnd w:id="359"/>
    </w:p>
    <w:bookmarkEnd w:id="279"/>
    <w:bookmarkEnd w:id="280"/>
    <w:bookmarkEnd w:id="281"/>
    <w:bookmarkEnd w:id="282"/>
    <w:bookmarkEnd w:id="283"/>
    <w:bookmarkEnd w:id="284"/>
    <w:bookmarkEnd w:id="285"/>
    <w:bookmarkEnd w:id="286"/>
    <w:bookmarkEnd w:id="287"/>
    <w:bookmarkEnd w:id="288"/>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8</w:t>
      </w:r>
      <w:bookmarkStart w:id="360" w:name="_Toc296890995"/>
      <w:bookmarkStart w:id="361" w:name="_Toc296503167"/>
      <w:bookmarkStart w:id="362" w:name="_Toc312677493"/>
      <w:bookmarkStart w:id="363" w:name="_Toc297120467"/>
      <w:bookmarkStart w:id="364" w:name="_Toc312678019"/>
      <w:bookmarkStart w:id="365" w:name="_Toc303539136"/>
      <w:bookmarkStart w:id="366" w:name="_Toc296944506"/>
      <w:bookmarkStart w:id="367" w:name="_Toc292559877"/>
      <w:bookmarkStart w:id="368" w:name="_Toc300934979"/>
      <w:bookmarkStart w:id="369" w:name="_Toc296891207"/>
      <w:bookmarkStart w:id="370" w:name="_Toc297048353"/>
      <w:bookmarkStart w:id="371" w:name="_Toc297123527"/>
      <w:bookmarkStart w:id="372" w:name="_Toc296347166"/>
      <w:bookmarkStart w:id="373" w:name="_Toc296346668"/>
      <w:bookmarkStart w:id="374" w:name="_Toc297216186"/>
      <w:bookmarkStart w:id="375" w:name="_Toc280868654"/>
      <w:bookmarkStart w:id="376" w:name="_Toc292559372"/>
      <w:bookmarkStart w:id="377" w:name="_Toc304295556"/>
      <w:bookmarkStart w:id="378" w:name="_Toc280868656"/>
      <w:bookmarkStart w:id="379" w:name="_Toc267251424"/>
      <w:bookmarkStart w:id="380" w:name="_Toc280868655"/>
      <w:r>
        <w:rPr>
          <w:rFonts w:hint="eastAsia" w:ascii="仿宋" w:hAnsi="仿宋" w:eastAsia="仿宋" w:cs="仿宋"/>
          <w:sz w:val="24"/>
        </w:rPr>
        <w:t>.4材料与工程设备的保管与使用</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8</w:t>
      </w:r>
      <w:bookmarkStart w:id="381" w:name="_Toc292559878"/>
      <w:bookmarkStart w:id="382" w:name="_Toc292559373"/>
      <w:bookmarkStart w:id="383" w:name="_Toc296503168"/>
      <w:bookmarkStart w:id="384" w:name="_Toc297120468"/>
      <w:bookmarkStart w:id="385" w:name="_Toc312678020"/>
      <w:bookmarkStart w:id="386" w:name="_Toc296944507"/>
      <w:bookmarkStart w:id="387" w:name="_Toc296891208"/>
      <w:bookmarkStart w:id="388" w:name="_Toc318581173"/>
      <w:bookmarkStart w:id="389" w:name="_Toc303539137"/>
      <w:bookmarkStart w:id="390" w:name="_Toc296346669"/>
      <w:bookmarkStart w:id="391" w:name="_Toc297216187"/>
      <w:bookmarkStart w:id="392" w:name="_Toc296890996"/>
      <w:bookmarkStart w:id="393" w:name="_Toc312677494"/>
      <w:bookmarkStart w:id="394" w:name="_Toc296347167"/>
      <w:bookmarkStart w:id="395" w:name="_Toc297123528"/>
      <w:bookmarkStart w:id="396" w:name="_Toc297048354"/>
      <w:bookmarkStart w:id="397" w:name="_Toc300934980"/>
      <w:bookmarkStart w:id="398" w:name="_Toc304295557"/>
      <w:r>
        <w:rPr>
          <w:rFonts w:hint="eastAsia" w:ascii="仿宋" w:hAnsi="仿宋" w:eastAsia="仿宋" w:cs="仿宋"/>
          <w:sz w:val="24"/>
        </w:rPr>
        <w:t>.4.1发包人供应的材料设备的保管费用的承担：</w:t>
      </w:r>
      <w:bookmarkEnd w:id="381"/>
      <w:bookmarkEnd w:id="382"/>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399" w:name="_Toc7892"/>
      <w:r>
        <w:rPr>
          <w:rFonts w:hint="eastAsia" w:ascii="仿宋" w:hAnsi="仿宋" w:eastAsia="仿宋" w:cs="仿宋"/>
          <w:sz w:val="24"/>
        </w:rPr>
        <w:t>8.6 样品</w:t>
      </w:r>
      <w:bookmarkEnd w:id="399"/>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8.6.1</w:t>
      </w:r>
      <w:r>
        <w:rPr>
          <w:rFonts w:hint="eastAsia" w:ascii="仿宋" w:hAnsi="仿宋" w:eastAsia="仿宋" w:cs="仿宋"/>
          <w:kern w:val="0"/>
          <w:sz w:val="24"/>
        </w:rPr>
        <w:tab/>
      </w:r>
      <w:r>
        <w:rPr>
          <w:rFonts w:hint="eastAsia" w:ascii="仿宋" w:hAnsi="仿宋" w:eastAsia="仿宋" w:cs="仿宋"/>
          <w:kern w:val="0"/>
          <w:sz w:val="24"/>
        </w:rPr>
        <w:t>样品的报送与封存</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需要承包人报送样品的材料或工程设备，样品的种类、名称、规格、数量要求：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400" w:name="_Toc31889"/>
      <w:r>
        <w:rPr>
          <w:rFonts w:hint="eastAsia" w:ascii="仿宋" w:hAnsi="仿宋" w:eastAsia="仿宋" w:cs="仿宋"/>
          <w:sz w:val="24"/>
        </w:rPr>
        <w:t>8.8 施工设备和临时设施</w:t>
      </w:r>
      <w:bookmarkEnd w:id="400"/>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8.8.1 承包人提供的施工设备和临时设施</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关于修建临时设施费用承担的约定：</w:t>
      </w:r>
      <w:r>
        <w:rPr>
          <w:rFonts w:hint="eastAsia" w:ascii="仿宋" w:hAnsi="仿宋" w:eastAsia="仿宋" w:cs="仿宋"/>
          <w:sz w:val="24"/>
          <w:u w:val="single"/>
        </w:rPr>
        <w:t xml:space="preserve">                           </w:t>
      </w:r>
      <w:r>
        <w:rPr>
          <w:rFonts w:hint="eastAsia" w:ascii="仿宋" w:hAnsi="仿宋" w:eastAsia="仿宋" w:cs="仿宋"/>
          <w:sz w:val="24"/>
        </w:rPr>
        <w:t>。</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pStyle w:val="5"/>
        <w:spacing w:before="0" w:after="0" w:line="460" w:lineRule="exact"/>
        <w:ind w:firstLine="482" w:firstLineChars="200"/>
        <w:rPr>
          <w:rFonts w:hint="eastAsia" w:ascii="仿宋" w:hAnsi="仿宋" w:eastAsia="仿宋" w:cs="仿宋"/>
          <w:sz w:val="24"/>
          <w:szCs w:val="24"/>
        </w:rPr>
      </w:pPr>
      <w:bookmarkStart w:id="401" w:name="_Toc15515"/>
      <w:bookmarkStart w:id="402" w:name="_Toc36021968"/>
      <w:bookmarkStart w:id="403" w:name="_Toc5550"/>
      <w:bookmarkStart w:id="404" w:name="_Toc19919"/>
      <w:bookmarkStart w:id="405" w:name="_Toc15023"/>
      <w:r>
        <w:rPr>
          <w:rFonts w:hint="eastAsia" w:ascii="仿宋" w:hAnsi="仿宋" w:eastAsia="仿宋" w:cs="仿宋"/>
          <w:sz w:val="24"/>
          <w:szCs w:val="24"/>
        </w:rPr>
        <w:t>9</w:t>
      </w:r>
      <w:bookmarkEnd w:id="378"/>
      <w:bookmarkEnd w:id="379"/>
      <w:bookmarkEnd w:id="380"/>
      <w:bookmarkStart w:id="406" w:name="_Toc297123533"/>
      <w:bookmarkStart w:id="407" w:name="_Toc312677495"/>
      <w:bookmarkStart w:id="408" w:name="_Toc297216192"/>
      <w:bookmarkStart w:id="409" w:name="_Toc303539139"/>
      <w:bookmarkStart w:id="410" w:name="_Toc312678021"/>
      <w:bookmarkStart w:id="411" w:name="_Toc300934982"/>
      <w:bookmarkStart w:id="412" w:name="_Toc304295559"/>
      <w:bookmarkStart w:id="413" w:name="_Toc267251427"/>
      <w:bookmarkStart w:id="414" w:name="_Toc297120473"/>
      <w:bookmarkStart w:id="415" w:name="_Toc292559883"/>
      <w:bookmarkStart w:id="416" w:name="_Toc296891001"/>
      <w:bookmarkStart w:id="417" w:name="_Toc296347172"/>
      <w:bookmarkStart w:id="418" w:name="_Toc292559378"/>
      <w:bookmarkStart w:id="419" w:name="_Toc296944512"/>
      <w:bookmarkStart w:id="420" w:name="_Toc267251428"/>
      <w:bookmarkStart w:id="421" w:name="_Toc296891213"/>
      <w:bookmarkStart w:id="422" w:name="_Toc297048359"/>
      <w:bookmarkStart w:id="423" w:name="_Toc296503173"/>
      <w:bookmarkStart w:id="424" w:name="_Toc296346674"/>
      <w:r>
        <w:rPr>
          <w:rFonts w:hint="eastAsia" w:ascii="仿宋" w:hAnsi="仿宋" w:eastAsia="仿宋" w:cs="仿宋"/>
          <w:sz w:val="24"/>
          <w:szCs w:val="24"/>
        </w:rPr>
        <w:t>. 试验与检验</w:t>
      </w:r>
      <w:bookmarkEnd w:id="401"/>
      <w:bookmarkEnd w:id="402"/>
      <w:bookmarkEnd w:id="403"/>
      <w:bookmarkEnd w:id="404"/>
      <w:bookmarkEnd w:id="405"/>
    </w:p>
    <w:bookmarkEnd w:id="406"/>
    <w:bookmarkEnd w:id="407"/>
    <w:bookmarkEnd w:id="408"/>
    <w:bookmarkEnd w:id="409"/>
    <w:bookmarkEnd w:id="410"/>
    <w:bookmarkEnd w:id="411"/>
    <w:bookmarkEnd w:id="412"/>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9</w:t>
      </w:r>
      <w:bookmarkStart w:id="425" w:name="_Toc312678022"/>
      <w:bookmarkStart w:id="426" w:name="_Toc300934983"/>
      <w:bookmarkStart w:id="427" w:name="_Toc297123534"/>
      <w:bookmarkStart w:id="428" w:name="_Toc303539140"/>
      <w:bookmarkStart w:id="429" w:name="_Toc304295560"/>
      <w:bookmarkStart w:id="430" w:name="_Toc312677496"/>
      <w:bookmarkStart w:id="431" w:name="_Toc297216193"/>
      <w:r>
        <w:rPr>
          <w:rFonts w:hint="eastAsia" w:ascii="仿宋" w:hAnsi="仿宋" w:eastAsia="仿宋" w:cs="仿宋"/>
          <w:sz w:val="24"/>
        </w:rPr>
        <w:t>.1试验设备与试验人员</w:t>
      </w:r>
    </w:p>
    <w:bookmarkEnd w:id="425"/>
    <w:bookmarkEnd w:id="426"/>
    <w:bookmarkEnd w:id="427"/>
    <w:bookmarkEnd w:id="428"/>
    <w:bookmarkEnd w:id="429"/>
    <w:bookmarkEnd w:id="430"/>
    <w:bookmarkEnd w:id="431"/>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9</w:t>
      </w:r>
      <w:bookmarkStart w:id="432" w:name="_Toc303539141"/>
      <w:bookmarkStart w:id="433" w:name="_Toc304295561"/>
      <w:bookmarkStart w:id="434" w:name="_Toc300934984"/>
      <w:bookmarkStart w:id="435" w:name="_Toc297216194"/>
      <w:bookmarkStart w:id="436" w:name="_Toc297123535"/>
      <w:bookmarkStart w:id="437" w:name="_Toc312678023"/>
      <w:bookmarkStart w:id="438" w:name="_Toc312677497"/>
      <w:bookmarkStart w:id="439" w:name="_Toc318581174"/>
      <w:r>
        <w:rPr>
          <w:rFonts w:hint="eastAsia" w:ascii="仿宋" w:hAnsi="仿宋" w:eastAsia="仿宋" w:cs="仿宋"/>
          <w:sz w:val="24"/>
        </w:rPr>
        <w:t>.1.2 试验设备</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施工现场需要配置的试验场所：</w:t>
      </w:r>
      <w:bookmarkEnd w:id="432"/>
      <w:bookmarkEnd w:id="433"/>
      <w:bookmarkEnd w:id="434"/>
      <w:bookmarkEnd w:id="435"/>
      <w:bookmarkEnd w:id="436"/>
      <w:bookmarkEnd w:id="437"/>
      <w:bookmarkEnd w:id="438"/>
      <w:bookmarkStart w:id="440" w:name="_Toc297123536"/>
      <w:bookmarkStart w:id="441" w:name="_Toc312677498"/>
      <w:bookmarkStart w:id="442" w:name="_Toc312678024"/>
      <w:bookmarkStart w:id="443" w:name="_Toc304295562"/>
      <w:bookmarkStart w:id="444" w:name="_Toc303539142"/>
      <w:bookmarkStart w:id="445" w:name="_Toc300934985"/>
      <w:bookmarkStart w:id="446" w:name="_Toc297216195"/>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施工现场需要配备的试验设备：</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施工现场需要具备的其他试验条件：</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447" w:name="_Toc18018"/>
      <w:r>
        <w:rPr>
          <w:rFonts w:hint="eastAsia" w:ascii="仿宋" w:hAnsi="仿宋" w:eastAsia="仿宋" w:cs="仿宋"/>
          <w:sz w:val="24"/>
        </w:rPr>
        <w:t>9.4 现场工艺试验</w:t>
      </w:r>
      <w:bookmarkEnd w:id="447"/>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现场工艺试验的有关约定：</w:t>
      </w:r>
      <w:r>
        <w:rPr>
          <w:rFonts w:hint="eastAsia" w:ascii="仿宋" w:hAnsi="仿宋" w:eastAsia="仿宋" w:cs="仿宋"/>
          <w:sz w:val="24"/>
          <w:u w:val="single"/>
        </w:rPr>
        <w:t xml:space="preserve">                           </w:t>
      </w:r>
      <w:r>
        <w:rPr>
          <w:rFonts w:hint="eastAsia" w:ascii="仿宋" w:hAnsi="仿宋" w:eastAsia="仿宋" w:cs="仿宋"/>
          <w:sz w:val="24"/>
        </w:rPr>
        <w:t>。</w:t>
      </w:r>
    </w:p>
    <w:bookmarkEnd w:id="439"/>
    <w:bookmarkEnd w:id="440"/>
    <w:bookmarkEnd w:id="441"/>
    <w:bookmarkEnd w:id="442"/>
    <w:bookmarkEnd w:id="443"/>
    <w:bookmarkEnd w:id="444"/>
    <w:bookmarkEnd w:id="445"/>
    <w:bookmarkEnd w:id="446"/>
    <w:p>
      <w:pPr>
        <w:pStyle w:val="5"/>
        <w:spacing w:before="0" w:after="0" w:line="460" w:lineRule="exact"/>
        <w:ind w:firstLine="482" w:firstLineChars="200"/>
        <w:rPr>
          <w:rFonts w:hint="eastAsia" w:ascii="仿宋" w:hAnsi="仿宋" w:eastAsia="仿宋" w:cs="仿宋"/>
          <w:sz w:val="24"/>
          <w:szCs w:val="24"/>
        </w:rPr>
      </w:pPr>
      <w:bookmarkStart w:id="448" w:name="_Toc17093"/>
      <w:bookmarkStart w:id="449" w:name="_Toc21690"/>
      <w:bookmarkStart w:id="450" w:name="_Toc10206"/>
      <w:bookmarkStart w:id="451" w:name="_Toc36021969"/>
      <w:bookmarkStart w:id="452" w:name="_Toc14325"/>
      <w:r>
        <w:rPr>
          <w:rFonts w:hint="eastAsia" w:ascii="仿宋" w:hAnsi="仿宋" w:eastAsia="仿宋" w:cs="仿宋"/>
          <w:sz w:val="24"/>
          <w:szCs w:val="24"/>
        </w:rPr>
        <w:t>1</w:t>
      </w:r>
      <w:bookmarkEnd w:id="413"/>
      <w:bookmarkEnd w:id="414"/>
      <w:bookmarkEnd w:id="415"/>
      <w:bookmarkEnd w:id="416"/>
      <w:bookmarkEnd w:id="417"/>
      <w:bookmarkEnd w:id="418"/>
      <w:bookmarkEnd w:id="419"/>
      <w:bookmarkEnd w:id="420"/>
      <w:bookmarkEnd w:id="421"/>
      <w:bookmarkEnd w:id="422"/>
      <w:bookmarkEnd w:id="423"/>
      <w:bookmarkEnd w:id="424"/>
      <w:bookmarkStart w:id="453" w:name="_Toc304295566"/>
      <w:bookmarkStart w:id="454" w:name="_Toc297120493"/>
      <w:bookmarkStart w:id="455" w:name="_Toc296891021"/>
      <w:bookmarkStart w:id="456" w:name="_Toc303539146"/>
      <w:bookmarkStart w:id="457" w:name="_Toc296891233"/>
      <w:bookmarkStart w:id="458" w:name="_Toc296503193"/>
      <w:bookmarkStart w:id="459" w:name="_Toc297123540"/>
      <w:bookmarkStart w:id="460" w:name="_Toc296346694"/>
      <w:bookmarkStart w:id="461" w:name="_Toc296944532"/>
      <w:bookmarkStart w:id="462" w:name="_Toc297216199"/>
      <w:bookmarkStart w:id="463" w:name="_Toc292559903"/>
      <w:bookmarkStart w:id="464" w:name="_Toc297048379"/>
      <w:bookmarkStart w:id="465" w:name="_Toc300934989"/>
      <w:bookmarkStart w:id="466" w:name="_Toc296347192"/>
      <w:bookmarkStart w:id="467" w:name="_Toc292559398"/>
      <w:bookmarkStart w:id="468" w:name="_Toc312677499"/>
      <w:bookmarkStart w:id="469" w:name="_Toc312678025"/>
      <w:bookmarkStart w:id="470" w:name="_Toc267251435"/>
      <w:bookmarkStart w:id="471" w:name="_Toc267251440"/>
      <w:bookmarkStart w:id="472" w:name="_Toc267251441"/>
      <w:bookmarkStart w:id="473" w:name="_Toc267251437"/>
      <w:bookmarkStart w:id="474" w:name="_Toc267251433"/>
      <w:bookmarkStart w:id="475" w:name="_Toc267251439"/>
      <w:bookmarkStart w:id="476" w:name="_Toc267251442"/>
      <w:r>
        <w:rPr>
          <w:rFonts w:hint="eastAsia" w:ascii="仿宋" w:hAnsi="仿宋" w:eastAsia="仿宋" w:cs="仿宋"/>
          <w:sz w:val="24"/>
          <w:szCs w:val="24"/>
        </w:rPr>
        <w:t>0. 变更</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bookmarkEnd w:id="468"/>
    <w:bookmarkEnd w:id="469"/>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Start w:id="477" w:name="_Toc303539147"/>
      <w:bookmarkStart w:id="478" w:name="_Toc297120494"/>
      <w:bookmarkStart w:id="479" w:name="_Toc304295567"/>
      <w:bookmarkStart w:id="480" w:name="_Toc296944533"/>
      <w:bookmarkStart w:id="481" w:name="_Toc312677500"/>
      <w:bookmarkStart w:id="482" w:name="_Toc296891022"/>
      <w:bookmarkStart w:id="483" w:name="_Toc312678026"/>
      <w:bookmarkStart w:id="484" w:name="_Toc296891234"/>
      <w:bookmarkStart w:id="485" w:name="_Toc297216200"/>
      <w:bookmarkStart w:id="486" w:name="_Toc297048380"/>
      <w:bookmarkStart w:id="487" w:name="_Toc297123541"/>
      <w:bookmarkStart w:id="488" w:name="_Toc300934990"/>
      <w:bookmarkStart w:id="489" w:name="_Toc292559904"/>
      <w:bookmarkStart w:id="490" w:name="_Toc296346695"/>
      <w:bookmarkStart w:id="491" w:name="_Toc292559399"/>
      <w:bookmarkStart w:id="492" w:name="_Toc296503194"/>
      <w:bookmarkStart w:id="493" w:name="_Toc296347193"/>
      <w:r>
        <w:rPr>
          <w:rFonts w:hint="eastAsia" w:ascii="仿宋" w:hAnsi="仿宋" w:eastAsia="仿宋" w:cs="仿宋"/>
          <w:sz w:val="24"/>
        </w:rPr>
        <w:t>0.1变更的范围</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关于变更的范围的约定：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494" w:name="_Toc19120"/>
      <w:r>
        <w:rPr>
          <w:rFonts w:hint="eastAsia" w:ascii="仿宋" w:hAnsi="仿宋" w:eastAsia="仿宋" w:cs="仿宋"/>
          <w:sz w:val="24"/>
        </w:rPr>
        <w:t>10.4 变更估价</w:t>
      </w:r>
      <w:bookmarkEnd w:id="494"/>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10.4.1 变更估价原则</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关于变更估价的约定: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5" w:name="_Toc296347196"/>
      <w:bookmarkStart w:id="496" w:name="_Toc297048383"/>
      <w:bookmarkStart w:id="497" w:name="_Toc296346698"/>
      <w:bookmarkStart w:id="498" w:name="_Toc292559402"/>
      <w:bookmarkStart w:id="499" w:name="_Toc292559907"/>
      <w:bookmarkStart w:id="500" w:name="_Toc296503197"/>
      <w:bookmarkStart w:id="501" w:name="_Toc296891025"/>
      <w:bookmarkStart w:id="502" w:name="_Toc297120497"/>
      <w:bookmarkStart w:id="503" w:name="_Toc300934993"/>
      <w:bookmarkStart w:id="504" w:name="_Toc296891237"/>
      <w:bookmarkStart w:id="505" w:name="_Toc303539150"/>
      <w:bookmarkStart w:id="506" w:name="_Toc296944536"/>
      <w:bookmarkStart w:id="507" w:name="_Toc297123544"/>
      <w:bookmarkStart w:id="508" w:name="_Toc297216203"/>
      <w:bookmarkStart w:id="509" w:name="_Toc304295570"/>
      <w:bookmarkStart w:id="510" w:name="_Toc312678029"/>
      <w:bookmarkStart w:id="511" w:name="_Toc312677503"/>
      <w:r>
        <w:rPr>
          <w:rFonts w:hint="eastAsia" w:ascii="仿宋" w:hAnsi="仿宋" w:eastAsia="仿宋" w:cs="仿宋"/>
          <w:sz w:val="24"/>
        </w:rPr>
        <w:t>0.5承</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Start w:id="512" w:name="_Toc297120503"/>
      <w:bookmarkStart w:id="513" w:name="_Toc296891243"/>
      <w:bookmarkStart w:id="514" w:name="_Toc297216204"/>
      <w:bookmarkStart w:id="515" w:name="_Toc300934994"/>
      <w:bookmarkStart w:id="516" w:name="_Toc296944542"/>
      <w:bookmarkStart w:id="517" w:name="_Toc297123545"/>
      <w:bookmarkStart w:id="518" w:name="_Toc296891031"/>
      <w:bookmarkStart w:id="519" w:name="_Toc297048389"/>
      <w:bookmarkStart w:id="520" w:name="_Toc292559408"/>
      <w:bookmarkStart w:id="521" w:name="_Toc292559913"/>
      <w:bookmarkStart w:id="522" w:name="_Toc296347202"/>
      <w:bookmarkStart w:id="523" w:name="_Toc296503203"/>
      <w:bookmarkStart w:id="524" w:name="_Toc296346704"/>
      <w:bookmarkStart w:id="525" w:name="_Toc303539151"/>
      <w:r>
        <w:rPr>
          <w:rFonts w:hint="eastAsia" w:ascii="仿宋" w:hAnsi="仿宋" w:eastAsia="仿宋" w:cs="仿宋"/>
          <w:sz w:val="24"/>
        </w:rPr>
        <w:t>包人的合理化建议</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监理人审查承包人合理化建议的期限：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发包人审批承包人合理化建议的期限：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w:t>
      </w:r>
      <w:bookmarkStart w:id="526" w:name="_Toc292559409"/>
      <w:bookmarkStart w:id="527" w:name="_Toc312677504"/>
      <w:bookmarkStart w:id="528" w:name="_Toc296891244"/>
      <w:bookmarkStart w:id="529" w:name="_Toc300934995"/>
      <w:bookmarkStart w:id="530" w:name="_Toc296944543"/>
      <w:bookmarkStart w:id="531" w:name="_Toc312678030"/>
      <w:bookmarkStart w:id="532" w:name="_Toc296347203"/>
      <w:bookmarkStart w:id="533" w:name="_Toc292559914"/>
      <w:bookmarkStart w:id="534" w:name="_Toc296503204"/>
      <w:bookmarkStart w:id="535" w:name="_Toc297216205"/>
      <w:bookmarkStart w:id="536" w:name="_Toc297048390"/>
      <w:bookmarkStart w:id="537" w:name="_Toc296891032"/>
      <w:bookmarkStart w:id="538" w:name="_Toc304295571"/>
      <w:bookmarkStart w:id="539" w:name="_Toc297123546"/>
      <w:bookmarkStart w:id="540" w:name="_Toc297120504"/>
      <w:bookmarkStart w:id="541" w:name="_Toc296346705"/>
      <w:bookmarkStart w:id="542" w:name="_Toc303539152"/>
      <w:bookmarkStart w:id="543" w:name="_Toc318581175"/>
      <w:r>
        <w:rPr>
          <w:rFonts w:hint="eastAsia" w:ascii="仿宋" w:hAnsi="仿宋" w:eastAsia="仿宋" w:cs="仿宋"/>
          <w:sz w:val="24"/>
        </w:rPr>
        <w:t>包人提出的合理化建议降低了合同价格或者提高了工程经济效益的奖励的方法和金额为：</w:t>
      </w:r>
      <w:r>
        <w:rPr>
          <w:rFonts w:hint="eastAsia" w:ascii="仿宋" w:hAnsi="仿宋" w:eastAsia="仿宋" w:cs="仿宋"/>
          <w:sz w:val="24"/>
          <w:u w:val="single"/>
        </w:rPr>
        <w:t xml:space="preserve">                           </w:t>
      </w:r>
      <w:r>
        <w:rPr>
          <w:rFonts w:hint="eastAsia" w:ascii="仿宋" w:hAnsi="仿宋" w:eastAsia="仿宋" w:cs="仿宋"/>
          <w:sz w:val="24"/>
        </w:rPr>
        <w:t>。</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spacing w:line="460" w:lineRule="exact"/>
        <w:ind w:firstLine="480" w:firstLineChars="200"/>
        <w:rPr>
          <w:rFonts w:hint="eastAsia" w:ascii="仿宋" w:hAnsi="仿宋" w:eastAsia="仿宋" w:cs="仿宋"/>
          <w:sz w:val="24"/>
        </w:rPr>
      </w:pPr>
      <w:bookmarkStart w:id="544" w:name="_Toc10818"/>
      <w:r>
        <w:rPr>
          <w:rFonts w:hint="eastAsia" w:ascii="仿宋" w:hAnsi="仿宋" w:eastAsia="仿宋" w:cs="仿宋"/>
          <w:sz w:val="24"/>
        </w:rPr>
        <w:t>1</w:t>
      </w:r>
      <w:bookmarkStart w:id="545" w:name="_Toc300934997"/>
      <w:bookmarkStart w:id="546" w:name="_Toc297048385"/>
      <w:bookmarkStart w:id="547" w:name="_Toc297216207"/>
      <w:bookmarkStart w:id="548" w:name="_Toc292559404"/>
      <w:bookmarkStart w:id="549" w:name="_Toc312678033"/>
      <w:bookmarkStart w:id="550" w:name="_Toc303539154"/>
      <w:bookmarkStart w:id="551" w:name="_Toc296503199"/>
      <w:bookmarkStart w:id="552" w:name="_Toc296944538"/>
      <w:bookmarkStart w:id="553" w:name="_Toc296347198"/>
      <w:bookmarkStart w:id="554" w:name="_Toc297120499"/>
      <w:bookmarkStart w:id="555" w:name="_Toc296891239"/>
      <w:bookmarkStart w:id="556" w:name="_Toc304295574"/>
      <w:bookmarkStart w:id="557" w:name="_Toc296346700"/>
      <w:bookmarkStart w:id="558" w:name="_Toc297123548"/>
      <w:bookmarkStart w:id="559" w:name="_Toc312677507"/>
      <w:bookmarkStart w:id="560" w:name="_Toc292559909"/>
      <w:bookmarkStart w:id="561" w:name="_Toc296891027"/>
      <w:r>
        <w:rPr>
          <w:rFonts w:hint="eastAsia" w:ascii="仿宋" w:hAnsi="仿宋" w:eastAsia="仿宋" w:cs="仿宋"/>
          <w:sz w:val="24"/>
        </w:rPr>
        <w:t>0.7 暂估价</w:t>
      </w:r>
      <w:bookmarkEnd w:id="54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spacing w:line="46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暂</w:t>
      </w:r>
      <w:bookmarkStart w:id="562" w:name="_Toc312677508"/>
      <w:bookmarkStart w:id="563" w:name="_Toc312678034"/>
      <w:bookmarkStart w:id="564" w:name="_Toc318581176"/>
      <w:r>
        <w:rPr>
          <w:rFonts w:hint="eastAsia" w:ascii="仿宋" w:hAnsi="仿宋" w:eastAsia="仿宋" w:cs="仿宋"/>
          <w:kern w:val="0"/>
          <w:sz w:val="24"/>
        </w:rPr>
        <w:t>估价材料和工程设备的明细详见附件11：《</w:t>
      </w:r>
      <w:r>
        <w:rPr>
          <w:rFonts w:hint="eastAsia" w:ascii="仿宋" w:hAnsi="仿宋" w:eastAsia="仿宋" w:cs="仿宋"/>
          <w:sz w:val="24"/>
        </w:rPr>
        <w:t>暂估价一览表》</w:t>
      </w:r>
      <w:r>
        <w:rPr>
          <w:rFonts w:hint="eastAsia" w:ascii="仿宋" w:hAnsi="仿宋" w:eastAsia="仿宋" w:cs="仿宋"/>
          <w:kern w:val="0"/>
          <w:sz w:val="24"/>
        </w:rPr>
        <w:t>。</w:t>
      </w:r>
    </w:p>
    <w:bookmarkEnd w:id="562"/>
    <w:bookmarkEnd w:id="563"/>
    <w:bookmarkEnd w:id="564"/>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w:t>
      </w:r>
      <w:bookmarkStart w:id="565" w:name="_Toc318581177"/>
      <w:bookmarkStart w:id="566" w:name="_Toc312678035"/>
      <w:bookmarkStart w:id="567" w:name="_Toc312677509"/>
      <w:r>
        <w:rPr>
          <w:rFonts w:hint="eastAsia" w:ascii="仿宋" w:hAnsi="仿宋" w:eastAsia="仿宋" w:cs="仿宋"/>
          <w:sz w:val="24"/>
        </w:rPr>
        <w:t>0.7.1 依法必须招标的暂估价项目</w:t>
      </w:r>
    </w:p>
    <w:bookmarkEnd w:id="565"/>
    <w:bookmarkEnd w:id="566"/>
    <w:bookmarkEnd w:id="567"/>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w:t>
      </w:r>
      <w:r>
        <w:rPr>
          <w:rFonts w:hint="eastAsia" w:ascii="仿宋" w:hAnsi="仿宋" w:eastAsia="仿宋" w:cs="仿宋"/>
          <w:sz w:val="24"/>
        </w:rPr>
        <w:t>种方式确定。</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10.7.2 不属于依法必须招标的暂估价项目</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rPr>
        <w:t xml:space="preserve">   </w:t>
      </w:r>
      <w:r>
        <w:rPr>
          <w:rFonts w:hint="eastAsia" w:ascii="仿宋" w:hAnsi="仿宋" w:eastAsia="仿宋" w:cs="仿宋"/>
          <w:sz w:val="24"/>
        </w:rPr>
        <w:t>种方式确定。</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第3种方式：</w:t>
      </w:r>
      <w:r>
        <w:rPr>
          <w:rFonts w:hint="eastAsia" w:ascii="仿宋" w:hAnsi="仿宋" w:eastAsia="仿宋" w:cs="仿宋"/>
          <w:kern w:val="0"/>
          <w:sz w:val="24"/>
        </w:rPr>
        <w:t>承包人直接实施的暂估价项目</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承包人直接实施的暂估价项目的约定：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10.8 暂列金额</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合同当事人关于暂列金额使用的约定：</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568" w:name="_Toc24550"/>
      <w:bookmarkStart w:id="569" w:name="_Toc12423"/>
      <w:bookmarkStart w:id="570" w:name="_Toc36021970"/>
      <w:bookmarkStart w:id="571" w:name="_Toc6620"/>
      <w:bookmarkStart w:id="572" w:name="_Toc8556"/>
      <w:r>
        <w:rPr>
          <w:rFonts w:hint="eastAsia" w:ascii="仿宋" w:hAnsi="仿宋" w:eastAsia="仿宋" w:cs="仿宋"/>
          <w:sz w:val="24"/>
          <w:szCs w:val="24"/>
        </w:rPr>
        <w:t>11. 价格调整</w:t>
      </w:r>
      <w:bookmarkEnd w:id="568"/>
      <w:bookmarkEnd w:id="569"/>
      <w:bookmarkEnd w:id="570"/>
      <w:bookmarkEnd w:id="571"/>
      <w:bookmarkEnd w:id="572"/>
    </w:p>
    <w:p>
      <w:pPr>
        <w:spacing w:line="460" w:lineRule="exact"/>
        <w:ind w:firstLine="480" w:firstLineChars="200"/>
        <w:rPr>
          <w:rFonts w:hint="eastAsia" w:ascii="仿宋" w:hAnsi="仿宋" w:eastAsia="仿宋" w:cs="仿宋"/>
          <w:sz w:val="24"/>
        </w:rPr>
      </w:pPr>
      <w:bookmarkStart w:id="573" w:name="_Toc297216209"/>
      <w:bookmarkStart w:id="574" w:name="_Toc300935000"/>
      <w:bookmarkStart w:id="575" w:name="_Toc297120501"/>
      <w:bookmarkStart w:id="576" w:name="_Toc296891029"/>
      <w:bookmarkStart w:id="577" w:name="_Toc296503201"/>
      <w:bookmarkStart w:id="578" w:name="_Toc296891241"/>
      <w:bookmarkStart w:id="579" w:name="_Toc303539157"/>
      <w:bookmarkStart w:id="580" w:name="_Toc296944540"/>
      <w:bookmarkStart w:id="581" w:name="_Toc297123550"/>
      <w:bookmarkStart w:id="582" w:name="_Toc297048387"/>
      <w:bookmarkStart w:id="583" w:name="_Toc292559406"/>
      <w:bookmarkStart w:id="584" w:name="_Toc304295577"/>
      <w:bookmarkStart w:id="585" w:name="_Toc292559911"/>
      <w:bookmarkStart w:id="586" w:name="_Toc296346702"/>
      <w:bookmarkStart w:id="587" w:name="_Toc296347200"/>
      <w:bookmarkStart w:id="588" w:name="_Toc312678039"/>
      <w:r>
        <w:rPr>
          <w:rFonts w:hint="eastAsia" w:ascii="仿宋" w:hAnsi="仿宋" w:eastAsia="仿宋" w:cs="仿宋"/>
          <w:sz w:val="24"/>
        </w:rPr>
        <w:t>11.1 市场价格波动引起的调整</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Pr>
        <w:spacing w:line="46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市场价格波动是否调整合同价格的约定：否</w:t>
      </w:r>
      <w:r>
        <w:rPr>
          <w:rFonts w:hint="eastAsia" w:ascii="仿宋" w:hAnsi="仿宋" w:eastAsia="仿宋" w:cs="仿宋"/>
          <w:sz w:val="24"/>
        </w:rPr>
        <w:t>。</w:t>
      </w:r>
    </w:p>
    <w:bookmarkEnd w:id="470"/>
    <w:bookmarkEnd w:id="471"/>
    <w:bookmarkEnd w:id="472"/>
    <w:bookmarkEnd w:id="473"/>
    <w:bookmarkEnd w:id="474"/>
    <w:bookmarkEnd w:id="475"/>
    <w:p>
      <w:pPr>
        <w:pStyle w:val="5"/>
        <w:spacing w:before="0" w:after="0" w:line="460" w:lineRule="exact"/>
        <w:ind w:firstLine="482" w:firstLineChars="200"/>
        <w:rPr>
          <w:rFonts w:hint="eastAsia" w:ascii="仿宋" w:hAnsi="仿宋" w:eastAsia="仿宋" w:cs="仿宋"/>
          <w:sz w:val="24"/>
          <w:szCs w:val="24"/>
        </w:rPr>
      </w:pPr>
      <w:bookmarkStart w:id="589" w:name="_Toc296891033"/>
      <w:bookmarkStart w:id="590" w:name="_Toc296503205"/>
      <w:bookmarkStart w:id="591" w:name="_Toc297120505"/>
      <w:bookmarkStart w:id="592" w:name="_Toc297048391"/>
      <w:bookmarkStart w:id="593" w:name="_Toc296944544"/>
      <w:bookmarkStart w:id="594" w:name="_Toc292559915"/>
      <w:bookmarkStart w:id="595" w:name="_Toc296891245"/>
      <w:bookmarkStart w:id="596" w:name="_Toc296347204"/>
      <w:bookmarkStart w:id="597" w:name="_Toc292559410"/>
      <w:bookmarkStart w:id="598" w:name="_Toc296346706"/>
      <w:bookmarkStart w:id="599" w:name="_Toc26635"/>
      <w:bookmarkStart w:id="600" w:name="_Toc9823"/>
      <w:bookmarkStart w:id="601" w:name="_Toc18804"/>
      <w:bookmarkStart w:id="602" w:name="_Toc36021971"/>
      <w:bookmarkStart w:id="603" w:name="_Toc15919"/>
      <w:bookmarkStart w:id="604" w:name="_Toc300935002"/>
      <w:bookmarkStart w:id="605" w:name="_Toc304295579"/>
      <w:bookmarkStart w:id="606" w:name="_Toc312678040"/>
      <w:bookmarkStart w:id="607" w:name="_Toc297216211"/>
      <w:bookmarkStart w:id="608" w:name="_Toc303539159"/>
      <w:bookmarkStart w:id="609" w:name="_Toc297123552"/>
      <w:r>
        <w:rPr>
          <w:rFonts w:hint="eastAsia" w:ascii="仿宋" w:hAnsi="仿宋" w:eastAsia="仿宋" w:cs="仿宋"/>
          <w:sz w:val="24"/>
          <w:szCs w:val="24"/>
        </w:rPr>
        <w:t xml:space="preserve">12. </w:t>
      </w:r>
      <w:bookmarkEnd w:id="589"/>
      <w:bookmarkEnd w:id="590"/>
      <w:bookmarkEnd w:id="591"/>
      <w:bookmarkEnd w:id="592"/>
      <w:bookmarkEnd w:id="593"/>
      <w:bookmarkEnd w:id="594"/>
      <w:bookmarkEnd w:id="595"/>
      <w:bookmarkEnd w:id="596"/>
      <w:bookmarkEnd w:id="597"/>
      <w:bookmarkEnd w:id="598"/>
      <w:r>
        <w:rPr>
          <w:rFonts w:hint="eastAsia" w:ascii="仿宋" w:hAnsi="仿宋" w:eastAsia="仿宋" w:cs="仿宋"/>
          <w:sz w:val="24"/>
          <w:szCs w:val="24"/>
        </w:rPr>
        <w:t>合同价格、计量与支付</w:t>
      </w:r>
      <w:bookmarkEnd w:id="599"/>
      <w:bookmarkEnd w:id="600"/>
      <w:bookmarkEnd w:id="601"/>
      <w:bookmarkEnd w:id="602"/>
      <w:bookmarkEnd w:id="603"/>
    </w:p>
    <w:bookmarkEnd w:id="604"/>
    <w:bookmarkEnd w:id="605"/>
    <w:bookmarkEnd w:id="606"/>
    <w:bookmarkEnd w:id="607"/>
    <w:bookmarkEnd w:id="608"/>
    <w:bookmarkEnd w:id="609"/>
    <w:p>
      <w:pPr>
        <w:spacing w:line="460" w:lineRule="exact"/>
        <w:ind w:firstLine="480" w:firstLineChars="200"/>
        <w:rPr>
          <w:rFonts w:hint="eastAsia" w:ascii="仿宋" w:hAnsi="仿宋" w:eastAsia="仿宋" w:cs="仿宋"/>
          <w:sz w:val="24"/>
        </w:rPr>
      </w:pPr>
      <w:bookmarkStart w:id="610" w:name="_Toc292559916"/>
      <w:bookmarkStart w:id="611" w:name="_Toc292559411"/>
      <w:bookmarkStart w:id="612" w:name="_Toc267251461"/>
      <w:bookmarkStart w:id="613" w:name="_Toc297120506"/>
      <w:bookmarkStart w:id="614" w:name="_Toc296503206"/>
      <w:bookmarkStart w:id="615" w:name="_Toc296346707"/>
      <w:bookmarkStart w:id="616" w:name="_Toc297048392"/>
      <w:bookmarkStart w:id="617" w:name="_Toc296347205"/>
      <w:bookmarkStart w:id="618" w:name="_Toc296891034"/>
      <w:bookmarkStart w:id="619" w:name="_Toc296891246"/>
      <w:bookmarkStart w:id="620" w:name="_Toc296944545"/>
      <w:bookmarkStart w:id="621" w:name="_Toc312678041"/>
      <w:bookmarkStart w:id="622" w:name="_Toc300935003"/>
      <w:bookmarkStart w:id="623" w:name="_Toc297216212"/>
      <w:bookmarkStart w:id="624" w:name="_Toc304295580"/>
      <w:bookmarkStart w:id="625" w:name="_Toc303539160"/>
      <w:bookmarkStart w:id="626" w:name="_Toc297123553"/>
      <w:r>
        <w:rPr>
          <w:rFonts w:hint="eastAsia" w:ascii="仿宋" w:hAnsi="仿宋" w:eastAsia="仿宋" w:cs="仿宋"/>
          <w:sz w:val="24"/>
        </w:rPr>
        <w:t>12.1 合</w:t>
      </w:r>
      <w:bookmarkEnd w:id="610"/>
      <w:bookmarkEnd w:id="611"/>
      <w:bookmarkEnd w:id="612"/>
      <w:r>
        <w:rPr>
          <w:rFonts w:hint="eastAsia" w:ascii="仿宋" w:hAnsi="仿宋" w:eastAsia="仿宋" w:cs="仿宋"/>
          <w:sz w:val="24"/>
        </w:rPr>
        <w:t>同价</w:t>
      </w:r>
      <w:bookmarkEnd w:id="613"/>
      <w:bookmarkEnd w:id="614"/>
      <w:bookmarkEnd w:id="615"/>
      <w:bookmarkEnd w:id="616"/>
      <w:bookmarkEnd w:id="617"/>
      <w:bookmarkEnd w:id="618"/>
      <w:bookmarkEnd w:id="619"/>
      <w:bookmarkEnd w:id="620"/>
      <w:r>
        <w:rPr>
          <w:rFonts w:hint="eastAsia" w:ascii="仿宋" w:hAnsi="仿宋" w:eastAsia="仿宋" w:cs="仿宋"/>
          <w:sz w:val="24"/>
        </w:rPr>
        <w:t>格形式</w:t>
      </w:r>
    </w:p>
    <w:bookmarkEnd w:id="621"/>
    <w:bookmarkEnd w:id="622"/>
    <w:bookmarkEnd w:id="623"/>
    <w:bookmarkEnd w:id="624"/>
    <w:bookmarkEnd w:id="625"/>
    <w:bookmarkEnd w:id="626"/>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1、单价合同。</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综合单价包含的风险范围：</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风险费用的计算方法：</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风险范围以外合同价格的调整方法：</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2、总价合同。</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总价包含的风险范围：</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风险费用的计算方法：</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风险范围以外合同价格的调整方法：</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3、其他价格方式：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627" w:name="_Toc297216213"/>
      <w:bookmarkStart w:id="628" w:name="_Toc304295581"/>
      <w:bookmarkStart w:id="629" w:name="_Toc300935004"/>
      <w:bookmarkStart w:id="630" w:name="_Toc297123554"/>
      <w:bookmarkStart w:id="631" w:name="_Toc312678042"/>
      <w:bookmarkStart w:id="632" w:name="_Toc303539161"/>
      <w:bookmarkStart w:id="633" w:name="_Toc296503207"/>
      <w:bookmarkStart w:id="634" w:name="_Toc296944546"/>
      <w:bookmarkStart w:id="635" w:name="_Toc296347206"/>
      <w:bookmarkStart w:id="636" w:name="_Toc296891247"/>
      <w:bookmarkStart w:id="637" w:name="_Toc292559412"/>
      <w:bookmarkStart w:id="638" w:name="_Toc292559917"/>
      <w:bookmarkStart w:id="639" w:name="_Toc296346708"/>
      <w:bookmarkStart w:id="640" w:name="_Toc296891035"/>
      <w:bookmarkStart w:id="641" w:name="_Toc297120507"/>
      <w:bookmarkStart w:id="642" w:name="_Toc297048393"/>
      <w:r>
        <w:rPr>
          <w:rFonts w:hint="eastAsia" w:ascii="仿宋" w:hAnsi="仿宋" w:eastAsia="仿宋" w:cs="仿宋"/>
          <w:sz w:val="24"/>
        </w:rPr>
        <w:t>12.2 预付款</w:t>
      </w:r>
    </w:p>
    <w:bookmarkEnd w:id="627"/>
    <w:bookmarkEnd w:id="628"/>
    <w:bookmarkEnd w:id="629"/>
    <w:bookmarkEnd w:id="630"/>
    <w:bookmarkEnd w:id="631"/>
    <w:bookmarkEnd w:id="632"/>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12.2.1 预付款的支付</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预付款支付比例或金额：</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预付款支付期限：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预付款扣回的方式：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12.2.2 预付款担保</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承包人提交预付款担保的期限：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预付款担保的形式为：</w:t>
      </w:r>
      <w:r>
        <w:rPr>
          <w:rFonts w:hint="eastAsia" w:ascii="仿宋" w:hAnsi="仿宋" w:eastAsia="仿宋" w:cs="仿宋"/>
          <w:sz w:val="24"/>
          <w:u w:val="single"/>
        </w:rPr>
        <w:t xml:space="preserve">                           </w:t>
      </w:r>
      <w:r>
        <w:rPr>
          <w:rFonts w:hint="eastAsia" w:ascii="仿宋" w:hAnsi="仿宋" w:eastAsia="仿宋" w:cs="仿宋"/>
          <w:sz w:val="24"/>
        </w:rPr>
        <w:t>。</w:t>
      </w:r>
    </w:p>
    <w:bookmarkEnd w:id="633"/>
    <w:bookmarkEnd w:id="634"/>
    <w:bookmarkEnd w:id="635"/>
    <w:bookmarkEnd w:id="636"/>
    <w:bookmarkEnd w:id="637"/>
    <w:bookmarkEnd w:id="638"/>
    <w:bookmarkEnd w:id="639"/>
    <w:bookmarkEnd w:id="640"/>
    <w:bookmarkEnd w:id="641"/>
    <w:bookmarkEnd w:id="642"/>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12.3 计量</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12.3.1 计量原则</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工程量计算规则：</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12.3.2 计量周期</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关于计量周期的约定：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12.3.3 单价合同的计量</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关于单价合同计量的约定：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12.3.4 总价合同的计量</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关于总价合同计量的约定：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12.3.5总价合同采用支付分解表计量支付的，是否适用第</w:t>
      </w:r>
      <w:r>
        <w:rPr>
          <w:rFonts w:hint="eastAsia" w:ascii="仿宋" w:hAnsi="仿宋" w:eastAsia="仿宋" w:cs="仿宋"/>
          <w:kern w:val="0"/>
          <w:sz w:val="24"/>
        </w:rPr>
        <w:t xml:space="preserve">12.3.4 </w:t>
      </w:r>
      <w:r>
        <w:rPr>
          <w:rFonts w:hint="eastAsia" w:ascii="仿宋" w:hAnsi="仿宋" w:eastAsia="仿宋" w:cs="仿宋"/>
          <w:sz w:val="24"/>
        </w:rPr>
        <w:t>项</w:t>
      </w:r>
      <w:r>
        <w:rPr>
          <w:rFonts w:hint="eastAsia" w:ascii="仿宋" w:hAnsi="仿宋" w:eastAsia="仿宋" w:cs="仿宋"/>
          <w:kern w:val="0"/>
          <w:sz w:val="24"/>
        </w:rPr>
        <w:t>〔总价合同的计量〕</w:t>
      </w:r>
      <w:r>
        <w:rPr>
          <w:rFonts w:hint="eastAsia" w:ascii="仿宋" w:hAnsi="仿宋" w:eastAsia="仿宋" w:cs="仿宋"/>
          <w:sz w:val="24"/>
        </w:rPr>
        <w:t>约定进行计量：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12.3.6 其他价格形式合同的计量</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其他价格形式的计量方式和程序：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12.4 工程进度款支付</w:t>
      </w:r>
    </w:p>
    <w:p>
      <w:pPr>
        <w:spacing w:line="460" w:lineRule="exact"/>
        <w:ind w:firstLine="480" w:firstLineChars="200"/>
        <w:jc w:val="left"/>
        <w:rPr>
          <w:rFonts w:hint="eastAsia" w:ascii="仿宋" w:hAnsi="仿宋" w:eastAsia="仿宋" w:cs="仿宋"/>
          <w:sz w:val="24"/>
        </w:rPr>
      </w:pPr>
      <w:bookmarkStart w:id="643" w:name="_Toc297123556"/>
      <w:bookmarkStart w:id="644" w:name="_Toc296891251"/>
      <w:bookmarkStart w:id="645" w:name="_Toc297048397"/>
      <w:bookmarkStart w:id="646" w:name="_Toc300935006"/>
      <w:bookmarkStart w:id="647" w:name="_Toc296346712"/>
      <w:bookmarkStart w:id="648" w:name="_Toc296891039"/>
      <w:bookmarkStart w:id="649" w:name="_Toc297216215"/>
      <w:bookmarkStart w:id="650" w:name="_Toc296503211"/>
      <w:bookmarkStart w:id="651" w:name="_Toc297120511"/>
      <w:bookmarkStart w:id="652" w:name="_Toc292559416"/>
      <w:bookmarkStart w:id="653" w:name="_Toc292559921"/>
      <w:bookmarkStart w:id="654" w:name="_Toc296944550"/>
      <w:bookmarkStart w:id="655" w:name="_Toc303539163"/>
      <w:bookmarkStart w:id="656" w:name="_Toc296347210"/>
      <w:r>
        <w:rPr>
          <w:rFonts w:hint="eastAsia" w:ascii="仿宋" w:hAnsi="仿宋" w:eastAsia="仿宋" w:cs="仿宋"/>
          <w:sz w:val="24"/>
        </w:rPr>
        <w:t>12.4.1 付款周期</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关于付款周期的约定：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12.4.2 进度付款申请单的编制</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关于进度付款申请单编制的约定：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rFonts w:hint="eastAsia" w:ascii="仿宋" w:hAnsi="仿宋" w:eastAsia="仿宋" w:cs="仿宋"/>
          <w:sz w:val="24"/>
        </w:rPr>
        <w:t>2.4.3 进度付款申请单的提交</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（1）单价合同进度付款申请单提交的约定：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（2）总价合同进度付款申请单提交的约定：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（3）其他价格形式合同进度付款申请单提交的约定：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12.4.4 进度款审核和支付</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（1）监理人审查并报送发包人的期限：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发包人完成审批并签发进度款支付证书的期限：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（2）发包人支付进度款的期限：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发包人逾期支付进度款的违约金的计算方式：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12.4.6 支付分解表的编制</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2、总价合同支付分解表的编制与审批：</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3、单价合同的总价项目支付分解表的编制与审批：</w:t>
      </w:r>
      <w:r>
        <w:rPr>
          <w:rFonts w:hint="eastAsia" w:ascii="仿宋" w:hAnsi="仿宋" w:eastAsia="仿宋" w:cs="仿宋"/>
          <w:sz w:val="24"/>
          <w:u w:val="single"/>
        </w:rPr>
        <w:t xml:space="preserve">                           </w:t>
      </w:r>
      <w:r>
        <w:rPr>
          <w:rFonts w:hint="eastAsia" w:ascii="仿宋" w:hAnsi="仿宋" w:eastAsia="仿宋" w:cs="仿宋"/>
          <w:sz w:val="24"/>
        </w:rPr>
        <w:t>。</w:t>
      </w:r>
    </w:p>
    <w:bookmarkEnd w:id="476"/>
    <w:p>
      <w:pPr>
        <w:pStyle w:val="5"/>
        <w:spacing w:before="0" w:after="0" w:line="460" w:lineRule="exact"/>
        <w:ind w:firstLine="482" w:firstLineChars="200"/>
        <w:rPr>
          <w:rFonts w:hint="eastAsia" w:ascii="仿宋" w:hAnsi="仿宋" w:eastAsia="仿宋" w:cs="仿宋"/>
          <w:sz w:val="24"/>
          <w:szCs w:val="24"/>
        </w:rPr>
      </w:pPr>
      <w:bookmarkStart w:id="657" w:name="_Toc36021972"/>
      <w:bookmarkStart w:id="658" w:name="_Toc32647"/>
      <w:bookmarkStart w:id="659" w:name="_Toc3768"/>
      <w:bookmarkStart w:id="660" w:name="_Toc2015"/>
      <w:bookmarkStart w:id="661" w:name="_Toc9588"/>
      <w:bookmarkStart w:id="662" w:name="_Toc300935015"/>
      <w:bookmarkStart w:id="663" w:name="_Toc296503219"/>
      <w:bookmarkStart w:id="664" w:name="_Toc292559424"/>
      <w:bookmarkStart w:id="665" w:name="_Toc312678053"/>
      <w:bookmarkStart w:id="666" w:name="_Toc296346720"/>
      <w:bookmarkStart w:id="667" w:name="_Toc304295593"/>
      <w:bookmarkStart w:id="668" w:name="_Toc297216223"/>
      <w:bookmarkStart w:id="669" w:name="_Toc296944558"/>
      <w:bookmarkStart w:id="670" w:name="_Toc297123564"/>
      <w:bookmarkStart w:id="671" w:name="_Toc297048405"/>
      <w:bookmarkStart w:id="672" w:name="_Toc296891259"/>
      <w:bookmarkStart w:id="673" w:name="_Toc303539172"/>
      <w:bookmarkStart w:id="674" w:name="_Toc292559929"/>
      <w:bookmarkStart w:id="675" w:name="_Toc296347218"/>
      <w:bookmarkStart w:id="676" w:name="_Toc296891047"/>
      <w:bookmarkStart w:id="677" w:name="_Toc297120519"/>
      <w:r>
        <w:rPr>
          <w:rFonts w:hint="eastAsia" w:ascii="仿宋" w:hAnsi="仿宋" w:eastAsia="仿宋" w:cs="仿宋"/>
          <w:sz w:val="24"/>
          <w:szCs w:val="24"/>
        </w:rPr>
        <w:t>13. 验收和工程试车</w:t>
      </w:r>
      <w:bookmarkEnd w:id="657"/>
      <w:bookmarkEnd w:id="658"/>
      <w:bookmarkEnd w:id="659"/>
      <w:bookmarkEnd w:id="660"/>
      <w:bookmarkEnd w:id="661"/>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13.1 分部分项工程验收</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13.1.2监理人不能按时进行验收时，应提前</w:t>
      </w:r>
      <w:r>
        <w:rPr>
          <w:rFonts w:hint="eastAsia" w:ascii="仿宋" w:hAnsi="仿宋" w:eastAsia="仿宋" w:cs="仿宋"/>
          <w:sz w:val="24"/>
          <w:u w:val="single"/>
        </w:rPr>
        <w:t xml:space="preserve">   </w:t>
      </w:r>
      <w:r>
        <w:rPr>
          <w:rFonts w:hint="eastAsia" w:ascii="仿宋" w:hAnsi="仿宋" w:eastAsia="仿宋" w:cs="仿宋"/>
          <w:sz w:val="24"/>
        </w:rPr>
        <w:t>小时提交书面延期要求。</w:t>
      </w:r>
    </w:p>
    <w:p>
      <w:pPr>
        <w:spacing w:line="460" w:lineRule="exact"/>
        <w:ind w:firstLine="480" w:firstLineChars="200"/>
        <w:jc w:val="left"/>
        <w:rPr>
          <w:rFonts w:hint="eastAsia" w:ascii="仿宋" w:hAnsi="仿宋" w:eastAsia="仿宋" w:cs="仿宋"/>
          <w:b/>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w:t>
      </w:r>
      <w:r>
        <w:rPr>
          <w:rFonts w:hint="eastAsia" w:ascii="仿宋" w:hAnsi="仿宋" w:eastAsia="仿宋" w:cs="仿宋"/>
          <w:sz w:val="24"/>
        </w:rPr>
        <w:t>小时。</w:t>
      </w:r>
    </w:p>
    <w:p>
      <w:pPr>
        <w:spacing w:line="460" w:lineRule="exact"/>
        <w:ind w:firstLine="480" w:firstLineChars="200"/>
        <w:rPr>
          <w:rFonts w:hint="eastAsia" w:ascii="仿宋" w:hAnsi="仿宋" w:eastAsia="仿宋" w:cs="仿宋"/>
          <w:sz w:val="24"/>
        </w:rPr>
      </w:pPr>
      <w:bookmarkStart w:id="678" w:name="_Toc300935016"/>
      <w:bookmarkStart w:id="679" w:name="_Toc304295596"/>
      <w:bookmarkStart w:id="680" w:name="_Toc296346724"/>
      <w:bookmarkStart w:id="681" w:name="_Toc297123565"/>
      <w:bookmarkStart w:id="682" w:name="_Toc296347222"/>
      <w:bookmarkStart w:id="683" w:name="_Toc296891263"/>
      <w:bookmarkStart w:id="684" w:name="_Toc297120523"/>
      <w:bookmarkStart w:id="685" w:name="_Toc312678056"/>
      <w:bookmarkStart w:id="686" w:name="_Toc297048409"/>
      <w:bookmarkStart w:id="687" w:name="_Toc296891051"/>
      <w:bookmarkStart w:id="688" w:name="_Toc292559933"/>
      <w:bookmarkStart w:id="689" w:name="_Toc297216224"/>
      <w:bookmarkStart w:id="690" w:name="_Toc296503223"/>
      <w:bookmarkStart w:id="691" w:name="_Toc303539173"/>
      <w:bookmarkStart w:id="692" w:name="_Toc296944562"/>
      <w:bookmarkStart w:id="693" w:name="_Toc292559428"/>
      <w:bookmarkStart w:id="694" w:name="_Toc267251470"/>
      <w:bookmarkStart w:id="695" w:name="_Toc267251476"/>
      <w:bookmarkStart w:id="696" w:name="_Toc267251474"/>
      <w:bookmarkStart w:id="697" w:name="_Toc267251472"/>
      <w:bookmarkStart w:id="698" w:name="_Toc267251475"/>
      <w:bookmarkStart w:id="699" w:name="_Toc267251471"/>
      <w:bookmarkStart w:id="700" w:name="_Toc267251473"/>
      <w:r>
        <w:rPr>
          <w:rFonts w:hint="eastAsia" w:ascii="仿宋" w:hAnsi="仿宋" w:eastAsia="仿宋" w:cs="仿宋"/>
          <w:sz w:val="24"/>
        </w:rPr>
        <w:t>13.2 竣工验收</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Pr>
        <w:spacing w:line="460" w:lineRule="exact"/>
        <w:ind w:firstLine="480" w:firstLineChars="200"/>
        <w:jc w:val="left"/>
        <w:rPr>
          <w:rFonts w:hint="eastAsia" w:ascii="仿宋" w:hAnsi="仿宋" w:eastAsia="仿宋" w:cs="仿宋"/>
          <w:sz w:val="24"/>
        </w:rPr>
      </w:pPr>
      <w:bookmarkStart w:id="701" w:name="_Toc280868704"/>
      <w:bookmarkStart w:id="702" w:name="_Toc280868705"/>
      <w:bookmarkStart w:id="703" w:name="_Toc280868706"/>
      <w:bookmarkStart w:id="704" w:name="_Toc280868707"/>
      <w:bookmarkStart w:id="705" w:name="_Toc280868708"/>
      <w:bookmarkStart w:id="706" w:name="_Toc280868709"/>
      <w:r>
        <w:rPr>
          <w:rFonts w:hint="eastAsia" w:ascii="仿宋" w:hAnsi="仿宋" w:eastAsia="仿宋" w:cs="仿宋"/>
          <w:sz w:val="24"/>
        </w:rPr>
        <w:t>13.2.2竣工验收程序</w:t>
      </w:r>
    </w:p>
    <w:bookmarkEnd w:id="701"/>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关于竣工验收程序的约定：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发包人不按照本项约定组织竣工验收、颁发工程接收证书的违约金的计算方法：</w:t>
      </w:r>
      <w:r>
        <w:rPr>
          <w:rFonts w:hint="eastAsia" w:ascii="仿宋" w:hAnsi="仿宋" w:eastAsia="仿宋" w:cs="仿宋"/>
          <w:sz w:val="24"/>
          <w:u w:val="single"/>
        </w:rPr>
        <w:t xml:space="preserve">    </w:t>
      </w:r>
      <w:r>
        <w:rPr>
          <w:rFonts w:hint="eastAsia" w:ascii="仿宋" w:hAnsi="仿宋" w:eastAsia="仿宋" w:cs="仿宋"/>
          <w:sz w:val="24"/>
        </w:rPr>
        <w:t>。</w:t>
      </w:r>
    </w:p>
    <w:bookmarkEnd w:id="702"/>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13.2.5移交、接收全部与部分工程</w:t>
      </w:r>
    </w:p>
    <w:bookmarkEnd w:id="703"/>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承包人向发包人移交工程的期限：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发包人未按本合同约定接收全部或部分工程的，违约金的计算方法为：</w:t>
      </w:r>
      <w:r>
        <w:rPr>
          <w:rFonts w:hint="eastAsia" w:ascii="仿宋" w:hAnsi="仿宋" w:eastAsia="仿宋" w:cs="仿宋"/>
          <w:sz w:val="24"/>
          <w:u w:val="single"/>
        </w:rPr>
        <w:t xml:space="preserve">           </w:t>
      </w:r>
      <w:r>
        <w:rPr>
          <w:rFonts w:hint="eastAsia" w:ascii="仿宋" w:hAnsi="仿宋" w:eastAsia="仿宋" w:cs="仿宋"/>
          <w:sz w:val="24"/>
        </w:rPr>
        <w:t>。</w:t>
      </w:r>
    </w:p>
    <w:bookmarkEnd w:id="704"/>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承包人未按时移交工程的，违约金的计算方法为：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13.3 工程试车</w:t>
      </w:r>
    </w:p>
    <w:bookmarkEnd w:id="705"/>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13.3.1 试车程序</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工程试车内容：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（1）单机无负荷试车费用由</w:t>
      </w:r>
      <w:r>
        <w:rPr>
          <w:rFonts w:hint="eastAsia" w:ascii="仿宋" w:hAnsi="仿宋" w:eastAsia="仿宋" w:cs="仿宋"/>
          <w:kern w:val="0"/>
          <w:sz w:val="24"/>
          <w:u w:val="single"/>
        </w:rPr>
        <w:t xml:space="preserve">    </w:t>
      </w:r>
      <w:r>
        <w:rPr>
          <w:rFonts w:hint="eastAsia" w:ascii="仿宋" w:hAnsi="仿宋" w:eastAsia="仿宋" w:cs="仿宋"/>
          <w:kern w:val="0"/>
          <w:sz w:val="24"/>
        </w:rPr>
        <w:t>承担；</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（2）无负荷联动试车费用由</w:t>
      </w:r>
      <w:r>
        <w:rPr>
          <w:rFonts w:hint="eastAsia" w:ascii="仿宋" w:hAnsi="仿宋" w:eastAsia="仿宋" w:cs="仿宋"/>
          <w:kern w:val="0"/>
          <w:sz w:val="24"/>
          <w:u w:val="single"/>
        </w:rPr>
        <w:t xml:space="preserve">    </w:t>
      </w:r>
      <w:r>
        <w:rPr>
          <w:rFonts w:hint="eastAsia" w:ascii="仿宋" w:hAnsi="仿宋" w:eastAsia="仿宋" w:cs="仿宋"/>
          <w:kern w:val="0"/>
          <w:sz w:val="24"/>
        </w:rPr>
        <w:t>承担。</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13.3.3 投料试车</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关于投料试车相关事项的约定：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07" w:name="_Toc28273"/>
      <w:r>
        <w:rPr>
          <w:rFonts w:hint="eastAsia" w:ascii="仿宋" w:hAnsi="仿宋" w:eastAsia="仿宋" w:cs="仿宋"/>
          <w:sz w:val="24"/>
        </w:rPr>
        <w:t>13.6 竣工退场</w:t>
      </w:r>
      <w:bookmarkEnd w:id="707"/>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13.6.1 竣工退场</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承包人完成竣工退场的期限：</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708" w:name="_Toc13619"/>
      <w:bookmarkStart w:id="709" w:name="_Toc36021973"/>
      <w:bookmarkStart w:id="710" w:name="_Toc16363"/>
      <w:bookmarkStart w:id="711" w:name="_Toc19974"/>
      <w:bookmarkStart w:id="712" w:name="_Toc32187"/>
      <w:r>
        <w:rPr>
          <w:rFonts w:hint="eastAsia" w:ascii="仿宋" w:hAnsi="仿宋" w:eastAsia="仿宋" w:cs="仿宋"/>
          <w:sz w:val="24"/>
          <w:szCs w:val="24"/>
        </w:rPr>
        <w:t>14. 竣工结算</w:t>
      </w:r>
      <w:bookmarkEnd w:id="708"/>
      <w:bookmarkEnd w:id="709"/>
      <w:bookmarkEnd w:id="710"/>
      <w:bookmarkEnd w:id="711"/>
      <w:bookmarkEnd w:id="712"/>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14.1 竣工结算申请</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承包人提交竣工结算申请单的期限：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竣工结算申请单应包括的内容：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13" w:name="_Toc1905"/>
      <w:r>
        <w:rPr>
          <w:rFonts w:hint="eastAsia" w:ascii="仿宋" w:hAnsi="仿宋" w:eastAsia="仿宋" w:cs="仿宋"/>
          <w:sz w:val="24"/>
        </w:rPr>
        <w:t>14.2 竣工结算审核</w:t>
      </w:r>
      <w:bookmarkEnd w:id="713"/>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发包人审批竣工付款申请单的期限：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发包人完成竣工付款的期限：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关于竣工付款证书异议部分复核的方式和程序：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14.4 最终结清</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14.4.1 最终结清申请单</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承包人提交最终结清申请单的份数：</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承包人提交最终结算申请单的期限：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14.4.2 最终结清证书和支付</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（1）发包人完成最终结清申请单的审批并颁发最终结清证书的期限：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（2）发包人完成支付的期限：</w:t>
      </w:r>
      <w:r>
        <w:rPr>
          <w:rFonts w:hint="eastAsia" w:ascii="仿宋" w:hAnsi="仿宋" w:eastAsia="仿宋" w:cs="仿宋"/>
          <w:sz w:val="24"/>
          <w:u w:val="single"/>
        </w:rPr>
        <w:t xml:space="preserve">                           </w:t>
      </w:r>
      <w:r>
        <w:rPr>
          <w:rFonts w:hint="eastAsia" w:ascii="仿宋" w:hAnsi="仿宋" w:eastAsia="仿宋" w:cs="仿宋"/>
          <w:sz w:val="24"/>
        </w:rPr>
        <w:t>。</w:t>
      </w:r>
    </w:p>
    <w:bookmarkEnd w:id="694"/>
    <w:bookmarkEnd w:id="695"/>
    <w:bookmarkEnd w:id="696"/>
    <w:bookmarkEnd w:id="697"/>
    <w:bookmarkEnd w:id="698"/>
    <w:bookmarkEnd w:id="699"/>
    <w:bookmarkEnd w:id="700"/>
    <w:bookmarkEnd w:id="706"/>
    <w:p>
      <w:pPr>
        <w:pStyle w:val="5"/>
        <w:spacing w:before="0" w:after="0" w:line="460" w:lineRule="exact"/>
        <w:ind w:firstLine="482" w:firstLineChars="200"/>
        <w:rPr>
          <w:rFonts w:hint="eastAsia" w:ascii="仿宋" w:hAnsi="仿宋" w:eastAsia="仿宋" w:cs="仿宋"/>
          <w:sz w:val="24"/>
          <w:szCs w:val="24"/>
        </w:rPr>
      </w:pPr>
      <w:bookmarkStart w:id="714" w:name="_Toc9439"/>
      <w:bookmarkStart w:id="715" w:name="_Toc36021974"/>
      <w:bookmarkStart w:id="716" w:name="_Toc15042"/>
      <w:bookmarkStart w:id="717" w:name="_Toc9969"/>
      <w:bookmarkStart w:id="718" w:name="_Toc30098"/>
      <w:bookmarkStart w:id="719" w:name="_Toc267251483"/>
      <w:bookmarkStart w:id="720" w:name="_Toc267251484"/>
      <w:bookmarkStart w:id="721" w:name="_Toc267251482"/>
      <w:bookmarkStart w:id="722" w:name="_Toc267251485"/>
      <w:bookmarkStart w:id="723" w:name="_Toc267251488"/>
      <w:bookmarkStart w:id="724" w:name="_Toc267251489"/>
      <w:bookmarkStart w:id="725" w:name="_Toc267251486"/>
      <w:bookmarkStart w:id="726" w:name="_Toc267251490"/>
      <w:bookmarkStart w:id="727" w:name="_Toc267251498"/>
      <w:bookmarkStart w:id="728" w:name="_Toc267251493"/>
      <w:bookmarkStart w:id="729" w:name="_Toc267251494"/>
      <w:bookmarkStart w:id="730" w:name="_Toc267251499"/>
      <w:bookmarkStart w:id="731" w:name="_Toc267251497"/>
      <w:bookmarkStart w:id="732" w:name="_Toc267251495"/>
      <w:bookmarkStart w:id="733" w:name="_Toc267251492"/>
      <w:bookmarkStart w:id="734" w:name="_Toc267251491"/>
      <w:bookmarkStart w:id="735" w:name="_Toc267251503"/>
      <w:bookmarkStart w:id="736" w:name="_Toc267251496"/>
      <w:bookmarkStart w:id="737" w:name="_Toc267251501"/>
      <w:bookmarkStart w:id="738" w:name="_Toc267251502"/>
      <w:bookmarkStart w:id="739" w:name="_Toc267251504"/>
      <w:bookmarkStart w:id="740" w:name="_Toc267251506"/>
      <w:bookmarkStart w:id="741" w:name="_Toc267251507"/>
      <w:bookmarkStart w:id="742" w:name="_Toc267251508"/>
      <w:bookmarkStart w:id="743" w:name="_Toc267251514"/>
      <w:bookmarkStart w:id="744" w:name="_Toc267251515"/>
      <w:bookmarkStart w:id="745" w:name="_Toc267251513"/>
      <w:bookmarkStart w:id="746" w:name="_Toc267251510"/>
      <w:bookmarkStart w:id="747" w:name="_Toc267251509"/>
      <w:bookmarkStart w:id="748" w:name="_Toc267251511"/>
      <w:r>
        <w:rPr>
          <w:rFonts w:hint="eastAsia" w:ascii="仿宋" w:hAnsi="仿宋" w:eastAsia="仿宋" w:cs="仿宋"/>
          <w:sz w:val="24"/>
          <w:szCs w:val="24"/>
        </w:rPr>
        <w:t>15. 缺陷责任期与保修</w:t>
      </w:r>
      <w:bookmarkEnd w:id="714"/>
      <w:bookmarkEnd w:id="715"/>
      <w:bookmarkEnd w:id="716"/>
      <w:bookmarkEnd w:id="717"/>
      <w:bookmarkEnd w:id="718"/>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15.2缺陷责任期</w:t>
      </w:r>
      <w:bookmarkEnd w:id="719"/>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缺陷责任期的具体期限：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49" w:name="_Toc2532"/>
      <w:r>
        <w:rPr>
          <w:rFonts w:hint="eastAsia" w:ascii="仿宋" w:hAnsi="仿宋" w:eastAsia="仿宋" w:cs="仿宋"/>
          <w:sz w:val="24"/>
        </w:rPr>
        <w:t>15.3 质量保证金</w:t>
      </w:r>
      <w:bookmarkEnd w:id="749"/>
    </w:p>
    <w:p>
      <w:pPr>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关于是否扣留质量保证金的约定：</w:t>
      </w:r>
      <w:r>
        <w:rPr>
          <w:rFonts w:hint="eastAsia" w:ascii="仿宋" w:hAnsi="仿宋" w:eastAsia="仿宋" w:cs="仿宋"/>
          <w:sz w:val="24"/>
          <w:u w:val="single"/>
        </w:rPr>
        <w:t xml:space="preserve">                </w:t>
      </w:r>
      <w:r>
        <w:rPr>
          <w:rFonts w:hint="eastAsia" w:ascii="仿宋" w:hAnsi="仿宋" w:eastAsia="仿宋" w:cs="仿宋"/>
          <w:sz w:val="24"/>
        </w:rPr>
        <w:t>。在工程项目竣工前，承包人按专用合同条款第3.7条提供履约担保的，发包人不得同时预留工程质量保证金。</w:t>
      </w:r>
    </w:p>
    <w:p>
      <w:pPr>
        <w:spacing w:line="460" w:lineRule="exact"/>
        <w:ind w:firstLine="480" w:firstLineChars="200"/>
        <w:rPr>
          <w:rFonts w:hint="eastAsia" w:ascii="仿宋" w:hAnsi="仿宋" w:eastAsia="仿宋" w:cs="仿宋"/>
          <w:sz w:val="24"/>
        </w:rPr>
      </w:pPr>
      <w:bookmarkStart w:id="750" w:name="_Toc4591"/>
      <w:r>
        <w:rPr>
          <w:rFonts w:hint="eastAsia" w:ascii="仿宋" w:hAnsi="仿宋" w:eastAsia="仿宋" w:cs="仿宋"/>
          <w:sz w:val="24"/>
        </w:rPr>
        <w:t>15.3.1 承包人提供质量保证金的方式</w:t>
      </w:r>
      <w:bookmarkEnd w:id="750"/>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质量保证金采用以下第种方式：</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（1）质量保证金保函，保证金额为：</w:t>
      </w:r>
      <w:r>
        <w:rPr>
          <w:rFonts w:hint="eastAsia" w:ascii="仿宋" w:hAnsi="仿宋" w:eastAsia="仿宋" w:cs="仿宋"/>
          <w:sz w:val="24"/>
          <w:u w:val="single"/>
        </w:rPr>
        <w:t xml:space="preserve">                           </w:t>
      </w:r>
      <w:r>
        <w:rPr>
          <w:rFonts w:hint="eastAsia" w:ascii="仿宋" w:hAnsi="仿宋" w:eastAsia="仿宋" w:cs="仿宋"/>
          <w:kern w:val="0"/>
          <w:sz w:val="24"/>
        </w:rPr>
        <w:t xml:space="preserve">； </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 xml:space="preserve">   </w:t>
      </w:r>
      <w:r>
        <w:rPr>
          <w:rFonts w:hint="eastAsia" w:ascii="仿宋" w:hAnsi="仿宋" w:eastAsia="仿宋" w:cs="仿宋"/>
          <w:kern w:val="0"/>
          <w:sz w:val="24"/>
        </w:rPr>
        <w:t>%的工程款；</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（3）其他方式: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51" w:name="_Toc18280"/>
      <w:r>
        <w:rPr>
          <w:rFonts w:hint="eastAsia" w:ascii="仿宋" w:hAnsi="仿宋" w:eastAsia="仿宋" w:cs="仿宋"/>
          <w:sz w:val="24"/>
        </w:rPr>
        <w:t>15.3.2 质量保证金的扣留</w:t>
      </w:r>
      <w:bookmarkEnd w:id="751"/>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质量保证金的扣留采取以下第</w:t>
      </w:r>
      <w:r>
        <w:rPr>
          <w:rFonts w:hint="eastAsia" w:ascii="仿宋" w:hAnsi="仿宋" w:eastAsia="仿宋" w:cs="仿宋"/>
          <w:sz w:val="24"/>
          <w:u w:val="single"/>
        </w:rPr>
        <w:t xml:space="preserve">  </w:t>
      </w:r>
      <w:r>
        <w:rPr>
          <w:rFonts w:hint="eastAsia" w:ascii="仿宋" w:hAnsi="仿宋" w:eastAsia="仿宋" w:cs="仿宋"/>
          <w:sz w:val="24"/>
        </w:rPr>
        <w:t>种方式：</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（1）在支付工程进度款时逐次扣留，在此情形下，质量保证金的计算基数不包括预付款的支付、扣回以及价格调整的金额；</w:t>
      </w:r>
    </w:p>
    <w:p>
      <w:pPr>
        <w:spacing w:line="460" w:lineRule="exact"/>
        <w:ind w:firstLine="480" w:firstLineChars="200"/>
        <w:rPr>
          <w:rFonts w:hint="eastAsia" w:ascii="仿宋" w:hAnsi="仿宋" w:eastAsia="仿宋" w:cs="仿宋"/>
          <w:sz w:val="24"/>
        </w:rPr>
      </w:pPr>
      <w:bookmarkStart w:id="752" w:name="_Toc29796"/>
      <w:r>
        <w:rPr>
          <w:rFonts w:hint="eastAsia" w:ascii="仿宋" w:hAnsi="仿宋" w:eastAsia="仿宋" w:cs="仿宋"/>
          <w:sz w:val="24"/>
        </w:rPr>
        <w:t>（2）工程竣工结算时一次性扣留质量保证金；</w:t>
      </w:r>
      <w:bookmarkEnd w:id="752"/>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（3）其他扣留方式:</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关于质量保证金的补充约定：</w:t>
      </w:r>
      <w:r>
        <w:rPr>
          <w:rFonts w:hint="eastAsia" w:ascii="仿宋" w:hAnsi="仿宋" w:eastAsia="仿宋" w:cs="仿宋"/>
          <w:sz w:val="24"/>
          <w:u w:val="single"/>
        </w:rPr>
        <w:t xml:space="preserve">                           </w:t>
      </w:r>
      <w:r>
        <w:rPr>
          <w:rFonts w:hint="eastAsia" w:ascii="仿宋" w:hAnsi="仿宋" w:eastAsia="仿宋" w:cs="仿宋"/>
          <w:sz w:val="24"/>
        </w:rPr>
        <w:t>。</w:t>
      </w:r>
    </w:p>
    <w:bookmarkEnd w:id="720"/>
    <w:bookmarkEnd w:id="721"/>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15.4保修</w:t>
      </w:r>
    </w:p>
    <w:bookmarkEnd w:id="722"/>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15.4.1 保修责任</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工程保修期为：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15.4.3 修复通知</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承包人收到保修通知并到达工程现场的合理时间：</w:t>
      </w:r>
      <w:r>
        <w:rPr>
          <w:rFonts w:hint="eastAsia" w:ascii="仿宋" w:hAnsi="仿宋" w:eastAsia="仿宋" w:cs="仿宋"/>
          <w:sz w:val="24"/>
          <w:u w:val="single"/>
        </w:rPr>
        <w:t xml:space="preserve">                           </w:t>
      </w:r>
      <w:r>
        <w:rPr>
          <w:rFonts w:hint="eastAsia" w:ascii="仿宋" w:hAnsi="仿宋" w:eastAsia="仿宋" w:cs="仿宋"/>
          <w:sz w:val="24"/>
        </w:rPr>
        <w:t>。</w:t>
      </w:r>
    </w:p>
    <w:bookmarkEnd w:id="723"/>
    <w:bookmarkEnd w:id="724"/>
    <w:bookmarkEnd w:id="725"/>
    <w:bookmarkEnd w:id="726"/>
    <w:p>
      <w:pPr>
        <w:pStyle w:val="5"/>
        <w:spacing w:before="0" w:after="0" w:line="460" w:lineRule="exact"/>
        <w:ind w:firstLine="482" w:firstLineChars="200"/>
        <w:rPr>
          <w:rFonts w:hint="eastAsia" w:ascii="仿宋" w:hAnsi="仿宋" w:eastAsia="仿宋" w:cs="仿宋"/>
          <w:sz w:val="24"/>
          <w:szCs w:val="24"/>
        </w:rPr>
      </w:pPr>
      <w:bookmarkStart w:id="753" w:name="_Toc8871"/>
      <w:bookmarkStart w:id="754" w:name="_Toc36021975"/>
      <w:bookmarkStart w:id="755" w:name="_Toc10600"/>
      <w:bookmarkStart w:id="756" w:name="_Toc22082"/>
      <w:bookmarkStart w:id="757" w:name="_Toc22266"/>
      <w:bookmarkStart w:id="758" w:name="_Toc280868717"/>
      <w:bookmarkStart w:id="759" w:name="_Toc280868718"/>
      <w:r>
        <w:rPr>
          <w:rFonts w:hint="eastAsia" w:ascii="仿宋" w:hAnsi="仿宋" w:eastAsia="仿宋" w:cs="仿宋"/>
          <w:sz w:val="24"/>
          <w:szCs w:val="24"/>
        </w:rPr>
        <w:t>16. 违约</w:t>
      </w:r>
      <w:bookmarkEnd w:id="753"/>
      <w:bookmarkEnd w:id="754"/>
      <w:bookmarkEnd w:id="755"/>
      <w:bookmarkEnd w:id="756"/>
      <w:bookmarkEnd w:id="757"/>
    </w:p>
    <w:p>
      <w:pPr>
        <w:spacing w:line="460" w:lineRule="exact"/>
        <w:ind w:firstLine="480" w:firstLineChars="200"/>
        <w:rPr>
          <w:rFonts w:hint="eastAsia" w:ascii="仿宋" w:hAnsi="仿宋" w:eastAsia="仿宋" w:cs="仿宋"/>
          <w:sz w:val="24"/>
        </w:rPr>
      </w:pPr>
      <w:bookmarkStart w:id="760" w:name="_Toc24555"/>
      <w:r>
        <w:rPr>
          <w:rFonts w:hint="eastAsia" w:ascii="仿宋" w:hAnsi="仿宋" w:eastAsia="仿宋" w:cs="仿宋"/>
          <w:sz w:val="24"/>
        </w:rPr>
        <w:t>16.1 发包人违约</w:t>
      </w:r>
      <w:bookmarkEnd w:id="760"/>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16.1.1发包人违约的情形</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发包人违约的其他情形：</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16.1.2 发包人违约的责任</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发包人违约责任的承担方式和计算方法：</w:t>
      </w:r>
    </w:p>
    <w:p>
      <w:pPr>
        <w:autoSpaceDE w:val="0"/>
        <w:autoSpaceDN w:val="0"/>
        <w:adjustRightInd w:val="0"/>
        <w:spacing w:line="460" w:lineRule="exact"/>
        <w:ind w:firstLine="480" w:firstLineChars="200"/>
        <w:jc w:val="left"/>
        <w:rPr>
          <w:rFonts w:hint="eastAsia" w:ascii="仿宋" w:hAnsi="仿宋" w:eastAsia="仿宋" w:cs="仿宋"/>
          <w:kern w:val="0"/>
          <w:sz w:val="24"/>
          <w:u w:val="single"/>
        </w:rPr>
      </w:pPr>
      <w:r>
        <w:rPr>
          <w:rFonts w:hint="eastAsia" w:ascii="仿宋" w:hAnsi="仿宋" w:eastAsia="仿宋" w:cs="仿宋"/>
          <w:kern w:val="0"/>
          <w:sz w:val="24"/>
        </w:rPr>
        <w:t>（1）因发包人原因未能在计划开工日期前7天内下达开工通知的违约责任：</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（2）因发包人原因未能按合同约定支付合同价款的违约责任：</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（3）发包人违反第10.1款〔变更的范围〕第（2）项约定，自行实施被取消的工作或转由他人实施的违约责任：</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（4）发包人提供的材料、工程设备的规格、数量或质量不符合合同约定，或因发包人原因导致交货日期延误或交货地点变更等情况的违约责任：</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（5）因发包人违反合同约定造成暂停施工的违约责任：</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（6）发包人无正当理由没有在约定期限内发出复工指示，导致承包人无法复工的违约责任：</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（7）其他：</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16.1.3 因发包人违约解除合同</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承包人按16.1.1项〔发包人违约的情形〕约定暂停施工满天后发包人仍不纠正其违约行为并致使合同目的不能实现的，承包人有权解除合同。</w:t>
      </w:r>
    </w:p>
    <w:p>
      <w:pPr>
        <w:spacing w:line="460" w:lineRule="exact"/>
        <w:ind w:firstLine="480" w:firstLineChars="200"/>
        <w:rPr>
          <w:rFonts w:hint="eastAsia" w:ascii="仿宋" w:hAnsi="仿宋" w:eastAsia="仿宋" w:cs="仿宋"/>
          <w:sz w:val="24"/>
        </w:rPr>
      </w:pPr>
      <w:bookmarkStart w:id="761" w:name="_Toc22759"/>
      <w:r>
        <w:rPr>
          <w:rFonts w:hint="eastAsia" w:ascii="仿宋" w:hAnsi="仿宋" w:eastAsia="仿宋" w:cs="仿宋"/>
          <w:sz w:val="24"/>
        </w:rPr>
        <w:t>16.2 承包人违约</w:t>
      </w:r>
      <w:bookmarkEnd w:id="761"/>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16.2.1 承包人违约的情形</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承包人违约的其他情形：</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16.2.2承包人违约的责任</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承包人违约责任的承担方式和计算方法：</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16.2.3 因承包人违约解除合同</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关于承包人违约解除合同的特别约定：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发包人继续使用承包人在施工现场的材料、设备、临时工程、承包人文件和由承包人或以其名义编制的其他文件的费用承担方式：</w:t>
      </w:r>
      <w:r>
        <w:rPr>
          <w:rFonts w:hint="eastAsia" w:ascii="仿宋" w:hAnsi="仿宋" w:eastAsia="仿宋" w:cs="仿宋"/>
          <w:sz w:val="24"/>
          <w:u w:val="single"/>
        </w:rPr>
        <w:t xml:space="preserve">                           </w:t>
      </w:r>
      <w:r>
        <w:rPr>
          <w:rFonts w:hint="eastAsia" w:ascii="仿宋" w:hAnsi="仿宋" w:eastAsia="仿宋" w:cs="仿宋"/>
          <w:sz w:val="24"/>
        </w:rPr>
        <w:t>。</w:t>
      </w:r>
    </w:p>
    <w:p>
      <w:pPr>
        <w:pStyle w:val="5"/>
        <w:spacing w:before="0" w:after="0" w:line="460" w:lineRule="exact"/>
        <w:ind w:firstLine="482" w:firstLineChars="200"/>
        <w:rPr>
          <w:rFonts w:hint="eastAsia" w:ascii="仿宋" w:hAnsi="仿宋" w:eastAsia="仿宋" w:cs="仿宋"/>
          <w:sz w:val="24"/>
          <w:szCs w:val="24"/>
        </w:rPr>
      </w:pPr>
      <w:bookmarkStart w:id="762" w:name="_Toc20562"/>
      <w:bookmarkStart w:id="763" w:name="_Toc202"/>
      <w:bookmarkStart w:id="764" w:name="_Toc8135"/>
      <w:bookmarkStart w:id="765" w:name="_Toc36021976"/>
      <w:bookmarkStart w:id="766" w:name="_Toc15591"/>
      <w:r>
        <w:rPr>
          <w:rFonts w:hint="eastAsia" w:ascii="仿宋" w:hAnsi="仿宋" w:eastAsia="仿宋" w:cs="仿宋"/>
          <w:sz w:val="24"/>
          <w:szCs w:val="24"/>
        </w:rPr>
        <w:t>17. 不可抗力</w:t>
      </w:r>
      <w:bookmarkEnd w:id="758"/>
      <w:bookmarkEnd w:id="762"/>
      <w:bookmarkEnd w:id="763"/>
      <w:bookmarkEnd w:id="764"/>
      <w:bookmarkEnd w:id="765"/>
      <w:bookmarkEnd w:id="766"/>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17.1 不可抗力的确认</w:t>
      </w:r>
    </w:p>
    <w:p>
      <w:pPr>
        <w:autoSpaceDE w:val="0"/>
        <w:autoSpaceDN w:val="0"/>
        <w:adjustRightInd w:val="0"/>
        <w:spacing w:line="460" w:lineRule="exact"/>
        <w:ind w:firstLine="480" w:firstLineChars="200"/>
        <w:jc w:val="left"/>
        <w:rPr>
          <w:rFonts w:hint="eastAsia" w:ascii="仿宋" w:hAnsi="仿宋" w:eastAsia="仿宋" w:cs="仿宋"/>
          <w:kern w:val="0"/>
          <w:sz w:val="24"/>
          <w:u w:val="single"/>
        </w:rPr>
      </w:pPr>
      <w:r>
        <w:rPr>
          <w:rFonts w:hint="eastAsia" w:ascii="仿宋" w:hAnsi="仿宋" w:eastAsia="仿宋" w:cs="仿宋"/>
          <w:sz w:val="24"/>
        </w:rPr>
        <w:t>除通用合同条款约定的不可抗力事件之外，视为不可抗力的其他情形：</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67" w:name="_Toc8454"/>
      <w:r>
        <w:rPr>
          <w:rFonts w:hint="eastAsia" w:ascii="仿宋" w:hAnsi="仿宋" w:eastAsia="仿宋" w:cs="仿宋"/>
          <w:sz w:val="24"/>
        </w:rPr>
        <w:t>17.4 因不可抗力解除合同</w:t>
      </w:r>
      <w:bookmarkEnd w:id="767"/>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合同解除后，发包人应在商定或确定发包人应支付款项后</w:t>
      </w:r>
      <w:r>
        <w:rPr>
          <w:rFonts w:hint="eastAsia" w:ascii="仿宋" w:hAnsi="仿宋" w:eastAsia="仿宋" w:cs="仿宋"/>
          <w:sz w:val="24"/>
          <w:u w:val="single"/>
        </w:rPr>
        <w:t xml:space="preserve">   </w:t>
      </w:r>
      <w:r>
        <w:rPr>
          <w:rFonts w:hint="eastAsia" w:ascii="仿宋" w:hAnsi="仿宋" w:eastAsia="仿宋" w:cs="仿宋"/>
          <w:sz w:val="24"/>
        </w:rPr>
        <w:t>天内完成款项的支付。</w:t>
      </w:r>
    </w:p>
    <w:p>
      <w:pPr>
        <w:pStyle w:val="5"/>
        <w:spacing w:before="0" w:after="0" w:line="460" w:lineRule="exact"/>
        <w:ind w:firstLine="482" w:firstLineChars="200"/>
        <w:rPr>
          <w:rFonts w:hint="eastAsia" w:ascii="仿宋" w:hAnsi="仿宋" w:eastAsia="仿宋" w:cs="仿宋"/>
          <w:sz w:val="24"/>
          <w:szCs w:val="24"/>
        </w:rPr>
      </w:pPr>
      <w:bookmarkStart w:id="768" w:name="_Toc18264"/>
      <w:bookmarkStart w:id="769" w:name="_Toc36021977"/>
      <w:bookmarkStart w:id="770" w:name="_Toc4597"/>
      <w:bookmarkStart w:id="771" w:name="_Toc16534"/>
      <w:bookmarkStart w:id="772" w:name="_Toc716"/>
      <w:r>
        <w:rPr>
          <w:rFonts w:hint="eastAsia" w:ascii="仿宋" w:hAnsi="仿宋" w:eastAsia="仿宋" w:cs="仿宋"/>
          <w:sz w:val="24"/>
          <w:szCs w:val="24"/>
        </w:rPr>
        <w:t>18. 保险</w:t>
      </w:r>
      <w:bookmarkEnd w:id="768"/>
      <w:bookmarkEnd w:id="769"/>
      <w:bookmarkEnd w:id="770"/>
      <w:bookmarkEnd w:id="771"/>
      <w:bookmarkEnd w:id="772"/>
    </w:p>
    <w:bookmarkEnd w:id="759"/>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18.1 工程保险</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关于工程保险的特别约定：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73" w:name="_Toc4931"/>
      <w:r>
        <w:rPr>
          <w:rFonts w:hint="eastAsia" w:ascii="仿宋" w:hAnsi="仿宋" w:eastAsia="仿宋" w:cs="仿宋"/>
          <w:sz w:val="24"/>
        </w:rPr>
        <w:t>18.3 其他保险</w:t>
      </w:r>
      <w:bookmarkEnd w:id="773"/>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关于其他保险的约定：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承包人是否应为其施工设备等办理财产保险：</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18.7 通知义务</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关于变更保险合同时的通知义务的约定：</w:t>
      </w:r>
      <w:r>
        <w:rPr>
          <w:rFonts w:hint="eastAsia" w:ascii="仿宋" w:hAnsi="仿宋" w:eastAsia="仿宋" w:cs="仿宋"/>
          <w:sz w:val="24"/>
          <w:u w:val="single"/>
        </w:rPr>
        <w:t xml:space="preserve">                           </w:t>
      </w:r>
      <w:r>
        <w:rPr>
          <w:rFonts w:hint="eastAsia" w:ascii="仿宋" w:hAnsi="仿宋" w:eastAsia="仿宋" w:cs="仿宋"/>
          <w:sz w:val="24"/>
        </w:rPr>
        <w:t>。</w:t>
      </w:r>
    </w:p>
    <w:bookmarkEnd w:id="727"/>
    <w:bookmarkEnd w:id="728"/>
    <w:bookmarkEnd w:id="729"/>
    <w:bookmarkEnd w:id="730"/>
    <w:bookmarkEnd w:id="731"/>
    <w:bookmarkEnd w:id="732"/>
    <w:bookmarkEnd w:id="733"/>
    <w:bookmarkEnd w:id="734"/>
    <w:bookmarkEnd w:id="735"/>
    <w:bookmarkEnd w:id="736"/>
    <w:bookmarkEnd w:id="737"/>
    <w:bookmarkEnd w:id="738"/>
    <w:p>
      <w:pPr>
        <w:pStyle w:val="5"/>
        <w:spacing w:before="0" w:after="0" w:line="460" w:lineRule="exact"/>
        <w:ind w:firstLine="482" w:firstLineChars="200"/>
        <w:rPr>
          <w:rFonts w:hint="eastAsia" w:ascii="仿宋" w:hAnsi="仿宋" w:eastAsia="仿宋" w:cs="仿宋"/>
          <w:sz w:val="24"/>
          <w:szCs w:val="24"/>
        </w:rPr>
      </w:pPr>
      <w:bookmarkStart w:id="774" w:name="_Toc18388"/>
      <w:bookmarkStart w:id="775" w:name="_Toc36021978"/>
      <w:bookmarkStart w:id="776" w:name="_Toc14089"/>
      <w:bookmarkStart w:id="777" w:name="_Toc28179"/>
      <w:bookmarkStart w:id="778" w:name="_Toc6839"/>
      <w:r>
        <w:rPr>
          <w:rFonts w:hint="eastAsia" w:ascii="仿宋" w:hAnsi="仿宋" w:eastAsia="仿宋" w:cs="仿宋"/>
          <w:sz w:val="24"/>
          <w:szCs w:val="24"/>
        </w:rPr>
        <w:t>20. 争议解决</w:t>
      </w:r>
      <w:bookmarkEnd w:id="774"/>
      <w:bookmarkEnd w:id="775"/>
      <w:bookmarkEnd w:id="776"/>
      <w:bookmarkEnd w:id="777"/>
      <w:bookmarkEnd w:id="778"/>
    </w:p>
    <w:bookmarkEnd w:id="739"/>
    <w:bookmarkEnd w:id="740"/>
    <w:p>
      <w:pPr>
        <w:spacing w:line="460" w:lineRule="exact"/>
        <w:ind w:firstLine="480" w:firstLineChars="200"/>
        <w:rPr>
          <w:rFonts w:hint="eastAsia" w:ascii="仿宋" w:hAnsi="仿宋" w:eastAsia="仿宋" w:cs="仿宋"/>
          <w:sz w:val="24"/>
        </w:rPr>
      </w:pPr>
      <w:bookmarkStart w:id="779" w:name="_Toc8971"/>
      <w:r>
        <w:rPr>
          <w:rFonts w:hint="eastAsia" w:ascii="仿宋" w:hAnsi="仿宋" w:eastAsia="仿宋" w:cs="仿宋"/>
          <w:sz w:val="24"/>
        </w:rPr>
        <w:t>20.3 争</w:t>
      </w:r>
      <w:bookmarkEnd w:id="741"/>
      <w:r>
        <w:rPr>
          <w:rFonts w:hint="eastAsia" w:ascii="仿宋" w:hAnsi="仿宋" w:eastAsia="仿宋" w:cs="仿宋"/>
          <w:sz w:val="24"/>
        </w:rPr>
        <w:t>议评审</w:t>
      </w:r>
      <w:bookmarkEnd w:id="779"/>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合同当事人是否同意将工程争议提交争议评审小组决定：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80" w:name="_Toc21840"/>
      <w:r>
        <w:rPr>
          <w:rFonts w:hint="eastAsia" w:ascii="仿宋" w:hAnsi="仿宋" w:eastAsia="仿宋" w:cs="仿宋"/>
          <w:sz w:val="24"/>
        </w:rPr>
        <w:t>20.3.1 争议评审小组的确定</w:t>
      </w:r>
      <w:bookmarkEnd w:id="780"/>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争议评审小组成员的确定：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选定争议评审员的期限：</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争议评审小组成员的报酬承担方式：</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其他事项的约定：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81" w:name="_Toc27825"/>
      <w:r>
        <w:rPr>
          <w:rFonts w:hint="eastAsia" w:ascii="仿宋" w:hAnsi="仿宋" w:eastAsia="仿宋" w:cs="仿宋"/>
          <w:sz w:val="24"/>
        </w:rPr>
        <w:t>20.3.2 争议评审小组的决定</w:t>
      </w:r>
      <w:bookmarkEnd w:id="781"/>
    </w:p>
    <w:p>
      <w:pPr>
        <w:autoSpaceDE w:val="0"/>
        <w:autoSpaceDN w:val="0"/>
        <w:adjustRightIn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合同当事人关于本项的约定：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bookmarkStart w:id="782" w:name="_Toc8818"/>
      <w:r>
        <w:rPr>
          <w:rFonts w:hint="eastAsia" w:ascii="仿宋" w:hAnsi="仿宋" w:eastAsia="仿宋" w:cs="仿宋"/>
          <w:sz w:val="24"/>
        </w:rPr>
        <w:t>20.4仲裁或诉讼</w:t>
      </w:r>
      <w:bookmarkEnd w:id="742"/>
      <w:bookmarkEnd w:id="782"/>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因合同及合同有关事项发生的争议，按下列第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（1）向仲裁委员会申请仲裁；</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（2）向人民法院起诉。</w:t>
      </w:r>
      <w:bookmarkEnd w:id="743"/>
      <w:bookmarkEnd w:id="744"/>
      <w:bookmarkEnd w:id="745"/>
      <w:bookmarkEnd w:id="746"/>
      <w:bookmarkEnd w:id="747"/>
      <w:bookmarkEnd w:id="748"/>
    </w:p>
    <w:p>
      <w:pPr>
        <w:spacing w:line="460" w:lineRule="exact"/>
        <w:ind w:firstLine="480" w:firstLineChars="200"/>
        <w:rPr>
          <w:rFonts w:hint="eastAsia" w:ascii="仿宋" w:hAnsi="仿宋" w:eastAsia="仿宋" w:cs="仿宋"/>
          <w:kern w:val="0"/>
          <w:sz w:val="24"/>
        </w:rPr>
      </w:pPr>
    </w:p>
    <w:p>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br w:type="page"/>
      </w:r>
      <w:r>
        <w:rPr>
          <w:rFonts w:hint="eastAsia" w:ascii="仿宋" w:hAnsi="仿宋" w:eastAsia="仿宋" w:cs="仿宋"/>
          <w:b/>
          <w:bCs/>
          <w:kern w:val="0"/>
          <w:sz w:val="24"/>
        </w:rPr>
        <w:t>附</w:t>
      </w:r>
      <w:bookmarkStart w:id="783" w:name="_Toc296891054"/>
      <w:bookmarkStart w:id="784" w:name="_Toc296944565"/>
      <w:bookmarkStart w:id="785" w:name="_Toc267261693"/>
      <w:bookmarkStart w:id="786" w:name="_Toc296346727"/>
      <w:bookmarkStart w:id="787" w:name="_Toc296891266"/>
      <w:bookmarkStart w:id="788" w:name="_Toc296347225"/>
      <w:bookmarkStart w:id="789" w:name="_Toc296503226"/>
      <w:r>
        <w:rPr>
          <w:rFonts w:hint="eastAsia" w:ascii="仿宋" w:hAnsi="仿宋" w:eastAsia="仿宋" w:cs="仿宋"/>
          <w:b/>
          <w:bCs/>
          <w:kern w:val="0"/>
          <w:sz w:val="24"/>
        </w:rPr>
        <w:t>件3：</w:t>
      </w:r>
      <w:bookmarkEnd w:id="783"/>
      <w:bookmarkEnd w:id="784"/>
      <w:bookmarkEnd w:id="785"/>
      <w:bookmarkEnd w:id="786"/>
      <w:bookmarkEnd w:id="787"/>
      <w:bookmarkEnd w:id="788"/>
      <w:bookmarkEnd w:id="789"/>
    </w:p>
    <w:p>
      <w:pPr>
        <w:spacing w:before="120" w:beforeLines="50" w:after="120" w:afterLines="50" w:line="360" w:lineRule="auto"/>
        <w:ind w:firstLine="482" w:firstLineChars="200"/>
        <w:jc w:val="center"/>
        <w:rPr>
          <w:rFonts w:hint="eastAsia" w:ascii="仿宋" w:hAnsi="仿宋" w:eastAsia="仿宋" w:cs="仿宋"/>
          <w:b/>
          <w:bCs/>
          <w:sz w:val="24"/>
        </w:rPr>
      </w:pPr>
      <w:r>
        <w:rPr>
          <w:rFonts w:hint="eastAsia" w:ascii="仿宋" w:hAnsi="仿宋" w:eastAsia="仿宋" w:cs="仿宋"/>
          <w:b/>
          <w:bCs/>
          <w:sz w:val="24"/>
        </w:rPr>
        <w:t>工程质量保修书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发包人（全称）：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承包人（全称）：</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发包人和承包人根据《中华人民共和国建筑法》和《建设工程质量管理条例》，经协商一致就（工程全称）签订工程质量保修书。</w:t>
      </w:r>
    </w:p>
    <w:p>
      <w:pPr>
        <w:spacing w:line="360" w:lineRule="auto"/>
        <w:ind w:firstLine="480" w:firstLineChars="200"/>
        <w:rPr>
          <w:rFonts w:hint="eastAsia" w:ascii="仿宋" w:hAnsi="仿宋" w:eastAsia="仿宋" w:cs="仿宋"/>
          <w:sz w:val="24"/>
        </w:rPr>
      </w:pPr>
      <w:bookmarkStart w:id="790" w:name="_Toc14901"/>
      <w:r>
        <w:rPr>
          <w:rFonts w:hint="eastAsia" w:ascii="仿宋" w:hAnsi="仿宋" w:eastAsia="仿宋" w:cs="仿宋"/>
          <w:sz w:val="24"/>
        </w:rPr>
        <w:t>一、工程质量保修范围和内容</w:t>
      </w:r>
      <w:bookmarkEnd w:id="79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承包人在质量保修期内，按照有关法律规定和合同约定，承担工程质量保修责任。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bookmarkStart w:id="791" w:name="_Toc457"/>
      <w:r>
        <w:rPr>
          <w:rFonts w:hint="eastAsia" w:ascii="仿宋" w:hAnsi="仿宋" w:eastAsia="仿宋" w:cs="仿宋"/>
          <w:sz w:val="24"/>
        </w:rPr>
        <w:t>二、质量保修期</w:t>
      </w:r>
      <w:bookmarkEnd w:id="7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根据《建设工程质量管理条例》及有关规定，工程的质量保修期如下：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1．地基基础工程和主体结构工程为设计文件规定的工程合理使用年限；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2．屋面防水工程、有防水要求的卫生间、房间和外墙面的防渗</w:t>
      </w:r>
      <w:r>
        <w:rPr>
          <w:rFonts w:hint="eastAsia" w:ascii="仿宋" w:hAnsi="仿宋" w:eastAsia="仿宋" w:cs="仿宋"/>
          <w:sz w:val="24"/>
          <w:u w:val="single"/>
        </w:rPr>
        <w:t xml:space="preserve">     </w:t>
      </w:r>
      <w:r>
        <w:rPr>
          <w:rFonts w:hint="eastAsia" w:ascii="仿宋" w:hAnsi="仿宋" w:eastAsia="仿宋" w:cs="仿宋"/>
          <w:sz w:val="24"/>
        </w:rPr>
        <w:t>为年；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3．装修工程为</w:t>
      </w:r>
      <w:r>
        <w:rPr>
          <w:rFonts w:hint="eastAsia" w:ascii="仿宋" w:hAnsi="仿宋" w:eastAsia="仿宋" w:cs="仿宋"/>
          <w:sz w:val="24"/>
          <w:u w:val="single"/>
        </w:rPr>
        <w:t xml:space="preserve">   </w:t>
      </w:r>
      <w:r>
        <w:rPr>
          <w:rFonts w:hint="eastAsia" w:ascii="仿宋" w:hAnsi="仿宋" w:eastAsia="仿宋" w:cs="仿宋"/>
          <w:sz w:val="24"/>
        </w:rPr>
        <w:t>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4．电气管线、给排水管道、设备安装工程为</w:t>
      </w:r>
      <w:r>
        <w:rPr>
          <w:rFonts w:hint="eastAsia" w:ascii="仿宋" w:hAnsi="仿宋" w:eastAsia="仿宋" w:cs="仿宋"/>
          <w:sz w:val="24"/>
          <w:u w:val="single"/>
        </w:rPr>
        <w:t xml:space="preserve">  </w:t>
      </w:r>
      <w:r>
        <w:rPr>
          <w:rFonts w:hint="eastAsia" w:ascii="仿宋" w:hAnsi="仿宋" w:eastAsia="仿宋" w:cs="仿宋"/>
          <w:sz w:val="24"/>
        </w:rPr>
        <w:t>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5．供热与供冷系统为</w:t>
      </w:r>
      <w:r>
        <w:rPr>
          <w:rFonts w:hint="eastAsia" w:ascii="仿宋" w:hAnsi="仿宋" w:eastAsia="仿宋" w:cs="仿宋"/>
          <w:sz w:val="24"/>
          <w:u w:val="single"/>
        </w:rPr>
        <w:t xml:space="preserve">  </w:t>
      </w:r>
      <w:r>
        <w:rPr>
          <w:rFonts w:hint="eastAsia" w:ascii="仿宋" w:hAnsi="仿宋" w:eastAsia="仿宋" w:cs="仿宋"/>
          <w:sz w:val="24"/>
        </w:rPr>
        <w:t>个采暖期、供冷期；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6．住宅小区内的给排水设施、道路等配套工程为</w:t>
      </w:r>
      <w:r>
        <w:rPr>
          <w:rFonts w:hint="eastAsia" w:ascii="仿宋" w:hAnsi="仿宋" w:eastAsia="仿宋" w:cs="仿宋"/>
          <w:sz w:val="24"/>
          <w:u w:val="single"/>
        </w:rPr>
        <w:t xml:space="preserve">  </w:t>
      </w:r>
      <w:r>
        <w:rPr>
          <w:rFonts w:hint="eastAsia" w:ascii="仿宋" w:hAnsi="仿宋" w:eastAsia="仿宋" w:cs="仿宋"/>
          <w:sz w:val="24"/>
        </w:rPr>
        <w:t>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7．其他项目保修期限约定如下：</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质量保修期自工程竣工验收合格之日起计算。</w:t>
      </w:r>
    </w:p>
    <w:p>
      <w:pPr>
        <w:spacing w:line="360" w:lineRule="auto"/>
        <w:ind w:firstLine="480" w:firstLineChars="200"/>
        <w:rPr>
          <w:rFonts w:hint="eastAsia" w:ascii="仿宋" w:hAnsi="仿宋" w:eastAsia="仿宋" w:cs="仿宋"/>
          <w:sz w:val="24"/>
        </w:rPr>
      </w:pPr>
      <w:bookmarkStart w:id="792" w:name="_Toc4257"/>
      <w:r>
        <w:rPr>
          <w:rFonts w:hint="eastAsia" w:ascii="仿宋" w:hAnsi="仿宋" w:eastAsia="仿宋" w:cs="仿宋"/>
          <w:sz w:val="24"/>
        </w:rPr>
        <w:t>三、缺陷责任期</w:t>
      </w:r>
      <w:bookmarkEnd w:id="79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工程缺陷责任期为</w:t>
      </w:r>
      <w:r>
        <w:rPr>
          <w:rFonts w:hint="eastAsia" w:ascii="仿宋" w:hAnsi="仿宋" w:eastAsia="仿宋" w:cs="仿宋"/>
          <w:sz w:val="24"/>
          <w:u w:val="single"/>
        </w:rPr>
        <w:t xml:space="preserve">   </w:t>
      </w:r>
      <w:r>
        <w:rPr>
          <w:rFonts w:hint="eastAsia" w:ascii="仿宋" w:hAnsi="仿宋" w:eastAsia="仿宋" w:cs="仿宋"/>
          <w:sz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缺陷责任期终止后，发包人应退还剩余的质量保证金。</w:t>
      </w:r>
    </w:p>
    <w:p>
      <w:pPr>
        <w:spacing w:line="360" w:lineRule="auto"/>
        <w:ind w:firstLine="480" w:firstLineChars="200"/>
        <w:rPr>
          <w:rFonts w:hint="eastAsia" w:ascii="仿宋" w:hAnsi="仿宋" w:eastAsia="仿宋" w:cs="仿宋"/>
          <w:sz w:val="24"/>
        </w:rPr>
      </w:pPr>
      <w:bookmarkStart w:id="793" w:name="_Toc15565"/>
      <w:r>
        <w:rPr>
          <w:rFonts w:hint="eastAsia" w:ascii="仿宋" w:hAnsi="仿宋" w:eastAsia="仿宋" w:cs="仿宋"/>
          <w:sz w:val="24"/>
        </w:rPr>
        <w:t>四、质量保修责任</w:t>
      </w:r>
      <w:bookmarkEnd w:id="793"/>
    </w:p>
    <w:p>
      <w:pPr>
        <w:spacing w:line="360" w:lineRule="auto"/>
        <w:ind w:left="105" w:leftChars="50" w:firstLine="480" w:firstLineChars="200"/>
        <w:rPr>
          <w:rFonts w:hint="eastAsia" w:ascii="仿宋" w:hAnsi="仿宋" w:eastAsia="仿宋" w:cs="仿宋"/>
          <w:sz w:val="24"/>
        </w:rPr>
      </w:pPr>
      <w:r>
        <w:rPr>
          <w:rFonts w:hint="eastAsia" w:ascii="仿宋" w:hAnsi="仿宋" w:eastAsia="仿宋" w:cs="仿宋"/>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80" w:firstLineChars="200"/>
        <w:rPr>
          <w:rFonts w:hint="eastAsia" w:ascii="仿宋" w:hAnsi="仿宋" w:eastAsia="仿宋" w:cs="仿宋"/>
          <w:sz w:val="24"/>
        </w:rPr>
      </w:pPr>
      <w:r>
        <w:rPr>
          <w:rFonts w:hint="eastAsia" w:ascii="仿宋" w:hAnsi="仿宋" w:eastAsia="仿宋" w:cs="仿宋"/>
          <w:sz w:val="24"/>
        </w:rPr>
        <w:t>2．发生紧急事故需抢修的，承包人在接到事故通知后，应当立即到达事故现场抢修。</w:t>
      </w:r>
    </w:p>
    <w:p>
      <w:pPr>
        <w:spacing w:line="360" w:lineRule="auto"/>
        <w:ind w:left="105" w:leftChars="50" w:firstLine="480" w:firstLineChars="200"/>
        <w:rPr>
          <w:rFonts w:hint="eastAsia" w:ascii="仿宋" w:hAnsi="仿宋" w:eastAsia="仿宋" w:cs="仿宋"/>
          <w:sz w:val="24"/>
        </w:rPr>
      </w:pPr>
      <w:r>
        <w:rPr>
          <w:rFonts w:hint="eastAsia" w:ascii="仿宋" w:hAnsi="仿宋" w:eastAsia="仿宋" w:cs="仿宋"/>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4．质量保修完成后，由发包人组织验收。</w:t>
      </w:r>
    </w:p>
    <w:p>
      <w:pPr>
        <w:spacing w:line="360" w:lineRule="auto"/>
        <w:ind w:firstLine="480" w:firstLineChars="200"/>
        <w:rPr>
          <w:rFonts w:hint="eastAsia" w:ascii="仿宋" w:hAnsi="仿宋" w:eastAsia="仿宋" w:cs="仿宋"/>
          <w:sz w:val="24"/>
        </w:rPr>
      </w:pPr>
      <w:bookmarkStart w:id="794" w:name="_Toc20954"/>
      <w:r>
        <w:rPr>
          <w:rFonts w:hint="eastAsia" w:ascii="仿宋" w:hAnsi="仿宋" w:eastAsia="仿宋" w:cs="仿宋"/>
          <w:sz w:val="24"/>
        </w:rPr>
        <w:t>五、保修费用</w:t>
      </w:r>
      <w:bookmarkEnd w:id="79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保修费用由造成质量缺陷的责任方承担。</w:t>
      </w:r>
    </w:p>
    <w:p>
      <w:pPr>
        <w:numPr>
          <w:ilvl w:val="0"/>
          <w:numId w:val="8"/>
        </w:numPr>
        <w:spacing w:line="360" w:lineRule="auto"/>
        <w:ind w:firstLine="480" w:firstLineChars="200"/>
        <w:rPr>
          <w:rFonts w:hint="eastAsia" w:ascii="仿宋" w:hAnsi="仿宋" w:eastAsia="仿宋" w:cs="仿宋"/>
          <w:sz w:val="24"/>
        </w:rPr>
      </w:pPr>
      <w:bookmarkStart w:id="795" w:name="_Toc6898"/>
      <w:r>
        <w:rPr>
          <w:rFonts w:hint="eastAsia" w:ascii="仿宋" w:hAnsi="仿宋" w:eastAsia="仿宋" w:cs="仿宋"/>
          <w:sz w:val="24"/>
        </w:rPr>
        <w:t>双方约定的其他工程质量保修事项：</w:t>
      </w:r>
      <w:bookmarkEnd w:id="79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工程质量保修书由发包人、承包人在工程竣工验收前共同签署，作为施工合同附件，其有效期限至保修期满。</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发包人(公章)：</w:t>
      </w:r>
      <w:r>
        <w:rPr>
          <w:rFonts w:hint="eastAsia" w:ascii="仿宋" w:hAnsi="仿宋" w:eastAsia="仿宋" w:cs="仿宋"/>
          <w:sz w:val="24"/>
          <w:u w:val="single"/>
        </w:rPr>
        <w:t xml:space="preserve">            </w:t>
      </w:r>
      <w:r>
        <w:rPr>
          <w:rFonts w:hint="eastAsia" w:ascii="仿宋" w:hAnsi="仿宋" w:eastAsia="仿宋" w:cs="仿宋"/>
          <w:sz w:val="24"/>
        </w:rPr>
        <w:t xml:space="preserve">   承包人(公章)：</w:t>
      </w:r>
      <w:r>
        <w:rPr>
          <w:rFonts w:hint="eastAsia" w:ascii="仿宋" w:hAnsi="仿宋" w:eastAsia="仿宋" w:cs="仿宋"/>
          <w:sz w:val="24"/>
          <w:u w:val="singl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         </w:t>
      </w:r>
      <w:r>
        <w:rPr>
          <w:rFonts w:hint="eastAsia" w:ascii="仿宋" w:hAnsi="仿宋" w:eastAsia="仿宋" w:cs="仿宋"/>
          <w:sz w:val="24"/>
        </w:rPr>
        <w:t xml:space="preserve">   地  址：</w:t>
      </w:r>
      <w:r>
        <w:rPr>
          <w:rFonts w:hint="eastAsia" w:ascii="仿宋" w:hAnsi="仿宋" w:eastAsia="仿宋" w:cs="仿宋"/>
          <w:sz w:val="24"/>
          <w:u w:val="singl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法定代表人(签字)：</w:t>
      </w:r>
      <w:r>
        <w:rPr>
          <w:rFonts w:hint="eastAsia" w:ascii="仿宋" w:hAnsi="仿宋" w:eastAsia="仿宋" w:cs="仿宋"/>
          <w:sz w:val="24"/>
          <w:u w:val="single"/>
        </w:rPr>
        <w:t>          </w:t>
      </w: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委托代理人(签字)：</w:t>
      </w:r>
      <w:r>
        <w:rPr>
          <w:rFonts w:hint="eastAsia" w:ascii="仿宋" w:hAnsi="仿宋" w:eastAsia="仿宋" w:cs="仿宋"/>
          <w:sz w:val="24"/>
          <w:u w:val="singl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   </w:t>
      </w:r>
      <w:r>
        <w:rPr>
          <w:rFonts w:hint="eastAsia" w:ascii="仿宋" w:hAnsi="仿宋" w:eastAsia="仿宋" w:cs="仿宋"/>
          <w:sz w:val="24"/>
        </w:rPr>
        <w:t xml:space="preserve">   电  话：</w:t>
      </w:r>
      <w:r>
        <w:rPr>
          <w:rFonts w:hint="eastAsia" w:ascii="仿宋" w:hAnsi="仿宋" w:eastAsia="仿宋" w:cs="仿宋"/>
          <w:sz w:val="24"/>
          <w:u w:val="single"/>
        </w:rPr>
        <w:t>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传  真：</w:t>
      </w:r>
      <w:r>
        <w:rPr>
          <w:rFonts w:hint="eastAsia" w:ascii="仿宋" w:hAnsi="仿宋" w:eastAsia="仿宋" w:cs="仿宋"/>
          <w:sz w:val="24"/>
          <w:u w:val="single"/>
        </w:rPr>
        <w:t xml:space="preserve">    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开户银行：</w:t>
      </w:r>
      <w:r>
        <w:rPr>
          <w:rFonts w:hint="eastAsia" w:ascii="仿宋" w:hAnsi="仿宋" w:eastAsia="仿宋" w:cs="仿宋"/>
          <w:sz w:val="24"/>
          <w:u w:val="single"/>
        </w:rPr>
        <w:t xml:space="preserve">  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账  号：</w:t>
      </w:r>
      <w:r>
        <w:rPr>
          <w:rFonts w:hint="eastAsia" w:ascii="仿宋" w:hAnsi="仿宋" w:eastAsia="仿宋" w:cs="仿宋"/>
          <w:sz w:val="24"/>
          <w:u w:val="single"/>
        </w:rPr>
        <w:t xml:space="preserve">            </w:t>
      </w:r>
      <w:r>
        <w:rPr>
          <w:rFonts w:hint="eastAsia" w:ascii="仿宋" w:hAnsi="仿宋" w:eastAsia="仿宋" w:cs="仿宋"/>
          <w:sz w:val="24"/>
        </w:rPr>
        <w:t xml:space="preserve">   账 号：</w:t>
      </w:r>
      <w:r>
        <w:rPr>
          <w:rFonts w:hint="eastAsia" w:ascii="仿宋" w:hAnsi="仿宋" w:eastAsia="仿宋" w:cs="仿宋"/>
          <w:sz w:val="24"/>
          <w:u w:val="single"/>
        </w:rPr>
        <w:t>        </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         </w:t>
      </w:r>
      <w:r>
        <w:rPr>
          <w:rFonts w:hint="eastAsia" w:ascii="仿宋" w:hAnsi="仿宋" w:eastAsia="仿宋" w:cs="仿宋"/>
          <w:sz w:val="24"/>
        </w:rPr>
        <w:t xml:space="preserve">   邮政编码：</w:t>
      </w:r>
      <w:r>
        <w:rPr>
          <w:rFonts w:hint="eastAsia" w:ascii="仿宋" w:hAnsi="仿宋" w:eastAsia="仿宋" w:cs="仿宋"/>
          <w:sz w:val="24"/>
          <w:u w:val="single"/>
        </w:rPr>
        <w:t xml:space="preserve">     </w:t>
      </w:r>
    </w:p>
    <w:p>
      <w:pPr>
        <w:pStyle w:val="10"/>
        <w:rPr>
          <w:rFonts w:hint="eastAsia" w:ascii="仿宋" w:hAnsi="仿宋" w:eastAsia="仿宋" w:cs="仿宋"/>
          <w:color w:val="000000"/>
          <w:sz w:val="24"/>
        </w:rPr>
      </w:pPr>
    </w:p>
    <w:p>
      <w:pPr>
        <w:pStyle w:val="3"/>
        <w:jc w:val="center"/>
        <w:rPr>
          <w:rFonts w:hint="eastAsia" w:ascii="仿宋" w:hAnsi="仿宋" w:eastAsia="仿宋" w:cs="仿宋"/>
          <w:b/>
          <w:sz w:val="32"/>
          <w:szCs w:val="32"/>
        </w:rPr>
      </w:pPr>
      <w:r>
        <w:rPr>
          <w:rFonts w:hint="eastAsia" w:ascii="仿宋" w:hAnsi="仿宋" w:eastAsia="仿宋" w:cs="仿宋"/>
          <w:b/>
          <w:bCs/>
          <w:sz w:val="36"/>
          <w:szCs w:val="36"/>
        </w:rPr>
        <w:br w:type="page"/>
      </w:r>
      <w:bookmarkStart w:id="796" w:name="_Toc3164"/>
      <w:bookmarkStart w:id="797" w:name="_Toc29825"/>
      <w:bookmarkStart w:id="798" w:name="_Toc30270"/>
      <w:r>
        <w:rPr>
          <w:rFonts w:hint="eastAsia" w:ascii="仿宋" w:hAnsi="仿宋" w:eastAsia="仿宋" w:cs="仿宋"/>
          <w:b/>
          <w:sz w:val="32"/>
          <w:szCs w:val="32"/>
        </w:rPr>
        <w:t>第五章 工程量清单</w:t>
      </w:r>
      <w:bookmarkEnd w:id="796"/>
      <w:bookmarkEnd w:id="797"/>
      <w:bookmarkEnd w:id="798"/>
    </w:p>
    <w:p>
      <w:pPr>
        <w:rPr>
          <w:rFonts w:hint="eastAsia" w:ascii="仿宋" w:hAnsi="仿宋" w:eastAsia="仿宋" w:cs="仿宋"/>
        </w:rPr>
      </w:pPr>
    </w:p>
    <w:p>
      <w:pPr>
        <w:pStyle w:val="10"/>
        <w:jc w:val="center"/>
        <w:rPr>
          <w:rFonts w:hint="eastAsia" w:ascii="仿宋" w:hAnsi="仿宋" w:eastAsia="仿宋" w:cs="仿宋"/>
          <w:b/>
          <w:szCs w:val="28"/>
        </w:rPr>
      </w:pPr>
      <w:r>
        <w:rPr>
          <w:rFonts w:hint="eastAsia" w:ascii="仿宋" w:hAnsi="仿宋" w:eastAsia="仿宋" w:cs="仿宋"/>
          <w:b/>
          <w:szCs w:val="28"/>
        </w:rPr>
        <w:t>（另附）</w:t>
      </w:r>
    </w:p>
    <w:p>
      <w:pPr>
        <w:tabs>
          <w:tab w:val="left" w:pos="1350"/>
        </w:tabs>
        <w:rPr>
          <w:rFonts w:hint="eastAsia" w:ascii="仿宋" w:hAnsi="仿宋" w:eastAsia="仿宋" w:cs="仿宋"/>
        </w:rPr>
      </w:pPr>
    </w:p>
    <w:p>
      <w:pPr>
        <w:pStyle w:val="3"/>
        <w:jc w:val="center"/>
        <w:rPr>
          <w:rFonts w:hint="eastAsia" w:ascii="仿宋" w:hAnsi="仿宋" w:eastAsia="仿宋" w:cs="仿宋"/>
          <w:bCs/>
          <w:sz w:val="32"/>
          <w:szCs w:val="32"/>
        </w:rPr>
      </w:pPr>
      <w:bookmarkStart w:id="799" w:name="_Toc14766_WPSOffice_Level1"/>
      <w:bookmarkStart w:id="800" w:name="_Toc31894"/>
      <w:bookmarkStart w:id="801" w:name="_Toc14368066"/>
      <w:bookmarkStart w:id="802" w:name="_Toc18048"/>
    </w:p>
    <w:p>
      <w:pPr>
        <w:pStyle w:val="3"/>
        <w:jc w:val="center"/>
        <w:rPr>
          <w:rFonts w:hint="eastAsia" w:ascii="仿宋" w:hAnsi="仿宋" w:eastAsia="仿宋" w:cs="仿宋"/>
          <w:b/>
          <w:bCs/>
          <w:sz w:val="32"/>
          <w:szCs w:val="32"/>
        </w:rPr>
      </w:pPr>
    </w:p>
    <w:p>
      <w:pPr>
        <w:pStyle w:val="3"/>
        <w:jc w:val="center"/>
        <w:rPr>
          <w:rFonts w:hint="eastAsia" w:ascii="仿宋" w:hAnsi="仿宋" w:eastAsia="仿宋" w:cs="仿宋"/>
          <w:b/>
          <w:bCs/>
          <w:sz w:val="32"/>
          <w:szCs w:val="32"/>
        </w:rPr>
      </w:pPr>
      <w:r>
        <w:rPr>
          <w:rFonts w:hint="eastAsia" w:ascii="仿宋" w:hAnsi="仿宋" w:eastAsia="仿宋" w:cs="仿宋"/>
          <w:b/>
          <w:bCs/>
          <w:sz w:val="32"/>
          <w:szCs w:val="32"/>
        </w:rPr>
        <w:br w:type="page"/>
      </w:r>
      <w:bookmarkStart w:id="803" w:name="_Toc4121"/>
      <w:bookmarkStart w:id="804" w:name="_Toc20245"/>
      <w:bookmarkStart w:id="805" w:name="_Toc15790"/>
      <w:r>
        <w:rPr>
          <w:rFonts w:hint="eastAsia" w:ascii="仿宋" w:hAnsi="仿宋" w:eastAsia="仿宋" w:cs="仿宋"/>
          <w:b/>
          <w:bCs/>
          <w:sz w:val="32"/>
          <w:szCs w:val="32"/>
        </w:rPr>
        <w:t>第六章  图纸</w:t>
      </w:r>
      <w:bookmarkEnd w:id="799"/>
      <w:bookmarkEnd w:id="800"/>
      <w:bookmarkEnd w:id="801"/>
      <w:bookmarkEnd w:id="802"/>
      <w:bookmarkEnd w:id="803"/>
      <w:bookmarkEnd w:id="804"/>
      <w:bookmarkEnd w:id="805"/>
    </w:p>
    <w:p>
      <w:pPr>
        <w:jc w:val="center"/>
        <w:rPr>
          <w:rFonts w:hint="eastAsia" w:ascii="仿宋" w:hAnsi="仿宋" w:eastAsia="仿宋" w:cs="仿宋"/>
          <w:sz w:val="24"/>
        </w:rPr>
      </w:pPr>
    </w:p>
    <w:p>
      <w:pPr>
        <w:pStyle w:val="10"/>
        <w:jc w:val="center"/>
        <w:rPr>
          <w:rFonts w:hint="eastAsia" w:ascii="仿宋" w:hAnsi="仿宋" w:eastAsia="仿宋" w:cs="仿宋"/>
          <w:b/>
          <w:szCs w:val="28"/>
        </w:rPr>
      </w:pPr>
      <w:r>
        <w:rPr>
          <w:rFonts w:hint="eastAsia" w:ascii="仿宋" w:hAnsi="仿宋" w:eastAsia="仿宋" w:cs="仿宋"/>
          <w:b/>
          <w:szCs w:val="28"/>
        </w:rPr>
        <w:t>（另附）</w:t>
      </w:r>
    </w:p>
    <w:p>
      <w:pPr>
        <w:pStyle w:val="3"/>
        <w:jc w:val="center"/>
        <w:rPr>
          <w:rFonts w:hint="eastAsia" w:ascii="仿宋" w:hAnsi="仿宋" w:eastAsia="仿宋" w:cs="仿宋"/>
          <w:sz w:val="24"/>
        </w:rPr>
      </w:pPr>
      <w:r>
        <w:rPr>
          <w:rFonts w:hint="eastAsia" w:ascii="仿宋" w:hAnsi="仿宋" w:eastAsia="仿宋" w:cs="仿宋"/>
          <w:sz w:val="24"/>
        </w:rPr>
        <w:br w:type="page"/>
      </w:r>
      <w:bookmarkStart w:id="806" w:name="_Toc24215"/>
      <w:bookmarkStart w:id="807" w:name="_Toc15558"/>
      <w:bookmarkStart w:id="808" w:name="_Toc12392"/>
      <w:r>
        <w:rPr>
          <w:rFonts w:hint="eastAsia" w:ascii="仿宋" w:hAnsi="仿宋" w:eastAsia="仿宋" w:cs="仿宋"/>
          <w:b/>
          <w:bCs/>
          <w:sz w:val="32"/>
          <w:szCs w:val="32"/>
        </w:rPr>
        <w:t>第七章 技术标准和要求</w:t>
      </w:r>
      <w:bookmarkEnd w:id="806"/>
      <w:bookmarkEnd w:id="807"/>
      <w:bookmarkEnd w:id="808"/>
    </w:p>
    <w:p>
      <w:pPr>
        <w:spacing w:line="46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lang w:val="en-US" w:eastAsia="zh-CN"/>
        </w:rPr>
        <w:t>1、</w:t>
      </w:r>
      <w:r>
        <w:rPr>
          <w:rFonts w:hint="eastAsia" w:ascii="仿宋" w:hAnsi="仿宋" w:eastAsia="仿宋" w:cs="仿宋"/>
          <w:sz w:val="24"/>
          <w:highlight w:val="none"/>
          <w:lang w:val="en-US" w:eastAsia="zh-CN"/>
        </w:rPr>
        <w:t>项目概况</w:t>
      </w:r>
    </w:p>
    <w:p>
      <w:pPr>
        <w:spacing w:line="4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1.1工程概况：洛阳市城乡一体化示范区征迁安置服务中心郑州至洛阳高速公路伊滨区段电力迁改工程,分为一个标段，主要内容为220kV海汉线和汉夷线迁建及10kV及以下线路迁建；</w:t>
      </w:r>
    </w:p>
    <w:p>
      <w:pPr>
        <w:spacing w:line="4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1.2招标范围：招标文件、施工图纸及工程量清单内全部内容；</w:t>
      </w:r>
    </w:p>
    <w:p>
      <w:pPr>
        <w:spacing w:line="4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1.3质量要求：工程合格达到国家规范；</w:t>
      </w:r>
    </w:p>
    <w:p>
      <w:pPr>
        <w:spacing w:line="4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1.4安全目标：杜绝死亡、重伤事故；</w:t>
      </w:r>
    </w:p>
    <w:p>
      <w:pPr>
        <w:spacing w:line="4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1.5扬尘防治目标：做到“七个100%，八个必须”；</w:t>
      </w:r>
    </w:p>
    <w:p>
      <w:pPr>
        <w:spacing w:line="4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1.6文明工地目标：达到市级安全文明工地；</w:t>
      </w:r>
    </w:p>
    <w:p>
      <w:pPr>
        <w:spacing w:line="46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rPr>
        <w:t>施工规范及验收规范按照国家现行相关规范、设计要求及招标要求执行。</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投标人必须采取有效措施控制扬尘、防止二次污染，并</w:t>
      </w:r>
      <w:r>
        <w:rPr>
          <w:rFonts w:hint="eastAsia" w:ascii="仿宋" w:hAnsi="仿宋" w:eastAsia="仿宋" w:cs="仿宋"/>
          <w:color w:val="000000"/>
          <w:kern w:val="0"/>
          <w:sz w:val="24"/>
        </w:rPr>
        <w:t>应承担相关责任、义务。</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.1在施工组织设计时应增加控制扬尘污染的内容，应有制度、有措施、有检查、有落实、有结果；做到“七个100%，八个必须”，对违反扬尘治理有关规定的，实施“七个一律”处罚。</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施工过程中要做到七个100%：施工工地100%围挡，散流体、裸地100%覆盖，出入车辆100%冲洗，施工现场地面100%硬化，散水降尘制度100%落实，散流体运输车辆100%密闭运输，监控检测设备安装100%。</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开工进场前要做到“八个必须”：必须要做好门头、门柱; 必须设置五牌一图、扬尘治理责任牌;必须建立门卫制度; 工地出入口处必须硬化; 必须配置自动冲洗设备及洒水车; 工地四周围挡封闭必须连续设置; 必须并在围挡上方安装雾化喷淋设备;必须落实扬尘治理方案备案制度。</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七个一律”：工程施工期间，凡发现扬尘治理措施不落实、施工或拆除现场不达标的，一律曝光、一律记不良记录、一律停工整改、一律上限处罚、一律给予缓批资质、一律限制招标投标、一律通报给市（县）政府。待整改完成并验收合格后，方能重新开工。</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2凡发现扬尘治理措施不落实、施工现场不达标，造成二次污染的，将按照相关文件要求给予相应处罚。</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、适用规范和标准</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.1适用的规范、标准和规程</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.1.1除合同另有约定外，本工程适用现行国家、行业和地方规范、标准和规程。</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、安全文明施工</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.1安全防护</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.1.1在工程施工、竣工、交付及修补任何缺陷的过程中，承包人应当始终遵守国家和地方有关安全生产的法律、法规、规范、标准和规程等。</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.1.2承包人应坚持“安全第一，预防为主”的方针，建立、健全安全生产责任制度和安全生产教育培训制度。</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.2临时消防</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.2.1承包人应建立消防安全责任制度，制定用火、用电和使用易燃易爆等危险品的消防安全管理制度和操作规程。各项制度和规程等应满足相关法律法规和政府消防管理机构的要求。</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.3临时供电</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.3.1承包人应当根据《施工现场临时用电安全技术规范》(JGJ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.4劳动保护</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4.1承包人应遵守所有适用于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.5脚手架</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5.1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.6 施工安全措施计划</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6.1承包人应根据《中华人民共和国安全生产法》、《职业健康安全管理体系规范》、《中华人民共和国消防法》、《中华人民共和国道路交通安全法》、《中华人民共和国传染病防治法实施办法》和地方有关的法规等，编制一份施工安全措施计划，报送监理人审批。</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.7文明施工</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.7.1承包人应遵守国家和工程所在地有关法规、规范、规程和标准的规定，履行文明施工义务，确保文明施工专项费用专款专用。</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.8环境保护</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.8.1在工程施工、完工及修补任何缺陷的过程中，承包人应当始终遵守国家和工程所在地有关环境保护、水土保护和污染防治的法律、法规、规章、规范、标准和规程。</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.9施工环保措施计划</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.9.1施工环保措施计划是承包人阐明环保方针和拟采用的环保措施及方法等的文件</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、治安保卫</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1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rPr>
        <w:t>、地上、地下设施和周边建筑物的临时保护</w:t>
      </w:r>
    </w:p>
    <w:p>
      <w:pPr>
        <w:spacing w:line="46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rPr>
        <w:t>.1承包人应为施工场地及其周边现有的地上、地下设施和建筑物提供足够的临时保护设施，确保施工过程中这些设施和建筑物不会受到干扰和破坏。</w:t>
      </w:r>
    </w:p>
    <w:p>
      <w:pPr>
        <w:spacing w:line="440" w:lineRule="exact"/>
        <w:jc w:val="center"/>
        <w:outlineLvl w:val="0"/>
        <w:rPr>
          <w:rFonts w:hint="eastAsia" w:ascii="仿宋" w:hAnsi="仿宋" w:eastAsia="仿宋" w:cs="仿宋"/>
          <w:b/>
        </w:rPr>
      </w:pPr>
      <w:r>
        <w:rPr>
          <w:rFonts w:hint="eastAsia" w:ascii="仿宋" w:hAnsi="仿宋" w:eastAsia="仿宋" w:cs="仿宋"/>
          <w:color w:val="000000"/>
          <w:kern w:val="0"/>
          <w:sz w:val="24"/>
        </w:rPr>
        <w:br w:type="page"/>
      </w:r>
      <w:bookmarkStart w:id="809" w:name="_Toc18195"/>
      <w:bookmarkStart w:id="810" w:name="_Toc9111"/>
      <w:bookmarkStart w:id="811" w:name="_Toc17198"/>
      <w:r>
        <w:rPr>
          <w:rFonts w:hint="eastAsia" w:ascii="仿宋" w:hAnsi="仿宋" w:eastAsia="仿宋" w:cs="仿宋"/>
          <w:b/>
          <w:sz w:val="36"/>
          <w:szCs w:val="36"/>
        </w:rPr>
        <w:t>第八章 投标文件格式</w:t>
      </w:r>
      <w:bookmarkEnd w:id="809"/>
      <w:bookmarkEnd w:id="810"/>
      <w:bookmarkEnd w:id="811"/>
    </w:p>
    <w:p>
      <w:pPr>
        <w:spacing w:line="360" w:lineRule="auto"/>
        <w:rPr>
          <w:rFonts w:hint="eastAsia" w:ascii="仿宋" w:hAnsi="仿宋" w:eastAsia="仿宋" w:cs="仿宋"/>
          <w:b/>
          <w:bCs/>
          <w:u w:val="single"/>
        </w:rPr>
      </w:pPr>
    </w:p>
    <w:p>
      <w:pPr>
        <w:spacing w:line="360" w:lineRule="auto"/>
        <w:rPr>
          <w:rFonts w:hint="eastAsia" w:ascii="仿宋" w:hAnsi="仿宋" w:eastAsia="仿宋" w:cs="仿宋"/>
          <w:b/>
          <w:bCs/>
          <w:sz w:val="32"/>
          <w:szCs w:val="32"/>
          <w:u w:val="single"/>
        </w:rPr>
      </w:pPr>
    </w:p>
    <w:p>
      <w:pPr>
        <w:ind w:firstLine="2320" w:firstLineChars="725"/>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bookmarkStart w:id="812" w:name="_Toc8361_WPSOffice_Level1"/>
      <w:bookmarkStart w:id="813" w:name="_Toc7849_WPSOffice_Level1"/>
      <w:r>
        <w:rPr>
          <w:rFonts w:hint="eastAsia" w:ascii="仿宋" w:hAnsi="仿宋" w:eastAsia="仿宋" w:cs="仿宋"/>
          <w:sz w:val="32"/>
          <w:szCs w:val="32"/>
          <w:u w:val="single"/>
        </w:rPr>
        <w:t>（项目名称）</w:t>
      </w:r>
      <w:bookmarkEnd w:id="812"/>
      <w:bookmarkEnd w:id="813"/>
      <w:r>
        <w:rPr>
          <w:rFonts w:hint="eastAsia" w:ascii="仿宋" w:hAnsi="仿宋" w:eastAsia="仿宋" w:cs="仿宋"/>
          <w:sz w:val="32"/>
          <w:szCs w:val="32"/>
          <w:u w:val="single"/>
        </w:rPr>
        <w:t xml:space="preserve">         </w:t>
      </w:r>
    </w:p>
    <w:p>
      <w:pPr>
        <w:spacing w:line="360" w:lineRule="auto"/>
        <w:ind w:firstLine="883" w:firstLineChars="200"/>
        <w:jc w:val="center"/>
        <w:rPr>
          <w:rFonts w:hint="eastAsia" w:ascii="仿宋" w:hAnsi="仿宋" w:eastAsia="仿宋" w:cs="仿宋"/>
          <w:b/>
          <w:sz w:val="44"/>
          <w:szCs w:val="44"/>
          <w:u w:val="single"/>
        </w:rPr>
      </w:pPr>
    </w:p>
    <w:p>
      <w:pPr>
        <w:spacing w:line="360" w:lineRule="auto"/>
        <w:rPr>
          <w:rFonts w:hint="eastAsia" w:ascii="仿宋" w:hAnsi="仿宋" w:eastAsia="仿宋" w:cs="仿宋"/>
          <w:b/>
          <w:bCs/>
          <w:sz w:val="72"/>
          <w:szCs w:val="72"/>
        </w:rPr>
      </w:pPr>
    </w:p>
    <w:p>
      <w:pPr>
        <w:spacing w:line="360" w:lineRule="auto"/>
        <w:jc w:val="center"/>
        <w:rPr>
          <w:rFonts w:hint="eastAsia" w:ascii="仿宋" w:hAnsi="仿宋" w:eastAsia="仿宋" w:cs="仿宋"/>
          <w:b/>
          <w:bCs/>
          <w:sz w:val="72"/>
          <w:szCs w:val="72"/>
        </w:rPr>
      </w:pPr>
      <w:bookmarkStart w:id="814" w:name="_Toc17976_WPSOffice_Level1"/>
      <w:r>
        <w:rPr>
          <w:rFonts w:hint="eastAsia" w:ascii="仿宋" w:hAnsi="仿宋" w:eastAsia="仿宋" w:cs="仿宋"/>
          <w:b/>
          <w:bCs/>
          <w:sz w:val="72"/>
          <w:szCs w:val="72"/>
        </w:rPr>
        <w:t>投  标  文  件</w:t>
      </w:r>
      <w:bookmarkEnd w:id="814"/>
    </w:p>
    <w:p>
      <w:pPr>
        <w:rPr>
          <w:rFonts w:hint="eastAsia" w:ascii="仿宋" w:hAnsi="仿宋" w:eastAsia="仿宋" w:cs="仿宋"/>
          <w:b/>
          <w:bCs/>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政府采购管理部门备案编号：</w:t>
      </w:r>
    </w:p>
    <w:p>
      <w:pPr>
        <w:jc w:val="center"/>
        <w:rPr>
          <w:rFonts w:hint="eastAsia" w:ascii="仿宋" w:hAnsi="仿宋" w:eastAsia="仿宋" w:cs="仿宋"/>
          <w:szCs w:val="21"/>
        </w:rPr>
      </w:pPr>
      <w:r>
        <w:rPr>
          <w:rFonts w:hint="eastAsia" w:ascii="仿宋" w:hAnsi="仿宋" w:eastAsia="仿宋" w:cs="仿宋"/>
          <w:b/>
          <w:bCs/>
          <w:sz w:val="28"/>
          <w:szCs w:val="28"/>
        </w:rPr>
        <w:t>项目编号：</w:t>
      </w:r>
    </w:p>
    <w:p>
      <w:pPr>
        <w:spacing w:line="360" w:lineRule="auto"/>
        <w:ind w:firstLine="420" w:firstLineChars="200"/>
        <w:rPr>
          <w:rFonts w:hint="eastAsia" w:ascii="仿宋" w:hAnsi="仿宋" w:eastAsia="仿宋" w:cs="仿宋"/>
          <w:szCs w:val="21"/>
        </w:rPr>
      </w:pPr>
    </w:p>
    <w:p>
      <w:pPr>
        <w:spacing w:line="360" w:lineRule="auto"/>
        <w:rPr>
          <w:rFonts w:hint="eastAsia" w:ascii="仿宋" w:hAnsi="仿宋" w:eastAsia="仿宋" w:cs="仿宋"/>
          <w:szCs w:val="21"/>
        </w:rPr>
      </w:pPr>
    </w:p>
    <w:p>
      <w:pPr>
        <w:pStyle w:val="2"/>
        <w:rPr>
          <w:rFonts w:hint="eastAsia" w:ascii="仿宋" w:hAnsi="仿宋" w:eastAsia="仿宋" w:cs="仿宋"/>
          <w:szCs w:val="21"/>
        </w:rPr>
      </w:pPr>
    </w:p>
    <w:p>
      <w:pPr>
        <w:rPr>
          <w:rFonts w:hint="eastAsia" w:ascii="仿宋" w:hAnsi="仿宋" w:eastAsia="仿宋" w:cs="仿宋"/>
          <w:szCs w:val="21"/>
        </w:rPr>
      </w:pPr>
    </w:p>
    <w:p>
      <w:pPr>
        <w:pStyle w:val="2"/>
        <w:rPr>
          <w:rFonts w:hint="eastAsia" w:ascii="仿宋" w:hAnsi="仿宋" w:eastAsia="仿宋" w:cs="仿宋"/>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投标人：</w:t>
      </w:r>
      <w:r>
        <w:rPr>
          <w:rFonts w:hint="eastAsia" w:ascii="仿宋" w:hAnsi="仿宋" w:eastAsia="仿宋" w:cs="仿宋"/>
          <w:sz w:val="28"/>
          <w:szCs w:val="28"/>
          <w:u w:val="single"/>
        </w:rPr>
        <w:t xml:space="preserve">                       </w:t>
      </w:r>
      <w:r>
        <w:rPr>
          <w:rFonts w:hint="eastAsia" w:ascii="仿宋" w:hAnsi="仿宋" w:eastAsia="仿宋" w:cs="仿宋"/>
          <w:sz w:val="28"/>
          <w:szCs w:val="28"/>
        </w:rPr>
        <w:t>（企业电子章）</w:t>
      </w:r>
    </w:p>
    <w:p>
      <w:pPr>
        <w:spacing w:line="360" w:lineRule="auto"/>
        <w:ind w:firstLine="560" w:firstLineChars="200"/>
        <w:rPr>
          <w:rFonts w:hint="eastAsia" w:ascii="仿宋" w:hAnsi="仿宋" w:eastAsia="仿宋" w:cs="仿宋"/>
          <w:sz w:val="28"/>
          <w:szCs w:val="28"/>
        </w:rPr>
      </w:pPr>
    </w:p>
    <w:p>
      <w:pPr>
        <w:spacing w:line="36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（个人电子章）</w:t>
      </w:r>
    </w:p>
    <w:p>
      <w:pPr>
        <w:spacing w:line="360" w:lineRule="auto"/>
        <w:jc w:val="center"/>
        <w:rPr>
          <w:rFonts w:hint="eastAsia" w:ascii="仿宋" w:hAnsi="仿宋" w:eastAsia="仿宋" w:cs="仿宋"/>
          <w:szCs w:val="21"/>
          <w:u w:val="single"/>
        </w:rPr>
      </w:pPr>
    </w:p>
    <w:p>
      <w:pPr>
        <w:spacing w:line="360" w:lineRule="auto"/>
        <w:jc w:val="center"/>
        <w:rPr>
          <w:rFonts w:hint="eastAsia" w:ascii="仿宋" w:hAnsi="仿宋" w:eastAsia="仿宋" w:cs="仿宋"/>
          <w:szCs w:val="21"/>
        </w:rPr>
        <w:sectPr>
          <w:pgSz w:w="11907" w:h="16840"/>
          <w:pgMar w:top="1440" w:right="1080" w:bottom="1440" w:left="1080" w:header="680" w:footer="680" w:gutter="0"/>
          <w:pgNumType w:fmt="decimal"/>
          <w:cols w:space="720" w:num="1"/>
          <w:docGrid w:linePitch="312" w:charSpace="0"/>
        </w:sectPr>
      </w:pPr>
      <w:r>
        <w:rPr>
          <w:rFonts w:hint="eastAsia" w:ascii="仿宋" w:hAnsi="仿宋" w:eastAsia="仿宋" w:cs="仿宋"/>
          <w:szCs w:val="21"/>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276" w:lineRule="auto"/>
        <w:jc w:val="center"/>
        <w:rPr>
          <w:rFonts w:hint="eastAsia" w:ascii="仿宋" w:hAnsi="仿宋" w:eastAsia="仿宋" w:cs="仿宋"/>
          <w:b/>
          <w:bCs/>
          <w:sz w:val="36"/>
          <w:szCs w:val="36"/>
        </w:rPr>
      </w:pPr>
      <w:bookmarkStart w:id="815" w:name="_Toc184635137"/>
      <w:r>
        <w:rPr>
          <w:rFonts w:hint="eastAsia" w:ascii="仿宋" w:hAnsi="仿宋" w:eastAsia="仿宋" w:cs="仿宋"/>
          <w:b/>
          <w:bCs/>
          <w:sz w:val="36"/>
          <w:szCs w:val="36"/>
        </w:rPr>
        <w:t>目  录</w:t>
      </w:r>
      <w:bookmarkEnd w:id="815"/>
    </w:p>
    <w:p>
      <w:pPr>
        <w:spacing w:line="276" w:lineRule="auto"/>
        <w:jc w:val="center"/>
        <w:rPr>
          <w:rFonts w:hint="eastAsia" w:ascii="仿宋" w:hAnsi="仿宋" w:eastAsia="仿宋" w:cs="仿宋"/>
          <w:sz w:val="32"/>
          <w:szCs w:val="32"/>
        </w:rPr>
      </w:pP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一、投标函及投标函附录</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二、法定代表人身份证明</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三、授权委托书</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四、投标保证金</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五、已标价工程量清单</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六、施工组织设计</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七、项目管理机构</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八、资格审查资料</w:t>
      </w:r>
    </w:p>
    <w:p>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九</w:t>
      </w:r>
      <w:r>
        <w:rPr>
          <w:rFonts w:hint="eastAsia" w:ascii="仿宋" w:hAnsi="仿宋" w:eastAsia="仿宋" w:cs="仿宋"/>
          <w:b/>
          <w:bCs/>
          <w:sz w:val="32"/>
          <w:szCs w:val="32"/>
        </w:rPr>
        <w:t>、</w:t>
      </w:r>
      <w:r>
        <w:rPr>
          <w:rFonts w:hint="eastAsia" w:ascii="仿宋" w:hAnsi="仿宋" w:eastAsia="仿宋" w:cs="仿宋"/>
          <w:bCs/>
          <w:sz w:val="32"/>
          <w:szCs w:val="32"/>
        </w:rPr>
        <w:t>投标人认为有必要提供的其他资料</w:t>
      </w:r>
    </w:p>
    <w:p>
      <w:pPr>
        <w:spacing w:line="276" w:lineRule="auto"/>
        <w:ind w:firstLine="480" w:firstLineChars="200"/>
        <w:rPr>
          <w:rFonts w:hint="eastAsia" w:ascii="仿宋" w:hAnsi="仿宋" w:eastAsia="仿宋" w:cs="仿宋"/>
          <w:sz w:val="24"/>
        </w:rPr>
      </w:pPr>
    </w:p>
    <w:p>
      <w:pPr>
        <w:pStyle w:val="10"/>
        <w:ind w:left="63" w:right="63"/>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spacing w:line="276" w:lineRule="auto"/>
        <w:jc w:val="center"/>
        <w:rPr>
          <w:rFonts w:hint="eastAsia" w:ascii="仿宋" w:hAnsi="仿宋" w:eastAsia="仿宋" w:cs="仿宋"/>
          <w:b/>
          <w:sz w:val="32"/>
          <w:szCs w:val="32"/>
        </w:rPr>
      </w:pPr>
      <w:r>
        <w:rPr>
          <w:rFonts w:hint="eastAsia" w:ascii="仿宋" w:hAnsi="仿宋" w:eastAsia="仿宋" w:cs="仿宋"/>
          <w:b/>
          <w:sz w:val="32"/>
          <w:szCs w:val="32"/>
        </w:rPr>
        <w:t>洛阳市工程建设项目廉洁自律告知书</w:t>
      </w:r>
    </w:p>
    <w:p>
      <w:pPr>
        <w:spacing w:line="276" w:lineRule="auto"/>
        <w:jc w:val="center"/>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为维护公平竞争的市场秩序,从源头上有效预防和制止违法违纪行为和腐败问题的发生,促进工程项目建设廉洁优质高效，现就有关事项告知如下：</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1、严格遵守工程建设项目的法律、法规及规章制度。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2、严格遵守职业道德，坚持公开、公正、公平、诚信的原则；</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3、严格执行工程建设项目合同文件，自觉按合同办事</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4、严格执行工程建设项目招标投标、物资采购、设计变更、质量认证、安全生产等各项规定；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5、严禁为了获取不正当的利益而损害国家利益、社会公共利益或者他人合法权益；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6、严禁向项目建设单位和相关职能部门及有关人员赠送礼金、有价证券、贵重物品或回扣、好处费、感谢费等，不直接或变相行贿搞商业贿赂；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7、加强内部监督，并</w:t>
      </w:r>
      <w:r>
        <w:rPr>
          <w:rFonts w:hint="eastAsia" w:ascii="仿宋" w:hAnsi="仿宋" w:eastAsia="仿宋" w:cs="仿宋"/>
          <w:kern w:val="0"/>
          <w:sz w:val="24"/>
        </w:rPr>
        <w:t>自觉接受有关职能部门对工程建设情况的监督检查；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8、严格执行廉洁从业各项规定，并向市委、市政府作出廉洁自律承诺。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违反上述告知事项造成不良影响或严重后果的，按照国家有关法律法规予以处理；涉嫌犯罪的，移送司法机关依法追究刑事责任。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本人已认真阅读并充分理解以上条款，并代表所属单位严格遵守。</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法人代表：（电子签章）         单位：（电子签章）            日期：</w:t>
      </w:r>
    </w:p>
    <w:p>
      <w:pPr>
        <w:tabs>
          <w:tab w:val="left" w:pos="8076"/>
        </w:tabs>
        <w:spacing w:line="50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ab/>
      </w:r>
    </w:p>
    <w:p>
      <w:pPr>
        <w:spacing w:line="500" w:lineRule="exact"/>
        <w:ind w:firstLine="600" w:firstLineChars="200"/>
        <w:rPr>
          <w:rFonts w:hint="eastAsia" w:ascii="仿宋" w:hAnsi="仿宋" w:eastAsia="仿宋" w:cs="仿宋"/>
          <w:sz w:val="30"/>
          <w:szCs w:val="30"/>
        </w:rPr>
      </w:pPr>
    </w:p>
    <w:p>
      <w:pPr>
        <w:spacing w:line="276" w:lineRule="auto"/>
        <w:jc w:val="center"/>
        <w:rPr>
          <w:rFonts w:hint="eastAsia" w:ascii="仿宋" w:hAnsi="仿宋" w:eastAsia="仿宋" w:cs="仿宋"/>
          <w:b/>
          <w:sz w:val="32"/>
          <w:szCs w:val="32"/>
        </w:rPr>
      </w:pPr>
      <w:r>
        <w:rPr>
          <w:rFonts w:hint="eastAsia" w:ascii="仿宋" w:hAnsi="仿宋" w:eastAsia="仿宋" w:cs="仿宋"/>
          <w:sz w:val="30"/>
          <w:szCs w:val="30"/>
        </w:rPr>
        <w:br w:type="page"/>
      </w:r>
      <w:r>
        <w:rPr>
          <w:rFonts w:hint="eastAsia" w:ascii="仿宋" w:hAnsi="仿宋" w:eastAsia="仿宋" w:cs="仿宋"/>
          <w:b/>
          <w:sz w:val="32"/>
          <w:szCs w:val="32"/>
        </w:rPr>
        <w:t>洛阳市建设工程廉洁自律承诺书</w:t>
      </w:r>
    </w:p>
    <w:p>
      <w:pPr>
        <w:spacing w:line="276" w:lineRule="auto"/>
        <w:jc w:val="center"/>
        <w:rPr>
          <w:rFonts w:hint="eastAsia" w:ascii="仿宋" w:hAnsi="仿宋" w:eastAsia="仿宋" w:cs="仿宋"/>
          <w:b/>
          <w:sz w:val="24"/>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为切实加强工程建设领域的党风廉政建设，严格遵守廉洁从业的有关规定，有效预防和制止各种违法违纪行为和腐败问题的发生，确保把工程项目建设成为廉洁工程，促进经济社会又好又快地发展，作为</w:t>
      </w:r>
      <w:r>
        <w:rPr>
          <w:rFonts w:hint="eastAsia" w:ascii="仿宋" w:hAnsi="仿宋" w:eastAsia="仿宋" w:cs="仿宋"/>
          <w:sz w:val="24"/>
          <w:u w:val="single"/>
        </w:rPr>
        <w:t xml:space="preserve">                                 </w:t>
      </w:r>
      <w:r>
        <w:rPr>
          <w:rFonts w:hint="eastAsia" w:ascii="仿宋" w:hAnsi="仿宋" w:eastAsia="仿宋" w:cs="仿宋"/>
          <w:sz w:val="24"/>
        </w:rPr>
        <w:t>工程建设的</w:t>
      </w:r>
      <w:r>
        <w:rPr>
          <w:rFonts w:hint="eastAsia" w:ascii="仿宋" w:hAnsi="仿宋" w:eastAsia="仿宋" w:cs="仿宋"/>
          <w:sz w:val="24"/>
          <w:u w:val="single"/>
        </w:rPr>
        <w:t xml:space="preserve">      </w:t>
      </w:r>
      <w:r>
        <w:rPr>
          <w:rFonts w:hint="eastAsia" w:ascii="仿宋" w:hAnsi="仿宋" w:eastAsia="仿宋" w:cs="仿宋"/>
          <w:sz w:val="24"/>
        </w:rPr>
        <w:t>单位，特向市委、市政府做出如下庄严承诺：</w:t>
      </w:r>
    </w:p>
    <w:p>
      <w:pPr>
        <w:spacing w:line="360" w:lineRule="auto"/>
        <w:rPr>
          <w:rFonts w:hint="eastAsia" w:ascii="仿宋" w:hAnsi="仿宋" w:eastAsia="仿宋" w:cs="仿宋"/>
          <w:sz w:val="24"/>
        </w:rPr>
      </w:pPr>
      <w:r>
        <w:rPr>
          <w:rFonts w:hint="eastAsia" w:ascii="仿宋" w:hAnsi="仿宋" w:eastAsia="仿宋" w:cs="仿宋"/>
          <w:sz w:val="24"/>
        </w:rPr>
        <w:t xml:space="preserve">    一、严格遵守党纪国法和各项政策规定，将廉政建设和廉洁从业的各项要求贯彻始终，廉洁自律，加强监督，保证将工程建设成廉洁工程。</w:t>
      </w:r>
    </w:p>
    <w:p>
      <w:pPr>
        <w:spacing w:line="360" w:lineRule="auto"/>
        <w:ind w:firstLine="435"/>
        <w:rPr>
          <w:rFonts w:hint="eastAsia" w:ascii="仿宋" w:hAnsi="仿宋" w:eastAsia="仿宋" w:cs="仿宋"/>
          <w:sz w:val="24"/>
        </w:rPr>
      </w:pPr>
      <w:r>
        <w:rPr>
          <w:rFonts w:hint="eastAsia" w:ascii="仿宋" w:hAnsi="仿宋" w:eastAsia="仿宋" w:cs="仿宋"/>
          <w:sz w:val="24"/>
        </w:rPr>
        <w:t>二、严格遵守职业道德，坚持公开、公正、公平的原则，依法合规参与竞争，努力推进诚信建设，决不从事任何不正当竞争和任何违法违纪行为。</w:t>
      </w:r>
    </w:p>
    <w:p>
      <w:pPr>
        <w:spacing w:line="360" w:lineRule="auto"/>
        <w:ind w:firstLine="435"/>
        <w:rPr>
          <w:rFonts w:hint="eastAsia" w:ascii="仿宋" w:hAnsi="仿宋" w:eastAsia="仿宋" w:cs="仿宋"/>
          <w:sz w:val="24"/>
        </w:rPr>
      </w:pPr>
      <w:r>
        <w:rPr>
          <w:rFonts w:hint="eastAsia" w:ascii="仿宋" w:hAnsi="仿宋" w:eastAsia="仿宋" w:cs="仿宋"/>
          <w:sz w:val="24"/>
        </w:rPr>
        <w:t>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spacing w:line="360" w:lineRule="auto"/>
        <w:ind w:firstLine="435"/>
        <w:rPr>
          <w:rFonts w:hint="eastAsia" w:ascii="仿宋" w:hAnsi="仿宋" w:eastAsia="仿宋" w:cs="仿宋"/>
          <w:sz w:val="24"/>
        </w:rPr>
      </w:pPr>
      <w:r>
        <w:rPr>
          <w:rFonts w:hint="eastAsia" w:ascii="仿宋" w:hAnsi="仿宋" w:eastAsia="仿宋" w:cs="仿宋"/>
          <w:sz w:val="24"/>
        </w:rPr>
        <w:t>四、建立工程质量监管保证体系。严格按照国家各项相关法规和技术规范从事设计、施工、监理，确保工程设计、施工组织、质量监理全部依法合规，争创优质工程。</w:t>
      </w:r>
    </w:p>
    <w:p>
      <w:pPr>
        <w:spacing w:line="360" w:lineRule="auto"/>
        <w:ind w:firstLine="435"/>
        <w:rPr>
          <w:rFonts w:hint="eastAsia" w:ascii="仿宋" w:hAnsi="仿宋" w:eastAsia="仿宋" w:cs="仿宋"/>
          <w:sz w:val="24"/>
        </w:rPr>
      </w:pPr>
      <w:r>
        <w:rPr>
          <w:rFonts w:hint="eastAsia" w:ascii="仿宋" w:hAnsi="仿宋" w:eastAsia="仿宋" w:cs="仿宋"/>
          <w:sz w:val="24"/>
        </w:rPr>
        <w:t>五、建立安全生产监管保证体系。按照国家各项相关法律和技术规范，在工程建设中落实安全生产“三同时”要求，确保施工人员和其他相关人员生命及人身安全，严防各类安全事故的发生。</w:t>
      </w:r>
    </w:p>
    <w:p>
      <w:pPr>
        <w:spacing w:line="360" w:lineRule="auto"/>
        <w:ind w:firstLine="435"/>
        <w:rPr>
          <w:rFonts w:hint="eastAsia" w:ascii="仿宋" w:hAnsi="仿宋" w:eastAsia="仿宋" w:cs="仿宋"/>
          <w:sz w:val="24"/>
        </w:rPr>
      </w:pPr>
      <w:r>
        <w:rPr>
          <w:rFonts w:hint="eastAsia" w:ascii="仿宋" w:hAnsi="仿宋" w:eastAsia="仿宋" w:cs="仿宋"/>
          <w:sz w:val="24"/>
        </w:rPr>
        <w:t>六、遵守财经法规，厉行勤俭节约，杜绝铺张浪费，严格控制开支，最大限度地压缩工程费用，节约资金。</w:t>
      </w:r>
    </w:p>
    <w:p>
      <w:pPr>
        <w:spacing w:line="360" w:lineRule="auto"/>
        <w:ind w:firstLine="435"/>
        <w:rPr>
          <w:rFonts w:hint="eastAsia" w:ascii="仿宋" w:hAnsi="仿宋" w:eastAsia="仿宋" w:cs="仿宋"/>
          <w:sz w:val="24"/>
        </w:rPr>
      </w:pPr>
      <w:r>
        <w:rPr>
          <w:rFonts w:hint="eastAsia" w:ascii="仿宋" w:hAnsi="仿宋" w:eastAsia="仿宋" w:cs="仿宋"/>
          <w:sz w:val="24"/>
        </w:rPr>
        <w:t>七、定期不定期地对工程建设中的廉政建设和廉洁从业情况进行内部监督检查，同时主动接受外部有关部门依法依纪的监督检查，及时发现和整改存在的各种问题。</w:t>
      </w:r>
    </w:p>
    <w:p>
      <w:pPr>
        <w:spacing w:line="360" w:lineRule="auto"/>
        <w:ind w:firstLine="435"/>
        <w:rPr>
          <w:rFonts w:hint="eastAsia" w:ascii="仿宋" w:hAnsi="仿宋" w:eastAsia="仿宋" w:cs="仿宋"/>
          <w:sz w:val="24"/>
        </w:rPr>
      </w:pPr>
      <w:r>
        <w:rPr>
          <w:rFonts w:hint="eastAsia" w:ascii="仿宋" w:hAnsi="仿宋" w:eastAsia="仿宋" w:cs="仿宋"/>
          <w:sz w:val="24"/>
        </w:rPr>
        <w:t>八、如在工程建设中发生违法违纪行为和腐败问题，自愿接受党纪、政纪处理直至追究法律责任。</w:t>
      </w:r>
    </w:p>
    <w:p>
      <w:pPr>
        <w:spacing w:line="360" w:lineRule="auto"/>
        <w:rPr>
          <w:rFonts w:hint="eastAsia" w:ascii="仿宋" w:hAnsi="仿宋" w:eastAsia="仿宋" w:cs="仿宋"/>
          <w:sz w:val="24"/>
        </w:rPr>
      </w:pPr>
      <w:r>
        <w:rPr>
          <w:rFonts w:hint="eastAsia" w:ascii="仿宋" w:hAnsi="仿宋" w:eastAsia="仿宋" w:cs="仿宋"/>
          <w:sz w:val="24"/>
        </w:rPr>
        <w:t>承诺单位：（电子签章）</w:t>
      </w:r>
    </w:p>
    <w:p>
      <w:pPr>
        <w:spacing w:line="360" w:lineRule="auto"/>
        <w:rPr>
          <w:rFonts w:hint="eastAsia" w:ascii="仿宋" w:hAnsi="仿宋" w:eastAsia="仿宋" w:cs="仿宋"/>
          <w:sz w:val="24"/>
        </w:rPr>
      </w:pPr>
      <w:r>
        <w:rPr>
          <w:rFonts w:hint="eastAsia" w:ascii="仿宋" w:hAnsi="仿宋" w:eastAsia="仿宋" w:cs="仿宋"/>
          <w:sz w:val="24"/>
        </w:rPr>
        <w:t>法人代表：（电子签章）</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时    间：         年     月    日</w:t>
      </w:r>
    </w:p>
    <w:p>
      <w:pPr>
        <w:pStyle w:val="2"/>
        <w:rPr>
          <w:rFonts w:hint="eastAsia" w:ascii="仿宋" w:hAnsi="仿宋" w:eastAsia="仿宋" w:cs="仿宋"/>
          <w:szCs w:val="21"/>
        </w:rPr>
      </w:pPr>
    </w:p>
    <w:p>
      <w:pPr>
        <w:pStyle w:val="4"/>
        <w:spacing w:line="360" w:lineRule="auto"/>
        <w:jc w:val="center"/>
        <w:rPr>
          <w:rFonts w:hint="eastAsia" w:ascii="仿宋" w:hAnsi="仿宋" w:eastAsia="仿宋" w:cs="仿宋"/>
          <w:sz w:val="28"/>
          <w:szCs w:val="28"/>
        </w:rPr>
      </w:pPr>
      <w:bookmarkStart w:id="816" w:name="_Toc277837121"/>
      <w:r>
        <w:rPr>
          <w:rFonts w:hint="eastAsia" w:ascii="仿宋" w:hAnsi="仿宋" w:eastAsia="仿宋" w:cs="仿宋"/>
          <w:sz w:val="28"/>
          <w:szCs w:val="28"/>
        </w:rPr>
        <w:t>一、投标函及投标函附录</w:t>
      </w:r>
    </w:p>
    <w:p>
      <w:pPr>
        <w:pStyle w:val="5"/>
        <w:spacing w:line="360" w:lineRule="auto"/>
        <w:jc w:val="center"/>
        <w:rPr>
          <w:rFonts w:hint="eastAsia" w:ascii="仿宋" w:hAnsi="仿宋" w:eastAsia="仿宋" w:cs="仿宋"/>
          <w:sz w:val="28"/>
          <w:szCs w:val="28"/>
        </w:rPr>
      </w:pPr>
      <w:bookmarkStart w:id="817" w:name="（一）投标函"/>
      <w:bookmarkEnd w:id="817"/>
      <w:bookmarkStart w:id="818" w:name="_bookmark22"/>
      <w:bookmarkEnd w:id="818"/>
      <w:r>
        <w:rPr>
          <w:rFonts w:hint="eastAsia" w:ascii="仿宋" w:hAnsi="仿宋" w:eastAsia="仿宋" w:cs="仿宋"/>
          <w:sz w:val="28"/>
          <w:szCs w:val="28"/>
        </w:rPr>
        <w:t>（一）投标函</w:t>
      </w:r>
    </w:p>
    <w:p>
      <w:pPr>
        <w:adjustRightInd w:val="0"/>
        <w:spacing w:line="360" w:lineRule="auto"/>
        <w:ind w:firstLine="616" w:firstLineChars="257"/>
        <w:rPr>
          <w:rFonts w:hint="eastAsia" w:ascii="仿宋" w:hAnsi="仿宋" w:eastAsia="仿宋" w:cs="仿宋"/>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（招标人名称）</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我方已仔细研究了</w:t>
      </w:r>
      <w:r>
        <w:rPr>
          <w:rFonts w:hint="eastAsia" w:ascii="仿宋" w:hAnsi="仿宋" w:eastAsia="仿宋" w:cs="仿宋"/>
          <w:kern w:val="0"/>
          <w:sz w:val="24"/>
          <w:u w:val="single"/>
        </w:rPr>
        <w:t xml:space="preserve">           （项目名称）</w:t>
      </w:r>
      <w:r>
        <w:rPr>
          <w:rFonts w:hint="eastAsia" w:ascii="仿宋" w:hAnsi="仿宋" w:eastAsia="仿宋" w:cs="仿宋"/>
          <w:kern w:val="0"/>
          <w:sz w:val="24"/>
        </w:rPr>
        <w:t>招标文件（答疑澄清等）的全部内容，完全接受和满足本项目招标文件中规定的实质性要求，如对招标文件（答疑澄清等）有异议，已经在投标截止时间届满前依法进行维权救济，不存在对招标文件有异议的同时又参加投标以求侥幸中标或者为实现其他非法目的的行为。</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我方</w:t>
      </w:r>
      <w:r>
        <w:rPr>
          <w:rFonts w:hint="eastAsia" w:ascii="仿宋" w:hAnsi="仿宋" w:eastAsia="仿宋" w:cs="仿宋"/>
          <w:kern w:val="0"/>
          <w:sz w:val="24"/>
        </w:rPr>
        <w:t>愿按照招标文件中规定的条款和要求，完成本项目。投标报价为</w:t>
      </w:r>
      <w:r>
        <w:rPr>
          <w:rFonts w:hint="eastAsia" w:ascii="仿宋" w:hAnsi="仿宋" w:eastAsia="仿宋" w:cs="仿宋"/>
          <w:kern w:val="0"/>
          <w:sz w:val="24"/>
          <w:u w:val="single"/>
        </w:rPr>
        <w:t>（大写）    （¥元）</w:t>
      </w:r>
      <w:r>
        <w:rPr>
          <w:rFonts w:hint="eastAsia" w:ascii="仿宋" w:hAnsi="仿宋" w:eastAsia="仿宋" w:cs="仿宋"/>
          <w:kern w:val="0"/>
          <w:sz w:val="24"/>
        </w:rPr>
        <w:t>，工期</w:t>
      </w:r>
      <w:r>
        <w:rPr>
          <w:rFonts w:hint="eastAsia" w:ascii="仿宋" w:hAnsi="仿宋" w:eastAsia="仿宋" w:cs="仿宋"/>
          <w:kern w:val="0"/>
          <w:sz w:val="24"/>
          <w:u w:val="single"/>
        </w:rPr>
        <w:t xml:space="preserve">      </w:t>
      </w:r>
      <w:r>
        <w:rPr>
          <w:rFonts w:hint="eastAsia" w:ascii="仿宋" w:hAnsi="仿宋" w:eastAsia="仿宋" w:cs="仿宋"/>
          <w:kern w:val="0"/>
          <w:sz w:val="24"/>
        </w:rPr>
        <w:t>，质量</w:t>
      </w:r>
      <w:r>
        <w:rPr>
          <w:rFonts w:hint="eastAsia" w:ascii="仿宋" w:hAnsi="仿宋" w:eastAsia="仿宋" w:cs="仿宋"/>
          <w:kern w:val="0"/>
          <w:sz w:val="24"/>
          <w:lang w:eastAsia="zh-CN"/>
        </w:rPr>
        <w:t>要求</w:t>
      </w:r>
      <w:r>
        <w:rPr>
          <w:rFonts w:hint="eastAsia" w:ascii="仿宋" w:hAnsi="仿宋" w:eastAsia="仿宋" w:cs="仿宋"/>
          <w:kern w:val="0"/>
          <w:sz w:val="24"/>
          <w:u w:val="single"/>
        </w:rPr>
        <w:t xml:space="preserve">      </w:t>
      </w:r>
      <w:r>
        <w:rPr>
          <w:rFonts w:hint="eastAsia" w:ascii="仿宋" w:hAnsi="仿宋" w:eastAsia="仿宋" w:cs="仿宋"/>
          <w:kern w:val="0"/>
          <w:sz w:val="24"/>
        </w:rPr>
        <w:t>，项目</w:t>
      </w:r>
      <w:r>
        <w:rPr>
          <w:rFonts w:hint="eastAsia" w:ascii="仿宋" w:hAnsi="仿宋" w:eastAsia="仿宋" w:cs="仿宋"/>
          <w:kern w:val="0"/>
          <w:sz w:val="24"/>
          <w:lang w:eastAsia="zh-CN"/>
        </w:rPr>
        <w:t>经理</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、我方承诺在投标有效期内不修改、撤销投标文件。</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4</w:t>
      </w:r>
      <w:r>
        <w:rPr>
          <w:rFonts w:hint="eastAsia" w:ascii="仿宋" w:hAnsi="仿宋" w:eastAsia="仿宋" w:cs="仿宋"/>
          <w:kern w:val="0"/>
          <w:sz w:val="24"/>
          <w:lang w:eastAsia="zh-CN"/>
        </w:rPr>
        <w:t>、</w:t>
      </w:r>
      <w:r>
        <w:rPr>
          <w:rFonts w:hint="eastAsia" w:ascii="仿宋" w:hAnsi="仿宋" w:eastAsia="仿宋" w:cs="仿宋"/>
          <w:kern w:val="0"/>
          <w:sz w:val="24"/>
        </w:rPr>
        <w:t>如我方中标：</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 xml:space="preserve">（1）我方承诺在收到中标通知书后，在中标通知书规定的期限内与你方签订合同。 </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（2）随同本投标函递交的投标函附录属于合同文件的组成部分。</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（3）我方承诺按照招标文件规定向你方递交履约担保。</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 xml:space="preserve">（4）我方承诺在合同约定的期限内完成本项目。 </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 xml:space="preserve">5、我方在此声明，所递交的投标文件及有关资料内容完整、真实和准确。 </w:t>
      </w:r>
    </w:p>
    <w:p>
      <w:pPr>
        <w:adjustRightInd w:val="0"/>
        <w:spacing w:line="360" w:lineRule="auto"/>
        <w:ind w:firstLine="616" w:firstLineChars="257"/>
        <w:rPr>
          <w:rFonts w:hint="eastAsia" w:ascii="仿宋" w:hAnsi="仿宋" w:eastAsia="仿宋" w:cs="仿宋"/>
          <w:sz w:val="24"/>
        </w:rPr>
      </w:pPr>
      <w:r>
        <w:rPr>
          <w:rFonts w:hint="eastAsia" w:ascii="仿宋" w:hAnsi="仿宋" w:eastAsia="仿宋" w:cs="仿宋"/>
          <w:kern w:val="0"/>
          <w:sz w:val="24"/>
        </w:rPr>
        <w:t>6、</w:t>
      </w:r>
      <w:r>
        <w:rPr>
          <w:rFonts w:hint="eastAsia" w:ascii="仿宋" w:hAnsi="仿宋" w:eastAsia="仿宋" w:cs="仿宋"/>
          <w:kern w:val="0"/>
          <w:sz w:val="24"/>
          <w:u w:val="single"/>
        </w:rPr>
        <w:t xml:space="preserve">  （其他补充说明）   </w:t>
      </w:r>
      <w:r>
        <w:rPr>
          <w:rFonts w:hint="eastAsia" w:ascii="仿宋" w:hAnsi="仿宋" w:eastAsia="仿宋" w:cs="仿宋"/>
          <w:kern w:val="0"/>
          <w:sz w:val="24"/>
        </w:rPr>
        <w:t xml:space="preserve">。 </w:t>
      </w:r>
    </w:p>
    <w:p>
      <w:pPr>
        <w:adjustRightInd w:val="0"/>
        <w:spacing w:line="520" w:lineRule="exact"/>
        <w:ind w:firstLine="616" w:firstLineChars="257"/>
        <w:rPr>
          <w:rFonts w:hint="eastAsia" w:ascii="仿宋" w:hAnsi="仿宋" w:eastAsia="仿宋" w:cs="仿宋"/>
          <w:sz w:val="24"/>
        </w:rPr>
      </w:pPr>
      <w:r>
        <w:rPr>
          <w:rFonts w:hint="eastAsia" w:ascii="仿宋" w:hAnsi="仿宋" w:eastAsia="仿宋" w:cs="仿宋"/>
          <w:kern w:val="0"/>
          <w:sz w:val="24"/>
        </w:rPr>
        <w:t> </w:t>
      </w:r>
    </w:p>
    <w:p>
      <w:pPr>
        <w:adjustRightInd w:val="0"/>
        <w:spacing w:line="520" w:lineRule="exact"/>
        <w:ind w:firstLine="616" w:firstLineChars="257"/>
        <w:rPr>
          <w:rFonts w:hint="eastAsia" w:ascii="仿宋" w:hAnsi="仿宋" w:eastAsia="仿宋" w:cs="仿宋"/>
          <w:sz w:val="24"/>
        </w:rPr>
      </w:pPr>
      <w:r>
        <w:rPr>
          <w:rFonts w:hint="eastAsia" w:ascii="仿宋" w:hAnsi="仿宋" w:eastAsia="仿宋" w:cs="仿宋"/>
          <w:kern w:val="0"/>
          <w:sz w:val="24"/>
        </w:rPr>
        <w:t> </w:t>
      </w:r>
    </w:p>
    <w:p>
      <w:pPr>
        <w:adjustRightInd w:val="0"/>
        <w:spacing w:line="520" w:lineRule="exact"/>
        <w:rPr>
          <w:rFonts w:hint="eastAsia" w:ascii="仿宋" w:hAnsi="仿宋" w:eastAsia="仿宋" w:cs="仿宋"/>
          <w:sz w:val="24"/>
        </w:rPr>
      </w:pPr>
      <w:r>
        <w:rPr>
          <w:rFonts w:hint="eastAsia" w:ascii="仿宋" w:hAnsi="仿宋" w:eastAsia="仿宋" w:cs="仿宋"/>
          <w:kern w:val="0"/>
          <w:sz w:val="24"/>
        </w:rPr>
        <w:t>投标人（</w:t>
      </w:r>
      <w:r>
        <w:rPr>
          <w:rFonts w:hint="eastAsia" w:ascii="仿宋" w:hAnsi="仿宋" w:eastAsia="仿宋" w:cs="仿宋"/>
          <w:sz w:val="24"/>
        </w:rPr>
        <w:t>电子签章</w:t>
      </w:r>
      <w:r>
        <w:rPr>
          <w:rFonts w:hint="eastAsia" w:ascii="仿宋" w:hAnsi="仿宋" w:eastAsia="仿宋" w:cs="仿宋"/>
          <w:kern w:val="0"/>
          <w:sz w:val="24"/>
        </w:rPr>
        <w:t>）：</w:t>
      </w:r>
    </w:p>
    <w:p>
      <w:pPr>
        <w:adjustRightInd w:val="0"/>
        <w:spacing w:line="520" w:lineRule="exact"/>
        <w:rPr>
          <w:rFonts w:hint="eastAsia" w:ascii="仿宋" w:hAnsi="仿宋" w:eastAsia="仿宋" w:cs="仿宋"/>
          <w:sz w:val="24"/>
        </w:rPr>
      </w:pPr>
      <w:r>
        <w:rPr>
          <w:rFonts w:hint="eastAsia" w:ascii="仿宋" w:hAnsi="仿宋" w:eastAsia="仿宋" w:cs="仿宋"/>
          <w:kern w:val="0"/>
          <w:sz w:val="24"/>
        </w:rPr>
        <w:t>法定代表人（</w:t>
      </w:r>
      <w:r>
        <w:rPr>
          <w:rFonts w:hint="eastAsia" w:ascii="仿宋" w:hAnsi="仿宋" w:eastAsia="仿宋" w:cs="仿宋"/>
          <w:sz w:val="24"/>
        </w:rPr>
        <w:t>电子签章</w:t>
      </w:r>
      <w:r>
        <w:rPr>
          <w:rFonts w:hint="eastAsia" w:ascii="仿宋" w:hAnsi="仿宋" w:eastAsia="仿宋" w:cs="仿宋"/>
          <w:kern w:val="0"/>
          <w:sz w:val="24"/>
        </w:rPr>
        <w:t>）：</w:t>
      </w:r>
    </w:p>
    <w:p>
      <w:pPr>
        <w:adjustRightInd w:val="0"/>
        <w:spacing w:line="520" w:lineRule="exact"/>
        <w:rPr>
          <w:rFonts w:hint="eastAsia" w:ascii="仿宋" w:hAnsi="仿宋" w:eastAsia="仿宋" w:cs="仿宋"/>
          <w:sz w:val="24"/>
        </w:rPr>
      </w:pPr>
      <w:r>
        <w:rPr>
          <w:rFonts w:hint="eastAsia" w:ascii="仿宋" w:hAnsi="仿宋" w:eastAsia="仿宋" w:cs="仿宋"/>
          <w:kern w:val="0"/>
          <w:sz w:val="24"/>
        </w:rPr>
        <w:t>日　　期：</w:t>
      </w:r>
    </w:p>
    <w:bookmarkEnd w:id="816"/>
    <w:p>
      <w:pPr>
        <w:spacing w:line="300" w:lineRule="exact"/>
        <w:rPr>
          <w:rFonts w:hint="eastAsia" w:ascii="仿宋" w:hAnsi="仿宋" w:eastAsia="仿宋" w:cs="仿宋"/>
          <w:szCs w:val="21"/>
        </w:rPr>
      </w:pPr>
    </w:p>
    <w:p>
      <w:pPr>
        <w:pStyle w:val="2"/>
        <w:rPr>
          <w:rFonts w:hint="eastAsia" w:ascii="仿宋" w:hAnsi="仿宋" w:eastAsia="仿宋" w:cs="仿宋"/>
        </w:rPr>
      </w:pPr>
    </w:p>
    <w:p>
      <w:pPr>
        <w:pStyle w:val="5"/>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（二）投标函附录</w:t>
      </w:r>
    </w:p>
    <w:tbl>
      <w:tblPr>
        <w:tblStyle w:val="19"/>
        <w:tblW w:w="96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3"/>
        <w:gridCol w:w="1525"/>
        <w:gridCol w:w="1180"/>
        <w:gridCol w:w="1074"/>
        <w:gridCol w:w="1267"/>
        <w:gridCol w:w="71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exact"/>
        </w:trPr>
        <w:tc>
          <w:tcPr>
            <w:tcW w:w="2283" w:type="dxa"/>
            <w:noWrap w:val="0"/>
            <w:vAlign w:val="center"/>
          </w:tcPr>
          <w:p>
            <w:pPr>
              <w:pStyle w:val="34"/>
              <w:spacing w:before="140"/>
              <w:ind w:left="99" w:right="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336" w:type="dxa"/>
            <w:gridSpan w:val="6"/>
            <w:noWrap w:val="0"/>
            <w:vAlign w:val="center"/>
          </w:tcPr>
          <w:p>
            <w:pPr>
              <w:pStyle w:val="34"/>
              <w:spacing w:before="37"/>
              <w:ind w:left="153" w:right="153"/>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trPr>
        <w:tc>
          <w:tcPr>
            <w:tcW w:w="2283" w:type="dxa"/>
            <w:noWrap w:val="0"/>
            <w:vAlign w:val="center"/>
          </w:tcPr>
          <w:p>
            <w:pPr>
              <w:pStyle w:val="34"/>
              <w:spacing w:before="108"/>
              <w:ind w:left="99" w:right="9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336" w:type="dxa"/>
            <w:gridSpan w:val="6"/>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exact"/>
        </w:trPr>
        <w:tc>
          <w:tcPr>
            <w:tcW w:w="2283" w:type="dxa"/>
            <w:noWrap w:val="0"/>
            <w:vAlign w:val="center"/>
          </w:tcPr>
          <w:p>
            <w:pPr>
              <w:pStyle w:val="34"/>
              <w:spacing w:before="109"/>
              <w:ind w:left="99" w:right="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7336" w:type="dxa"/>
            <w:gridSpan w:val="6"/>
            <w:noWrap w:val="0"/>
            <w:vAlign w:val="center"/>
          </w:tcPr>
          <w:p>
            <w:pPr>
              <w:pStyle w:val="34"/>
              <w:spacing w:before="109"/>
              <w:ind w:left="715"/>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exact"/>
        </w:trPr>
        <w:tc>
          <w:tcPr>
            <w:tcW w:w="2283" w:type="dxa"/>
            <w:noWrap w:val="0"/>
            <w:vAlign w:val="center"/>
          </w:tcPr>
          <w:p>
            <w:pPr>
              <w:pStyle w:val="34"/>
              <w:spacing w:before="88"/>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24"/>
                <w:szCs w:val="24"/>
                <w:highlight w:val="none"/>
              </w:rPr>
              <w:t>投标报价（元）</w:t>
            </w:r>
          </w:p>
        </w:tc>
        <w:tc>
          <w:tcPr>
            <w:tcW w:w="7336" w:type="dxa"/>
            <w:gridSpan w:val="6"/>
            <w:noWrap w:val="0"/>
            <w:vAlign w:val="center"/>
          </w:tcPr>
          <w:p>
            <w:pPr>
              <w:pStyle w:val="34"/>
              <w:spacing w:before="88"/>
              <w:ind w:left="103"/>
              <w:jc w:val="both"/>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exact"/>
        </w:trPr>
        <w:tc>
          <w:tcPr>
            <w:tcW w:w="2283" w:type="dxa"/>
            <w:noWrap w:val="0"/>
            <w:vAlign w:val="center"/>
          </w:tcPr>
          <w:p>
            <w:pPr>
              <w:pStyle w:val="34"/>
              <w:spacing w:before="127"/>
              <w:ind w:left="97" w:right="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7336" w:type="dxa"/>
            <w:gridSpan w:val="6"/>
            <w:noWrap w:val="0"/>
            <w:vAlign w:val="center"/>
          </w:tcPr>
          <w:p>
            <w:pPr>
              <w:pStyle w:val="34"/>
              <w:spacing w:before="127"/>
              <w:ind w:right="153"/>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exact"/>
        </w:trPr>
        <w:tc>
          <w:tcPr>
            <w:tcW w:w="2283" w:type="dxa"/>
            <w:noWrap w:val="0"/>
            <w:vAlign w:val="center"/>
          </w:tcPr>
          <w:p>
            <w:pPr>
              <w:pStyle w:val="34"/>
              <w:spacing w:before="128"/>
              <w:ind w:left="99" w:right="1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eastAsia="zh-CN"/>
              </w:rPr>
              <w:t>要求</w:t>
            </w:r>
          </w:p>
        </w:tc>
        <w:tc>
          <w:tcPr>
            <w:tcW w:w="7336" w:type="dxa"/>
            <w:gridSpan w:val="6"/>
            <w:noWrap w:val="0"/>
            <w:vAlign w:val="center"/>
          </w:tcPr>
          <w:p>
            <w:pPr>
              <w:pStyle w:val="34"/>
              <w:spacing w:before="128"/>
              <w:ind w:left="151" w:right="153"/>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exact"/>
        </w:trPr>
        <w:tc>
          <w:tcPr>
            <w:tcW w:w="2283" w:type="dxa"/>
            <w:noWrap w:val="0"/>
            <w:vAlign w:val="center"/>
          </w:tcPr>
          <w:p>
            <w:pPr>
              <w:pStyle w:val="34"/>
              <w:spacing w:before="128"/>
              <w:ind w:left="99" w:right="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安全生产目标</w:t>
            </w:r>
          </w:p>
        </w:tc>
        <w:tc>
          <w:tcPr>
            <w:tcW w:w="7336" w:type="dxa"/>
            <w:gridSpan w:val="6"/>
            <w:noWrap w:val="0"/>
            <w:vAlign w:val="center"/>
          </w:tcPr>
          <w:p>
            <w:pPr>
              <w:pStyle w:val="34"/>
              <w:spacing w:before="128"/>
              <w:ind w:left="2074"/>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exact"/>
        </w:trPr>
        <w:tc>
          <w:tcPr>
            <w:tcW w:w="2283" w:type="dxa"/>
            <w:noWrap w:val="0"/>
            <w:vAlign w:val="center"/>
          </w:tcPr>
          <w:p>
            <w:pPr>
              <w:pStyle w:val="34"/>
              <w:spacing w:before="128"/>
              <w:ind w:left="99" w:right="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336" w:type="dxa"/>
            <w:gridSpan w:val="6"/>
            <w:noWrap w:val="0"/>
            <w:vAlign w:val="center"/>
          </w:tcPr>
          <w:p>
            <w:pPr>
              <w:pStyle w:val="34"/>
              <w:spacing w:before="128"/>
              <w:ind w:left="2074"/>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exact"/>
        </w:trPr>
        <w:tc>
          <w:tcPr>
            <w:tcW w:w="2283" w:type="dxa"/>
            <w:noWrap w:val="0"/>
            <w:vAlign w:val="center"/>
          </w:tcPr>
          <w:p>
            <w:pPr>
              <w:pStyle w:val="34"/>
              <w:spacing w:before="141"/>
              <w:ind w:left="99" w:right="1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经理</w:t>
            </w:r>
          </w:p>
        </w:tc>
        <w:tc>
          <w:tcPr>
            <w:tcW w:w="1525" w:type="dxa"/>
            <w:noWrap w:val="0"/>
            <w:vAlign w:val="center"/>
          </w:tcPr>
          <w:p>
            <w:pPr>
              <w:pStyle w:val="34"/>
              <w:spacing w:before="141"/>
              <w:ind w:left="1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80" w:type="dxa"/>
            <w:noWrap w:val="0"/>
            <w:vAlign w:val="center"/>
          </w:tcPr>
          <w:p>
            <w:pPr>
              <w:jc w:val="center"/>
              <w:rPr>
                <w:rFonts w:hint="eastAsia" w:ascii="仿宋" w:hAnsi="仿宋" w:eastAsia="仿宋" w:cs="仿宋"/>
                <w:color w:val="auto"/>
                <w:sz w:val="24"/>
                <w:szCs w:val="24"/>
                <w:highlight w:val="none"/>
              </w:rPr>
            </w:pPr>
          </w:p>
        </w:tc>
        <w:tc>
          <w:tcPr>
            <w:tcW w:w="1074" w:type="dxa"/>
            <w:noWrap w:val="0"/>
            <w:vAlign w:val="center"/>
          </w:tcPr>
          <w:p>
            <w:pPr>
              <w:pStyle w:val="34"/>
              <w:spacing w:before="141"/>
              <w:ind w:left="31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1267" w:type="dxa"/>
            <w:noWrap w:val="0"/>
            <w:vAlign w:val="center"/>
          </w:tcPr>
          <w:p>
            <w:pPr>
              <w:jc w:val="center"/>
              <w:rPr>
                <w:rFonts w:hint="eastAsia" w:ascii="仿宋" w:hAnsi="仿宋" w:eastAsia="仿宋" w:cs="仿宋"/>
                <w:color w:val="auto"/>
                <w:sz w:val="24"/>
                <w:szCs w:val="24"/>
                <w:highlight w:val="none"/>
              </w:rPr>
            </w:pPr>
          </w:p>
        </w:tc>
        <w:tc>
          <w:tcPr>
            <w:tcW w:w="719" w:type="dxa"/>
            <w:noWrap w:val="0"/>
            <w:vAlign w:val="center"/>
          </w:tcPr>
          <w:p>
            <w:pPr>
              <w:pStyle w:val="34"/>
              <w:spacing w:line="260" w:lineRule="exact"/>
              <w:ind w:left="1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pPr>
              <w:pStyle w:val="34"/>
              <w:spacing w:before="37"/>
              <w:ind w:left="1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571" w:type="dxa"/>
            <w:noWrap w:val="0"/>
            <w:vAlign w:val="center"/>
          </w:tcPr>
          <w:p>
            <w:pPr>
              <w:jc w:val="center"/>
              <w:rPr>
                <w:rFonts w:hint="eastAsia" w:ascii="仿宋" w:hAnsi="仿宋" w:eastAsia="仿宋" w:cs="仿宋"/>
                <w:color w:val="auto"/>
                <w:sz w:val="24"/>
                <w:szCs w:val="24"/>
                <w:highlight w:val="none"/>
              </w:rPr>
            </w:pPr>
          </w:p>
        </w:tc>
      </w:tr>
    </w:tbl>
    <w:p>
      <w:pPr>
        <w:pStyle w:val="10"/>
        <w:spacing w:before="64" w:line="360" w:lineRule="auto"/>
        <w:ind w:left="100"/>
        <w:rPr>
          <w:rFonts w:hint="eastAsia" w:ascii="仿宋" w:hAnsi="仿宋" w:eastAsia="仿宋" w:cs="仿宋"/>
          <w:b/>
          <w:sz w:val="24"/>
        </w:rPr>
      </w:pPr>
      <w:r>
        <w:rPr>
          <w:rFonts w:hint="eastAsia" w:ascii="仿宋" w:hAnsi="仿宋" w:eastAsia="仿宋" w:cs="仿宋"/>
          <w:b/>
          <w:sz w:val="24"/>
        </w:rPr>
        <w:t>注：1、本汇总表必须按要求认真填写，不得缺项。以上费用均保留小数点后二位。</w:t>
      </w:r>
    </w:p>
    <w:p>
      <w:pPr>
        <w:pStyle w:val="10"/>
        <w:tabs>
          <w:tab w:val="left" w:pos="7695"/>
          <w:tab w:val="left" w:pos="8271"/>
        </w:tabs>
        <w:spacing w:line="360" w:lineRule="auto"/>
        <w:rPr>
          <w:rFonts w:hint="eastAsia" w:ascii="仿宋" w:hAnsi="仿宋" w:eastAsia="仿宋" w:cs="仿宋"/>
          <w:sz w:val="24"/>
        </w:rPr>
      </w:pPr>
      <w:r>
        <w:rPr>
          <w:rFonts w:hint="eastAsia" w:ascii="仿宋" w:hAnsi="仿宋" w:eastAsia="仿宋" w:cs="仿宋"/>
          <w:sz w:val="24"/>
        </w:rPr>
        <w:t>投标人：（电子签章）</w:t>
      </w:r>
    </w:p>
    <w:p>
      <w:pPr>
        <w:pStyle w:val="10"/>
        <w:tabs>
          <w:tab w:val="left" w:pos="7695"/>
          <w:tab w:val="left" w:pos="8271"/>
        </w:tabs>
        <w:spacing w:line="360" w:lineRule="auto"/>
        <w:rPr>
          <w:rFonts w:hint="eastAsia" w:ascii="仿宋" w:hAnsi="仿宋" w:eastAsia="仿宋" w:cs="仿宋"/>
          <w:sz w:val="24"/>
        </w:rPr>
      </w:pPr>
      <w:r>
        <w:rPr>
          <w:rFonts w:hint="eastAsia" w:ascii="仿宋" w:hAnsi="仿宋" w:eastAsia="仿宋" w:cs="仿宋"/>
          <w:sz w:val="24"/>
        </w:rPr>
        <w:t>法定代表人：（电子签章）</w:t>
      </w:r>
    </w:p>
    <w:p>
      <w:pPr>
        <w:pStyle w:val="10"/>
        <w:tabs>
          <w:tab w:val="left" w:pos="680"/>
          <w:tab w:val="left" w:pos="1574"/>
          <w:tab w:val="left" w:pos="2414"/>
        </w:tabs>
        <w:spacing w:before="35"/>
        <w:ind w:right="434"/>
        <w:jc w:val="right"/>
        <w:rPr>
          <w:rFonts w:hint="eastAsia" w:ascii="仿宋" w:hAnsi="仿宋" w:eastAsia="仿宋" w:cs="仿宋"/>
          <w:sz w:val="24"/>
        </w:rPr>
        <w:sectPr>
          <w:footerReference r:id="rId8" w:type="default"/>
          <w:pgSz w:w="11907" w:h="16840"/>
          <w:pgMar w:top="1440" w:right="1080" w:bottom="1440" w:left="1080" w:header="680" w:footer="680" w:gutter="0"/>
          <w:pgNumType w:fmt="decimal"/>
          <w:cols w:space="720" w:num="1"/>
        </w:sectPr>
      </w:pP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pacing w:val="-1"/>
          <w:w w:val="95"/>
          <w:sz w:val="24"/>
        </w:rPr>
        <w:t>日</w:t>
      </w:r>
    </w:p>
    <w:p>
      <w:pPr>
        <w:pStyle w:val="4"/>
        <w:jc w:val="center"/>
        <w:rPr>
          <w:rFonts w:hint="eastAsia" w:ascii="仿宋" w:hAnsi="仿宋" w:eastAsia="仿宋" w:cs="仿宋"/>
          <w:sz w:val="28"/>
          <w:szCs w:val="28"/>
        </w:rPr>
      </w:pPr>
      <w:bookmarkStart w:id="819" w:name="_Toc29880"/>
      <w:r>
        <w:rPr>
          <w:rFonts w:hint="eastAsia" w:ascii="仿宋" w:hAnsi="仿宋" w:eastAsia="仿宋" w:cs="仿宋"/>
          <w:sz w:val="28"/>
          <w:szCs w:val="28"/>
        </w:rPr>
        <w:t>二、法定代表人身份证明</w:t>
      </w:r>
      <w:bookmarkEnd w:id="819"/>
    </w:p>
    <w:p>
      <w:pPr>
        <w:pStyle w:val="10"/>
        <w:rPr>
          <w:rFonts w:hint="eastAsia" w:ascii="仿宋" w:hAnsi="仿宋" w:eastAsia="仿宋" w:cs="仿宋"/>
          <w:b/>
          <w:szCs w:val="28"/>
        </w:rPr>
      </w:pPr>
    </w:p>
    <w:p>
      <w:pPr>
        <w:pStyle w:val="10"/>
        <w:tabs>
          <w:tab w:val="left" w:pos="4141"/>
        </w:tabs>
        <w:spacing w:before="158" w:line="360" w:lineRule="auto"/>
        <w:ind w:left="100" w:right="65" w:rightChars="31"/>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ab/>
      </w:r>
    </w:p>
    <w:p>
      <w:pPr>
        <w:pStyle w:val="10"/>
        <w:tabs>
          <w:tab w:val="left" w:pos="4142"/>
        </w:tabs>
        <w:spacing w:before="41" w:line="360" w:lineRule="auto"/>
        <w:ind w:left="100" w:right="65" w:rightChars="31"/>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p>
    <w:p>
      <w:pPr>
        <w:pStyle w:val="10"/>
        <w:tabs>
          <w:tab w:val="left" w:pos="4142"/>
        </w:tabs>
        <w:spacing w:before="41" w:line="360" w:lineRule="auto"/>
        <w:ind w:left="100" w:right="65" w:rightChars="31"/>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p>
    <w:p>
      <w:pPr>
        <w:pStyle w:val="10"/>
        <w:tabs>
          <w:tab w:val="left" w:pos="1988"/>
          <w:tab w:val="left" w:pos="3039"/>
          <w:tab w:val="left" w:pos="4088"/>
          <w:tab w:val="left" w:pos="4141"/>
        </w:tabs>
        <w:spacing w:before="41" w:line="360" w:lineRule="auto"/>
        <w:ind w:left="2254" w:leftChars="45" w:right="65" w:rightChars="31" w:hanging="2160" w:hangingChars="90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rPr>
        <w:t>日</w:t>
      </w:r>
    </w:p>
    <w:p>
      <w:pPr>
        <w:pStyle w:val="10"/>
        <w:tabs>
          <w:tab w:val="left" w:pos="1988"/>
          <w:tab w:val="left" w:pos="3039"/>
          <w:tab w:val="left" w:pos="4088"/>
          <w:tab w:val="left" w:pos="4141"/>
        </w:tabs>
        <w:spacing w:before="41" w:line="360" w:lineRule="auto"/>
        <w:ind w:left="2014" w:leftChars="45" w:right="65" w:rightChars="31" w:hanging="1920" w:hangingChars="800"/>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pStyle w:val="10"/>
        <w:tabs>
          <w:tab w:val="left" w:pos="1674"/>
          <w:tab w:val="left" w:pos="3248"/>
          <w:tab w:val="left" w:pos="4719"/>
          <w:tab w:val="left" w:pos="8236"/>
        </w:tabs>
        <w:spacing w:before="46" w:line="360" w:lineRule="auto"/>
        <w:ind w:left="100" w:right="65" w:rightChars="31"/>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ab/>
      </w:r>
      <w:r>
        <w:rPr>
          <w:rFonts w:hint="eastAsia" w:ascii="仿宋" w:hAnsi="仿宋" w:eastAsia="仿宋" w:cs="仿宋"/>
          <w:sz w:val="24"/>
        </w:rPr>
        <w:t>性别：</w:t>
      </w:r>
      <w:r>
        <w:rPr>
          <w:rFonts w:hint="eastAsia" w:ascii="仿宋" w:hAnsi="仿宋" w:eastAsia="仿宋" w:cs="仿宋"/>
          <w:sz w:val="24"/>
          <w:u w:val="single"/>
        </w:rPr>
        <w:tab/>
      </w:r>
      <w:r>
        <w:rPr>
          <w:rFonts w:hint="eastAsia" w:ascii="仿宋" w:hAnsi="仿宋" w:eastAsia="仿宋" w:cs="仿宋"/>
          <w:sz w:val="24"/>
        </w:rPr>
        <w:t>年龄：</w:t>
      </w:r>
      <w:r>
        <w:rPr>
          <w:rFonts w:hint="eastAsia" w:ascii="仿宋" w:hAnsi="仿宋" w:eastAsia="仿宋" w:cs="仿宋"/>
          <w:sz w:val="24"/>
          <w:u w:val="single"/>
        </w:rPr>
        <w:tab/>
      </w:r>
      <w:r>
        <w:rPr>
          <w:rFonts w:hint="eastAsia" w:ascii="仿宋" w:hAnsi="仿宋" w:eastAsia="仿宋" w:cs="仿宋"/>
          <w:sz w:val="24"/>
        </w:rPr>
        <w:t>身份证号码：</w:t>
      </w:r>
      <w:r>
        <w:rPr>
          <w:rFonts w:hint="eastAsia" w:ascii="仿宋" w:hAnsi="仿宋" w:eastAsia="仿宋" w:cs="仿宋"/>
          <w:sz w:val="24"/>
          <w:u w:val="single"/>
        </w:rPr>
        <w:tab/>
      </w:r>
    </w:p>
    <w:p>
      <w:pPr>
        <w:pStyle w:val="10"/>
        <w:tabs>
          <w:tab w:val="left" w:pos="1779"/>
          <w:tab w:val="left" w:pos="4299"/>
        </w:tabs>
        <w:spacing w:before="41" w:line="360" w:lineRule="auto"/>
        <w:ind w:left="100" w:right="65" w:rightChars="31"/>
        <w:rPr>
          <w:rFonts w:hint="eastAsia"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ab/>
      </w:r>
      <w:r>
        <w:rPr>
          <w:rFonts w:hint="eastAsia" w:ascii="仿宋" w:hAnsi="仿宋" w:eastAsia="仿宋" w:cs="仿宋"/>
          <w:sz w:val="24"/>
        </w:rPr>
        <w:t>系（投标人名称）的法定代表人。</w:t>
      </w:r>
    </w:p>
    <w:p>
      <w:pPr>
        <w:pStyle w:val="10"/>
        <w:tabs>
          <w:tab w:val="left" w:pos="1779"/>
          <w:tab w:val="left" w:pos="4299"/>
        </w:tabs>
        <w:spacing w:before="41" w:line="360" w:lineRule="auto"/>
        <w:ind w:left="100" w:right="65" w:rightChars="31"/>
        <w:rPr>
          <w:rFonts w:hint="eastAsia" w:ascii="仿宋" w:hAnsi="仿宋" w:eastAsia="仿宋" w:cs="仿宋"/>
          <w:sz w:val="24"/>
        </w:rPr>
      </w:pPr>
      <w:r>
        <w:rPr>
          <w:rFonts w:hint="eastAsia" w:ascii="仿宋" w:hAnsi="仿宋" w:eastAsia="仿宋" w:cs="仿宋"/>
          <w:sz w:val="24"/>
        </w:rPr>
        <w:t>特此证明。</w:t>
      </w:r>
    </w:p>
    <w:p>
      <w:pPr>
        <w:pStyle w:val="10"/>
        <w:spacing w:before="46" w:line="360" w:lineRule="auto"/>
        <w:ind w:left="100" w:right="65" w:rightChars="31"/>
        <w:rPr>
          <w:rFonts w:hint="eastAsia" w:ascii="仿宋" w:hAnsi="仿宋" w:eastAsia="仿宋" w:cs="仿宋"/>
          <w:sz w:val="24"/>
        </w:rPr>
      </w:pPr>
      <w:r>
        <w:rPr>
          <w:rFonts w:hint="eastAsia" w:ascii="仿宋" w:hAnsi="仿宋" w:eastAsia="仿宋" w:cs="仿宋"/>
          <w:sz w:val="24"/>
        </w:rPr>
        <w:t>附：法定代表人身份证正反面扫描件</w:t>
      </w:r>
    </w:p>
    <w:p>
      <w:pPr>
        <w:pStyle w:val="10"/>
        <w:spacing w:line="360" w:lineRule="auto"/>
        <w:rPr>
          <w:rFonts w:hint="eastAsia" w:ascii="仿宋" w:hAnsi="仿宋" w:eastAsia="仿宋" w:cs="仿宋"/>
          <w:sz w:val="24"/>
        </w:rPr>
      </w:pPr>
    </w:p>
    <w:p>
      <w:pPr>
        <w:pStyle w:val="10"/>
        <w:spacing w:line="360" w:lineRule="auto"/>
        <w:rPr>
          <w:rFonts w:hint="eastAsia" w:ascii="仿宋" w:hAnsi="仿宋" w:eastAsia="仿宋" w:cs="仿宋"/>
          <w:sz w:val="24"/>
        </w:rPr>
      </w:pPr>
    </w:p>
    <w:p>
      <w:pPr>
        <w:pStyle w:val="10"/>
        <w:spacing w:line="360" w:lineRule="auto"/>
        <w:rPr>
          <w:rFonts w:hint="eastAsia" w:ascii="仿宋" w:hAnsi="仿宋" w:eastAsia="仿宋" w:cs="仿宋"/>
          <w:sz w:val="24"/>
        </w:rPr>
      </w:pPr>
    </w:p>
    <w:p>
      <w:pPr>
        <w:pStyle w:val="10"/>
        <w:spacing w:before="10" w:line="360" w:lineRule="auto"/>
        <w:rPr>
          <w:rFonts w:hint="eastAsia" w:ascii="仿宋" w:hAnsi="仿宋" w:eastAsia="仿宋" w:cs="仿宋"/>
          <w:sz w:val="24"/>
        </w:rPr>
      </w:pPr>
    </w:p>
    <w:p>
      <w:pPr>
        <w:tabs>
          <w:tab w:val="left" w:pos="6699"/>
        </w:tabs>
        <w:spacing w:line="360" w:lineRule="auto"/>
        <w:ind w:left="34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ab/>
      </w:r>
      <w:r>
        <w:rPr>
          <w:rFonts w:hint="eastAsia" w:ascii="仿宋" w:hAnsi="仿宋" w:eastAsia="仿宋" w:cs="仿宋"/>
          <w:sz w:val="24"/>
        </w:rPr>
        <w:t>（电子签章）</w:t>
      </w:r>
    </w:p>
    <w:p>
      <w:pPr>
        <w:pStyle w:val="4"/>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rPr>
        <w:tab/>
      </w:r>
      <w:r>
        <w:rPr>
          <w:rFonts w:hint="eastAsia" w:ascii="仿宋" w:hAnsi="仿宋" w:eastAsia="仿宋" w:cs="仿宋"/>
          <w:b w:val="0"/>
          <w:bCs w:val="0"/>
          <w:spacing w:val="-4"/>
          <w:sz w:val="24"/>
          <w:szCs w:val="24"/>
        </w:rPr>
        <w:t>年</w:t>
      </w:r>
      <w:r>
        <w:rPr>
          <w:rFonts w:hint="eastAsia" w:ascii="仿宋" w:hAnsi="仿宋" w:eastAsia="仿宋" w:cs="仿宋"/>
          <w:b w:val="0"/>
          <w:bCs w:val="0"/>
          <w:spacing w:val="-4"/>
          <w:sz w:val="24"/>
          <w:szCs w:val="24"/>
          <w:u w:val="single"/>
        </w:rPr>
        <w:tab/>
      </w:r>
      <w:r>
        <w:rPr>
          <w:rFonts w:hint="eastAsia" w:ascii="仿宋" w:hAnsi="仿宋" w:eastAsia="仿宋" w:cs="仿宋"/>
          <w:b w:val="0"/>
          <w:bCs w:val="0"/>
          <w:spacing w:val="-4"/>
          <w:sz w:val="24"/>
          <w:szCs w:val="24"/>
          <w:u w:val="singl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rPr>
        <w:tab/>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w:t>
      </w:r>
      <w:bookmarkStart w:id="820" w:name="_bookmark25"/>
      <w:bookmarkEnd w:id="820"/>
      <w:bookmarkStart w:id="821" w:name="四、投标保证金"/>
      <w:bookmarkEnd w:id="821"/>
      <w:bookmarkStart w:id="822" w:name="_Toc25140"/>
    </w:p>
    <w:p>
      <w:pP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rPr>
          <w:rFonts w:hint="eastAsia" w:ascii="仿宋" w:hAnsi="仿宋" w:eastAsia="仿宋" w:cs="仿宋"/>
        </w:rPr>
      </w:pPr>
    </w:p>
    <w:p>
      <w:pPr>
        <w:pStyle w:val="2"/>
        <w:rPr>
          <w:rFonts w:hint="eastAsia" w:ascii="仿宋" w:hAnsi="仿宋" w:eastAsia="仿宋" w:cs="仿宋"/>
        </w:rPr>
      </w:pPr>
    </w:p>
    <w:p>
      <w:pPr>
        <w:pStyle w:val="4"/>
        <w:jc w:val="center"/>
        <w:rPr>
          <w:rFonts w:hint="eastAsia" w:ascii="仿宋" w:hAnsi="仿宋" w:eastAsia="仿宋" w:cs="仿宋"/>
          <w:sz w:val="28"/>
          <w:szCs w:val="28"/>
        </w:rPr>
      </w:pPr>
      <w:r>
        <w:rPr>
          <w:rFonts w:hint="eastAsia" w:ascii="仿宋" w:hAnsi="仿宋" w:eastAsia="仿宋" w:cs="仿宋"/>
          <w:sz w:val="28"/>
          <w:szCs w:val="28"/>
        </w:rPr>
        <w:t>三、授权委托书</w:t>
      </w:r>
      <w:bookmarkEnd w:id="822"/>
    </w:p>
    <w:p>
      <w:pPr>
        <w:pStyle w:val="10"/>
        <w:rPr>
          <w:rFonts w:hint="eastAsia" w:ascii="仿宋" w:hAnsi="仿宋" w:eastAsia="仿宋" w:cs="仿宋"/>
          <w:b/>
          <w:szCs w:val="28"/>
        </w:rPr>
      </w:pPr>
    </w:p>
    <w:p>
      <w:pPr>
        <w:pStyle w:val="10"/>
        <w:tabs>
          <w:tab w:val="left" w:pos="2264"/>
          <w:tab w:val="left" w:pos="5331"/>
          <w:tab w:val="left" w:pos="10148"/>
        </w:tabs>
        <w:spacing w:before="201" w:line="360" w:lineRule="auto"/>
        <w:ind w:left="229" w:leftChars="109" w:firstLine="240" w:firstLineChars="10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spacing w:val="-8"/>
          <w:sz w:val="24"/>
          <w:u w:val="single"/>
        </w:rPr>
        <w:t>（姓名）</w:t>
      </w:r>
      <w:r>
        <w:rPr>
          <w:rFonts w:hint="eastAsia" w:ascii="仿宋" w:hAnsi="仿宋" w:eastAsia="仿宋" w:cs="仿宋"/>
          <w:spacing w:val="-8"/>
          <w:sz w:val="24"/>
        </w:rPr>
        <w:t>系</w:t>
      </w:r>
      <w:r>
        <w:rPr>
          <w:rFonts w:hint="eastAsia" w:ascii="仿宋" w:hAnsi="仿宋" w:eastAsia="仿宋" w:cs="仿宋"/>
          <w:spacing w:val="-8"/>
          <w:sz w:val="24"/>
          <w:u w:val="single"/>
        </w:rPr>
        <w:t xml:space="preserve">  </w:t>
      </w:r>
      <w:r>
        <w:rPr>
          <w:rFonts w:hint="eastAsia" w:ascii="仿宋" w:hAnsi="仿宋" w:eastAsia="仿宋" w:cs="仿宋"/>
          <w:spacing w:val="-5"/>
          <w:sz w:val="24"/>
          <w:u w:val="single"/>
        </w:rPr>
        <w:t xml:space="preserve">（投标人名称）   </w:t>
      </w:r>
      <w:r>
        <w:rPr>
          <w:rFonts w:hint="eastAsia" w:ascii="仿宋" w:hAnsi="仿宋" w:eastAsia="仿宋" w:cs="仿宋"/>
          <w:spacing w:val="-5"/>
          <w:sz w:val="24"/>
        </w:rPr>
        <w:t>的法定代表人，现委托</w:t>
      </w:r>
      <w:r>
        <w:rPr>
          <w:rFonts w:hint="eastAsia" w:ascii="仿宋" w:hAnsi="仿宋" w:eastAsia="仿宋" w:cs="仿宋"/>
          <w:spacing w:val="2"/>
          <w:sz w:val="24"/>
          <w:u w:val="single"/>
        </w:rPr>
        <w:t>（姓名）</w:t>
      </w:r>
      <w:r>
        <w:rPr>
          <w:rFonts w:hint="eastAsia" w:ascii="仿宋" w:hAnsi="仿宋" w:eastAsia="仿宋" w:cs="仿宋"/>
          <w:spacing w:val="2"/>
          <w:sz w:val="24"/>
        </w:rPr>
        <w:t>为我方代理人。以我方名义签署、澄清、说明、补正、递交、撤回、修改</w:t>
      </w:r>
      <w:r>
        <w:rPr>
          <w:rFonts w:hint="eastAsia" w:ascii="仿宋" w:hAnsi="仿宋" w:eastAsia="仿宋" w:cs="仿宋"/>
          <w:sz w:val="24"/>
          <w:u w:val="single"/>
        </w:rPr>
        <w:t>（项目名称）（标段）</w:t>
      </w:r>
      <w:r>
        <w:rPr>
          <w:rFonts w:hint="eastAsia" w:ascii="仿宋" w:hAnsi="仿宋" w:eastAsia="仿宋" w:cs="仿宋"/>
          <w:sz w:val="24"/>
        </w:rPr>
        <w:t>投标文件、签订合同和处理有关事宜，其法律后果由我方承担。</w:t>
      </w:r>
    </w:p>
    <w:p>
      <w:pPr>
        <w:pStyle w:val="10"/>
        <w:tabs>
          <w:tab w:val="left" w:pos="2934"/>
        </w:tabs>
        <w:spacing w:before="51" w:line="360" w:lineRule="auto"/>
        <w:ind w:firstLine="480" w:firstLineChars="200"/>
        <w:rPr>
          <w:rFonts w:hint="eastAsia" w:ascii="仿宋" w:hAnsi="仿宋" w:eastAsia="仿宋" w:cs="仿宋"/>
          <w:sz w:val="24"/>
        </w:rPr>
      </w:pPr>
      <w:r>
        <w:rPr>
          <w:rFonts w:hint="eastAsia" w:ascii="仿宋" w:hAnsi="仿宋" w:eastAsia="仿宋" w:cs="仿宋"/>
          <w:sz w:val="24"/>
        </w:rPr>
        <w:t>委托期限：</w:t>
      </w:r>
      <w:r>
        <w:rPr>
          <w:rFonts w:hint="eastAsia" w:ascii="仿宋" w:hAnsi="仿宋" w:eastAsia="仿宋" w:cs="仿宋"/>
          <w:sz w:val="24"/>
          <w:u w:val="single"/>
        </w:rPr>
        <w:tab/>
      </w:r>
      <w:r>
        <w:rPr>
          <w:rFonts w:hint="eastAsia" w:ascii="仿宋" w:hAnsi="仿宋" w:eastAsia="仿宋" w:cs="仿宋"/>
          <w:sz w:val="24"/>
        </w:rPr>
        <w:t>。（不少于</w:t>
      </w:r>
      <w:r>
        <w:rPr>
          <w:rFonts w:hint="eastAsia" w:ascii="仿宋" w:hAnsi="仿宋" w:eastAsia="仿宋" w:cs="仿宋"/>
          <w:sz w:val="24"/>
          <w:lang w:val="en-US" w:eastAsia="zh-CN"/>
        </w:rPr>
        <w:t>90</w:t>
      </w:r>
      <w:r>
        <w:rPr>
          <w:rFonts w:hint="eastAsia" w:ascii="仿宋" w:hAnsi="仿宋" w:eastAsia="仿宋" w:cs="仿宋"/>
          <w:sz w:val="24"/>
        </w:rPr>
        <w:t>日历天）代理人无转委托权。</w:t>
      </w:r>
    </w:p>
    <w:p>
      <w:pPr>
        <w:pStyle w:val="10"/>
        <w:spacing w:before="46" w:line="360" w:lineRule="auto"/>
        <w:ind w:left="100" w:right="65" w:rightChars="31"/>
        <w:rPr>
          <w:rFonts w:hint="eastAsia" w:ascii="仿宋" w:hAnsi="仿宋" w:eastAsia="仿宋" w:cs="仿宋"/>
          <w:sz w:val="24"/>
        </w:rPr>
      </w:pPr>
      <w:r>
        <w:rPr>
          <w:rFonts w:hint="eastAsia" w:ascii="仿宋" w:hAnsi="仿宋" w:eastAsia="仿宋" w:cs="仿宋"/>
          <w:sz w:val="24"/>
        </w:rPr>
        <w:t>附：法定代表人身份证扫描件、授权委托人身份证正反面扫描件</w:t>
      </w:r>
    </w:p>
    <w:p>
      <w:pPr>
        <w:pStyle w:val="10"/>
        <w:spacing w:line="360" w:lineRule="auto"/>
        <w:rPr>
          <w:rFonts w:hint="eastAsia" w:ascii="仿宋" w:hAnsi="仿宋" w:eastAsia="仿宋" w:cs="仿宋"/>
          <w:sz w:val="24"/>
        </w:rPr>
      </w:pPr>
    </w:p>
    <w:p>
      <w:pPr>
        <w:pStyle w:val="10"/>
        <w:spacing w:line="360" w:lineRule="auto"/>
        <w:rPr>
          <w:rFonts w:hint="eastAsia" w:ascii="仿宋" w:hAnsi="仿宋" w:eastAsia="仿宋" w:cs="仿宋"/>
          <w:sz w:val="24"/>
        </w:rPr>
      </w:pPr>
    </w:p>
    <w:p>
      <w:pPr>
        <w:pStyle w:val="10"/>
        <w:spacing w:line="360" w:lineRule="auto"/>
        <w:rPr>
          <w:rFonts w:hint="eastAsia" w:ascii="仿宋" w:hAnsi="仿宋" w:eastAsia="仿宋" w:cs="仿宋"/>
          <w:sz w:val="24"/>
        </w:rPr>
      </w:pPr>
    </w:p>
    <w:p>
      <w:pPr>
        <w:pStyle w:val="10"/>
        <w:spacing w:line="360" w:lineRule="auto"/>
        <w:rPr>
          <w:rFonts w:hint="eastAsia" w:ascii="仿宋" w:hAnsi="仿宋" w:eastAsia="仿宋" w:cs="仿宋"/>
          <w:sz w:val="24"/>
        </w:rPr>
      </w:pPr>
    </w:p>
    <w:p>
      <w:pPr>
        <w:pStyle w:val="10"/>
        <w:spacing w:line="360" w:lineRule="auto"/>
        <w:rPr>
          <w:rFonts w:hint="eastAsia" w:ascii="仿宋" w:hAnsi="仿宋" w:eastAsia="仿宋" w:cs="仿宋"/>
          <w:sz w:val="24"/>
        </w:rPr>
      </w:pPr>
    </w:p>
    <w:p>
      <w:pPr>
        <w:pStyle w:val="10"/>
        <w:spacing w:before="7" w:line="360" w:lineRule="auto"/>
        <w:rPr>
          <w:rFonts w:hint="eastAsia" w:ascii="仿宋" w:hAnsi="仿宋" w:eastAsia="仿宋" w:cs="仿宋"/>
          <w:sz w:val="24"/>
        </w:rPr>
      </w:pPr>
    </w:p>
    <w:p>
      <w:pPr>
        <w:pStyle w:val="10"/>
        <w:tabs>
          <w:tab w:val="left" w:pos="8168"/>
          <w:tab w:val="left" w:pos="8761"/>
          <w:tab w:val="left" w:pos="8814"/>
        </w:tabs>
        <w:spacing w:line="360" w:lineRule="auto"/>
        <w:ind w:right="1031"/>
        <w:rPr>
          <w:rFonts w:hint="eastAsia" w:ascii="仿宋" w:hAnsi="仿宋" w:eastAsia="仿宋" w:cs="仿宋"/>
          <w:sz w:val="24"/>
        </w:rPr>
      </w:pPr>
      <w:r>
        <w:rPr>
          <w:rFonts w:hint="eastAsia" w:ascii="仿宋" w:hAnsi="仿宋" w:eastAsia="仿宋" w:cs="仿宋"/>
          <w:sz w:val="24"/>
        </w:rPr>
        <w:t>投标人：（电子签章）</w:t>
      </w:r>
    </w:p>
    <w:p>
      <w:pPr>
        <w:pStyle w:val="10"/>
        <w:tabs>
          <w:tab w:val="left" w:pos="8168"/>
          <w:tab w:val="left" w:pos="8761"/>
          <w:tab w:val="left" w:pos="8814"/>
        </w:tabs>
        <w:spacing w:line="360" w:lineRule="auto"/>
        <w:ind w:right="1031"/>
        <w:rPr>
          <w:rFonts w:hint="eastAsia" w:ascii="仿宋" w:hAnsi="仿宋" w:eastAsia="仿宋" w:cs="仿宋"/>
          <w:sz w:val="24"/>
        </w:rPr>
      </w:pPr>
      <w:r>
        <w:rPr>
          <w:rFonts w:hint="eastAsia" w:ascii="仿宋" w:hAnsi="仿宋" w:eastAsia="仿宋" w:cs="仿宋"/>
          <w:sz w:val="24"/>
        </w:rPr>
        <w:t>法定代表人：（电子签章）</w:t>
      </w:r>
    </w:p>
    <w:p>
      <w:pPr>
        <w:pStyle w:val="10"/>
        <w:tabs>
          <w:tab w:val="left" w:pos="8168"/>
          <w:tab w:val="left" w:pos="8761"/>
          <w:tab w:val="left" w:pos="8814"/>
        </w:tabs>
        <w:spacing w:line="360" w:lineRule="auto"/>
        <w:ind w:right="1031"/>
        <w:rPr>
          <w:rFonts w:hint="eastAsia" w:ascii="仿宋" w:hAnsi="仿宋" w:eastAsia="仿宋" w:cs="仿宋"/>
          <w:sz w:val="24"/>
        </w:rPr>
      </w:pPr>
      <w:r>
        <w:rPr>
          <w:rFonts w:hint="eastAsia" w:ascii="仿宋" w:hAnsi="仿宋" w:eastAsia="仿宋" w:cs="仿宋"/>
          <w:sz w:val="24"/>
        </w:rPr>
        <w:t>身份证号码：</w:t>
      </w:r>
    </w:p>
    <w:p>
      <w:pPr>
        <w:pStyle w:val="10"/>
        <w:tabs>
          <w:tab w:val="left" w:pos="8761"/>
        </w:tabs>
        <w:spacing w:before="46" w:line="360" w:lineRule="auto"/>
        <w:rPr>
          <w:rFonts w:hint="eastAsia" w:ascii="仿宋" w:hAnsi="仿宋" w:eastAsia="仿宋" w:cs="仿宋"/>
          <w:sz w:val="24"/>
        </w:rPr>
      </w:pPr>
      <w:r>
        <w:rPr>
          <w:rFonts w:hint="eastAsia" w:ascii="仿宋" w:hAnsi="仿宋" w:eastAsia="仿宋" w:cs="仿宋"/>
          <w:sz w:val="24"/>
        </w:rPr>
        <w:t>委托代理人：（签字）</w:t>
      </w:r>
    </w:p>
    <w:p>
      <w:pPr>
        <w:pStyle w:val="10"/>
        <w:tabs>
          <w:tab w:val="left" w:pos="8761"/>
        </w:tabs>
        <w:spacing w:before="41" w:line="360" w:lineRule="auto"/>
        <w:rPr>
          <w:rFonts w:hint="eastAsia" w:ascii="仿宋" w:hAnsi="仿宋" w:eastAsia="仿宋" w:cs="仿宋"/>
          <w:sz w:val="24"/>
        </w:rPr>
      </w:pPr>
      <w:r>
        <w:rPr>
          <w:rFonts w:hint="eastAsia" w:ascii="仿宋" w:hAnsi="仿宋" w:eastAsia="仿宋" w:cs="仿宋"/>
          <w:sz w:val="24"/>
        </w:rPr>
        <w:t>身份证号码：</w:t>
      </w:r>
    </w:p>
    <w:p>
      <w:pPr>
        <w:pStyle w:val="10"/>
        <w:spacing w:before="9" w:line="360" w:lineRule="auto"/>
        <w:rPr>
          <w:rFonts w:hint="eastAsia" w:ascii="仿宋" w:hAnsi="仿宋" w:eastAsia="仿宋" w:cs="仿宋"/>
          <w:sz w:val="24"/>
        </w:rPr>
      </w:pPr>
    </w:p>
    <w:p>
      <w:pPr>
        <w:pStyle w:val="10"/>
        <w:tabs>
          <w:tab w:val="left" w:pos="6505"/>
          <w:tab w:val="left" w:pos="7554"/>
          <w:tab w:val="left" w:pos="8605"/>
        </w:tabs>
        <w:spacing w:before="34" w:line="360" w:lineRule="auto"/>
        <w:ind w:firstLine="960" w:firstLineChars="400"/>
        <w:rPr>
          <w:rFonts w:hint="eastAsia" w:ascii="仿宋" w:hAnsi="仿宋" w:eastAsia="仿宋" w:cs="仿宋"/>
          <w:sz w:val="24"/>
        </w:rPr>
      </w:pPr>
      <w:r>
        <w:rPr>
          <w:rFonts w:hint="eastAsia" w:ascii="仿宋" w:hAnsi="仿宋" w:eastAsia="仿宋" w:cs="仿宋"/>
          <w:sz w:val="24"/>
        </w:rPr>
        <w:t>年     月</w:t>
      </w:r>
      <w:bookmarkStart w:id="823" w:name="_bookmark26"/>
      <w:bookmarkEnd w:id="823"/>
      <w:r>
        <w:rPr>
          <w:rFonts w:hint="eastAsia" w:ascii="仿宋" w:hAnsi="仿宋" w:eastAsia="仿宋" w:cs="仿宋"/>
          <w:sz w:val="24"/>
        </w:rPr>
        <w:t xml:space="preserve">     日</w:t>
      </w:r>
      <w:bookmarkStart w:id="824" w:name="_bookmark27"/>
      <w:bookmarkEnd w:id="824"/>
      <w:bookmarkStart w:id="825" w:name="五、已标价工程量清单"/>
      <w:bookmarkEnd w:id="825"/>
    </w:p>
    <w:p>
      <w:pPr>
        <w:pStyle w:val="4"/>
        <w:jc w:val="center"/>
        <w:rPr>
          <w:rFonts w:hint="eastAsia" w:ascii="仿宋" w:hAnsi="仿宋" w:eastAsia="仿宋" w:cs="仿宋"/>
          <w:sz w:val="28"/>
          <w:szCs w:val="28"/>
        </w:rPr>
      </w:pPr>
      <w:r>
        <w:rPr>
          <w:rFonts w:hint="eastAsia" w:ascii="仿宋" w:hAnsi="仿宋" w:eastAsia="仿宋" w:cs="仿宋"/>
          <w:sz w:val="24"/>
          <w:szCs w:val="24"/>
        </w:rPr>
        <w:br w:type="page"/>
      </w:r>
      <w:r>
        <w:rPr>
          <w:rFonts w:hint="eastAsia" w:ascii="仿宋" w:hAnsi="仿宋" w:eastAsia="仿宋" w:cs="仿宋"/>
          <w:sz w:val="28"/>
          <w:szCs w:val="28"/>
        </w:rPr>
        <w:t>四、投标保证金</w:t>
      </w:r>
    </w:p>
    <w:p>
      <w:pPr>
        <w:keepNext w:val="0"/>
        <w:keepLines w:val="0"/>
        <w:pageBreakBefore w:val="0"/>
        <w:kinsoku/>
        <w:wordWrap/>
        <w:topLinePunct w:val="0"/>
        <w:bidi w:val="0"/>
        <w:spacing w:before="158" w:line="220" w:lineRule="auto"/>
        <w:jc w:val="center"/>
        <w:outlineLvl w:val="1"/>
        <w:rPr>
          <w:rFonts w:ascii="仿宋" w:hAnsi="仿宋" w:eastAsia="仿宋" w:cs="仿宋"/>
          <w:sz w:val="31"/>
          <w:szCs w:val="31"/>
        </w:rPr>
      </w:pPr>
      <w:bookmarkStart w:id="826" w:name="_Toc25730"/>
      <w:bookmarkStart w:id="827" w:name="_Toc14368075"/>
      <w:bookmarkStart w:id="828" w:name="_Toc25902"/>
      <w:bookmarkStart w:id="829" w:name="_Toc13499_WPSOffice_Level1"/>
      <w:bookmarkStart w:id="830" w:name="_Toc30960"/>
      <w:r>
        <w:rPr>
          <w:rFonts w:ascii="仿宋" w:hAnsi="仿宋" w:eastAsia="仿宋" w:cs="仿宋"/>
          <w:spacing w:val="31"/>
          <w:sz w:val="31"/>
          <w:szCs w:val="31"/>
          <w14:textOutline w14:w="5724" w14:cap="flat" w14:cmpd="sng">
            <w14:solidFill>
              <w14:srgbClr w14:val="000000"/>
            </w14:solidFill>
            <w14:prstDash w14:val="solid"/>
            <w14:miter w14:val="0"/>
          </w14:textOutline>
        </w:rPr>
        <w:t>投标保证金企业信用承诺函制</w:t>
      </w:r>
    </w:p>
    <w:p>
      <w:pPr>
        <w:keepNext w:val="0"/>
        <w:keepLines w:val="0"/>
        <w:pageBreakBefore w:val="0"/>
        <w:tabs>
          <w:tab w:val="left" w:pos="126"/>
        </w:tabs>
        <w:kinsoku/>
        <w:wordWrap/>
        <w:topLinePunct w:val="0"/>
        <w:bidi w:val="0"/>
        <w:spacing w:before="246" w:line="217" w:lineRule="auto"/>
        <w:ind w:left="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
          <w:sz w:val="24"/>
          <w:szCs w:val="24"/>
          <w:u w:val="single" w:color="auto"/>
        </w:rPr>
        <w:t>(</w:t>
      </w:r>
      <w:r>
        <w:rPr>
          <w:rFonts w:ascii="仿宋" w:hAnsi="仿宋" w:eastAsia="仿宋" w:cs="仿宋"/>
          <w:spacing w:val="-6"/>
          <w:sz w:val="24"/>
          <w:szCs w:val="24"/>
          <w:u w:val="single" w:color="auto"/>
        </w:rPr>
        <w:t>招标单位名称)：</w:t>
      </w:r>
      <w:r>
        <w:rPr>
          <w:rFonts w:ascii="仿宋" w:hAnsi="仿宋" w:eastAsia="仿宋" w:cs="仿宋"/>
          <w:sz w:val="24"/>
          <w:szCs w:val="24"/>
          <w:u w:val="single" w:color="auto"/>
        </w:rPr>
        <w:t xml:space="preserve"> </w:t>
      </w:r>
    </w:p>
    <w:p>
      <w:pPr>
        <w:keepNext w:val="0"/>
        <w:keepLines w:val="0"/>
        <w:pageBreakBefore w:val="0"/>
        <w:kinsoku/>
        <w:wordWrap/>
        <w:topLinePunct w:val="0"/>
        <w:bidi w:val="0"/>
        <w:spacing w:before="219" w:line="409" w:lineRule="auto"/>
        <w:ind w:right="46"/>
        <w:rPr>
          <w:rFonts w:ascii="仿宋" w:hAnsi="仿宋" w:eastAsia="仿宋" w:cs="仿宋"/>
          <w:sz w:val="24"/>
          <w:szCs w:val="24"/>
        </w:rPr>
      </w:pPr>
      <w:r>
        <w:rPr>
          <w:rFonts w:ascii="仿宋" w:hAnsi="仿宋" w:eastAsia="仿宋" w:cs="仿宋"/>
          <w:spacing w:val="-1"/>
          <w:sz w:val="24"/>
          <w:szCs w:val="24"/>
        </w:rPr>
        <w:t>为维</w:t>
      </w:r>
      <w:r>
        <w:rPr>
          <w:rFonts w:ascii="仿宋" w:hAnsi="仿宋" w:eastAsia="仿宋" w:cs="仿宋"/>
          <w:sz w:val="24"/>
          <w:szCs w:val="24"/>
        </w:rPr>
        <w:t xml:space="preserve">护公平、公正、公开的政府投资市场秩序，树立诚实守信的投标人形象，我单位自愿作出 </w:t>
      </w:r>
      <w:r>
        <w:rPr>
          <w:rFonts w:ascii="仿宋" w:hAnsi="仿宋" w:eastAsia="仿宋" w:cs="仿宋"/>
          <w:spacing w:val="-13"/>
          <w:sz w:val="24"/>
          <w:szCs w:val="24"/>
        </w:rPr>
        <w:t>以下承诺：</w:t>
      </w:r>
    </w:p>
    <w:p>
      <w:pPr>
        <w:keepNext w:val="0"/>
        <w:keepLines w:val="0"/>
        <w:pageBreakBefore w:val="0"/>
        <w:kinsoku/>
        <w:wordWrap/>
        <w:topLinePunct w:val="0"/>
        <w:bidi w:val="0"/>
        <w:spacing w:line="408" w:lineRule="auto"/>
        <w:ind w:left="401"/>
        <w:rPr>
          <w:rFonts w:ascii="仿宋" w:hAnsi="仿宋" w:eastAsia="仿宋" w:cs="仿宋"/>
          <w:sz w:val="24"/>
          <w:szCs w:val="24"/>
        </w:rPr>
      </w:pPr>
      <w:r>
        <w:rPr>
          <w:rFonts w:ascii="仿宋" w:hAnsi="仿宋" w:eastAsia="仿宋" w:cs="仿宋"/>
          <w:spacing w:val="-34"/>
          <w:sz w:val="24"/>
          <w:szCs w:val="24"/>
        </w:rPr>
        <w:t>单</w:t>
      </w:r>
      <w:r>
        <w:rPr>
          <w:rFonts w:ascii="仿宋" w:hAnsi="仿宋" w:eastAsia="仿宋" w:cs="仿宋"/>
          <w:spacing w:val="-30"/>
          <w:sz w:val="24"/>
          <w:szCs w:val="24"/>
        </w:rPr>
        <w:t>位名称：</w:t>
      </w:r>
      <w:r>
        <w:rPr>
          <w:rFonts w:ascii="仿宋" w:hAnsi="仿宋" w:eastAsia="仿宋" w:cs="仿宋"/>
          <w:sz w:val="24"/>
          <w:szCs w:val="24"/>
          <w:u w:val="single" w:color="auto"/>
        </w:rPr>
        <w:t xml:space="preserve">                                    </w:t>
      </w:r>
    </w:p>
    <w:p>
      <w:pPr>
        <w:keepNext w:val="0"/>
        <w:keepLines w:val="0"/>
        <w:pageBreakBefore w:val="0"/>
        <w:kinsoku/>
        <w:wordWrap/>
        <w:topLinePunct w:val="0"/>
        <w:bidi w:val="0"/>
        <w:spacing w:line="217" w:lineRule="auto"/>
        <w:ind w:left="446"/>
        <w:rPr>
          <w:rFonts w:ascii="仿宋" w:hAnsi="仿宋" w:eastAsia="仿宋" w:cs="仿宋"/>
          <w:sz w:val="24"/>
          <w:szCs w:val="24"/>
        </w:rPr>
      </w:pPr>
      <w:r>
        <w:rPr>
          <w:rFonts w:ascii="仿宋" w:hAnsi="仿宋" w:eastAsia="仿宋" w:cs="仿宋"/>
          <w:spacing w:val="-2"/>
          <w:sz w:val="24"/>
          <w:szCs w:val="24"/>
        </w:rPr>
        <w:t>统一社会信用代码</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keepNext w:val="0"/>
        <w:keepLines w:val="0"/>
        <w:pageBreakBefore w:val="0"/>
        <w:kinsoku/>
        <w:wordWrap/>
        <w:topLinePunct w:val="0"/>
        <w:bidi w:val="0"/>
        <w:spacing w:before="234" w:line="409" w:lineRule="auto"/>
        <w:ind w:left="404"/>
        <w:rPr>
          <w:rFonts w:ascii="仿宋" w:hAnsi="仿宋" w:eastAsia="仿宋" w:cs="仿宋"/>
          <w:sz w:val="24"/>
          <w:szCs w:val="24"/>
        </w:rPr>
      </w:pPr>
      <w:r>
        <w:rPr>
          <w:rFonts w:ascii="仿宋" w:hAnsi="仿宋" w:eastAsia="仿宋" w:cs="仿宋"/>
          <w:spacing w:val="-30"/>
          <w:sz w:val="24"/>
          <w:szCs w:val="24"/>
        </w:rPr>
        <w:t>法</w:t>
      </w:r>
      <w:r>
        <w:rPr>
          <w:rFonts w:ascii="仿宋" w:hAnsi="仿宋" w:eastAsia="仿宋" w:cs="仿宋"/>
          <w:spacing w:val="-28"/>
          <w:sz w:val="24"/>
          <w:szCs w:val="24"/>
        </w:rPr>
        <w:t>定代表人：</w:t>
      </w:r>
      <w:r>
        <w:rPr>
          <w:rFonts w:ascii="仿宋" w:hAnsi="仿宋" w:eastAsia="仿宋" w:cs="仿宋"/>
          <w:sz w:val="24"/>
          <w:szCs w:val="24"/>
          <w:u w:val="single" w:color="auto"/>
        </w:rPr>
        <w:t xml:space="preserve">                                   </w:t>
      </w:r>
    </w:p>
    <w:p>
      <w:pPr>
        <w:keepNext w:val="0"/>
        <w:keepLines w:val="0"/>
        <w:pageBreakBefore w:val="0"/>
        <w:kinsoku/>
        <w:wordWrap/>
        <w:topLinePunct w:val="0"/>
        <w:bidi w:val="0"/>
        <w:spacing w:before="1" w:line="218" w:lineRule="auto"/>
        <w:ind w:left="398"/>
        <w:rPr>
          <w:rFonts w:ascii="仿宋" w:hAnsi="仿宋" w:eastAsia="仿宋" w:cs="仿宋"/>
          <w:sz w:val="24"/>
          <w:szCs w:val="24"/>
        </w:rPr>
      </w:pPr>
      <w:r>
        <w:rPr>
          <w:rFonts w:ascii="仿宋" w:hAnsi="仿宋" w:eastAsia="仿宋" w:cs="仿宋"/>
          <w:spacing w:val="-18"/>
          <w:w w:val="88"/>
          <w:sz w:val="24"/>
          <w:szCs w:val="24"/>
        </w:rPr>
        <w:t>地址和联系电话：</w:t>
      </w:r>
      <w:r>
        <w:rPr>
          <w:rFonts w:ascii="仿宋" w:hAnsi="仿宋" w:eastAsia="仿宋" w:cs="仿宋"/>
          <w:sz w:val="24"/>
          <w:szCs w:val="24"/>
          <w:u w:val="single" w:color="auto"/>
        </w:rPr>
        <w:t xml:space="preserve">                                 </w:t>
      </w:r>
    </w:p>
    <w:p>
      <w:pPr>
        <w:keepNext w:val="0"/>
        <w:keepLines w:val="0"/>
        <w:pageBreakBefore w:val="0"/>
        <w:kinsoku/>
        <w:wordWrap/>
        <w:topLinePunct w:val="0"/>
        <w:bidi w:val="0"/>
        <w:spacing w:before="217" w:line="409" w:lineRule="auto"/>
        <w:ind w:left="27" w:firstLine="372"/>
        <w:rPr>
          <w:rFonts w:ascii="仿宋" w:hAnsi="仿宋" w:eastAsia="仿宋" w:cs="仿宋"/>
          <w:sz w:val="24"/>
          <w:szCs w:val="24"/>
        </w:rPr>
      </w:pPr>
      <w:r>
        <w:rPr>
          <w:rFonts w:ascii="仿宋" w:hAnsi="仿宋" w:eastAsia="仿宋" w:cs="仿宋"/>
          <w:spacing w:val="-10"/>
          <w:sz w:val="24"/>
          <w:szCs w:val="24"/>
        </w:rPr>
        <w:t>一、我</w:t>
      </w:r>
      <w:r>
        <w:rPr>
          <w:rFonts w:ascii="仿宋" w:hAnsi="仿宋" w:eastAsia="仿宋" w:cs="仿宋"/>
          <w:spacing w:val="-5"/>
          <w:sz w:val="24"/>
          <w:szCs w:val="24"/>
        </w:rPr>
        <w:t>单位具备承担招标项目的能力，自愿参加</w:t>
      </w:r>
      <w:r>
        <w:rPr>
          <w:rFonts w:ascii="仿宋" w:hAnsi="仿宋" w:eastAsia="仿宋" w:cs="仿宋"/>
          <w:spacing w:val="-5"/>
          <w:sz w:val="24"/>
          <w:szCs w:val="24"/>
          <w:u w:val="single" w:color="auto"/>
        </w:rPr>
        <w:t xml:space="preserve"> (项目名称) </w:t>
      </w:r>
      <w:r>
        <w:rPr>
          <w:rFonts w:ascii="仿宋" w:hAnsi="仿宋" w:eastAsia="仿宋" w:cs="仿宋"/>
          <w:spacing w:val="-5"/>
          <w:sz w:val="24"/>
          <w:szCs w:val="24"/>
        </w:rPr>
        <w:t>投标活动，严格遵守《中</w:t>
      </w:r>
      <w:r>
        <w:rPr>
          <w:rFonts w:ascii="仿宋" w:hAnsi="仿宋" w:eastAsia="仿宋" w:cs="仿宋"/>
          <w:spacing w:val="-13"/>
          <w:sz w:val="24"/>
          <w:szCs w:val="24"/>
        </w:rPr>
        <w:t>华</w:t>
      </w:r>
      <w:r>
        <w:rPr>
          <w:rFonts w:ascii="仿宋" w:hAnsi="仿宋" w:eastAsia="仿宋" w:cs="仿宋"/>
          <w:spacing w:val="-8"/>
          <w:sz w:val="24"/>
          <w:szCs w:val="24"/>
        </w:rPr>
        <w:t>人民共和国招标投标法》及相关法律法规， 依法诚信经营， 无条件遵守招标投标活动的各项规定。</w:t>
      </w:r>
    </w:p>
    <w:p>
      <w:pPr>
        <w:keepNext w:val="0"/>
        <w:keepLines w:val="0"/>
        <w:pageBreakBefore w:val="0"/>
        <w:kinsoku/>
        <w:wordWrap/>
        <w:topLinePunct w:val="0"/>
        <w:bidi w:val="0"/>
        <w:spacing w:before="1" w:line="409" w:lineRule="auto"/>
        <w:ind w:right="45" w:firstLine="449"/>
        <w:rPr>
          <w:rFonts w:ascii="仿宋" w:hAnsi="仿宋" w:eastAsia="仿宋" w:cs="仿宋"/>
          <w:sz w:val="24"/>
          <w:szCs w:val="24"/>
        </w:rPr>
      </w:pPr>
      <w:r>
        <w:rPr>
          <w:rFonts w:ascii="仿宋" w:hAnsi="仿宋" w:eastAsia="仿宋" w:cs="仿宋"/>
          <w:spacing w:val="-4"/>
          <w:sz w:val="24"/>
          <w:szCs w:val="24"/>
        </w:rPr>
        <w:t>二、 我单位在“信用中国”中未</w:t>
      </w:r>
      <w:r>
        <w:rPr>
          <w:rFonts w:ascii="仿宋" w:hAnsi="仿宋" w:eastAsia="仿宋" w:cs="仿宋"/>
          <w:spacing w:val="-2"/>
          <w:sz w:val="24"/>
          <w:szCs w:val="24"/>
        </w:rPr>
        <w:t>被列入“严重失信主体名单”、没有因招标投标违法行为被行</w:t>
      </w:r>
      <w:r>
        <w:rPr>
          <w:rFonts w:ascii="仿宋" w:hAnsi="仿宋" w:eastAsia="仿宋" w:cs="仿宋"/>
          <w:sz w:val="24"/>
          <w:szCs w:val="24"/>
        </w:rPr>
        <w:t xml:space="preserve"> </w:t>
      </w:r>
      <w:r>
        <w:rPr>
          <w:rFonts w:ascii="仿宋" w:hAnsi="仿宋" w:eastAsia="仿宋" w:cs="仿宋"/>
          <w:spacing w:val="1"/>
          <w:sz w:val="24"/>
          <w:szCs w:val="24"/>
        </w:rPr>
        <w:t>政处罚的记录、“信用承诺”中没有“部分履行”或者“全部未履</w:t>
      </w:r>
      <w:r>
        <w:rPr>
          <w:rFonts w:ascii="仿宋" w:hAnsi="仿宋" w:eastAsia="仿宋" w:cs="仿宋"/>
          <w:sz w:val="24"/>
          <w:szCs w:val="24"/>
        </w:rPr>
        <w:t xml:space="preserve">行”的有关记录，在“中国执行 </w:t>
      </w:r>
      <w:r>
        <w:rPr>
          <w:rFonts w:ascii="仿宋" w:hAnsi="仿宋" w:eastAsia="仿宋" w:cs="仿宋"/>
          <w:spacing w:val="1"/>
          <w:sz w:val="24"/>
          <w:szCs w:val="24"/>
        </w:rPr>
        <w:t>信息公开网”中企业及法定代表人没有被列入“失信被执行人”，</w:t>
      </w:r>
      <w:r>
        <w:rPr>
          <w:rFonts w:ascii="仿宋" w:hAnsi="仿宋" w:eastAsia="仿宋" w:cs="仿宋"/>
          <w:sz w:val="24"/>
          <w:szCs w:val="24"/>
        </w:rPr>
        <w:t xml:space="preserve">在“中国政府采购网”未被列入 </w:t>
      </w:r>
      <w:r>
        <w:rPr>
          <w:rFonts w:ascii="仿宋" w:hAnsi="仿宋" w:eastAsia="仿宋" w:cs="仿宋"/>
          <w:spacing w:val="1"/>
          <w:sz w:val="24"/>
          <w:szCs w:val="24"/>
        </w:rPr>
        <w:t>“政府采购严重违法失信行为记录名单”，在“国家企业信用信息</w:t>
      </w:r>
      <w:r>
        <w:rPr>
          <w:rFonts w:ascii="仿宋" w:hAnsi="仿宋" w:eastAsia="仿宋" w:cs="仿宋"/>
          <w:sz w:val="24"/>
          <w:szCs w:val="24"/>
        </w:rPr>
        <w:t xml:space="preserve">公示系统”中没有因招标投标违 </w:t>
      </w:r>
      <w:r>
        <w:rPr>
          <w:rFonts w:ascii="仿宋" w:hAnsi="仿宋" w:eastAsia="仿宋" w:cs="仿宋"/>
          <w:spacing w:val="-1"/>
          <w:sz w:val="24"/>
          <w:szCs w:val="24"/>
        </w:rPr>
        <w:t>法行为</w:t>
      </w:r>
      <w:r>
        <w:rPr>
          <w:rFonts w:ascii="仿宋" w:hAnsi="仿宋" w:eastAsia="仿宋" w:cs="仿宋"/>
          <w:sz w:val="24"/>
          <w:szCs w:val="24"/>
        </w:rPr>
        <w:t>被行政处罚的记录、未被列入“经营异常名录”及“严重违法失信名单”。</w:t>
      </w:r>
    </w:p>
    <w:p>
      <w:pPr>
        <w:keepNext w:val="0"/>
        <w:keepLines w:val="0"/>
        <w:pageBreakBefore w:val="0"/>
        <w:kinsoku/>
        <w:wordWrap/>
        <w:topLinePunct w:val="0"/>
        <w:bidi w:val="0"/>
        <w:spacing w:before="1" w:line="415" w:lineRule="auto"/>
        <w:ind w:left="27" w:right="68" w:firstLine="420"/>
        <w:rPr>
          <w:rFonts w:ascii="仿宋" w:hAnsi="仿宋" w:eastAsia="仿宋" w:cs="仿宋"/>
          <w:sz w:val="24"/>
          <w:szCs w:val="24"/>
        </w:rPr>
      </w:pPr>
      <w:r>
        <w:rPr>
          <w:rFonts w:ascii="仿宋" w:hAnsi="仿宋" w:eastAsia="仿宋" w:cs="仿宋"/>
          <w:spacing w:val="-10"/>
          <w:sz w:val="24"/>
          <w:szCs w:val="24"/>
        </w:rPr>
        <w:t>三、</w:t>
      </w:r>
      <w:r>
        <w:rPr>
          <w:rFonts w:ascii="仿宋" w:hAnsi="仿宋" w:eastAsia="仿宋" w:cs="仿宋"/>
          <w:spacing w:val="-8"/>
          <w:sz w:val="24"/>
          <w:szCs w:val="24"/>
        </w:rPr>
        <w:t xml:space="preserve"> </w:t>
      </w:r>
      <w:r>
        <w:rPr>
          <w:rFonts w:ascii="仿宋" w:hAnsi="仿宋" w:eastAsia="仿宋" w:cs="仿宋"/>
          <w:spacing w:val="-5"/>
          <w:sz w:val="24"/>
          <w:szCs w:val="24"/>
        </w:rPr>
        <w:t>我单位如有发生下述任何一种违约行为，自愿承担相关法律责任， 1 年内自动放弃在洛阳</w:t>
      </w:r>
      <w:r>
        <w:rPr>
          <w:rFonts w:ascii="仿宋" w:hAnsi="仿宋" w:eastAsia="仿宋" w:cs="仿宋"/>
          <w:spacing w:val="-2"/>
          <w:sz w:val="24"/>
          <w:szCs w:val="24"/>
        </w:rPr>
        <w:t>市工程</w:t>
      </w:r>
      <w:r>
        <w:rPr>
          <w:rFonts w:ascii="仿宋" w:hAnsi="仿宋" w:eastAsia="仿宋" w:cs="仿宋"/>
          <w:spacing w:val="-1"/>
          <w:sz w:val="24"/>
          <w:szCs w:val="24"/>
        </w:rPr>
        <w:t>建设项目招投标中使用“投标保证金企业信用承诺函”资格。</w:t>
      </w:r>
    </w:p>
    <w:p>
      <w:pPr>
        <w:keepNext w:val="0"/>
        <w:keepLines w:val="0"/>
        <w:pageBreakBefore w:val="0"/>
        <w:kinsoku/>
        <w:wordWrap/>
        <w:topLinePunct w:val="0"/>
        <w:bidi w:val="0"/>
        <w:spacing w:line="215" w:lineRule="auto"/>
        <w:ind w:left="442"/>
        <w:rPr>
          <w:rFonts w:ascii="仿宋" w:hAnsi="仿宋" w:eastAsia="仿宋" w:cs="仿宋"/>
          <w:sz w:val="24"/>
          <w:szCs w:val="24"/>
        </w:rPr>
      </w:pPr>
      <w:r>
        <w:rPr>
          <w:rFonts w:ascii="仿宋" w:hAnsi="仿宋" w:eastAsia="仿宋" w:cs="仿宋"/>
          <w:spacing w:val="12"/>
          <w:sz w:val="24"/>
          <w:szCs w:val="24"/>
        </w:rPr>
        <w:t>(一</w:t>
      </w:r>
      <w:r>
        <w:rPr>
          <w:rFonts w:ascii="仿宋" w:hAnsi="仿宋" w:eastAsia="仿宋" w:cs="仿宋"/>
          <w:spacing w:val="6"/>
          <w:sz w:val="24"/>
          <w:szCs w:val="24"/>
        </w:rPr>
        <w:t>)在招标文件中规定的投标有效期内撤销投标文件；</w:t>
      </w:r>
    </w:p>
    <w:p>
      <w:pPr>
        <w:keepNext w:val="0"/>
        <w:keepLines w:val="0"/>
        <w:pageBreakBefore w:val="0"/>
        <w:kinsoku/>
        <w:wordWrap/>
        <w:topLinePunct w:val="0"/>
        <w:bidi w:val="0"/>
        <w:spacing w:before="222" w:line="409" w:lineRule="auto"/>
        <w:ind w:left="22" w:right="80" w:firstLine="419"/>
        <w:rPr>
          <w:rFonts w:ascii="仿宋" w:hAnsi="仿宋" w:eastAsia="仿宋" w:cs="仿宋"/>
          <w:sz w:val="24"/>
          <w:szCs w:val="24"/>
        </w:rPr>
      </w:pPr>
      <w:r>
        <w:rPr>
          <w:rFonts w:ascii="仿宋" w:hAnsi="仿宋" w:eastAsia="仿宋" w:cs="仿宋"/>
          <w:spacing w:val="2"/>
          <w:sz w:val="24"/>
          <w:szCs w:val="24"/>
        </w:rPr>
        <w:t>(二) 中标后在规定期限内无正当理由不与招标人签订合同、或者未按招标文件规定</w:t>
      </w:r>
      <w:r>
        <w:rPr>
          <w:rFonts w:ascii="仿宋" w:hAnsi="仿宋" w:eastAsia="仿宋" w:cs="仿宋"/>
          <w:sz w:val="24"/>
          <w:szCs w:val="24"/>
        </w:rPr>
        <w:t xml:space="preserve">提交履约 </w:t>
      </w:r>
      <w:r>
        <w:rPr>
          <w:rFonts w:ascii="仿宋" w:hAnsi="仿宋" w:eastAsia="仿宋" w:cs="仿宋"/>
          <w:spacing w:val="-12"/>
          <w:sz w:val="24"/>
          <w:szCs w:val="24"/>
        </w:rPr>
        <w:t>保</w:t>
      </w:r>
      <w:r>
        <w:rPr>
          <w:rFonts w:ascii="仿宋" w:hAnsi="仿宋" w:eastAsia="仿宋" w:cs="仿宋"/>
          <w:spacing w:val="-11"/>
          <w:sz w:val="24"/>
          <w:szCs w:val="24"/>
        </w:rPr>
        <w:t>证金；</w:t>
      </w:r>
    </w:p>
    <w:p>
      <w:pPr>
        <w:keepNext w:val="0"/>
        <w:keepLines w:val="0"/>
        <w:pageBreakBefore w:val="0"/>
        <w:kinsoku/>
        <w:wordWrap/>
        <w:topLinePunct w:val="0"/>
        <w:bidi w:val="0"/>
        <w:spacing w:line="215" w:lineRule="auto"/>
        <w:ind w:left="442"/>
        <w:rPr>
          <w:rFonts w:ascii="仿宋" w:hAnsi="仿宋" w:eastAsia="仿宋" w:cs="仿宋"/>
          <w:sz w:val="24"/>
          <w:szCs w:val="24"/>
        </w:rPr>
      </w:pPr>
      <w:r>
        <w:rPr>
          <w:rFonts w:ascii="仿宋" w:hAnsi="仿宋" w:eastAsia="仿宋" w:cs="仿宋"/>
          <w:spacing w:val="6"/>
          <w:sz w:val="24"/>
          <w:szCs w:val="24"/>
        </w:rPr>
        <w:t>(三)评标委员会认定投标人串通投标或弄虚作假等违法行为</w:t>
      </w:r>
      <w:r>
        <w:rPr>
          <w:rFonts w:ascii="仿宋" w:hAnsi="仿宋" w:eastAsia="仿宋" w:cs="仿宋"/>
          <w:spacing w:val="1"/>
          <w:sz w:val="24"/>
          <w:szCs w:val="24"/>
        </w:rPr>
        <w:t>；</w:t>
      </w:r>
    </w:p>
    <w:p>
      <w:pPr>
        <w:keepNext w:val="0"/>
        <w:keepLines w:val="0"/>
        <w:pageBreakBefore w:val="0"/>
        <w:kinsoku/>
        <w:wordWrap/>
        <w:topLinePunct w:val="0"/>
        <w:bidi w:val="0"/>
        <w:spacing w:before="236" w:line="217" w:lineRule="auto"/>
        <w:ind w:left="442"/>
        <w:rPr>
          <w:rFonts w:ascii="仿宋" w:hAnsi="仿宋" w:eastAsia="仿宋" w:cs="仿宋"/>
          <w:sz w:val="24"/>
          <w:szCs w:val="24"/>
        </w:rPr>
      </w:pPr>
      <w:r>
        <w:rPr>
          <w:rFonts w:ascii="仿宋" w:hAnsi="仿宋" w:eastAsia="仿宋" w:cs="仿宋"/>
          <w:spacing w:val="11"/>
          <w:sz w:val="24"/>
          <w:szCs w:val="24"/>
        </w:rPr>
        <w:t>(四)法律、法规规定的其他情形</w:t>
      </w:r>
      <w:r>
        <w:rPr>
          <w:rFonts w:ascii="仿宋" w:hAnsi="仿宋" w:eastAsia="仿宋" w:cs="仿宋"/>
          <w:spacing w:val="10"/>
          <w:sz w:val="24"/>
          <w:szCs w:val="24"/>
        </w:rPr>
        <w:t>。</w:t>
      </w:r>
    </w:p>
    <w:p>
      <w:pPr>
        <w:keepNext w:val="0"/>
        <w:keepLines w:val="0"/>
        <w:pageBreakBefore w:val="0"/>
        <w:kinsoku/>
        <w:wordWrap/>
        <w:topLinePunct w:val="0"/>
        <w:bidi w:val="0"/>
        <w:spacing w:before="217" w:line="416" w:lineRule="auto"/>
        <w:ind w:left="21" w:right="46" w:firstLine="445"/>
        <w:rPr>
          <w:rFonts w:ascii="Arial"/>
          <w:sz w:val="24"/>
          <w:szCs w:val="24"/>
        </w:rPr>
      </w:pPr>
      <w:r>
        <w:rPr>
          <w:rFonts w:ascii="仿宋" w:hAnsi="仿宋" w:eastAsia="仿宋" w:cs="仿宋"/>
          <w:spacing w:val="-3"/>
          <w:sz w:val="24"/>
          <w:szCs w:val="24"/>
        </w:rPr>
        <w:t>四、 同意将承诺和践诺信息作为我单位信用记录由“信用洛阳”网站归集并合规应用。特此</w:t>
      </w:r>
      <w:r>
        <w:rPr>
          <w:rFonts w:ascii="仿宋" w:hAnsi="仿宋" w:eastAsia="仿宋" w:cs="仿宋"/>
          <w:spacing w:val="-2"/>
          <w:sz w:val="24"/>
          <w:szCs w:val="24"/>
        </w:rPr>
        <w:t>承</w:t>
      </w:r>
      <w:r>
        <w:rPr>
          <w:rFonts w:ascii="仿宋" w:hAnsi="仿宋" w:eastAsia="仿宋" w:cs="仿宋"/>
          <w:spacing w:val="-11"/>
          <w:sz w:val="24"/>
          <w:szCs w:val="24"/>
        </w:rPr>
        <w:t>诺</w:t>
      </w:r>
      <w:r>
        <w:rPr>
          <w:rFonts w:ascii="仿宋" w:hAnsi="仿宋" w:eastAsia="仿宋" w:cs="仿宋"/>
          <w:spacing w:val="-10"/>
          <w:sz w:val="24"/>
          <w:szCs w:val="24"/>
        </w:rPr>
        <w:t>。</w:t>
      </w:r>
    </w:p>
    <w:p>
      <w:pPr>
        <w:keepNext w:val="0"/>
        <w:keepLines w:val="0"/>
        <w:pageBreakBefore w:val="0"/>
        <w:kinsoku/>
        <w:wordWrap/>
        <w:topLinePunct w:val="0"/>
        <w:bidi w:val="0"/>
        <w:spacing w:line="286" w:lineRule="auto"/>
        <w:rPr>
          <w:rFonts w:ascii="Arial"/>
          <w:sz w:val="24"/>
          <w:szCs w:val="24"/>
        </w:rPr>
      </w:pPr>
    </w:p>
    <w:p>
      <w:pPr>
        <w:keepNext w:val="0"/>
        <w:keepLines w:val="0"/>
        <w:pageBreakBefore w:val="0"/>
        <w:kinsoku/>
        <w:wordWrap/>
        <w:topLinePunct w:val="0"/>
        <w:bidi w:val="0"/>
        <w:spacing w:before="69" w:line="409" w:lineRule="auto"/>
        <w:ind w:left="4264" w:right="83" w:firstLine="37"/>
        <w:rPr>
          <w:rFonts w:ascii="仿宋" w:hAnsi="仿宋" w:eastAsia="仿宋" w:cs="仿宋"/>
          <w:sz w:val="24"/>
          <w:szCs w:val="24"/>
        </w:rPr>
      </w:pPr>
      <w:r>
        <w:rPr>
          <w:rFonts w:ascii="仿宋" w:hAnsi="仿宋" w:eastAsia="仿宋" w:cs="仿宋"/>
          <w:spacing w:val="-18"/>
          <w:sz w:val="24"/>
          <w:szCs w:val="24"/>
        </w:rPr>
        <w:t>投</w:t>
      </w:r>
      <w:r>
        <w:rPr>
          <w:rFonts w:ascii="仿宋" w:hAnsi="仿宋" w:eastAsia="仿宋" w:cs="仿宋"/>
          <w:spacing w:val="-15"/>
          <w:sz w:val="24"/>
          <w:szCs w:val="24"/>
        </w:rPr>
        <w:t>标</w:t>
      </w:r>
      <w:r>
        <w:rPr>
          <w:rFonts w:ascii="仿宋" w:hAnsi="仿宋" w:eastAsia="仿宋" w:cs="仿宋"/>
          <w:spacing w:val="-9"/>
          <w:sz w:val="24"/>
          <w:szCs w:val="24"/>
        </w:rPr>
        <w:t>人单位名称：</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(企业电子章)</w:t>
      </w:r>
      <w:r>
        <w:rPr>
          <w:rFonts w:ascii="仿宋" w:hAnsi="仿宋" w:eastAsia="仿宋" w:cs="仿宋"/>
          <w:sz w:val="24"/>
          <w:szCs w:val="24"/>
        </w:rPr>
        <w:t xml:space="preserve"> </w:t>
      </w:r>
    </w:p>
    <w:p>
      <w:pPr>
        <w:keepNext w:val="0"/>
        <w:keepLines w:val="0"/>
        <w:pageBreakBefore w:val="0"/>
        <w:kinsoku/>
        <w:wordWrap/>
        <w:topLinePunct w:val="0"/>
        <w:bidi w:val="0"/>
        <w:spacing w:before="69" w:line="409" w:lineRule="auto"/>
        <w:ind w:left="4264" w:right="83" w:firstLine="37"/>
        <w:rPr>
          <w:rFonts w:ascii="仿宋" w:hAnsi="仿宋" w:eastAsia="仿宋" w:cs="仿宋"/>
          <w:sz w:val="24"/>
          <w:szCs w:val="24"/>
        </w:rPr>
      </w:pPr>
      <w:r>
        <w:rPr>
          <w:rFonts w:ascii="仿宋" w:hAnsi="仿宋" w:eastAsia="仿宋" w:cs="仿宋"/>
          <w:spacing w:val="-16"/>
          <w:sz w:val="24"/>
          <w:szCs w:val="24"/>
        </w:rPr>
        <w:t>法</w:t>
      </w:r>
      <w:r>
        <w:rPr>
          <w:rFonts w:ascii="仿宋" w:hAnsi="仿宋" w:eastAsia="仿宋" w:cs="仿宋"/>
          <w:spacing w:val="-13"/>
          <w:sz w:val="24"/>
          <w:szCs w:val="24"/>
        </w:rPr>
        <w:t>定</w:t>
      </w:r>
      <w:r>
        <w:rPr>
          <w:rFonts w:ascii="仿宋" w:hAnsi="仿宋" w:eastAsia="仿宋" w:cs="仿宋"/>
          <w:spacing w:val="-8"/>
          <w:sz w:val="24"/>
          <w:szCs w:val="24"/>
        </w:rPr>
        <w:t>代表人：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(签字或盖电子章)</w:t>
      </w:r>
    </w:p>
    <w:p>
      <w:pPr>
        <w:keepNext w:val="0"/>
        <w:keepLines w:val="0"/>
        <w:pageBreakBefore w:val="0"/>
        <w:kinsoku/>
        <w:wordWrap/>
        <w:topLinePunct w:val="0"/>
        <w:bidi w:val="0"/>
        <w:spacing w:line="218" w:lineRule="auto"/>
        <w:ind w:right="12"/>
        <w:jc w:val="right"/>
        <w:rPr>
          <w:rFonts w:hint="eastAsia" w:ascii="仿宋" w:hAnsi="仿宋" w:eastAsia="仿宋" w:cs="仿宋"/>
          <w:color w:val="auto"/>
          <w:spacing w:val="0"/>
          <w:position w:val="0"/>
          <w:sz w:val="24"/>
          <w:szCs w:val="24"/>
        </w:rPr>
        <w:sectPr>
          <w:footerReference r:id="rId9" w:type="default"/>
          <w:pgSz w:w="11906" w:h="16838"/>
          <w:pgMar w:top="1440" w:right="1080" w:bottom="1440" w:left="1080" w:header="850" w:footer="622" w:gutter="0"/>
          <w:pgBorders>
            <w:top w:val="none" w:sz="0" w:space="0"/>
            <w:left w:val="none" w:sz="0" w:space="0"/>
            <w:bottom w:val="none" w:sz="0" w:space="0"/>
            <w:right w:val="none" w:sz="0" w:space="0"/>
          </w:pgBorders>
          <w:pgNumType w:fmt="decimal"/>
          <w:cols w:space="720" w:num="1"/>
          <w:rtlGutter w:val="0"/>
          <w:docGrid w:linePitch="0" w:charSpace="0"/>
        </w:sectPr>
      </w:pPr>
      <w:r>
        <w:rPr>
          <w:rFonts w:ascii="仿宋" w:hAnsi="仿宋" w:eastAsia="仿宋" w:cs="仿宋"/>
          <w:spacing w:val="6"/>
          <w:sz w:val="24"/>
          <w:szCs w:val="24"/>
        </w:rPr>
        <w:t>年</w:t>
      </w:r>
      <w:r>
        <w:rPr>
          <w:rFonts w:ascii="仿宋" w:hAnsi="仿宋" w:eastAsia="仿宋" w:cs="仿宋"/>
          <w:spacing w:val="5"/>
          <w:sz w:val="24"/>
          <w:szCs w:val="24"/>
        </w:rPr>
        <w:t xml:space="preserve">  月   日</w:t>
      </w:r>
    </w:p>
    <w:bookmarkEnd w:id="826"/>
    <w:bookmarkEnd w:id="827"/>
    <w:bookmarkEnd w:id="828"/>
    <w:bookmarkEnd w:id="829"/>
    <w:bookmarkEnd w:id="830"/>
    <w:p>
      <w:pPr>
        <w:pStyle w:val="3"/>
        <w:jc w:val="center"/>
        <w:rPr>
          <w:rFonts w:hint="eastAsia" w:ascii="仿宋" w:hAnsi="仿宋" w:eastAsia="仿宋" w:cs="仿宋"/>
          <w:b/>
          <w:bCs/>
          <w:sz w:val="28"/>
          <w:szCs w:val="28"/>
        </w:rPr>
      </w:pPr>
      <w:bookmarkStart w:id="831" w:name="_Toc2848"/>
      <w:bookmarkStart w:id="832" w:name="_Toc30853"/>
      <w:bookmarkStart w:id="833" w:name="_Toc2566_WPSOffice_Level1"/>
      <w:bookmarkStart w:id="834" w:name="_Toc14368076"/>
      <w:bookmarkStart w:id="835" w:name="_Toc12652"/>
      <w:bookmarkStart w:id="836" w:name="_Toc25106"/>
      <w:bookmarkStart w:id="837" w:name="_Toc8843"/>
      <w:bookmarkStart w:id="838" w:name="_Toc2469"/>
      <w:r>
        <w:rPr>
          <w:rFonts w:hint="eastAsia" w:ascii="仿宋" w:hAnsi="仿宋" w:eastAsia="仿宋" w:cs="仿宋"/>
          <w:b/>
          <w:bCs/>
          <w:sz w:val="28"/>
          <w:szCs w:val="28"/>
        </w:rPr>
        <w:t>五、已标价工程量清单</w:t>
      </w:r>
      <w:bookmarkEnd w:id="831"/>
      <w:bookmarkEnd w:id="832"/>
      <w:bookmarkEnd w:id="833"/>
      <w:bookmarkEnd w:id="834"/>
      <w:bookmarkEnd w:id="835"/>
      <w:bookmarkEnd w:id="836"/>
      <w:bookmarkEnd w:id="837"/>
      <w:bookmarkEnd w:id="838"/>
    </w:p>
    <w:p>
      <w:pPr>
        <w:rPr>
          <w:rFonts w:hint="eastAsia" w:ascii="仿宋" w:hAnsi="仿宋" w:eastAsia="仿宋" w:cs="仿宋"/>
        </w:rPr>
      </w:pPr>
    </w:p>
    <w:p>
      <w:pPr>
        <w:spacing w:line="460" w:lineRule="exact"/>
        <w:ind w:firstLine="480" w:firstLineChars="200"/>
        <w:jc w:val="center"/>
        <w:rPr>
          <w:rFonts w:hint="eastAsia" w:ascii="仿宋" w:hAnsi="仿宋" w:eastAsia="仿宋" w:cs="仿宋"/>
          <w:sz w:val="24"/>
        </w:rPr>
      </w:pPr>
      <w:r>
        <w:rPr>
          <w:rFonts w:hint="eastAsia" w:ascii="仿宋" w:hAnsi="仿宋" w:eastAsia="仿宋" w:cs="仿宋"/>
          <w:sz w:val="24"/>
        </w:rPr>
        <w:t>投标人须严格按照招标人提供的工程量清单格式编写</w:t>
      </w: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spacing w:line="460" w:lineRule="exact"/>
        <w:ind w:firstLine="420" w:firstLineChars="200"/>
        <w:rPr>
          <w:rFonts w:hint="eastAsia" w:ascii="仿宋" w:hAnsi="仿宋" w:eastAsia="仿宋" w:cs="仿宋"/>
          <w:szCs w:val="21"/>
        </w:rPr>
      </w:pPr>
    </w:p>
    <w:p>
      <w:pPr>
        <w:rPr>
          <w:rFonts w:hint="eastAsia" w:ascii="仿宋" w:hAnsi="仿宋" w:eastAsia="仿宋" w:cs="仿宋"/>
        </w:rPr>
      </w:pPr>
      <w:bookmarkStart w:id="839" w:name="_Toc374109002"/>
    </w:p>
    <w:bookmarkEnd w:id="839"/>
    <w:p>
      <w:pPr>
        <w:pStyle w:val="4"/>
        <w:jc w:val="center"/>
        <w:rPr>
          <w:rFonts w:hint="eastAsia" w:ascii="仿宋" w:hAnsi="仿宋" w:eastAsia="仿宋" w:cs="仿宋"/>
          <w:sz w:val="28"/>
          <w:szCs w:val="28"/>
        </w:rPr>
      </w:pPr>
      <w:r>
        <w:rPr>
          <w:rFonts w:hint="eastAsia" w:ascii="仿宋" w:hAnsi="仿宋" w:eastAsia="仿宋" w:cs="仿宋"/>
          <w:sz w:val="28"/>
          <w:szCs w:val="28"/>
        </w:rPr>
        <w:t>六、施工组织设计</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投标人应采用文字并结合图表形式参考下列要点编制技术标</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bidi="ar-SA"/>
        </w:rPr>
        <w:t>项目组织机构的设置</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bidi="ar-SA"/>
        </w:rPr>
        <w:t>劳动力安排计划</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bidi="ar-SA"/>
        </w:rPr>
        <w:t>施工机械计划</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施工方案与技术措施</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确保工程质量的技术组织措施</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bidi="ar-SA"/>
        </w:rPr>
        <w:t>确保安全生产的技术组织措施</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bidi="ar-SA"/>
        </w:rPr>
        <w:t>确保工期的技术组织措施</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kern w:val="2"/>
          <w:sz w:val="24"/>
          <w:szCs w:val="24"/>
          <w:highlight w:val="none"/>
          <w:lang w:val="en-US" w:bidi="ar-SA"/>
        </w:rPr>
        <w:t>确保文明施工的技术组织措施</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kern w:val="2"/>
          <w:sz w:val="24"/>
          <w:szCs w:val="24"/>
          <w:highlight w:val="none"/>
          <w:lang w:val="en-US" w:bidi="ar-SA"/>
        </w:rPr>
        <w:t>施工总进度表或工期网络图</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color w:val="auto"/>
          <w:kern w:val="2"/>
          <w:sz w:val="24"/>
          <w:szCs w:val="24"/>
          <w:highlight w:val="none"/>
          <w:lang w:val="en-US" w:bidi="ar-SA"/>
        </w:rPr>
        <w:t>施工总平面图</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11.</w:t>
      </w:r>
      <w:r>
        <w:rPr>
          <w:rFonts w:hint="eastAsia" w:ascii="仿宋" w:hAnsi="仿宋" w:eastAsia="仿宋" w:cs="仿宋"/>
          <w:color w:val="auto"/>
          <w:kern w:val="2"/>
          <w:sz w:val="24"/>
          <w:szCs w:val="24"/>
          <w:highlight w:val="none"/>
          <w:lang w:val="en-US" w:bidi="ar-SA"/>
        </w:rPr>
        <w:t>配合措施及重点难点解决措施</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附件一拟投入本标段的主要施工设备表</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附件二拟投入本标段的劳动力计划表</w:t>
      </w:r>
    </w:p>
    <w:p>
      <w:pPr>
        <w:pStyle w:val="10"/>
        <w:keepNext w:val="0"/>
        <w:keepLines w:val="0"/>
        <w:pageBreakBefore w:val="0"/>
        <w:widowControl w:val="0"/>
        <w:tabs>
          <w:tab w:val="left" w:pos="939"/>
        </w:tabs>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附表三计划开、完工日期和施工进度网络图</w:t>
      </w:r>
    </w:p>
    <w:p>
      <w:pPr>
        <w:pStyle w:val="10"/>
        <w:keepNext w:val="0"/>
        <w:keepLines w:val="0"/>
        <w:pageBreakBefore w:val="0"/>
        <w:widowControl w:val="0"/>
        <w:tabs>
          <w:tab w:val="left" w:pos="939"/>
        </w:tabs>
        <w:kinsoku/>
        <w:wordWrap/>
        <w:overflowPunct/>
        <w:topLinePunct w:val="0"/>
        <w:autoSpaceDE/>
        <w:autoSpaceDN/>
        <w:bidi w:val="0"/>
        <w:adjustRightInd/>
        <w:snapToGrid/>
        <w:spacing w:after="0" w:line="46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附表四</w:t>
      </w:r>
      <w:r>
        <w:rPr>
          <w:rFonts w:hint="eastAsia" w:ascii="仿宋" w:hAnsi="仿宋" w:eastAsia="仿宋" w:cs="仿宋"/>
          <w:sz w:val="24"/>
        </w:rPr>
        <w:tab/>
      </w:r>
      <w:r>
        <w:rPr>
          <w:rFonts w:hint="eastAsia" w:ascii="仿宋" w:hAnsi="仿宋" w:eastAsia="仿宋" w:cs="仿宋"/>
          <w:sz w:val="24"/>
        </w:rPr>
        <w:t>施工总平面图</w:t>
      </w:r>
    </w:p>
    <w:p>
      <w:pPr>
        <w:spacing w:before="120" w:beforeLines="50" w:after="240" w:afterLines="100" w:line="420" w:lineRule="exact"/>
        <w:rPr>
          <w:rFonts w:hint="eastAsia" w:ascii="仿宋" w:hAnsi="仿宋" w:eastAsia="仿宋" w:cs="仿宋"/>
          <w:szCs w:val="21"/>
        </w:rPr>
      </w:pPr>
    </w:p>
    <w:p>
      <w:pPr>
        <w:spacing w:before="120" w:beforeLines="50" w:after="240" w:afterLines="100" w:line="420" w:lineRule="exact"/>
        <w:rPr>
          <w:rFonts w:hint="eastAsia" w:ascii="仿宋" w:hAnsi="仿宋" w:eastAsia="仿宋" w:cs="仿宋"/>
          <w:szCs w:val="21"/>
        </w:rPr>
      </w:pPr>
    </w:p>
    <w:p>
      <w:pPr>
        <w:spacing w:before="120" w:beforeLines="50" w:after="240" w:afterLines="100" w:line="420" w:lineRule="exact"/>
        <w:rPr>
          <w:rFonts w:hint="eastAsia" w:ascii="仿宋" w:hAnsi="仿宋" w:eastAsia="仿宋" w:cs="仿宋"/>
          <w:szCs w:val="21"/>
        </w:rPr>
      </w:pPr>
    </w:p>
    <w:p>
      <w:pPr>
        <w:pStyle w:val="10"/>
        <w:spacing w:before="9"/>
        <w:ind w:left="100"/>
        <w:rPr>
          <w:rFonts w:hint="eastAsia" w:ascii="仿宋" w:hAnsi="仿宋" w:eastAsia="仿宋" w:cs="仿宋"/>
          <w:szCs w:val="28"/>
        </w:rPr>
        <w:sectPr>
          <w:pgSz w:w="11907" w:h="16840"/>
          <w:pgMar w:top="1440" w:right="1080" w:bottom="1440" w:left="1080" w:header="680" w:footer="680" w:gutter="0"/>
          <w:pgNumType w:fmt="decimal"/>
          <w:cols w:space="720" w:num="1"/>
        </w:sectPr>
      </w:pPr>
    </w:p>
    <w:p>
      <w:pPr>
        <w:pStyle w:val="10"/>
        <w:spacing w:before="9"/>
        <w:ind w:left="100"/>
        <w:rPr>
          <w:rFonts w:hint="eastAsia" w:ascii="仿宋" w:hAnsi="仿宋" w:eastAsia="仿宋" w:cs="仿宋"/>
          <w:szCs w:val="28"/>
        </w:rPr>
      </w:pPr>
      <w:r>
        <w:rPr>
          <w:rFonts w:hint="eastAsia" w:ascii="仿宋" w:hAnsi="仿宋" w:eastAsia="仿宋" w:cs="仿宋"/>
          <w:szCs w:val="28"/>
        </w:rPr>
        <w:t>附件一：</w:t>
      </w:r>
    </w:p>
    <w:p>
      <w:pPr>
        <w:pStyle w:val="10"/>
        <w:jc w:val="center"/>
        <w:rPr>
          <w:rFonts w:hint="eastAsia" w:ascii="仿宋" w:hAnsi="仿宋" w:eastAsia="仿宋" w:cs="仿宋"/>
          <w:szCs w:val="28"/>
        </w:rPr>
      </w:pPr>
      <w:r>
        <w:rPr>
          <w:rFonts w:hint="eastAsia" w:ascii="仿宋" w:hAnsi="仿宋" w:eastAsia="仿宋" w:cs="仿宋"/>
          <w:szCs w:val="28"/>
        </w:rPr>
        <w:t>拟投入本标段的主要施工设备表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4"/>
        <w:gridCol w:w="1098"/>
        <w:gridCol w:w="1119"/>
        <w:gridCol w:w="753"/>
        <w:gridCol w:w="1066"/>
        <w:gridCol w:w="1188"/>
        <w:gridCol w:w="1081"/>
        <w:gridCol w:w="1118"/>
        <w:gridCol w:w="92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1" w:hRule="exact"/>
          <w:jc w:val="center"/>
        </w:trPr>
        <w:tc>
          <w:tcPr>
            <w:tcW w:w="824" w:type="dxa"/>
            <w:noWrap w:val="0"/>
            <w:vAlign w:val="center"/>
          </w:tcPr>
          <w:p>
            <w:pPr>
              <w:pStyle w:val="34"/>
              <w:spacing w:before="11"/>
              <w:jc w:val="center"/>
              <w:rPr>
                <w:rFonts w:hint="eastAsia" w:ascii="仿宋" w:hAnsi="仿宋" w:eastAsia="仿宋" w:cs="仿宋"/>
                <w:b/>
                <w:sz w:val="24"/>
                <w:szCs w:val="24"/>
              </w:rPr>
            </w:pPr>
          </w:p>
          <w:p>
            <w:pPr>
              <w:pStyle w:val="34"/>
              <w:ind w:left="104"/>
              <w:jc w:val="center"/>
              <w:rPr>
                <w:rFonts w:hint="eastAsia" w:ascii="仿宋" w:hAnsi="仿宋" w:eastAsia="仿宋" w:cs="仿宋"/>
                <w:sz w:val="24"/>
                <w:szCs w:val="24"/>
              </w:rPr>
            </w:pPr>
            <w:r>
              <w:rPr>
                <w:rFonts w:hint="eastAsia" w:ascii="仿宋" w:hAnsi="仿宋" w:eastAsia="仿宋" w:cs="仿宋"/>
                <w:sz w:val="24"/>
                <w:szCs w:val="24"/>
              </w:rPr>
              <w:t>序号</w:t>
            </w:r>
          </w:p>
        </w:tc>
        <w:tc>
          <w:tcPr>
            <w:tcW w:w="1098" w:type="dxa"/>
            <w:noWrap w:val="0"/>
            <w:vAlign w:val="center"/>
          </w:tcPr>
          <w:p>
            <w:pPr>
              <w:pStyle w:val="34"/>
              <w:spacing w:before="11"/>
              <w:jc w:val="center"/>
              <w:rPr>
                <w:rFonts w:hint="eastAsia" w:ascii="仿宋" w:hAnsi="仿宋" w:eastAsia="仿宋" w:cs="仿宋"/>
                <w:b/>
                <w:sz w:val="24"/>
                <w:szCs w:val="24"/>
              </w:rPr>
            </w:pPr>
          </w:p>
          <w:p>
            <w:pPr>
              <w:pStyle w:val="34"/>
              <w:ind w:left="103"/>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1119" w:type="dxa"/>
            <w:noWrap w:val="0"/>
            <w:vAlign w:val="center"/>
          </w:tcPr>
          <w:p>
            <w:pPr>
              <w:pStyle w:val="34"/>
              <w:spacing w:before="11"/>
              <w:jc w:val="center"/>
              <w:rPr>
                <w:rFonts w:hint="eastAsia" w:ascii="仿宋" w:hAnsi="仿宋" w:eastAsia="仿宋" w:cs="仿宋"/>
                <w:b/>
                <w:sz w:val="24"/>
                <w:szCs w:val="24"/>
              </w:rPr>
            </w:pPr>
          </w:p>
          <w:p>
            <w:pPr>
              <w:pStyle w:val="34"/>
              <w:ind w:left="102"/>
              <w:jc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753" w:type="dxa"/>
            <w:noWrap w:val="0"/>
            <w:vAlign w:val="center"/>
          </w:tcPr>
          <w:p>
            <w:pPr>
              <w:pStyle w:val="34"/>
              <w:spacing w:before="11"/>
              <w:jc w:val="center"/>
              <w:rPr>
                <w:rFonts w:hint="eastAsia" w:ascii="仿宋" w:hAnsi="仿宋" w:eastAsia="仿宋" w:cs="仿宋"/>
                <w:b/>
                <w:sz w:val="24"/>
                <w:szCs w:val="24"/>
              </w:rPr>
            </w:pPr>
          </w:p>
          <w:p>
            <w:pPr>
              <w:pStyle w:val="34"/>
              <w:ind w:left="103"/>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66" w:type="dxa"/>
            <w:noWrap w:val="0"/>
            <w:vAlign w:val="center"/>
          </w:tcPr>
          <w:p>
            <w:pPr>
              <w:pStyle w:val="34"/>
              <w:spacing w:before="11"/>
              <w:jc w:val="center"/>
              <w:rPr>
                <w:rFonts w:hint="eastAsia" w:ascii="仿宋" w:hAnsi="仿宋" w:eastAsia="仿宋" w:cs="仿宋"/>
                <w:b/>
                <w:sz w:val="24"/>
                <w:szCs w:val="24"/>
              </w:rPr>
            </w:pPr>
          </w:p>
          <w:p>
            <w:pPr>
              <w:pStyle w:val="34"/>
              <w:ind w:left="102"/>
              <w:jc w:val="center"/>
              <w:rPr>
                <w:rFonts w:hint="eastAsia" w:ascii="仿宋" w:hAnsi="仿宋" w:eastAsia="仿宋" w:cs="仿宋"/>
                <w:sz w:val="24"/>
                <w:szCs w:val="24"/>
              </w:rPr>
            </w:pPr>
            <w:r>
              <w:rPr>
                <w:rFonts w:hint="eastAsia" w:ascii="仿宋" w:hAnsi="仿宋" w:eastAsia="仿宋" w:cs="仿宋"/>
                <w:sz w:val="24"/>
                <w:szCs w:val="24"/>
              </w:rPr>
              <w:t>国别产地</w:t>
            </w:r>
          </w:p>
        </w:tc>
        <w:tc>
          <w:tcPr>
            <w:tcW w:w="1188" w:type="dxa"/>
            <w:noWrap w:val="0"/>
            <w:vAlign w:val="center"/>
          </w:tcPr>
          <w:p>
            <w:pPr>
              <w:pStyle w:val="34"/>
              <w:spacing w:before="11"/>
              <w:jc w:val="center"/>
              <w:rPr>
                <w:rFonts w:hint="eastAsia" w:ascii="仿宋" w:hAnsi="仿宋" w:eastAsia="仿宋" w:cs="仿宋"/>
                <w:b/>
                <w:sz w:val="24"/>
                <w:szCs w:val="24"/>
              </w:rPr>
            </w:pPr>
          </w:p>
          <w:p>
            <w:pPr>
              <w:pStyle w:val="34"/>
              <w:ind w:left="104"/>
              <w:jc w:val="center"/>
              <w:rPr>
                <w:rFonts w:hint="eastAsia" w:ascii="仿宋" w:hAnsi="仿宋" w:eastAsia="仿宋" w:cs="仿宋"/>
                <w:sz w:val="24"/>
                <w:szCs w:val="24"/>
              </w:rPr>
            </w:pPr>
            <w:r>
              <w:rPr>
                <w:rFonts w:hint="eastAsia" w:ascii="仿宋" w:hAnsi="仿宋" w:eastAsia="仿宋" w:cs="仿宋"/>
                <w:sz w:val="24"/>
                <w:szCs w:val="24"/>
              </w:rPr>
              <w:t>制造年份</w:t>
            </w:r>
          </w:p>
        </w:tc>
        <w:tc>
          <w:tcPr>
            <w:tcW w:w="1081" w:type="dxa"/>
            <w:noWrap w:val="0"/>
            <w:vAlign w:val="center"/>
          </w:tcPr>
          <w:p>
            <w:pPr>
              <w:pStyle w:val="34"/>
              <w:spacing w:before="129"/>
              <w:ind w:left="104"/>
              <w:jc w:val="center"/>
              <w:rPr>
                <w:rFonts w:hint="eastAsia" w:ascii="仿宋" w:hAnsi="仿宋" w:eastAsia="仿宋" w:cs="仿宋"/>
                <w:sz w:val="24"/>
                <w:szCs w:val="24"/>
              </w:rPr>
            </w:pPr>
            <w:r>
              <w:rPr>
                <w:rFonts w:hint="eastAsia" w:ascii="仿宋" w:hAnsi="仿宋" w:eastAsia="仿宋" w:cs="仿宋"/>
                <w:sz w:val="24"/>
                <w:szCs w:val="24"/>
              </w:rPr>
              <w:t>额定功率</w:t>
            </w:r>
          </w:p>
          <w:p>
            <w:pPr>
              <w:pStyle w:val="34"/>
              <w:spacing w:before="10"/>
              <w:jc w:val="center"/>
              <w:rPr>
                <w:rFonts w:hint="eastAsia" w:ascii="仿宋" w:hAnsi="仿宋" w:eastAsia="仿宋" w:cs="仿宋"/>
                <w:b/>
                <w:sz w:val="24"/>
                <w:szCs w:val="24"/>
              </w:rPr>
            </w:pPr>
          </w:p>
          <w:p>
            <w:pPr>
              <w:pStyle w:val="34"/>
              <w:ind w:left="104"/>
              <w:jc w:val="center"/>
              <w:rPr>
                <w:rFonts w:hint="eastAsia" w:ascii="仿宋" w:hAnsi="仿宋" w:eastAsia="仿宋" w:cs="仿宋"/>
                <w:sz w:val="24"/>
                <w:szCs w:val="24"/>
              </w:rPr>
            </w:pPr>
            <w:r>
              <w:rPr>
                <w:rFonts w:hint="eastAsia" w:ascii="仿宋" w:hAnsi="仿宋" w:eastAsia="仿宋" w:cs="仿宋"/>
                <w:sz w:val="24"/>
                <w:szCs w:val="24"/>
              </w:rPr>
              <w:t>（kW）</w:t>
            </w:r>
          </w:p>
        </w:tc>
        <w:tc>
          <w:tcPr>
            <w:tcW w:w="1118" w:type="dxa"/>
            <w:noWrap w:val="0"/>
            <w:vAlign w:val="center"/>
          </w:tcPr>
          <w:p>
            <w:pPr>
              <w:pStyle w:val="34"/>
              <w:spacing w:before="11"/>
              <w:jc w:val="center"/>
              <w:rPr>
                <w:rFonts w:hint="eastAsia" w:ascii="仿宋" w:hAnsi="仿宋" w:eastAsia="仿宋" w:cs="仿宋"/>
                <w:b/>
                <w:sz w:val="24"/>
                <w:szCs w:val="24"/>
              </w:rPr>
            </w:pPr>
          </w:p>
          <w:p>
            <w:pPr>
              <w:pStyle w:val="34"/>
              <w:ind w:left="103"/>
              <w:jc w:val="center"/>
              <w:rPr>
                <w:rFonts w:hint="eastAsia" w:ascii="仿宋" w:hAnsi="仿宋" w:eastAsia="仿宋" w:cs="仿宋"/>
                <w:sz w:val="24"/>
                <w:szCs w:val="24"/>
              </w:rPr>
            </w:pPr>
            <w:r>
              <w:rPr>
                <w:rFonts w:hint="eastAsia" w:ascii="仿宋" w:hAnsi="仿宋" w:eastAsia="仿宋" w:cs="仿宋"/>
                <w:sz w:val="24"/>
                <w:szCs w:val="24"/>
              </w:rPr>
              <w:t>生产能力</w:t>
            </w:r>
          </w:p>
        </w:tc>
        <w:tc>
          <w:tcPr>
            <w:tcW w:w="920" w:type="dxa"/>
            <w:noWrap w:val="0"/>
            <w:vAlign w:val="center"/>
          </w:tcPr>
          <w:p>
            <w:pPr>
              <w:pStyle w:val="34"/>
              <w:spacing w:before="129" w:line="408" w:lineRule="auto"/>
              <w:ind w:left="103" w:right="101"/>
              <w:jc w:val="center"/>
              <w:rPr>
                <w:rFonts w:hint="eastAsia" w:ascii="仿宋" w:hAnsi="仿宋" w:eastAsia="仿宋" w:cs="仿宋"/>
                <w:sz w:val="24"/>
                <w:szCs w:val="24"/>
              </w:rPr>
            </w:pPr>
            <w:r>
              <w:rPr>
                <w:rFonts w:hint="eastAsia" w:ascii="仿宋" w:hAnsi="仿宋" w:eastAsia="仿宋" w:cs="仿宋"/>
                <w:spacing w:val="38"/>
                <w:w w:val="99"/>
                <w:sz w:val="24"/>
                <w:szCs w:val="24"/>
              </w:rPr>
              <w:t>用于</w:t>
            </w:r>
            <w:r>
              <w:rPr>
                <w:rFonts w:hint="eastAsia" w:ascii="仿宋" w:hAnsi="仿宋" w:eastAsia="仿宋" w:cs="仿宋"/>
                <w:w w:val="99"/>
                <w:sz w:val="24"/>
                <w:szCs w:val="24"/>
              </w:rPr>
              <w:t>施</w:t>
            </w:r>
            <w:r>
              <w:rPr>
                <w:rFonts w:hint="eastAsia" w:ascii="仿宋" w:hAnsi="仿宋" w:eastAsia="仿宋" w:cs="仿宋"/>
                <w:spacing w:val="-1"/>
                <w:w w:val="99"/>
                <w:sz w:val="24"/>
                <w:szCs w:val="24"/>
              </w:rPr>
              <w:t>工</w:t>
            </w:r>
            <w:r>
              <w:rPr>
                <w:rFonts w:hint="eastAsia" w:ascii="仿宋" w:hAnsi="仿宋" w:eastAsia="仿宋" w:cs="仿宋"/>
                <w:spacing w:val="2"/>
                <w:w w:val="99"/>
                <w:sz w:val="24"/>
                <w:szCs w:val="24"/>
              </w:rPr>
              <w:t>部</w:t>
            </w:r>
            <w:r>
              <w:rPr>
                <w:rFonts w:hint="eastAsia" w:ascii="仿宋" w:hAnsi="仿宋" w:eastAsia="仿宋" w:cs="仿宋"/>
                <w:w w:val="99"/>
                <w:sz w:val="24"/>
                <w:szCs w:val="24"/>
              </w:rPr>
              <w:t>位</w:t>
            </w:r>
          </w:p>
        </w:tc>
        <w:tc>
          <w:tcPr>
            <w:tcW w:w="653" w:type="dxa"/>
            <w:noWrap w:val="0"/>
            <w:vAlign w:val="center"/>
          </w:tcPr>
          <w:p>
            <w:pPr>
              <w:pStyle w:val="34"/>
              <w:spacing w:before="11"/>
              <w:jc w:val="center"/>
              <w:rPr>
                <w:rFonts w:hint="eastAsia" w:ascii="仿宋" w:hAnsi="仿宋" w:eastAsia="仿宋" w:cs="仿宋"/>
                <w:b/>
                <w:sz w:val="24"/>
                <w:szCs w:val="24"/>
              </w:rPr>
            </w:pPr>
          </w:p>
          <w:p>
            <w:pPr>
              <w:pStyle w:val="34"/>
              <w:ind w:left="102"/>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center"/>
          </w:tcPr>
          <w:p>
            <w:pPr>
              <w:jc w:val="center"/>
              <w:rPr>
                <w:rFonts w:hint="eastAsia" w:ascii="仿宋" w:hAnsi="仿宋" w:eastAsia="仿宋" w:cs="仿宋"/>
                <w:sz w:val="24"/>
              </w:rPr>
            </w:pPr>
          </w:p>
        </w:tc>
        <w:tc>
          <w:tcPr>
            <w:tcW w:w="1098" w:type="dxa"/>
            <w:noWrap w:val="0"/>
            <w:vAlign w:val="center"/>
          </w:tcPr>
          <w:p>
            <w:pPr>
              <w:jc w:val="center"/>
              <w:rPr>
                <w:rFonts w:hint="eastAsia" w:ascii="仿宋" w:hAnsi="仿宋" w:eastAsia="仿宋" w:cs="仿宋"/>
                <w:sz w:val="24"/>
              </w:rPr>
            </w:pPr>
          </w:p>
        </w:tc>
        <w:tc>
          <w:tcPr>
            <w:tcW w:w="1119" w:type="dxa"/>
            <w:noWrap w:val="0"/>
            <w:vAlign w:val="center"/>
          </w:tcPr>
          <w:p>
            <w:pPr>
              <w:jc w:val="center"/>
              <w:rPr>
                <w:rFonts w:hint="eastAsia" w:ascii="仿宋" w:hAnsi="仿宋" w:eastAsia="仿宋" w:cs="仿宋"/>
                <w:sz w:val="24"/>
              </w:rPr>
            </w:pPr>
          </w:p>
        </w:tc>
        <w:tc>
          <w:tcPr>
            <w:tcW w:w="753" w:type="dxa"/>
            <w:noWrap w:val="0"/>
            <w:vAlign w:val="center"/>
          </w:tcPr>
          <w:p>
            <w:pPr>
              <w:jc w:val="center"/>
              <w:rPr>
                <w:rFonts w:hint="eastAsia" w:ascii="仿宋" w:hAnsi="仿宋" w:eastAsia="仿宋" w:cs="仿宋"/>
                <w:sz w:val="24"/>
              </w:rPr>
            </w:pPr>
          </w:p>
        </w:tc>
        <w:tc>
          <w:tcPr>
            <w:tcW w:w="1066" w:type="dxa"/>
            <w:noWrap w:val="0"/>
            <w:vAlign w:val="center"/>
          </w:tcPr>
          <w:p>
            <w:pPr>
              <w:jc w:val="center"/>
              <w:rPr>
                <w:rFonts w:hint="eastAsia" w:ascii="仿宋" w:hAnsi="仿宋" w:eastAsia="仿宋" w:cs="仿宋"/>
                <w:sz w:val="24"/>
              </w:rPr>
            </w:pPr>
          </w:p>
        </w:tc>
        <w:tc>
          <w:tcPr>
            <w:tcW w:w="1188" w:type="dxa"/>
            <w:noWrap w:val="0"/>
            <w:vAlign w:val="center"/>
          </w:tcPr>
          <w:p>
            <w:pPr>
              <w:jc w:val="center"/>
              <w:rPr>
                <w:rFonts w:hint="eastAsia" w:ascii="仿宋" w:hAnsi="仿宋" w:eastAsia="仿宋" w:cs="仿宋"/>
                <w:sz w:val="24"/>
              </w:rPr>
            </w:pPr>
          </w:p>
        </w:tc>
        <w:tc>
          <w:tcPr>
            <w:tcW w:w="1081" w:type="dxa"/>
            <w:noWrap w:val="0"/>
            <w:vAlign w:val="center"/>
          </w:tcPr>
          <w:p>
            <w:pPr>
              <w:jc w:val="center"/>
              <w:rPr>
                <w:rFonts w:hint="eastAsia" w:ascii="仿宋" w:hAnsi="仿宋" w:eastAsia="仿宋" w:cs="仿宋"/>
                <w:sz w:val="24"/>
              </w:rPr>
            </w:pPr>
          </w:p>
        </w:tc>
        <w:tc>
          <w:tcPr>
            <w:tcW w:w="1118" w:type="dxa"/>
            <w:noWrap w:val="0"/>
            <w:vAlign w:val="center"/>
          </w:tcPr>
          <w:p>
            <w:pPr>
              <w:jc w:val="center"/>
              <w:rPr>
                <w:rFonts w:hint="eastAsia" w:ascii="仿宋" w:hAnsi="仿宋" w:eastAsia="仿宋" w:cs="仿宋"/>
                <w:sz w:val="24"/>
              </w:rPr>
            </w:pPr>
          </w:p>
        </w:tc>
        <w:tc>
          <w:tcPr>
            <w:tcW w:w="920" w:type="dxa"/>
            <w:noWrap w:val="0"/>
            <w:vAlign w:val="center"/>
          </w:tcPr>
          <w:p>
            <w:pPr>
              <w:jc w:val="center"/>
              <w:rPr>
                <w:rFonts w:hint="eastAsia" w:ascii="仿宋" w:hAnsi="仿宋" w:eastAsia="仿宋" w:cs="仿宋"/>
                <w:sz w:val="24"/>
              </w:rPr>
            </w:pPr>
          </w:p>
        </w:tc>
        <w:tc>
          <w:tcPr>
            <w:tcW w:w="653"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824" w:type="dxa"/>
            <w:noWrap w:val="0"/>
            <w:vAlign w:val="top"/>
          </w:tcPr>
          <w:p>
            <w:pPr>
              <w:rPr>
                <w:rFonts w:hint="eastAsia" w:ascii="仿宋" w:hAnsi="仿宋" w:eastAsia="仿宋" w:cs="仿宋"/>
                <w:sz w:val="28"/>
                <w:szCs w:val="28"/>
              </w:rPr>
            </w:pPr>
          </w:p>
        </w:tc>
        <w:tc>
          <w:tcPr>
            <w:tcW w:w="1098" w:type="dxa"/>
            <w:noWrap w:val="0"/>
            <w:vAlign w:val="top"/>
          </w:tcPr>
          <w:p>
            <w:pPr>
              <w:rPr>
                <w:rFonts w:hint="eastAsia" w:ascii="仿宋" w:hAnsi="仿宋" w:eastAsia="仿宋" w:cs="仿宋"/>
                <w:sz w:val="28"/>
                <w:szCs w:val="28"/>
              </w:rPr>
            </w:pPr>
          </w:p>
        </w:tc>
        <w:tc>
          <w:tcPr>
            <w:tcW w:w="1119" w:type="dxa"/>
            <w:noWrap w:val="0"/>
            <w:vAlign w:val="top"/>
          </w:tcPr>
          <w:p>
            <w:pPr>
              <w:rPr>
                <w:rFonts w:hint="eastAsia" w:ascii="仿宋" w:hAnsi="仿宋" w:eastAsia="仿宋" w:cs="仿宋"/>
                <w:sz w:val="28"/>
                <w:szCs w:val="28"/>
              </w:rPr>
            </w:pPr>
          </w:p>
        </w:tc>
        <w:tc>
          <w:tcPr>
            <w:tcW w:w="753" w:type="dxa"/>
            <w:noWrap w:val="0"/>
            <w:vAlign w:val="top"/>
          </w:tcPr>
          <w:p>
            <w:pPr>
              <w:rPr>
                <w:rFonts w:hint="eastAsia" w:ascii="仿宋" w:hAnsi="仿宋" w:eastAsia="仿宋" w:cs="仿宋"/>
                <w:sz w:val="28"/>
                <w:szCs w:val="28"/>
              </w:rPr>
            </w:pPr>
          </w:p>
        </w:tc>
        <w:tc>
          <w:tcPr>
            <w:tcW w:w="1066" w:type="dxa"/>
            <w:noWrap w:val="0"/>
            <w:vAlign w:val="top"/>
          </w:tcPr>
          <w:p>
            <w:pPr>
              <w:rPr>
                <w:rFonts w:hint="eastAsia" w:ascii="仿宋" w:hAnsi="仿宋" w:eastAsia="仿宋" w:cs="仿宋"/>
                <w:sz w:val="28"/>
                <w:szCs w:val="28"/>
              </w:rPr>
            </w:pPr>
          </w:p>
        </w:tc>
        <w:tc>
          <w:tcPr>
            <w:tcW w:w="1188" w:type="dxa"/>
            <w:noWrap w:val="0"/>
            <w:vAlign w:val="top"/>
          </w:tcPr>
          <w:p>
            <w:pPr>
              <w:rPr>
                <w:rFonts w:hint="eastAsia" w:ascii="仿宋" w:hAnsi="仿宋" w:eastAsia="仿宋" w:cs="仿宋"/>
                <w:sz w:val="28"/>
                <w:szCs w:val="28"/>
              </w:rPr>
            </w:pPr>
          </w:p>
        </w:tc>
        <w:tc>
          <w:tcPr>
            <w:tcW w:w="1081" w:type="dxa"/>
            <w:noWrap w:val="0"/>
            <w:vAlign w:val="top"/>
          </w:tcPr>
          <w:p>
            <w:pPr>
              <w:rPr>
                <w:rFonts w:hint="eastAsia" w:ascii="仿宋" w:hAnsi="仿宋" w:eastAsia="仿宋" w:cs="仿宋"/>
                <w:sz w:val="28"/>
                <w:szCs w:val="28"/>
              </w:rPr>
            </w:pPr>
          </w:p>
        </w:tc>
        <w:tc>
          <w:tcPr>
            <w:tcW w:w="1118" w:type="dxa"/>
            <w:noWrap w:val="0"/>
            <w:vAlign w:val="top"/>
          </w:tcPr>
          <w:p>
            <w:pPr>
              <w:rPr>
                <w:rFonts w:hint="eastAsia" w:ascii="仿宋" w:hAnsi="仿宋" w:eastAsia="仿宋" w:cs="仿宋"/>
                <w:sz w:val="28"/>
                <w:szCs w:val="28"/>
              </w:rPr>
            </w:pPr>
          </w:p>
        </w:tc>
        <w:tc>
          <w:tcPr>
            <w:tcW w:w="920" w:type="dxa"/>
            <w:noWrap w:val="0"/>
            <w:vAlign w:val="top"/>
          </w:tcPr>
          <w:p>
            <w:pPr>
              <w:rPr>
                <w:rFonts w:hint="eastAsia" w:ascii="仿宋" w:hAnsi="仿宋" w:eastAsia="仿宋" w:cs="仿宋"/>
                <w:sz w:val="28"/>
                <w:szCs w:val="28"/>
              </w:rPr>
            </w:pPr>
          </w:p>
        </w:tc>
        <w:tc>
          <w:tcPr>
            <w:tcW w:w="653" w:type="dxa"/>
            <w:noWrap w:val="0"/>
            <w:vAlign w:val="top"/>
          </w:tcPr>
          <w:p>
            <w:pPr>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br w:type="page"/>
      </w:r>
    </w:p>
    <w:p>
      <w:pPr>
        <w:pStyle w:val="10"/>
        <w:spacing w:before="77"/>
        <w:ind w:left="100"/>
        <w:rPr>
          <w:rFonts w:hint="eastAsia" w:ascii="仿宋" w:hAnsi="仿宋" w:eastAsia="仿宋" w:cs="仿宋"/>
          <w:szCs w:val="28"/>
        </w:rPr>
      </w:pPr>
      <w:r>
        <w:rPr>
          <w:rFonts w:hint="eastAsia" w:ascii="仿宋" w:hAnsi="仿宋" w:eastAsia="仿宋" w:cs="仿宋"/>
          <w:szCs w:val="28"/>
        </w:rPr>
        <w:t>附件二：</w:t>
      </w:r>
    </w:p>
    <w:p>
      <w:pPr>
        <w:pStyle w:val="10"/>
        <w:spacing w:line="360" w:lineRule="auto"/>
        <w:jc w:val="center"/>
        <w:rPr>
          <w:rFonts w:hint="eastAsia" w:ascii="仿宋" w:hAnsi="仿宋" w:eastAsia="仿宋" w:cs="仿宋"/>
          <w:sz w:val="24"/>
        </w:rPr>
      </w:pPr>
      <w:r>
        <w:rPr>
          <w:rFonts w:hint="eastAsia" w:ascii="仿宋" w:hAnsi="仿宋" w:eastAsia="仿宋" w:cs="仿宋"/>
          <w:sz w:val="24"/>
        </w:rPr>
        <w:t>拟投入本标段的劳动力计划表</w:t>
      </w:r>
    </w:p>
    <w:p>
      <w:pPr>
        <w:pStyle w:val="10"/>
        <w:spacing w:line="360" w:lineRule="auto"/>
        <w:ind w:left="6400" w:firstLine="1200" w:firstLineChars="500"/>
        <w:rPr>
          <w:rFonts w:hint="eastAsia" w:ascii="仿宋" w:hAnsi="仿宋" w:eastAsia="仿宋" w:cs="仿宋"/>
          <w:sz w:val="24"/>
        </w:rPr>
      </w:pPr>
      <w:r>
        <w:rPr>
          <w:rFonts w:hint="eastAsia" w:ascii="仿宋" w:hAnsi="仿宋" w:eastAsia="仿宋" w:cs="仿宋"/>
          <w:sz w:val="24"/>
        </w:rPr>
        <w:t>单位：人</w:t>
      </w:r>
    </w:p>
    <w:tbl>
      <w:tblPr>
        <w:tblStyle w:val="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0"/>
        <w:gridCol w:w="1158"/>
        <w:gridCol w:w="1158"/>
        <w:gridCol w:w="1158"/>
        <w:gridCol w:w="1159"/>
        <w:gridCol w:w="1157"/>
        <w:gridCol w:w="115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pStyle w:val="34"/>
              <w:tabs>
                <w:tab w:val="left" w:pos="628"/>
              </w:tabs>
              <w:spacing w:before="122" w:line="360" w:lineRule="auto"/>
              <w:ind w:left="103"/>
              <w:rPr>
                <w:rFonts w:hint="eastAsia" w:ascii="仿宋" w:hAnsi="仿宋" w:eastAsia="仿宋" w:cs="仿宋"/>
                <w:sz w:val="24"/>
                <w:szCs w:val="24"/>
              </w:rPr>
            </w:pPr>
            <w:r>
              <w:rPr>
                <w:rFonts w:hint="eastAsia" w:ascii="仿宋" w:hAnsi="仿宋" w:eastAsia="仿宋" w:cs="仿宋"/>
                <w:sz w:val="24"/>
                <w:szCs w:val="24"/>
              </w:rPr>
              <w:t>工</w:t>
            </w:r>
            <w:r>
              <w:rPr>
                <w:rFonts w:hint="eastAsia" w:ascii="仿宋" w:hAnsi="仿宋" w:eastAsia="仿宋" w:cs="仿宋"/>
                <w:sz w:val="24"/>
                <w:szCs w:val="24"/>
              </w:rPr>
              <w:tab/>
            </w:r>
            <w:r>
              <w:rPr>
                <w:rFonts w:hint="eastAsia" w:ascii="仿宋" w:hAnsi="仿宋" w:eastAsia="仿宋" w:cs="仿宋"/>
                <w:sz w:val="24"/>
                <w:szCs w:val="24"/>
              </w:rPr>
              <w:t>种</w:t>
            </w:r>
          </w:p>
        </w:tc>
        <w:tc>
          <w:tcPr>
            <w:tcW w:w="8110" w:type="dxa"/>
            <w:gridSpan w:val="7"/>
            <w:noWrap w:val="0"/>
            <w:vAlign w:val="top"/>
          </w:tcPr>
          <w:p>
            <w:pPr>
              <w:pStyle w:val="34"/>
              <w:spacing w:before="122" w:line="360" w:lineRule="auto"/>
              <w:ind w:left="103"/>
              <w:rPr>
                <w:rFonts w:hint="eastAsia" w:ascii="仿宋" w:hAnsi="仿宋" w:eastAsia="仿宋" w:cs="仿宋"/>
                <w:sz w:val="24"/>
                <w:szCs w:val="24"/>
              </w:rPr>
            </w:pPr>
            <w:r>
              <w:rPr>
                <w:rFonts w:hint="eastAsia" w:ascii="仿宋" w:hAnsi="仿宋" w:eastAsia="仿宋" w:cs="仿宋"/>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rPr>
        <w:tc>
          <w:tcPr>
            <w:tcW w:w="1650"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8"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57" w:type="dxa"/>
            <w:noWrap w:val="0"/>
            <w:vAlign w:val="top"/>
          </w:tcPr>
          <w:p>
            <w:pPr>
              <w:spacing w:line="360" w:lineRule="auto"/>
              <w:rPr>
                <w:rFonts w:hint="eastAsia" w:ascii="仿宋" w:hAnsi="仿宋" w:eastAsia="仿宋" w:cs="仿宋"/>
                <w:sz w:val="24"/>
              </w:rPr>
            </w:pPr>
          </w:p>
        </w:tc>
        <w:tc>
          <w:tcPr>
            <w:tcW w:w="1159" w:type="dxa"/>
            <w:noWrap w:val="0"/>
            <w:vAlign w:val="top"/>
          </w:tcPr>
          <w:p>
            <w:pPr>
              <w:spacing w:line="360" w:lineRule="auto"/>
              <w:rPr>
                <w:rFonts w:hint="eastAsia" w:ascii="仿宋" w:hAnsi="仿宋" w:eastAsia="仿宋" w:cs="仿宋"/>
                <w:sz w:val="24"/>
              </w:rPr>
            </w:pPr>
          </w:p>
        </w:tc>
        <w:tc>
          <w:tcPr>
            <w:tcW w:w="1161" w:type="dxa"/>
            <w:noWrap w:val="0"/>
            <w:vAlign w:val="top"/>
          </w:tcPr>
          <w:p>
            <w:pPr>
              <w:spacing w:line="360" w:lineRule="auto"/>
              <w:rPr>
                <w:rFonts w:hint="eastAsia" w:ascii="仿宋" w:hAnsi="仿宋" w:eastAsia="仿宋" w:cs="仿宋"/>
                <w:sz w:val="24"/>
              </w:rPr>
            </w:pPr>
          </w:p>
        </w:tc>
      </w:tr>
    </w:tbl>
    <w:p>
      <w:pPr>
        <w:spacing w:line="360" w:lineRule="auto"/>
        <w:rPr>
          <w:rFonts w:hint="eastAsia" w:ascii="仿宋" w:hAnsi="仿宋" w:eastAsia="仿宋" w:cs="仿宋"/>
          <w:sz w:val="24"/>
        </w:rPr>
        <w:sectPr>
          <w:pgSz w:w="11907" w:h="16840"/>
          <w:pgMar w:top="1440" w:right="1080" w:bottom="1440" w:left="1080" w:header="680" w:footer="680" w:gutter="0"/>
          <w:pgNumType w:fmt="decimal"/>
          <w:cols w:space="720" w:num="1"/>
        </w:sectPr>
      </w:pPr>
    </w:p>
    <w:p>
      <w:pPr>
        <w:pStyle w:val="10"/>
        <w:spacing w:before="77" w:line="360" w:lineRule="auto"/>
        <w:ind w:left="100"/>
        <w:rPr>
          <w:rFonts w:hint="eastAsia" w:ascii="仿宋" w:hAnsi="仿宋" w:eastAsia="仿宋" w:cs="仿宋"/>
          <w:b/>
          <w:bCs/>
          <w:sz w:val="24"/>
        </w:rPr>
      </w:pPr>
      <w:r>
        <w:rPr>
          <w:rFonts w:hint="eastAsia" w:ascii="仿宋" w:hAnsi="仿宋" w:eastAsia="仿宋" w:cs="仿宋"/>
          <w:b/>
          <w:bCs/>
          <w:sz w:val="24"/>
        </w:rPr>
        <w:t>附件三：</w:t>
      </w:r>
    </w:p>
    <w:p>
      <w:pPr>
        <w:pStyle w:val="10"/>
        <w:spacing w:line="360" w:lineRule="auto"/>
        <w:rPr>
          <w:rFonts w:hint="eastAsia" w:ascii="仿宋" w:hAnsi="仿宋" w:eastAsia="仿宋" w:cs="仿宋"/>
          <w:sz w:val="24"/>
        </w:rPr>
      </w:pPr>
      <w:r>
        <w:rPr>
          <w:rFonts w:hint="eastAsia" w:ascii="仿宋" w:hAnsi="仿宋" w:eastAsia="仿宋" w:cs="仿宋"/>
          <w:sz w:val="24"/>
        </w:rPr>
        <w:t>计划开工日期、完工日期和施工进度计划网络图</w:t>
      </w:r>
    </w:p>
    <w:p>
      <w:pPr>
        <w:pStyle w:val="10"/>
        <w:spacing w:line="360" w:lineRule="auto"/>
        <w:ind w:left="100"/>
        <w:rPr>
          <w:rFonts w:hint="eastAsia" w:ascii="仿宋" w:hAnsi="仿宋" w:eastAsia="仿宋" w:cs="仿宋"/>
          <w:sz w:val="24"/>
        </w:rPr>
      </w:pPr>
      <w:r>
        <w:rPr>
          <w:rFonts w:hint="eastAsia" w:ascii="仿宋" w:hAnsi="仿宋" w:eastAsia="仿宋" w:cs="仿宋"/>
          <w:sz w:val="24"/>
        </w:rPr>
        <w:t>1.投标人应递交施工进度网络图或施工进度表，说明按招标文件要求的计划工期进行施工的各个关键日期。</w:t>
      </w:r>
    </w:p>
    <w:p>
      <w:pPr>
        <w:pStyle w:val="10"/>
        <w:numPr>
          <w:ilvl w:val="0"/>
          <w:numId w:val="9"/>
        </w:numPr>
        <w:autoSpaceDE w:val="0"/>
        <w:autoSpaceDN w:val="0"/>
        <w:spacing w:before="9" w:line="360" w:lineRule="auto"/>
        <w:ind w:left="100"/>
        <w:jc w:val="left"/>
        <w:rPr>
          <w:rFonts w:hint="eastAsia" w:ascii="仿宋" w:hAnsi="仿宋" w:eastAsia="仿宋" w:cs="仿宋"/>
          <w:sz w:val="24"/>
        </w:rPr>
      </w:pPr>
      <w:r>
        <w:rPr>
          <w:rFonts w:hint="eastAsia" w:ascii="仿宋" w:hAnsi="仿宋" w:eastAsia="仿宋" w:cs="仿宋"/>
          <w:sz w:val="24"/>
        </w:rPr>
        <w:t>施工进度表可采用网络图或横道图表示。</w:t>
      </w:r>
      <w:bookmarkStart w:id="840" w:name="七、项目管理机构"/>
      <w:bookmarkEnd w:id="840"/>
    </w:p>
    <w:p>
      <w:pPr>
        <w:pStyle w:val="10"/>
        <w:spacing w:before="9" w:line="360" w:lineRule="auto"/>
        <w:ind w:left="100"/>
        <w:rPr>
          <w:rFonts w:hint="eastAsia" w:ascii="仿宋" w:hAnsi="仿宋" w:eastAsia="仿宋" w:cs="仿宋"/>
          <w:sz w:val="24"/>
        </w:rPr>
      </w:pPr>
    </w:p>
    <w:p>
      <w:pPr>
        <w:pStyle w:val="10"/>
        <w:spacing w:before="9" w:line="360" w:lineRule="auto"/>
        <w:ind w:left="100"/>
        <w:rPr>
          <w:rFonts w:hint="eastAsia" w:ascii="仿宋" w:hAnsi="仿宋" w:eastAsia="仿宋" w:cs="仿宋"/>
          <w:sz w:val="24"/>
        </w:rPr>
      </w:pPr>
    </w:p>
    <w:p>
      <w:pPr>
        <w:pStyle w:val="10"/>
        <w:spacing w:before="9" w:line="360" w:lineRule="auto"/>
        <w:ind w:left="100"/>
        <w:rPr>
          <w:rFonts w:hint="eastAsia" w:ascii="仿宋" w:hAnsi="仿宋" w:eastAsia="仿宋" w:cs="仿宋"/>
          <w:b/>
          <w:bCs/>
          <w:sz w:val="24"/>
        </w:rPr>
      </w:pPr>
      <w:r>
        <w:rPr>
          <w:rFonts w:hint="eastAsia" w:ascii="仿宋" w:hAnsi="仿宋" w:eastAsia="仿宋" w:cs="仿宋"/>
          <w:b/>
          <w:bCs/>
          <w:sz w:val="24"/>
        </w:rPr>
        <w:t>附件四：</w:t>
      </w:r>
    </w:p>
    <w:p>
      <w:pPr>
        <w:pStyle w:val="10"/>
        <w:spacing w:line="360" w:lineRule="auto"/>
        <w:rPr>
          <w:rFonts w:hint="eastAsia" w:ascii="仿宋" w:hAnsi="仿宋" w:eastAsia="仿宋" w:cs="仿宋"/>
          <w:sz w:val="24"/>
        </w:rPr>
      </w:pPr>
      <w:r>
        <w:rPr>
          <w:rFonts w:hint="eastAsia" w:ascii="仿宋" w:hAnsi="仿宋" w:eastAsia="仿宋" w:cs="仿宋"/>
          <w:sz w:val="24"/>
        </w:rPr>
        <w:t>施工总平面图</w:t>
      </w:r>
    </w:p>
    <w:p>
      <w:pPr>
        <w:spacing w:line="360" w:lineRule="auto"/>
        <w:jc w:val="center"/>
        <w:rPr>
          <w:rFonts w:hint="eastAsia" w:ascii="仿宋" w:hAnsi="仿宋" w:eastAsia="仿宋" w:cs="仿宋"/>
          <w:sz w:val="24"/>
        </w:rPr>
        <w:sectPr>
          <w:pgSz w:w="11907" w:h="16840"/>
          <w:pgMar w:top="1440" w:right="1080" w:bottom="1440" w:left="1080" w:header="680" w:footer="680" w:gutter="0"/>
          <w:pgNumType w:fmt="decimal"/>
          <w:cols w:space="720" w:num="1"/>
        </w:sectPr>
      </w:pPr>
    </w:p>
    <w:p>
      <w:pPr>
        <w:pStyle w:val="4"/>
        <w:jc w:val="center"/>
        <w:rPr>
          <w:rFonts w:hint="eastAsia" w:ascii="仿宋" w:hAnsi="仿宋" w:eastAsia="仿宋" w:cs="仿宋"/>
          <w:b w:val="0"/>
          <w:szCs w:val="28"/>
        </w:rPr>
      </w:pPr>
      <w:bookmarkStart w:id="841" w:name="_bookmark29"/>
      <w:bookmarkEnd w:id="841"/>
      <w:bookmarkStart w:id="842" w:name="_Toc13411"/>
      <w:r>
        <w:rPr>
          <w:rFonts w:hint="eastAsia" w:ascii="仿宋" w:hAnsi="仿宋" w:eastAsia="仿宋" w:cs="仿宋"/>
          <w:sz w:val="28"/>
          <w:szCs w:val="28"/>
        </w:rPr>
        <w:t>七、项目管理机构</w:t>
      </w:r>
      <w:bookmarkEnd w:id="842"/>
    </w:p>
    <w:p>
      <w:pPr>
        <w:spacing w:before="187" w:line="360" w:lineRule="auto"/>
        <w:ind w:left="100"/>
        <w:rPr>
          <w:rFonts w:hint="eastAsia" w:ascii="仿宋" w:hAnsi="仿宋" w:eastAsia="仿宋" w:cs="仿宋"/>
          <w:sz w:val="24"/>
        </w:rPr>
      </w:pPr>
      <w:r>
        <w:rPr>
          <w:rFonts w:hint="eastAsia" w:ascii="仿宋" w:hAnsi="仿宋" w:eastAsia="仿宋" w:cs="仿宋"/>
          <w:sz w:val="24"/>
        </w:rPr>
        <w:t>（一）项目管理机构组成表</w:t>
      </w:r>
    </w:p>
    <w:tbl>
      <w:tblPr>
        <w:tblStyle w:val="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1363"/>
        <w:gridCol w:w="1126"/>
        <w:gridCol w:w="1313"/>
        <w:gridCol w:w="1252"/>
        <w:gridCol w:w="1251"/>
        <w:gridCol w:w="125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745" w:type="dxa"/>
            <w:vMerge w:val="restart"/>
            <w:noWrap w:val="0"/>
            <w:vAlign w:val="top"/>
          </w:tcPr>
          <w:p>
            <w:pPr>
              <w:pStyle w:val="34"/>
              <w:spacing w:line="360" w:lineRule="auto"/>
              <w:rPr>
                <w:rFonts w:hint="eastAsia" w:ascii="仿宋" w:hAnsi="仿宋" w:eastAsia="仿宋" w:cs="仿宋"/>
                <w:sz w:val="24"/>
                <w:szCs w:val="24"/>
              </w:rPr>
            </w:pPr>
          </w:p>
          <w:p>
            <w:pPr>
              <w:pStyle w:val="34"/>
              <w:spacing w:before="184" w:line="360" w:lineRule="auto"/>
              <w:ind w:left="114"/>
              <w:rPr>
                <w:rFonts w:hint="eastAsia" w:ascii="仿宋" w:hAnsi="仿宋" w:eastAsia="仿宋" w:cs="仿宋"/>
                <w:sz w:val="24"/>
                <w:szCs w:val="24"/>
              </w:rPr>
            </w:pPr>
            <w:r>
              <w:rPr>
                <w:rFonts w:hint="eastAsia" w:ascii="仿宋" w:hAnsi="仿宋" w:eastAsia="仿宋" w:cs="仿宋"/>
                <w:sz w:val="24"/>
                <w:szCs w:val="24"/>
              </w:rPr>
              <w:t>职务</w:t>
            </w:r>
          </w:p>
        </w:tc>
        <w:tc>
          <w:tcPr>
            <w:tcW w:w="1363" w:type="dxa"/>
            <w:vMerge w:val="restart"/>
            <w:noWrap w:val="0"/>
            <w:vAlign w:val="top"/>
          </w:tcPr>
          <w:p>
            <w:pPr>
              <w:pStyle w:val="34"/>
              <w:spacing w:line="360" w:lineRule="auto"/>
              <w:rPr>
                <w:rFonts w:hint="eastAsia" w:ascii="仿宋" w:hAnsi="仿宋" w:eastAsia="仿宋" w:cs="仿宋"/>
                <w:sz w:val="24"/>
                <w:szCs w:val="24"/>
              </w:rPr>
            </w:pPr>
          </w:p>
          <w:p>
            <w:pPr>
              <w:pStyle w:val="34"/>
              <w:spacing w:before="184" w:line="360" w:lineRule="auto"/>
              <w:ind w:left="414"/>
              <w:rPr>
                <w:rFonts w:hint="eastAsia" w:ascii="仿宋" w:hAnsi="仿宋" w:eastAsia="仿宋" w:cs="仿宋"/>
                <w:sz w:val="24"/>
                <w:szCs w:val="24"/>
              </w:rPr>
            </w:pPr>
            <w:r>
              <w:rPr>
                <w:rFonts w:hint="eastAsia" w:ascii="仿宋" w:hAnsi="仿宋" w:eastAsia="仿宋" w:cs="仿宋"/>
                <w:sz w:val="24"/>
                <w:szCs w:val="24"/>
              </w:rPr>
              <w:t>姓名</w:t>
            </w:r>
          </w:p>
        </w:tc>
        <w:tc>
          <w:tcPr>
            <w:tcW w:w="1126" w:type="dxa"/>
            <w:vMerge w:val="restart"/>
            <w:noWrap w:val="0"/>
            <w:vAlign w:val="top"/>
          </w:tcPr>
          <w:p>
            <w:pPr>
              <w:pStyle w:val="34"/>
              <w:spacing w:line="360" w:lineRule="auto"/>
              <w:rPr>
                <w:rFonts w:hint="eastAsia" w:ascii="仿宋" w:hAnsi="仿宋" w:eastAsia="仿宋" w:cs="仿宋"/>
                <w:sz w:val="24"/>
                <w:szCs w:val="24"/>
              </w:rPr>
            </w:pPr>
          </w:p>
          <w:p>
            <w:pPr>
              <w:pStyle w:val="34"/>
              <w:spacing w:before="184" w:line="360" w:lineRule="auto"/>
              <w:ind w:left="299"/>
              <w:rPr>
                <w:rFonts w:hint="eastAsia" w:ascii="仿宋" w:hAnsi="仿宋" w:eastAsia="仿宋" w:cs="仿宋"/>
                <w:sz w:val="24"/>
                <w:szCs w:val="24"/>
              </w:rPr>
            </w:pPr>
            <w:r>
              <w:rPr>
                <w:rFonts w:hint="eastAsia" w:ascii="仿宋" w:hAnsi="仿宋" w:eastAsia="仿宋" w:cs="仿宋"/>
                <w:sz w:val="24"/>
                <w:szCs w:val="24"/>
              </w:rPr>
              <w:t>职称</w:t>
            </w:r>
          </w:p>
        </w:tc>
        <w:tc>
          <w:tcPr>
            <w:tcW w:w="5067" w:type="dxa"/>
            <w:gridSpan w:val="4"/>
            <w:noWrap w:val="0"/>
            <w:vAlign w:val="top"/>
          </w:tcPr>
          <w:p>
            <w:pPr>
              <w:pStyle w:val="34"/>
              <w:spacing w:before="148" w:line="360" w:lineRule="auto"/>
              <w:ind w:left="1499"/>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1459" w:type="dxa"/>
            <w:noWrap w:val="0"/>
            <w:vAlign w:val="top"/>
          </w:tcPr>
          <w:p>
            <w:pPr>
              <w:pStyle w:val="34"/>
              <w:spacing w:before="148" w:line="360" w:lineRule="auto"/>
              <w:ind w:left="458"/>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exact"/>
        </w:trPr>
        <w:tc>
          <w:tcPr>
            <w:tcW w:w="745" w:type="dxa"/>
            <w:vMerge w:val="continue"/>
            <w:noWrap w:val="0"/>
            <w:vAlign w:val="top"/>
          </w:tcPr>
          <w:p>
            <w:pPr>
              <w:spacing w:line="360" w:lineRule="auto"/>
              <w:rPr>
                <w:rFonts w:hint="eastAsia" w:ascii="仿宋" w:hAnsi="仿宋" w:eastAsia="仿宋" w:cs="仿宋"/>
                <w:sz w:val="24"/>
              </w:rPr>
            </w:pPr>
          </w:p>
        </w:tc>
        <w:tc>
          <w:tcPr>
            <w:tcW w:w="1363" w:type="dxa"/>
            <w:vMerge w:val="continue"/>
            <w:noWrap w:val="0"/>
            <w:vAlign w:val="top"/>
          </w:tcPr>
          <w:p>
            <w:pPr>
              <w:spacing w:line="360" w:lineRule="auto"/>
              <w:rPr>
                <w:rFonts w:hint="eastAsia" w:ascii="仿宋" w:hAnsi="仿宋" w:eastAsia="仿宋" w:cs="仿宋"/>
                <w:sz w:val="24"/>
              </w:rPr>
            </w:pPr>
          </w:p>
        </w:tc>
        <w:tc>
          <w:tcPr>
            <w:tcW w:w="1126" w:type="dxa"/>
            <w:vMerge w:val="continue"/>
            <w:noWrap w:val="0"/>
            <w:vAlign w:val="top"/>
          </w:tcPr>
          <w:p>
            <w:pPr>
              <w:spacing w:line="360" w:lineRule="auto"/>
              <w:rPr>
                <w:rFonts w:hint="eastAsia" w:ascii="仿宋" w:hAnsi="仿宋" w:eastAsia="仿宋" w:cs="仿宋"/>
                <w:sz w:val="24"/>
              </w:rPr>
            </w:pPr>
          </w:p>
        </w:tc>
        <w:tc>
          <w:tcPr>
            <w:tcW w:w="1313" w:type="dxa"/>
            <w:noWrap w:val="0"/>
            <w:vAlign w:val="top"/>
          </w:tcPr>
          <w:p>
            <w:pPr>
              <w:pStyle w:val="34"/>
              <w:spacing w:before="149" w:line="360" w:lineRule="auto"/>
              <w:ind w:left="150"/>
              <w:rPr>
                <w:rFonts w:hint="eastAsia" w:ascii="仿宋" w:hAnsi="仿宋" w:eastAsia="仿宋" w:cs="仿宋"/>
                <w:sz w:val="24"/>
                <w:szCs w:val="24"/>
              </w:rPr>
            </w:pPr>
            <w:r>
              <w:rPr>
                <w:rFonts w:hint="eastAsia" w:ascii="仿宋" w:hAnsi="仿宋" w:eastAsia="仿宋" w:cs="仿宋"/>
                <w:sz w:val="24"/>
                <w:szCs w:val="24"/>
              </w:rPr>
              <w:t>证书名称</w:t>
            </w:r>
          </w:p>
        </w:tc>
        <w:tc>
          <w:tcPr>
            <w:tcW w:w="1252" w:type="dxa"/>
            <w:noWrap w:val="0"/>
            <w:vAlign w:val="top"/>
          </w:tcPr>
          <w:p>
            <w:pPr>
              <w:pStyle w:val="34"/>
              <w:spacing w:before="149" w:line="360" w:lineRule="auto"/>
              <w:ind w:left="359"/>
              <w:rPr>
                <w:rFonts w:hint="eastAsia" w:ascii="仿宋" w:hAnsi="仿宋" w:eastAsia="仿宋" w:cs="仿宋"/>
                <w:sz w:val="24"/>
                <w:szCs w:val="24"/>
              </w:rPr>
            </w:pPr>
            <w:r>
              <w:rPr>
                <w:rFonts w:hint="eastAsia" w:ascii="仿宋" w:hAnsi="仿宋" w:eastAsia="仿宋" w:cs="仿宋"/>
                <w:sz w:val="24"/>
                <w:szCs w:val="24"/>
              </w:rPr>
              <w:t>级别</w:t>
            </w:r>
          </w:p>
        </w:tc>
        <w:tc>
          <w:tcPr>
            <w:tcW w:w="1251" w:type="dxa"/>
            <w:noWrap w:val="0"/>
            <w:vAlign w:val="top"/>
          </w:tcPr>
          <w:p>
            <w:pPr>
              <w:pStyle w:val="34"/>
              <w:spacing w:before="149" w:line="360" w:lineRule="auto"/>
              <w:ind w:left="358"/>
              <w:rPr>
                <w:rFonts w:hint="eastAsia" w:ascii="仿宋" w:hAnsi="仿宋" w:eastAsia="仿宋" w:cs="仿宋"/>
                <w:sz w:val="24"/>
                <w:szCs w:val="24"/>
              </w:rPr>
            </w:pPr>
            <w:r>
              <w:rPr>
                <w:rFonts w:hint="eastAsia" w:ascii="仿宋" w:hAnsi="仿宋" w:eastAsia="仿宋" w:cs="仿宋"/>
                <w:sz w:val="24"/>
                <w:szCs w:val="24"/>
              </w:rPr>
              <w:t>证号</w:t>
            </w:r>
          </w:p>
        </w:tc>
        <w:tc>
          <w:tcPr>
            <w:tcW w:w="1251" w:type="dxa"/>
            <w:noWrap w:val="0"/>
            <w:vAlign w:val="top"/>
          </w:tcPr>
          <w:p>
            <w:pPr>
              <w:pStyle w:val="34"/>
              <w:spacing w:before="149" w:line="360" w:lineRule="auto"/>
              <w:ind w:left="360"/>
              <w:rPr>
                <w:rFonts w:hint="eastAsia" w:ascii="仿宋" w:hAnsi="仿宋" w:eastAsia="仿宋" w:cs="仿宋"/>
                <w:sz w:val="24"/>
                <w:szCs w:val="24"/>
              </w:rPr>
            </w:pPr>
            <w:r>
              <w:rPr>
                <w:rFonts w:hint="eastAsia" w:ascii="仿宋" w:hAnsi="仿宋" w:eastAsia="仿宋" w:cs="仿宋"/>
                <w:sz w:val="24"/>
                <w:szCs w:val="24"/>
              </w:rPr>
              <w:t>专业</w:t>
            </w: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rPr>
        <w:tc>
          <w:tcPr>
            <w:tcW w:w="745" w:type="dxa"/>
            <w:noWrap w:val="0"/>
            <w:vAlign w:val="top"/>
          </w:tcPr>
          <w:p>
            <w:pPr>
              <w:spacing w:line="360" w:lineRule="auto"/>
              <w:rPr>
                <w:rFonts w:hint="eastAsia" w:ascii="仿宋" w:hAnsi="仿宋" w:eastAsia="仿宋" w:cs="仿宋"/>
                <w:sz w:val="24"/>
              </w:rPr>
            </w:pPr>
          </w:p>
        </w:tc>
        <w:tc>
          <w:tcPr>
            <w:tcW w:w="1363" w:type="dxa"/>
            <w:noWrap w:val="0"/>
            <w:vAlign w:val="top"/>
          </w:tcPr>
          <w:p>
            <w:pPr>
              <w:spacing w:line="360" w:lineRule="auto"/>
              <w:rPr>
                <w:rFonts w:hint="eastAsia" w:ascii="仿宋" w:hAnsi="仿宋" w:eastAsia="仿宋" w:cs="仿宋"/>
                <w:sz w:val="24"/>
              </w:rPr>
            </w:pPr>
          </w:p>
        </w:tc>
        <w:tc>
          <w:tcPr>
            <w:tcW w:w="1126" w:type="dxa"/>
            <w:noWrap w:val="0"/>
            <w:vAlign w:val="top"/>
          </w:tcPr>
          <w:p>
            <w:pPr>
              <w:spacing w:line="360" w:lineRule="auto"/>
              <w:rPr>
                <w:rFonts w:hint="eastAsia" w:ascii="仿宋" w:hAnsi="仿宋" w:eastAsia="仿宋" w:cs="仿宋"/>
                <w:sz w:val="24"/>
              </w:rPr>
            </w:pPr>
          </w:p>
        </w:tc>
        <w:tc>
          <w:tcPr>
            <w:tcW w:w="1313" w:type="dxa"/>
            <w:noWrap w:val="0"/>
            <w:vAlign w:val="top"/>
          </w:tcPr>
          <w:p>
            <w:pPr>
              <w:spacing w:line="360" w:lineRule="auto"/>
              <w:rPr>
                <w:rFonts w:hint="eastAsia" w:ascii="仿宋" w:hAnsi="仿宋" w:eastAsia="仿宋" w:cs="仿宋"/>
                <w:sz w:val="24"/>
              </w:rPr>
            </w:pPr>
          </w:p>
        </w:tc>
        <w:tc>
          <w:tcPr>
            <w:tcW w:w="1252"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251" w:type="dxa"/>
            <w:noWrap w:val="0"/>
            <w:vAlign w:val="top"/>
          </w:tcPr>
          <w:p>
            <w:pPr>
              <w:spacing w:line="360" w:lineRule="auto"/>
              <w:rPr>
                <w:rFonts w:hint="eastAsia" w:ascii="仿宋" w:hAnsi="仿宋" w:eastAsia="仿宋" w:cs="仿宋"/>
                <w:sz w:val="24"/>
              </w:rPr>
            </w:pPr>
          </w:p>
        </w:tc>
        <w:tc>
          <w:tcPr>
            <w:tcW w:w="1459" w:type="dxa"/>
            <w:noWrap w:val="0"/>
            <w:vAlign w:val="top"/>
          </w:tcPr>
          <w:p>
            <w:pPr>
              <w:spacing w:line="360" w:lineRule="auto"/>
              <w:rPr>
                <w:rFonts w:hint="eastAsia" w:ascii="仿宋" w:hAnsi="仿宋" w:eastAsia="仿宋" w:cs="仿宋"/>
                <w:sz w:val="24"/>
              </w:rPr>
            </w:pPr>
          </w:p>
        </w:tc>
      </w:tr>
    </w:tbl>
    <w:p>
      <w:pPr>
        <w:spacing w:line="360" w:lineRule="auto"/>
        <w:rPr>
          <w:rFonts w:hint="eastAsia" w:ascii="仿宋" w:hAnsi="仿宋" w:eastAsia="仿宋" w:cs="仿宋"/>
          <w:sz w:val="24"/>
        </w:rPr>
      </w:pPr>
    </w:p>
    <w:p>
      <w:pPr>
        <w:pStyle w:val="2"/>
        <w:rPr>
          <w:rFonts w:hint="eastAsia" w:ascii="仿宋" w:hAnsi="仿宋" w:eastAsia="仿宋" w:cs="仿宋"/>
        </w:rPr>
      </w:pPr>
    </w:p>
    <w:p>
      <w:pPr>
        <w:spacing w:before="6" w:line="360" w:lineRule="auto"/>
        <w:ind w:left="220"/>
        <w:rPr>
          <w:rFonts w:hint="eastAsia" w:ascii="仿宋" w:hAnsi="仿宋" w:eastAsia="仿宋" w:cs="仿宋"/>
          <w:sz w:val="24"/>
        </w:rPr>
      </w:pPr>
    </w:p>
    <w:p>
      <w:pPr>
        <w:spacing w:before="6" w:line="360" w:lineRule="auto"/>
        <w:ind w:left="220"/>
        <w:rPr>
          <w:rFonts w:hint="eastAsia" w:ascii="仿宋" w:hAnsi="仿宋" w:eastAsia="仿宋" w:cs="仿宋"/>
          <w:sz w:val="24"/>
        </w:rPr>
      </w:pPr>
    </w:p>
    <w:p>
      <w:pPr>
        <w:numPr>
          <w:ilvl w:val="0"/>
          <w:numId w:val="10"/>
        </w:numPr>
        <w:spacing w:before="6" w:line="360" w:lineRule="auto"/>
        <w:ind w:left="220"/>
        <w:jc w:val="center"/>
        <w:rPr>
          <w:rFonts w:hint="eastAsia" w:ascii="仿宋" w:hAnsi="仿宋" w:eastAsia="仿宋" w:cs="仿宋"/>
          <w:sz w:val="24"/>
        </w:rPr>
      </w:pPr>
      <w:r>
        <w:rPr>
          <w:rFonts w:hint="eastAsia" w:ascii="仿宋" w:hAnsi="仿宋" w:eastAsia="仿宋" w:cs="仿宋"/>
          <w:sz w:val="24"/>
        </w:rPr>
        <w:t>主要人员简历表</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附1：项目经理简历表</w:t>
      </w:r>
    </w:p>
    <w:p>
      <w:pPr>
        <w:spacing w:line="360" w:lineRule="auto"/>
        <w:jc w:val="left"/>
        <w:rPr>
          <w:rFonts w:hint="eastAsia"/>
        </w:rPr>
      </w:pPr>
      <w:r>
        <w:rPr>
          <w:rFonts w:hint="eastAsia" w:ascii="仿宋" w:hAnsi="仿宋" w:eastAsia="仿宋" w:cs="仿宋"/>
          <w:color w:val="000000"/>
          <w:sz w:val="24"/>
        </w:rPr>
        <w:t>项目经理应附注册证书、安全考核（B）证、身份证及未担任其他在施建设工程项目项目经理的承诺书，管理过的项目业绩须附合同协议书复印件。类似项目限于以项目经理身份参与的项目。</w:t>
      </w:r>
    </w:p>
    <w:tbl>
      <w:tblPr>
        <w:tblStyle w:val="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1"/>
        <w:gridCol w:w="1438"/>
        <w:gridCol w:w="1111"/>
        <w:gridCol w:w="1222"/>
        <w:gridCol w:w="2784"/>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exact"/>
        </w:trPr>
        <w:tc>
          <w:tcPr>
            <w:tcW w:w="1201" w:type="dxa"/>
            <w:noWrap w:val="0"/>
            <w:vAlign w:val="center"/>
          </w:tcPr>
          <w:p>
            <w:pPr>
              <w:pStyle w:val="34"/>
              <w:spacing w:line="360" w:lineRule="auto"/>
              <w:ind w:right="170"/>
              <w:jc w:val="center"/>
              <w:rPr>
                <w:rFonts w:hint="eastAsia" w:ascii="仿宋" w:hAnsi="仿宋" w:eastAsia="仿宋" w:cs="仿宋"/>
                <w:sz w:val="24"/>
                <w:szCs w:val="24"/>
              </w:rPr>
            </w:pPr>
            <w:r>
              <w:rPr>
                <w:rFonts w:hint="eastAsia" w:ascii="仿宋" w:hAnsi="仿宋" w:eastAsia="仿宋" w:cs="仿宋"/>
                <w:sz w:val="24"/>
                <w:szCs w:val="24"/>
              </w:rPr>
              <w:t>姓名</w:t>
            </w:r>
          </w:p>
        </w:tc>
        <w:tc>
          <w:tcPr>
            <w:tcW w:w="1438" w:type="dxa"/>
            <w:noWrap w:val="0"/>
            <w:vAlign w:val="center"/>
          </w:tcPr>
          <w:p>
            <w:pPr>
              <w:spacing w:line="360" w:lineRule="auto"/>
              <w:jc w:val="center"/>
              <w:rPr>
                <w:rFonts w:hint="eastAsia" w:ascii="仿宋" w:hAnsi="仿宋" w:eastAsia="仿宋" w:cs="仿宋"/>
                <w:sz w:val="24"/>
              </w:rPr>
            </w:pPr>
          </w:p>
        </w:tc>
        <w:tc>
          <w:tcPr>
            <w:tcW w:w="1111" w:type="dxa"/>
            <w:noWrap w:val="0"/>
            <w:vAlign w:val="center"/>
          </w:tcPr>
          <w:p>
            <w:pPr>
              <w:pStyle w:val="34"/>
              <w:spacing w:line="360" w:lineRule="auto"/>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22" w:type="dxa"/>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pStyle w:val="34"/>
              <w:spacing w:line="360" w:lineRule="auto"/>
              <w:ind w:right="242"/>
              <w:jc w:val="center"/>
              <w:rPr>
                <w:rFonts w:hint="eastAsia" w:ascii="仿宋" w:hAnsi="仿宋" w:eastAsia="仿宋" w:cs="仿宋"/>
                <w:sz w:val="24"/>
                <w:szCs w:val="24"/>
              </w:rPr>
            </w:pPr>
            <w:r>
              <w:rPr>
                <w:rFonts w:hint="eastAsia" w:ascii="仿宋" w:hAnsi="仿宋" w:eastAsia="仿宋" w:cs="仿宋"/>
                <w:sz w:val="24"/>
                <w:szCs w:val="24"/>
              </w:rPr>
              <w:t>学历</w:t>
            </w: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exact"/>
        </w:trPr>
        <w:tc>
          <w:tcPr>
            <w:tcW w:w="1201" w:type="dxa"/>
            <w:noWrap w:val="0"/>
            <w:vAlign w:val="center"/>
          </w:tcPr>
          <w:p>
            <w:pPr>
              <w:pStyle w:val="34"/>
              <w:spacing w:line="360" w:lineRule="auto"/>
              <w:ind w:right="170"/>
              <w:jc w:val="center"/>
              <w:rPr>
                <w:rFonts w:hint="eastAsia" w:ascii="仿宋" w:hAnsi="仿宋" w:eastAsia="仿宋" w:cs="仿宋"/>
                <w:sz w:val="24"/>
                <w:szCs w:val="24"/>
              </w:rPr>
            </w:pPr>
            <w:r>
              <w:rPr>
                <w:rFonts w:hint="eastAsia" w:ascii="仿宋" w:hAnsi="仿宋" w:eastAsia="仿宋" w:cs="仿宋"/>
                <w:sz w:val="24"/>
                <w:szCs w:val="24"/>
              </w:rPr>
              <w:t>执业资格</w:t>
            </w: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pStyle w:val="34"/>
              <w:spacing w:line="360" w:lineRule="auto"/>
              <w:ind w:right="242"/>
              <w:jc w:val="center"/>
              <w:rPr>
                <w:rFonts w:hint="eastAsia" w:ascii="仿宋" w:hAnsi="仿宋" w:eastAsia="仿宋" w:cs="仿宋"/>
                <w:sz w:val="24"/>
                <w:szCs w:val="24"/>
              </w:rPr>
            </w:pPr>
            <w:r>
              <w:rPr>
                <w:rFonts w:hint="eastAsia" w:ascii="仿宋" w:hAnsi="仿宋" w:eastAsia="仿宋" w:cs="仿宋"/>
                <w:sz w:val="24"/>
                <w:szCs w:val="24"/>
              </w:rPr>
              <w:t>安全生产考核合格证书</w:t>
            </w: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exact"/>
        </w:trPr>
        <w:tc>
          <w:tcPr>
            <w:tcW w:w="1201" w:type="dxa"/>
            <w:noWrap w:val="0"/>
            <w:vAlign w:val="center"/>
          </w:tcPr>
          <w:p>
            <w:pPr>
              <w:pStyle w:val="34"/>
              <w:spacing w:before="1" w:line="360" w:lineRule="auto"/>
              <w:ind w:right="170"/>
              <w:jc w:val="center"/>
              <w:rPr>
                <w:rFonts w:hint="eastAsia" w:ascii="仿宋" w:hAnsi="仿宋" w:eastAsia="仿宋" w:cs="仿宋"/>
                <w:sz w:val="24"/>
                <w:szCs w:val="24"/>
              </w:rPr>
            </w:pPr>
            <w:r>
              <w:rPr>
                <w:rFonts w:hint="eastAsia" w:ascii="仿宋" w:hAnsi="仿宋" w:eastAsia="仿宋" w:cs="仿宋"/>
                <w:sz w:val="24"/>
                <w:szCs w:val="24"/>
              </w:rPr>
              <w:t>职称</w:t>
            </w:r>
          </w:p>
        </w:tc>
        <w:tc>
          <w:tcPr>
            <w:tcW w:w="1438" w:type="dxa"/>
            <w:noWrap w:val="0"/>
            <w:vAlign w:val="center"/>
          </w:tcPr>
          <w:p>
            <w:pPr>
              <w:spacing w:line="360" w:lineRule="auto"/>
              <w:jc w:val="center"/>
              <w:rPr>
                <w:rFonts w:hint="eastAsia" w:ascii="仿宋" w:hAnsi="仿宋" w:eastAsia="仿宋" w:cs="仿宋"/>
                <w:sz w:val="24"/>
              </w:rPr>
            </w:pPr>
          </w:p>
        </w:tc>
        <w:tc>
          <w:tcPr>
            <w:tcW w:w="1111" w:type="dxa"/>
            <w:noWrap w:val="0"/>
            <w:vAlign w:val="center"/>
          </w:tcPr>
          <w:p>
            <w:pPr>
              <w:pStyle w:val="34"/>
              <w:spacing w:before="1" w:line="360" w:lineRule="auto"/>
              <w:jc w:val="center"/>
              <w:rPr>
                <w:rFonts w:hint="eastAsia" w:ascii="仿宋" w:hAnsi="仿宋" w:eastAsia="仿宋" w:cs="仿宋"/>
                <w:sz w:val="24"/>
                <w:szCs w:val="24"/>
              </w:rPr>
            </w:pPr>
            <w:r>
              <w:rPr>
                <w:rFonts w:hint="eastAsia" w:ascii="仿宋" w:hAnsi="仿宋" w:eastAsia="仿宋" w:cs="仿宋"/>
                <w:sz w:val="24"/>
                <w:szCs w:val="24"/>
              </w:rPr>
              <w:t>职务</w:t>
            </w:r>
          </w:p>
        </w:tc>
        <w:tc>
          <w:tcPr>
            <w:tcW w:w="1222" w:type="dxa"/>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pStyle w:val="34"/>
              <w:spacing w:before="1" w:line="360" w:lineRule="auto"/>
              <w:ind w:left="240" w:right="240"/>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exact"/>
        </w:trPr>
        <w:tc>
          <w:tcPr>
            <w:tcW w:w="1201" w:type="dxa"/>
            <w:noWrap w:val="0"/>
            <w:vAlign w:val="center"/>
          </w:tcPr>
          <w:p>
            <w:pPr>
              <w:pStyle w:val="34"/>
              <w:spacing w:line="360" w:lineRule="auto"/>
              <w:ind w:right="170"/>
              <w:jc w:val="center"/>
              <w:rPr>
                <w:rFonts w:hint="eastAsia" w:ascii="仿宋" w:hAnsi="仿宋" w:eastAsia="仿宋" w:cs="仿宋"/>
                <w:sz w:val="24"/>
                <w:szCs w:val="24"/>
              </w:rPr>
            </w:pPr>
            <w:r>
              <w:rPr>
                <w:rFonts w:hint="eastAsia" w:ascii="仿宋" w:hAnsi="仿宋" w:eastAsia="仿宋" w:cs="仿宋"/>
                <w:sz w:val="24"/>
                <w:szCs w:val="24"/>
              </w:rPr>
              <w:t>毕业学校</w:t>
            </w:r>
          </w:p>
        </w:tc>
        <w:tc>
          <w:tcPr>
            <w:tcW w:w="8559" w:type="dxa"/>
            <w:gridSpan w:val="5"/>
            <w:noWrap w:val="0"/>
            <w:vAlign w:val="center"/>
          </w:tcPr>
          <w:p>
            <w:pPr>
              <w:pStyle w:val="34"/>
              <w:tabs>
                <w:tab w:val="left" w:pos="4589"/>
                <w:tab w:val="left" w:pos="6689"/>
              </w:tabs>
              <w:spacing w:line="360" w:lineRule="auto"/>
              <w:ind w:left="1649"/>
              <w:jc w:val="center"/>
              <w:rPr>
                <w:rFonts w:hint="eastAsia" w:ascii="仿宋" w:hAnsi="仿宋" w:eastAsia="仿宋" w:cs="仿宋"/>
                <w:sz w:val="24"/>
                <w:szCs w:val="24"/>
              </w:rPr>
            </w:pPr>
            <w:r>
              <w:rPr>
                <w:rFonts w:hint="eastAsia" w:ascii="仿宋" w:hAnsi="仿宋" w:eastAsia="仿宋" w:cs="仿宋"/>
                <w:sz w:val="24"/>
                <w:szCs w:val="24"/>
              </w:rPr>
              <w:t>年毕业于</w:t>
            </w:r>
            <w:r>
              <w:rPr>
                <w:rFonts w:hint="eastAsia" w:ascii="仿宋" w:hAnsi="仿宋" w:eastAsia="仿宋" w:cs="仿宋"/>
                <w:sz w:val="24"/>
                <w:szCs w:val="24"/>
              </w:rPr>
              <w:tab/>
            </w:r>
            <w:r>
              <w:rPr>
                <w:rFonts w:hint="eastAsia" w:ascii="仿宋" w:hAnsi="仿宋" w:eastAsia="仿宋" w:cs="仿宋"/>
                <w:sz w:val="24"/>
                <w:szCs w:val="24"/>
              </w:rPr>
              <w:t>学校</w:t>
            </w:r>
            <w:r>
              <w:rPr>
                <w:rFonts w:hint="eastAsia" w:ascii="仿宋" w:hAnsi="仿宋" w:eastAsia="仿宋" w:cs="仿宋"/>
                <w:sz w:val="24"/>
                <w:szCs w:val="24"/>
              </w:rPr>
              <w:tab/>
            </w:r>
            <w:r>
              <w:rPr>
                <w:rFonts w:hint="eastAsia" w:ascii="仿宋" w:hAnsi="仿宋" w:eastAsia="仿宋" w:cs="仿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exact"/>
        </w:trPr>
        <w:tc>
          <w:tcPr>
            <w:tcW w:w="9760" w:type="dxa"/>
            <w:gridSpan w:val="6"/>
            <w:noWrap w:val="0"/>
            <w:vAlign w:val="center"/>
          </w:tcPr>
          <w:p>
            <w:pPr>
              <w:pStyle w:val="34"/>
              <w:spacing w:before="9" w:line="360" w:lineRule="auto"/>
              <w:jc w:val="center"/>
              <w:rPr>
                <w:rFonts w:hint="eastAsia" w:ascii="仿宋" w:hAnsi="仿宋" w:eastAsia="仿宋" w:cs="仿宋"/>
                <w:sz w:val="24"/>
                <w:szCs w:val="24"/>
              </w:rPr>
            </w:pPr>
            <w:r>
              <w:rPr>
                <w:rFonts w:hint="eastAsia" w:ascii="仿宋" w:hAnsi="仿宋" w:eastAsia="仿宋" w:cs="仿宋"/>
                <w:sz w:val="24"/>
                <w:szCs w:val="24"/>
                <w:lang w:val="en-US"/>
              </w:rPr>
              <w:t xml:space="preserve">    </w:t>
            </w:r>
            <w:r>
              <w:rPr>
                <w:rFonts w:hint="eastAsia" w:ascii="仿宋" w:hAnsi="仿宋" w:eastAsia="仿宋" w:cs="仿宋"/>
                <w:sz w:val="24"/>
                <w:szCs w:val="24"/>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exact"/>
        </w:trPr>
        <w:tc>
          <w:tcPr>
            <w:tcW w:w="1201" w:type="dxa"/>
            <w:noWrap w:val="0"/>
            <w:vAlign w:val="center"/>
          </w:tcPr>
          <w:p>
            <w:pPr>
              <w:pStyle w:val="34"/>
              <w:spacing w:before="9" w:line="360" w:lineRule="auto"/>
              <w:jc w:val="center"/>
              <w:rPr>
                <w:rFonts w:hint="eastAsia" w:ascii="仿宋" w:hAnsi="仿宋" w:eastAsia="仿宋" w:cs="仿宋"/>
                <w:sz w:val="24"/>
                <w:szCs w:val="24"/>
              </w:rPr>
            </w:pPr>
          </w:p>
          <w:p>
            <w:pPr>
              <w:pStyle w:val="34"/>
              <w:spacing w:line="360" w:lineRule="auto"/>
              <w:ind w:left="167" w:right="170"/>
              <w:jc w:val="center"/>
              <w:rPr>
                <w:rFonts w:hint="eastAsia" w:ascii="仿宋" w:hAnsi="仿宋" w:eastAsia="仿宋" w:cs="仿宋"/>
                <w:sz w:val="24"/>
                <w:szCs w:val="24"/>
              </w:rPr>
            </w:pPr>
            <w:r>
              <w:rPr>
                <w:rFonts w:hint="eastAsia" w:ascii="仿宋" w:hAnsi="仿宋" w:eastAsia="仿宋" w:cs="仿宋"/>
                <w:sz w:val="24"/>
                <w:szCs w:val="24"/>
              </w:rPr>
              <w:t>时间</w:t>
            </w:r>
          </w:p>
        </w:tc>
        <w:tc>
          <w:tcPr>
            <w:tcW w:w="3771" w:type="dxa"/>
            <w:gridSpan w:val="3"/>
            <w:noWrap w:val="0"/>
            <w:vAlign w:val="center"/>
          </w:tcPr>
          <w:p>
            <w:pPr>
              <w:pStyle w:val="34"/>
              <w:spacing w:before="9" w:line="360" w:lineRule="auto"/>
              <w:jc w:val="center"/>
              <w:rPr>
                <w:rFonts w:hint="eastAsia" w:ascii="仿宋" w:hAnsi="仿宋" w:eastAsia="仿宋" w:cs="仿宋"/>
                <w:sz w:val="24"/>
                <w:szCs w:val="24"/>
              </w:rPr>
            </w:pPr>
          </w:p>
          <w:p>
            <w:pPr>
              <w:pStyle w:val="34"/>
              <w:spacing w:line="360" w:lineRule="auto"/>
              <w:ind w:left="1196"/>
              <w:jc w:val="center"/>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2784" w:type="dxa"/>
            <w:noWrap w:val="0"/>
            <w:vAlign w:val="center"/>
          </w:tcPr>
          <w:p>
            <w:pPr>
              <w:pStyle w:val="34"/>
              <w:spacing w:before="9" w:line="360" w:lineRule="auto"/>
              <w:jc w:val="center"/>
              <w:rPr>
                <w:rFonts w:hint="eastAsia" w:ascii="仿宋" w:hAnsi="仿宋" w:eastAsia="仿宋" w:cs="仿宋"/>
                <w:sz w:val="24"/>
                <w:szCs w:val="24"/>
              </w:rPr>
            </w:pPr>
          </w:p>
          <w:p>
            <w:pPr>
              <w:pStyle w:val="34"/>
              <w:spacing w:line="360" w:lineRule="auto"/>
              <w:ind w:left="240" w:right="240"/>
              <w:jc w:val="center"/>
              <w:rPr>
                <w:rFonts w:hint="eastAsia" w:ascii="仿宋" w:hAnsi="仿宋" w:eastAsia="仿宋" w:cs="仿宋"/>
                <w:sz w:val="24"/>
                <w:szCs w:val="24"/>
              </w:rPr>
            </w:pPr>
            <w:r>
              <w:rPr>
                <w:rFonts w:hint="eastAsia" w:ascii="仿宋" w:hAnsi="仿宋" w:eastAsia="仿宋" w:cs="仿宋"/>
                <w:sz w:val="24"/>
                <w:szCs w:val="24"/>
              </w:rPr>
              <w:t>担任职务</w:t>
            </w:r>
          </w:p>
        </w:tc>
        <w:tc>
          <w:tcPr>
            <w:tcW w:w="2004" w:type="dxa"/>
            <w:noWrap w:val="0"/>
            <w:vAlign w:val="center"/>
          </w:tcPr>
          <w:p>
            <w:pPr>
              <w:pStyle w:val="34"/>
              <w:spacing w:before="9" w:line="360" w:lineRule="auto"/>
              <w:jc w:val="center"/>
              <w:rPr>
                <w:rFonts w:hint="eastAsia" w:ascii="仿宋" w:hAnsi="仿宋" w:eastAsia="仿宋" w:cs="仿宋"/>
                <w:sz w:val="24"/>
                <w:szCs w:val="24"/>
              </w:rPr>
            </w:pPr>
          </w:p>
          <w:p>
            <w:pPr>
              <w:pStyle w:val="34"/>
              <w:spacing w:line="360" w:lineRule="auto"/>
              <w:jc w:val="both"/>
              <w:rPr>
                <w:rFonts w:hint="eastAsia" w:ascii="仿宋" w:hAnsi="仿宋" w:eastAsia="仿宋" w:cs="仿宋"/>
                <w:sz w:val="24"/>
                <w:szCs w:val="24"/>
              </w:rPr>
            </w:pPr>
            <w:r>
              <w:rPr>
                <w:rFonts w:hint="eastAsia" w:ascii="仿宋" w:hAnsi="仿宋" w:eastAsia="仿宋" w:cs="仿宋"/>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exact"/>
        </w:trPr>
        <w:tc>
          <w:tcPr>
            <w:tcW w:w="1201" w:type="dxa"/>
            <w:noWrap w:val="0"/>
            <w:vAlign w:val="center"/>
          </w:tcPr>
          <w:p>
            <w:pPr>
              <w:spacing w:line="360" w:lineRule="auto"/>
              <w:jc w:val="center"/>
              <w:rPr>
                <w:rFonts w:hint="eastAsia" w:ascii="仿宋" w:hAnsi="仿宋" w:eastAsia="仿宋" w:cs="仿宋"/>
                <w:sz w:val="24"/>
              </w:rPr>
            </w:pP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spacing w:line="360" w:lineRule="auto"/>
              <w:jc w:val="center"/>
              <w:rPr>
                <w:rFonts w:hint="eastAsia" w:ascii="仿宋" w:hAnsi="仿宋" w:eastAsia="仿宋" w:cs="仿宋"/>
                <w:sz w:val="24"/>
              </w:rPr>
            </w:pP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exact"/>
        </w:trPr>
        <w:tc>
          <w:tcPr>
            <w:tcW w:w="1201" w:type="dxa"/>
            <w:noWrap w:val="0"/>
            <w:vAlign w:val="center"/>
          </w:tcPr>
          <w:p>
            <w:pPr>
              <w:spacing w:line="360" w:lineRule="auto"/>
              <w:jc w:val="center"/>
              <w:rPr>
                <w:rFonts w:hint="eastAsia" w:ascii="仿宋" w:hAnsi="仿宋" w:eastAsia="仿宋" w:cs="仿宋"/>
                <w:sz w:val="24"/>
              </w:rPr>
            </w:pP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spacing w:line="360" w:lineRule="auto"/>
              <w:jc w:val="center"/>
              <w:rPr>
                <w:rFonts w:hint="eastAsia" w:ascii="仿宋" w:hAnsi="仿宋" w:eastAsia="仿宋" w:cs="仿宋"/>
                <w:sz w:val="24"/>
              </w:rPr>
            </w:pP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exact"/>
        </w:trPr>
        <w:tc>
          <w:tcPr>
            <w:tcW w:w="1201" w:type="dxa"/>
            <w:noWrap w:val="0"/>
            <w:vAlign w:val="center"/>
          </w:tcPr>
          <w:p>
            <w:pPr>
              <w:spacing w:line="360" w:lineRule="auto"/>
              <w:jc w:val="center"/>
              <w:rPr>
                <w:rFonts w:hint="eastAsia" w:ascii="仿宋" w:hAnsi="仿宋" w:eastAsia="仿宋" w:cs="仿宋"/>
                <w:sz w:val="24"/>
              </w:rPr>
            </w:pP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spacing w:line="360" w:lineRule="auto"/>
              <w:jc w:val="center"/>
              <w:rPr>
                <w:rFonts w:hint="eastAsia" w:ascii="仿宋" w:hAnsi="仿宋" w:eastAsia="仿宋" w:cs="仿宋"/>
                <w:sz w:val="24"/>
              </w:rPr>
            </w:pP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exact"/>
        </w:trPr>
        <w:tc>
          <w:tcPr>
            <w:tcW w:w="1201" w:type="dxa"/>
            <w:noWrap w:val="0"/>
            <w:vAlign w:val="center"/>
          </w:tcPr>
          <w:p>
            <w:pPr>
              <w:spacing w:line="360" w:lineRule="auto"/>
              <w:jc w:val="center"/>
              <w:rPr>
                <w:rFonts w:hint="eastAsia" w:ascii="仿宋" w:hAnsi="仿宋" w:eastAsia="仿宋" w:cs="仿宋"/>
                <w:sz w:val="24"/>
              </w:rPr>
            </w:pP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spacing w:line="360" w:lineRule="auto"/>
              <w:jc w:val="center"/>
              <w:rPr>
                <w:rFonts w:hint="eastAsia" w:ascii="仿宋" w:hAnsi="仿宋" w:eastAsia="仿宋" w:cs="仿宋"/>
                <w:sz w:val="24"/>
              </w:rPr>
            </w:pP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exact"/>
        </w:trPr>
        <w:tc>
          <w:tcPr>
            <w:tcW w:w="1201" w:type="dxa"/>
            <w:noWrap w:val="0"/>
            <w:vAlign w:val="center"/>
          </w:tcPr>
          <w:p>
            <w:pPr>
              <w:spacing w:line="360" w:lineRule="auto"/>
              <w:jc w:val="center"/>
              <w:rPr>
                <w:rFonts w:hint="eastAsia" w:ascii="仿宋" w:hAnsi="仿宋" w:eastAsia="仿宋" w:cs="仿宋"/>
                <w:sz w:val="24"/>
              </w:rPr>
            </w:pP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spacing w:line="360" w:lineRule="auto"/>
              <w:jc w:val="center"/>
              <w:rPr>
                <w:rFonts w:hint="eastAsia" w:ascii="仿宋" w:hAnsi="仿宋" w:eastAsia="仿宋" w:cs="仿宋"/>
                <w:sz w:val="24"/>
              </w:rPr>
            </w:pPr>
          </w:p>
        </w:tc>
        <w:tc>
          <w:tcPr>
            <w:tcW w:w="2004"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exact"/>
        </w:trPr>
        <w:tc>
          <w:tcPr>
            <w:tcW w:w="1201" w:type="dxa"/>
            <w:noWrap w:val="0"/>
            <w:vAlign w:val="center"/>
          </w:tcPr>
          <w:p>
            <w:pPr>
              <w:spacing w:line="360" w:lineRule="auto"/>
              <w:jc w:val="center"/>
              <w:rPr>
                <w:rFonts w:hint="eastAsia" w:ascii="仿宋" w:hAnsi="仿宋" w:eastAsia="仿宋" w:cs="仿宋"/>
                <w:sz w:val="24"/>
              </w:rPr>
            </w:pPr>
          </w:p>
        </w:tc>
        <w:tc>
          <w:tcPr>
            <w:tcW w:w="3771" w:type="dxa"/>
            <w:gridSpan w:val="3"/>
            <w:noWrap w:val="0"/>
            <w:vAlign w:val="center"/>
          </w:tcPr>
          <w:p>
            <w:pPr>
              <w:spacing w:line="360" w:lineRule="auto"/>
              <w:jc w:val="center"/>
              <w:rPr>
                <w:rFonts w:hint="eastAsia" w:ascii="仿宋" w:hAnsi="仿宋" w:eastAsia="仿宋" w:cs="仿宋"/>
                <w:sz w:val="24"/>
              </w:rPr>
            </w:pPr>
          </w:p>
        </w:tc>
        <w:tc>
          <w:tcPr>
            <w:tcW w:w="2784" w:type="dxa"/>
            <w:noWrap w:val="0"/>
            <w:vAlign w:val="center"/>
          </w:tcPr>
          <w:p>
            <w:pPr>
              <w:spacing w:line="360" w:lineRule="auto"/>
              <w:jc w:val="center"/>
              <w:rPr>
                <w:rFonts w:hint="eastAsia" w:ascii="仿宋" w:hAnsi="仿宋" w:eastAsia="仿宋" w:cs="仿宋"/>
                <w:sz w:val="24"/>
              </w:rPr>
            </w:pPr>
          </w:p>
        </w:tc>
        <w:tc>
          <w:tcPr>
            <w:tcW w:w="2004" w:type="dxa"/>
            <w:noWrap w:val="0"/>
            <w:vAlign w:val="center"/>
          </w:tcPr>
          <w:p>
            <w:pPr>
              <w:spacing w:line="360" w:lineRule="auto"/>
              <w:jc w:val="center"/>
              <w:rPr>
                <w:rFonts w:hint="eastAsia" w:ascii="仿宋" w:hAnsi="仿宋" w:eastAsia="仿宋" w:cs="仿宋"/>
                <w:sz w:val="24"/>
              </w:rPr>
            </w:pPr>
          </w:p>
        </w:tc>
      </w:tr>
    </w:tbl>
    <w:p>
      <w:pPr>
        <w:spacing w:before="64" w:line="360" w:lineRule="auto"/>
        <w:ind w:left="100"/>
        <w:rPr>
          <w:rFonts w:hint="eastAsia" w:ascii="仿宋" w:hAnsi="仿宋" w:eastAsia="仿宋" w:cs="仿宋"/>
          <w:b/>
          <w:sz w:val="24"/>
        </w:rPr>
      </w:pPr>
      <w:r>
        <w:rPr>
          <w:rFonts w:hint="eastAsia" w:ascii="仿宋" w:hAnsi="仿宋" w:eastAsia="仿宋" w:cs="仿宋"/>
          <w:b/>
          <w:sz w:val="24"/>
        </w:rPr>
        <w:t>注：主要人员指项目</w:t>
      </w:r>
      <w:r>
        <w:rPr>
          <w:rFonts w:hint="eastAsia" w:ascii="仿宋" w:hAnsi="仿宋" w:eastAsia="仿宋" w:cs="仿宋"/>
          <w:b/>
          <w:sz w:val="24"/>
          <w:szCs w:val="24"/>
          <w:lang w:eastAsia="zh-CN"/>
        </w:rPr>
        <w:t>经理</w:t>
      </w:r>
      <w:r>
        <w:rPr>
          <w:rFonts w:hint="eastAsia" w:ascii="仿宋" w:hAnsi="仿宋" w:eastAsia="仿宋" w:cs="仿宋"/>
          <w:b/>
          <w:sz w:val="24"/>
        </w:rPr>
        <w:t>及其它主要人员等。</w:t>
      </w:r>
    </w:p>
    <w:p>
      <w:pPr>
        <w:spacing w:line="360" w:lineRule="auto"/>
        <w:ind w:left="100" w:right="103" w:firstLine="412"/>
        <w:rPr>
          <w:rFonts w:hint="eastAsia" w:ascii="仿宋" w:hAnsi="仿宋" w:eastAsia="仿宋" w:cs="仿宋"/>
          <w:b/>
          <w:w w:val="99"/>
          <w:sz w:val="24"/>
        </w:rPr>
      </w:pPr>
      <w:r>
        <w:rPr>
          <w:rFonts w:hint="eastAsia" w:ascii="仿宋" w:hAnsi="仿宋" w:eastAsia="仿宋" w:cs="仿宋"/>
          <w:b/>
          <w:spacing w:val="2"/>
          <w:w w:val="99"/>
          <w:sz w:val="24"/>
        </w:rPr>
        <w:t>项目</w:t>
      </w:r>
      <w:r>
        <w:rPr>
          <w:rFonts w:hint="eastAsia" w:ascii="仿宋" w:hAnsi="仿宋" w:eastAsia="仿宋" w:cs="仿宋"/>
          <w:b/>
          <w:sz w:val="24"/>
          <w:szCs w:val="24"/>
          <w:lang w:eastAsia="zh-CN"/>
        </w:rPr>
        <w:t>经理</w:t>
      </w:r>
      <w:r>
        <w:rPr>
          <w:rFonts w:hint="eastAsia" w:ascii="仿宋" w:hAnsi="仿宋" w:eastAsia="仿宋" w:cs="仿宋"/>
          <w:b/>
          <w:spacing w:val="2"/>
          <w:w w:val="99"/>
          <w:sz w:val="24"/>
        </w:rPr>
        <w:t>附建造师</w:t>
      </w:r>
      <w:r>
        <w:rPr>
          <w:rFonts w:hint="eastAsia" w:ascii="仿宋" w:hAnsi="仿宋" w:eastAsia="仿宋" w:cs="仿宋"/>
          <w:b/>
          <w:spacing w:val="4"/>
          <w:w w:val="99"/>
          <w:sz w:val="24"/>
        </w:rPr>
        <w:t>资</w:t>
      </w:r>
      <w:r>
        <w:rPr>
          <w:rFonts w:hint="eastAsia" w:ascii="仿宋" w:hAnsi="仿宋" w:eastAsia="仿宋" w:cs="仿宋"/>
          <w:b/>
          <w:spacing w:val="2"/>
          <w:w w:val="99"/>
          <w:sz w:val="24"/>
        </w:rPr>
        <w:t>格证书和</w:t>
      </w:r>
      <w:r>
        <w:rPr>
          <w:rFonts w:hint="eastAsia" w:ascii="仿宋" w:hAnsi="仿宋" w:eastAsia="仿宋" w:cs="仿宋"/>
          <w:b/>
          <w:spacing w:val="4"/>
          <w:w w:val="99"/>
          <w:sz w:val="24"/>
        </w:rPr>
        <w:t>安</w:t>
      </w:r>
      <w:r>
        <w:rPr>
          <w:rFonts w:hint="eastAsia" w:ascii="仿宋" w:hAnsi="仿宋" w:eastAsia="仿宋" w:cs="仿宋"/>
          <w:b/>
          <w:spacing w:val="2"/>
          <w:w w:val="99"/>
          <w:sz w:val="24"/>
        </w:rPr>
        <w:t>全生产考核</w:t>
      </w:r>
      <w:r>
        <w:rPr>
          <w:rFonts w:hint="eastAsia" w:ascii="仿宋" w:hAnsi="仿宋" w:eastAsia="仿宋" w:cs="仿宋"/>
          <w:b/>
          <w:spacing w:val="4"/>
          <w:w w:val="99"/>
          <w:sz w:val="24"/>
        </w:rPr>
        <w:t>证</w:t>
      </w:r>
      <w:r>
        <w:rPr>
          <w:rFonts w:hint="eastAsia" w:ascii="仿宋" w:hAnsi="仿宋" w:eastAsia="仿宋" w:cs="仿宋"/>
          <w:b/>
          <w:spacing w:val="2"/>
          <w:w w:val="99"/>
          <w:sz w:val="24"/>
        </w:rPr>
        <w:t>证书的扫描件</w:t>
      </w:r>
      <w:r>
        <w:rPr>
          <w:rFonts w:hint="eastAsia" w:ascii="仿宋" w:hAnsi="仿宋" w:eastAsia="仿宋" w:cs="仿宋"/>
          <w:b/>
          <w:spacing w:val="-29"/>
          <w:w w:val="99"/>
          <w:sz w:val="24"/>
        </w:rPr>
        <w:t>，</w:t>
      </w:r>
      <w:r>
        <w:rPr>
          <w:rFonts w:hint="eastAsia" w:ascii="仿宋" w:hAnsi="仿宋" w:eastAsia="仿宋" w:cs="仿宋"/>
          <w:b/>
          <w:spacing w:val="4"/>
          <w:w w:val="99"/>
          <w:sz w:val="24"/>
        </w:rPr>
        <w:t>技</w:t>
      </w:r>
      <w:r>
        <w:rPr>
          <w:rFonts w:hint="eastAsia" w:ascii="仿宋" w:hAnsi="仿宋" w:eastAsia="仿宋" w:cs="仿宋"/>
          <w:b/>
          <w:spacing w:val="2"/>
          <w:w w:val="99"/>
          <w:sz w:val="24"/>
        </w:rPr>
        <w:t>术负责人附技术</w:t>
      </w:r>
      <w:r>
        <w:rPr>
          <w:rFonts w:hint="eastAsia" w:ascii="仿宋" w:hAnsi="仿宋" w:eastAsia="仿宋" w:cs="仿宋"/>
          <w:b/>
          <w:spacing w:val="4"/>
          <w:w w:val="99"/>
          <w:sz w:val="24"/>
        </w:rPr>
        <w:t>职</w:t>
      </w:r>
      <w:r>
        <w:rPr>
          <w:rFonts w:hint="eastAsia" w:ascii="仿宋" w:hAnsi="仿宋" w:eastAsia="仿宋" w:cs="仿宋"/>
          <w:b/>
          <w:spacing w:val="2"/>
          <w:w w:val="99"/>
          <w:sz w:val="24"/>
        </w:rPr>
        <w:t>称证书的扫描件(如涉及)</w:t>
      </w:r>
      <w:r>
        <w:rPr>
          <w:rFonts w:hint="eastAsia" w:ascii="仿宋" w:hAnsi="仿宋" w:eastAsia="仿宋" w:cs="仿宋"/>
          <w:b/>
          <w:spacing w:val="-32"/>
          <w:w w:val="99"/>
          <w:sz w:val="24"/>
        </w:rPr>
        <w:t>，</w:t>
      </w:r>
      <w:r>
        <w:rPr>
          <w:rFonts w:hint="eastAsia" w:ascii="仿宋" w:hAnsi="仿宋" w:eastAsia="仿宋" w:cs="仿宋"/>
          <w:b/>
          <w:spacing w:val="2"/>
          <w:w w:val="99"/>
          <w:sz w:val="24"/>
        </w:rPr>
        <w:t>其</w:t>
      </w:r>
      <w:r>
        <w:rPr>
          <w:rFonts w:hint="eastAsia" w:ascii="仿宋" w:hAnsi="仿宋" w:eastAsia="仿宋" w:cs="仿宋"/>
          <w:b/>
          <w:w w:val="99"/>
          <w:sz w:val="24"/>
        </w:rPr>
        <w:t>他</w:t>
      </w:r>
      <w:r>
        <w:rPr>
          <w:rFonts w:hint="eastAsia" w:ascii="仿宋" w:hAnsi="仿宋" w:eastAsia="仿宋" w:cs="仿宋"/>
          <w:b/>
          <w:spacing w:val="2"/>
          <w:w w:val="99"/>
          <w:sz w:val="24"/>
        </w:rPr>
        <w:t>主要人</w:t>
      </w:r>
      <w:r>
        <w:rPr>
          <w:rFonts w:hint="eastAsia" w:ascii="仿宋" w:hAnsi="仿宋" w:eastAsia="仿宋" w:cs="仿宋"/>
          <w:b/>
          <w:spacing w:val="-1"/>
          <w:w w:val="99"/>
          <w:sz w:val="24"/>
        </w:rPr>
        <w:t>员</w:t>
      </w:r>
      <w:r>
        <w:rPr>
          <w:rFonts w:hint="eastAsia" w:ascii="仿宋" w:hAnsi="仿宋" w:eastAsia="仿宋" w:cs="仿宋"/>
          <w:b/>
          <w:spacing w:val="2"/>
          <w:w w:val="99"/>
          <w:sz w:val="24"/>
        </w:rPr>
        <w:t>附相关资格证</w:t>
      </w:r>
      <w:r>
        <w:rPr>
          <w:rFonts w:hint="eastAsia" w:ascii="仿宋" w:hAnsi="仿宋" w:eastAsia="仿宋" w:cs="仿宋"/>
          <w:b/>
          <w:spacing w:val="-1"/>
          <w:w w:val="99"/>
          <w:sz w:val="24"/>
        </w:rPr>
        <w:t>书</w:t>
      </w:r>
      <w:r>
        <w:rPr>
          <w:rFonts w:hint="eastAsia" w:ascii="仿宋" w:hAnsi="仿宋" w:eastAsia="仿宋" w:cs="仿宋"/>
          <w:b/>
          <w:spacing w:val="2"/>
          <w:w w:val="99"/>
          <w:sz w:val="24"/>
        </w:rPr>
        <w:t>的扫描件(如涉及)</w:t>
      </w:r>
      <w:r>
        <w:rPr>
          <w:rFonts w:hint="eastAsia" w:ascii="仿宋" w:hAnsi="仿宋" w:eastAsia="仿宋" w:cs="仿宋"/>
          <w:b/>
          <w:w w:val="99"/>
          <w:sz w:val="24"/>
        </w:rPr>
        <w:t>。</w:t>
      </w:r>
    </w:p>
    <w:p>
      <w:pPr>
        <w:spacing w:line="360" w:lineRule="auto"/>
        <w:rPr>
          <w:rFonts w:hint="eastAsia" w:ascii="仿宋" w:hAnsi="仿宋" w:eastAsia="仿宋" w:cs="仿宋"/>
          <w:sz w:val="24"/>
        </w:rPr>
        <w:sectPr>
          <w:pgSz w:w="11907" w:h="16840"/>
          <w:pgMar w:top="1440" w:right="1080" w:bottom="1440" w:left="1080" w:header="680" w:footer="680" w:gutter="0"/>
          <w:pgNumType w:fmt="decimal"/>
          <w:cols w:space="720" w:num="1"/>
        </w:sectPr>
      </w:pPr>
    </w:p>
    <w:p>
      <w:pPr>
        <w:pStyle w:val="4"/>
        <w:spacing w:line="360" w:lineRule="auto"/>
        <w:jc w:val="center"/>
        <w:rPr>
          <w:rFonts w:hint="eastAsia" w:ascii="仿宋" w:hAnsi="仿宋" w:eastAsia="仿宋" w:cs="仿宋"/>
          <w:sz w:val="28"/>
          <w:szCs w:val="28"/>
        </w:rPr>
      </w:pPr>
      <w:bookmarkStart w:id="843" w:name="_bookmark30"/>
      <w:bookmarkEnd w:id="843"/>
      <w:bookmarkStart w:id="844" w:name="八、资格审查资料"/>
      <w:bookmarkEnd w:id="844"/>
      <w:bookmarkStart w:id="845" w:name="_Toc23781"/>
      <w:r>
        <w:rPr>
          <w:rFonts w:hint="eastAsia" w:ascii="仿宋" w:hAnsi="仿宋" w:eastAsia="仿宋" w:cs="仿宋"/>
          <w:sz w:val="28"/>
          <w:szCs w:val="28"/>
        </w:rPr>
        <w:t>八、资格审查资料</w:t>
      </w:r>
      <w:bookmarkEnd w:id="845"/>
    </w:p>
    <w:p>
      <w:pPr>
        <w:spacing w:before="185" w:line="360" w:lineRule="auto"/>
        <w:rPr>
          <w:rFonts w:hint="eastAsia" w:ascii="仿宋" w:hAnsi="仿宋" w:eastAsia="仿宋" w:cs="仿宋"/>
          <w:sz w:val="24"/>
        </w:rPr>
      </w:pPr>
      <w:r>
        <w:rPr>
          <w:rFonts w:hint="eastAsia" w:ascii="仿宋" w:hAnsi="仿宋" w:eastAsia="仿宋" w:cs="仿宋"/>
          <w:sz w:val="24"/>
        </w:rPr>
        <w:t>（一）投标人基本情况表</w:t>
      </w:r>
    </w:p>
    <w:tbl>
      <w:tblPr>
        <w:tblStyle w:val="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8"/>
        <w:gridCol w:w="1024"/>
        <w:gridCol w:w="411"/>
        <w:gridCol w:w="1230"/>
        <w:gridCol w:w="1024"/>
        <w:gridCol w:w="207"/>
        <w:gridCol w:w="205"/>
        <w:gridCol w:w="1230"/>
        <w:gridCol w:w="205"/>
        <w:gridCol w:w="82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投标人名称</w:t>
            </w:r>
          </w:p>
        </w:tc>
        <w:tc>
          <w:tcPr>
            <w:tcW w:w="7792" w:type="dxa"/>
            <w:gridSpan w:val="10"/>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注册地址</w:t>
            </w:r>
          </w:p>
        </w:tc>
        <w:tc>
          <w:tcPr>
            <w:tcW w:w="3896" w:type="dxa"/>
            <w:gridSpan w:val="5"/>
            <w:noWrap w:val="0"/>
            <w:vAlign w:val="top"/>
          </w:tcPr>
          <w:p>
            <w:pPr>
              <w:spacing w:line="360" w:lineRule="auto"/>
              <w:rPr>
                <w:rFonts w:hint="eastAsia" w:ascii="仿宋" w:hAnsi="仿宋" w:eastAsia="仿宋" w:cs="仿宋"/>
                <w:sz w:val="24"/>
              </w:rPr>
            </w:pPr>
          </w:p>
        </w:tc>
        <w:tc>
          <w:tcPr>
            <w:tcW w:w="1435" w:type="dxa"/>
            <w:gridSpan w:val="2"/>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邮政编码</w:t>
            </w:r>
          </w:p>
        </w:tc>
        <w:tc>
          <w:tcPr>
            <w:tcW w:w="2461" w:type="dxa"/>
            <w:gridSpan w:val="3"/>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vMerge w:val="restart"/>
            <w:noWrap w:val="0"/>
            <w:vAlign w:val="top"/>
          </w:tcPr>
          <w:p>
            <w:pPr>
              <w:pStyle w:val="34"/>
              <w:spacing w:line="360" w:lineRule="auto"/>
              <w:rPr>
                <w:rFonts w:hint="eastAsia" w:ascii="仿宋" w:hAnsi="仿宋" w:eastAsia="仿宋" w:cs="仿宋"/>
                <w:sz w:val="24"/>
                <w:szCs w:val="24"/>
              </w:rPr>
            </w:pPr>
          </w:p>
          <w:p>
            <w:pPr>
              <w:pStyle w:val="34"/>
              <w:spacing w:before="6" w:line="360" w:lineRule="auto"/>
              <w:rPr>
                <w:rFonts w:hint="eastAsia" w:ascii="仿宋" w:hAnsi="仿宋" w:eastAsia="仿宋" w:cs="仿宋"/>
                <w:sz w:val="24"/>
                <w:szCs w:val="24"/>
              </w:rPr>
            </w:pPr>
          </w:p>
          <w:p>
            <w:pPr>
              <w:pStyle w:val="34"/>
              <w:spacing w:before="1" w:line="360" w:lineRule="auto"/>
              <w:ind w:left="102"/>
              <w:rPr>
                <w:rFonts w:hint="eastAsia" w:ascii="仿宋" w:hAnsi="仿宋" w:eastAsia="仿宋" w:cs="仿宋"/>
                <w:sz w:val="24"/>
                <w:szCs w:val="24"/>
              </w:rPr>
            </w:pPr>
            <w:r>
              <w:rPr>
                <w:rFonts w:hint="eastAsia" w:ascii="仿宋" w:hAnsi="仿宋" w:eastAsia="仿宋" w:cs="仿宋"/>
                <w:sz w:val="24"/>
                <w:szCs w:val="24"/>
              </w:rPr>
              <w:t>联系方式</w:t>
            </w:r>
          </w:p>
        </w:tc>
        <w:tc>
          <w:tcPr>
            <w:tcW w:w="1435" w:type="dxa"/>
            <w:gridSpan w:val="2"/>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联系人</w:t>
            </w:r>
          </w:p>
        </w:tc>
        <w:tc>
          <w:tcPr>
            <w:tcW w:w="2461" w:type="dxa"/>
            <w:gridSpan w:val="3"/>
            <w:noWrap w:val="0"/>
            <w:vAlign w:val="top"/>
          </w:tcPr>
          <w:p>
            <w:pPr>
              <w:spacing w:line="360" w:lineRule="auto"/>
              <w:rPr>
                <w:rFonts w:hint="eastAsia" w:ascii="仿宋" w:hAnsi="仿宋" w:eastAsia="仿宋" w:cs="仿宋"/>
                <w:sz w:val="24"/>
              </w:rPr>
            </w:pPr>
          </w:p>
        </w:tc>
        <w:tc>
          <w:tcPr>
            <w:tcW w:w="1435" w:type="dxa"/>
            <w:gridSpan w:val="2"/>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电话</w:t>
            </w:r>
          </w:p>
        </w:tc>
        <w:tc>
          <w:tcPr>
            <w:tcW w:w="2461" w:type="dxa"/>
            <w:gridSpan w:val="3"/>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vMerge w:val="continue"/>
            <w:noWrap w:val="0"/>
            <w:vAlign w:val="top"/>
          </w:tcPr>
          <w:p>
            <w:pPr>
              <w:spacing w:line="360" w:lineRule="auto"/>
              <w:rPr>
                <w:rFonts w:hint="eastAsia" w:ascii="仿宋" w:hAnsi="仿宋" w:eastAsia="仿宋" w:cs="仿宋"/>
                <w:sz w:val="24"/>
              </w:rPr>
            </w:pPr>
          </w:p>
        </w:tc>
        <w:tc>
          <w:tcPr>
            <w:tcW w:w="1435" w:type="dxa"/>
            <w:gridSpan w:val="2"/>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传真</w:t>
            </w:r>
          </w:p>
        </w:tc>
        <w:tc>
          <w:tcPr>
            <w:tcW w:w="2461" w:type="dxa"/>
            <w:gridSpan w:val="3"/>
            <w:noWrap w:val="0"/>
            <w:vAlign w:val="top"/>
          </w:tcPr>
          <w:p>
            <w:pPr>
              <w:spacing w:line="360" w:lineRule="auto"/>
              <w:rPr>
                <w:rFonts w:hint="eastAsia" w:ascii="仿宋" w:hAnsi="仿宋" w:eastAsia="仿宋" w:cs="仿宋"/>
                <w:sz w:val="24"/>
              </w:rPr>
            </w:pPr>
          </w:p>
        </w:tc>
        <w:tc>
          <w:tcPr>
            <w:tcW w:w="1435" w:type="dxa"/>
            <w:gridSpan w:val="2"/>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网址</w:t>
            </w:r>
          </w:p>
        </w:tc>
        <w:tc>
          <w:tcPr>
            <w:tcW w:w="2461" w:type="dxa"/>
            <w:gridSpan w:val="3"/>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组织机构</w:t>
            </w:r>
          </w:p>
        </w:tc>
        <w:tc>
          <w:tcPr>
            <w:tcW w:w="7792" w:type="dxa"/>
            <w:gridSpan w:val="10"/>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法定代表人</w:t>
            </w:r>
          </w:p>
        </w:tc>
        <w:tc>
          <w:tcPr>
            <w:tcW w:w="1024"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姓名</w:t>
            </w:r>
          </w:p>
        </w:tc>
        <w:tc>
          <w:tcPr>
            <w:tcW w:w="1641" w:type="dxa"/>
            <w:gridSpan w:val="2"/>
            <w:noWrap w:val="0"/>
            <w:vAlign w:val="top"/>
          </w:tcPr>
          <w:p>
            <w:pPr>
              <w:spacing w:line="360" w:lineRule="auto"/>
              <w:rPr>
                <w:rFonts w:hint="eastAsia" w:ascii="仿宋" w:hAnsi="仿宋" w:eastAsia="仿宋" w:cs="仿宋"/>
                <w:sz w:val="24"/>
              </w:rPr>
            </w:pPr>
          </w:p>
        </w:tc>
        <w:tc>
          <w:tcPr>
            <w:tcW w:w="1436" w:type="dxa"/>
            <w:gridSpan w:val="3"/>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技术职称</w:t>
            </w:r>
          </w:p>
        </w:tc>
        <w:tc>
          <w:tcPr>
            <w:tcW w:w="1435" w:type="dxa"/>
            <w:gridSpan w:val="2"/>
            <w:noWrap w:val="0"/>
            <w:vAlign w:val="top"/>
          </w:tcPr>
          <w:p>
            <w:pPr>
              <w:spacing w:line="360" w:lineRule="auto"/>
              <w:rPr>
                <w:rFonts w:hint="eastAsia" w:ascii="仿宋" w:hAnsi="仿宋" w:eastAsia="仿宋" w:cs="仿宋"/>
                <w:sz w:val="24"/>
              </w:rPr>
            </w:pPr>
          </w:p>
        </w:tc>
        <w:tc>
          <w:tcPr>
            <w:tcW w:w="821"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电话</w:t>
            </w:r>
          </w:p>
        </w:tc>
        <w:tc>
          <w:tcPr>
            <w:tcW w:w="1435"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项目负责人</w:t>
            </w:r>
          </w:p>
        </w:tc>
        <w:tc>
          <w:tcPr>
            <w:tcW w:w="1024"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姓名</w:t>
            </w:r>
          </w:p>
        </w:tc>
        <w:tc>
          <w:tcPr>
            <w:tcW w:w="1641" w:type="dxa"/>
            <w:gridSpan w:val="2"/>
            <w:noWrap w:val="0"/>
            <w:vAlign w:val="top"/>
          </w:tcPr>
          <w:p>
            <w:pPr>
              <w:spacing w:line="360" w:lineRule="auto"/>
              <w:rPr>
                <w:rFonts w:hint="eastAsia" w:ascii="仿宋" w:hAnsi="仿宋" w:eastAsia="仿宋" w:cs="仿宋"/>
                <w:sz w:val="24"/>
              </w:rPr>
            </w:pPr>
          </w:p>
        </w:tc>
        <w:tc>
          <w:tcPr>
            <w:tcW w:w="1436" w:type="dxa"/>
            <w:gridSpan w:val="3"/>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技术职称</w:t>
            </w:r>
          </w:p>
        </w:tc>
        <w:tc>
          <w:tcPr>
            <w:tcW w:w="1435" w:type="dxa"/>
            <w:gridSpan w:val="2"/>
            <w:noWrap w:val="0"/>
            <w:vAlign w:val="top"/>
          </w:tcPr>
          <w:p>
            <w:pPr>
              <w:spacing w:line="360" w:lineRule="auto"/>
              <w:rPr>
                <w:rFonts w:hint="eastAsia" w:ascii="仿宋" w:hAnsi="仿宋" w:eastAsia="仿宋" w:cs="仿宋"/>
                <w:sz w:val="24"/>
              </w:rPr>
            </w:pPr>
          </w:p>
        </w:tc>
        <w:tc>
          <w:tcPr>
            <w:tcW w:w="821"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电话</w:t>
            </w:r>
          </w:p>
        </w:tc>
        <w:tc>
          <w:tcPr>
            <w:tcW w:w="1435"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成立时间</w:t>
            </w:r>
          </w:p>
        </w:tc>
        <w:tc>
          <w:tcPr>
            <w:tcW w:w="2665" w:type="dxa"/>
            <w:gridSpan w:val="3"/>
            <w:noWrap w:val="0"/>
            <w:vAlign w:val="top"/>
          </w:tcPr>
          <w:p>
            <w:pPr>
              <w:spacing w:line="360" w:lineRule="auto"/>
              <w:rPr>
                <w:rFonts w:hint="eastAsia" w:ascii="仿宋" w:hAnsi="仿宋" w:eastAsia="仿宋" w:cs="仿宋"/>
                <w:sz w:val="24"/>
              </w:rPr>
            </w:pPr>
          </w:p>
        </w:tc>
        <w:tc>
          <w:tcPr>
            <w:tcW w:w="2871" w:type="dxa"/>
            <w:gridSpan w:val="5"/>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员工总人数</w:t>
            </w:r>
          </w:p>
        </w:tc>
        <w:tc>
          <w:tcPr>
            <w:tcW w:w="2256" w:type="dxa"/>
            <w:gridSpan w:val="2"/>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企业资质等级</w:t>
            </w:r>
          </w:p>
        </w:tc>
        <w:tc>
          <w:tcPr>
            <w:tcW w:w="2665" w:type="dxa"/>
            <w:gridSpan w:val="3"/>
            <w:noWrap w:val="0"/>
            <w:vAlign w:val="top"/>
          </w:tcPr>
          <w:p>
            <w:pPr>
              <w:spacing w:line="360" w:lineRule="auto"/>
              <w:rPr>
                <w:rFonts w:hint="eastAsia" w:ascii="仿宋" w:hAnsi="仿宋" w:eastAsia="仿宋" w:cs="仿宋"/>
                <w:sz w:val="24"/>
              </w:rPr>
            </w:pPr>
          </w:p>
        </w:tc>
        <w:tc>
          <w:tcPr>
            <w:tcW w:w="1024" w:type="dxa"/>
            <w:vMerge w:val="restart"/>
            <w:noWrap w:val="0"/>
            <w:vAlign w:val="top"/>
          </w:tcPr>
          <w:p>
            <w:pPr>
              <w:pStyle w:val="34"/>
              <w:spacing w:line="360" w:lineRule="auto"/>
              <w:rPr>
                <w:rFonts w:hint="eastAsia" w:ascii="仿宋" w:hAnsi="仿宋" w:eastAsia="仿宋" w:cs="仿宋"/>
                <w:sz w:val="24"/>
                <w:szCs w:val="24"/>
              </w:rPr>
            </w:pPr>
          </w:p>
          <w:p>
            <w:pPr>
              <w:pStyle w:val="34"/>
              <w:spacing w:line="360" w:lineRule="auto"/>
              <w:rPr>
                <w:rFonts w:hint="eastAsia" w:ascii="仿宋" w:hAnsi="仿宋" w:eastAsia="仿宋" w:cs="仿宋"/>
                <w:sz w:val="24"/>
                <w:szCs w:val="24"/>
              </w:rPr>
            </w:pPr>
          </w:p>
          <w:p>
            <w:pPr>
              <w:pStyle w:val="34"/>
              <w:spacing w:line="360" w:lineRule="auto"/>
              <w:rPr>
                <w:rFonts w:hint="eastAsia" w:ascii="仿宋" w:hAnsi="仿宋" w:eastAsia="仿宋" w:cs="仿宋"/>
                <w:sz w:val="24"/>
                <w:szCs w:val="24"/>
              </w:rPr>
            </w:pPr>
          </w:p>
          <w:p>
            <w:pPr>
              <w:pStyle w:val="34"/>
              <w:spacing w:line="360" w:lineRule="auto"/>
              <w:rPr>
                <w:rFonts w:hint="eastAsia" w:ascii="仿宋" w:hAnsi="仿宋" w:eastAsia="仿宋" w:cs="仿宋"/>
                <w:sz w:val="24"/>
                <w:szCs w:val="24"/>
              </w:rPr>
            </w:pPr>
          </w:p>
          <w:p>
            <w:pPr>
              <w:pStyle w:val="34"/>
              <w:spacing w:line="360" w:lineRule="auto"/>
              <w:rPr>
                <w:rFonts w:hint="eastAsia" w:ascii="仿宋" w:hAnsi="仿宋" w:eastAsia="仿宋" w:cs="仿宋"/>
                <w:sz w:val="24"/>
                <w:szCs w:val="24"/>
              </w:rPr>
            </w:pPr>
          </w:p>
          <w:p>
            <w:pPr>
              <w:pStyle w:val="34"/>
              <w:spacing w:before="10" w:line="360" w:lineRule="auto"/>
              <w:rPr>
                <w:rFonts w:hint="eastAsia" w:ascii="仿宋" w:hAnsi="仿宋" w:eastAsia="仿宋" w:cs="仿宋"/>
                <w:sz w:val="24"/>
                <w:szCs w:val="24"/>
              </w:rPr>
            </w:pPr>
          </w:p>
          <w:p>
            <w:pPr>
              <w:pStyle w:val="34"/>
              <w:spacing w:line="360" w:lineRule="auto"/>
              <w:ind w:left="304"/>
              <w:rPr>
                <w:rFonts w:hint="eastAsia" w:ascii="仿宋" w:hAnsi="仿宋" w:eastAsia="仿宋" w:cs="仿宋"/>
                <w:sz w:val="24"/>
                <w:szCs w:val="24"/>
              </w:rPr>
            </w:pPr>
            <w:r>
              <w:rPr>
                <w:rFonts w:hint="eastAsia" w:ascii="仿宋" w:hAnsi="仿宋" w:eastAsia="仿宋" w:cs="仿宋"/>
                <w:sz w:val="24"/>
                <w:szCs w:val="24"/>
              </w:rPr>
              <w:t>其中</w:t>
            </w:r>
          </w:p>
        </w:tc>
        <w:tc>
          <w:tcPr>
            <w:tcW w:w="1847" w:type="dxa"/>
            <w:gridSpan w:val="4"/>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项目经理</w:t>
            </w:r>
          </w:p>
        </w:tc>
        <w:tc>
          <w:tcPr>
            <w:tcW w:w="2256" w:type="dxa"/>
            <w:gridSpan w:val="2"/>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营业执照号</w:t>
            </w:r>
          </w:p>
        </w:tc>
        <w:tc>
          <w:tcPr>
            <w:tcW w:w="2665" w:type="dxa"/>
            <w:gridSpan w:val="3"/>
            <w:noWrap w:val="0"/>
            <w:vAlign w:val="top"/>
          </w:tcPr>
          <w:p>
            <w:pPr>
              <w:spacing w:line="360" w:lineRule="auto"/>
              <w:rPr>
                <w:rFonts w:hint="eastAsia" w:ascii="仿宋" w:hAnsi="仿宋" w:eastAsia="仿宋" w:cs="仿宋"/>
                <w:sz w:val="24"/>
              </w:rPr>
            </w:pPr>
          </w:p>
        </w:tc>
        <w:tc>
          <w:tcPr>
            <w:tcW w:w="1024" w:type="dxa"/>
            <w:vMerge w:val="continue"/>
            <w:noWrap w:val="0"/>
            <w:vAlign w:val="top"/>
          </w:tcPr>
          <w:p>
            <w:pPr>
              <w:spacing w:line="360" w:lineRule="auto"/>
              <w:rPr>
                <w:rFonts w:hint="eastAsia" w:ascii="仿宋" w:hAnsi="仿宋" w:eastAsia="仿宋" w:cs="仿宋"/>
                <w:sz w:val="24"/>
              </w:rPr>
            </w:pPr>
          </w:p>
        </w:tc>
        <w:tc>
          <w:tcPr>
            <w:tcW w:w="1847" w:type="dxa"/>
            <w:gridSpan w:val="4"/>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高级职称人员</w:t>
            </w:r>
          </w:p>
        </w:tc>
        <w:tc>
          <w:tcPr>
            <w:tcW w:w="2256" w:type="dxa"/>
            <w:gridSpan w:val="2"/>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注册资金</w:t>
            </w:r>
          </w:p>
        </w:tc>
        <w:tc>
          <w:tcPr>
            <w:tcW w:w="2665" w:type="dxa"/>
            <w:gridSpan w:val="3"/>
            <w:noWrap w:val="0"/>
            <w:vAlign w:val="top"/>
          </w:tcPr>
          <w:p>
            <w:pPr>
              <w:spacing w:line="360" w:lineRule="auto"/>
              <w:rPr>
                <w:rFonts w:hint="eastAsia" w:ascii="仿宋" w:hAnsi="仿宋" w:eastAsia="仿宋" w:cs="仿宋"/>
                <w:sz w:val="24"/>
              </w:rPr>
            </w:pPr>
          </w:p>
        </w:tc>
        <w:tc>
          <w:tcPr>
            <w:tcW w:w="1024" w:type="dxa"/>
            <w:vMerge w:val="continue"/>
            <w:noWrap w:val="0"/>
            <w:vAlign w:val="top"/>
          </w:tcPr>
          <w:p>
            <w:pPr>
              <w:spacing w:line="360" w:lineRule="auto"/>
              <w:rPr>
                <w:rFonts w:hint="eastAsia" w:ascii="仿宋" w:hAnsi="仿宋" w:eastAsia="仿宋" w:cs="仿宋"/>
                <w:sz w:val="24"/>
              </w:rPr>
            </w:pPr>
          </w:p>
        </w:tc>
        <w:tc>
          <w:tcPr>
            <w:tcW w:w="1847" w:type="dxa"/>
            <w:gridSpan w:val="4"/>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中级职称人员</w:t>
            </w:r>
          </w:p>
        </w:tc>
        <w:tc>
          <w:tcPr>
            <w:tcW w:w="2256" w:type="dxa"/>
            <w:gridSpan w:val="2"/>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开户银行</w:t>
            </w:r>
          </w:p>
        </w:tc>
        <w:tc>
          <w:tcPr>
            <w:tcW w:w="2665" w:type="dxa"/>
            <w:gridSpan w:val="3"/>
            <w:noWrap w:val="0"/>
            <w:vAlign w:val="top"/>
          </w:tcPr>
          <w:p>
            <w:pPr>
              <w:spacing w:line="360" w:lineRule="auto"/>
              <w:rPr>
                <w:rFonts w:hint="eastAsia" w:ascii="仿宋" w:hAnsi="仿宋" w:eastAsia="仿宋" w:cs="仿宋"/>
                <w:sz w:val="24"/>
              </w:rPr>
            </w:pPr>
          </w:p>
        </w:tc>
        <w:tc>
          <w:tcPr>
            <w:tcW w:w="1024" w:type="dxa"/>
            <w:vMerge w:val="continue"/>
            <w:noWrap w:val="0"/>
            <w:vAlign w:val="top"/>
          </w:tcPr>
          <w:p>
            <w:pPr>
              <w:spacing w:line="360" w:lineRule="auto"/>
              <w:rPr>
                <w:rFonts w:hint="eastAsia" w:ascii="仿宋" w:hAnsi="仿宋" w:eastAsia="仿宋" w:cs="仿宋"/>
                <w:sz w:val="24"/>
              </w:rPr>
            </w:pPr>
          </w:p>
        </w:tc>
        <w:tc>
          <w:tcPr>
            <w:tcW w:w="1847" w:type="dxa"/>
            <w:gridSpan w:val="4"/>
            <w:noWrap w:val="0"/>
            <w:vAlign w:val="top"/>
          </w:tcPr>
          <w:p>
            <w:pPr>
              <w:pStyle w:val="34"/>
              <w:spacing w:before="156" w:line="360" w:lineRule="auto"/>
              <w:ind w:left="102"/>
              <w:rPr>
                <w:rFonts w:hint="eastAsia" w:ascii="仿宋" w:hAnsi="仿宋" w:eastAsia="仿宋" w:cs="仿宋"/>
                <w:sz w:val="24"/>
                <w:szCs w:val="24"/>
              </w:rPr>
            </w:pPr>
            <w:r>
              <w:rPr>
                <w:rFonts w:hint="eastAsia" w:ascii="仿宋" w:hAnsi="仿宋" w:eastAsia="仿宋" w:cs="仿宋"/>
                <w:sz w:val="24"/>
                <w:szCs w:val="24"/>
              </w:rPr>
              <w:t>初级职称人员</w:t>
            </w:r>
          </w:p>
        </w:tc>
        <w:tc>
          <w:tcPr>
            <w:tcW w:w="2256" w:type="dxa"/>
            <w:gridSpan w:val="2"/>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exact"/>
        </w:trPr>
        <w:tc>
          <w:tcPr>
            <w:tcW w:w="1968" w:type="dxa"/>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账号</w:t>
            </w:r>
          </w:p>
        </w:tc>
        <w:tc>
          <w:tcPr>
            <w:tcW w:w="2665" w:type="dxa"/>
            <w:gridSpan w:val="3"/>
            <w:noWrap w:val="0"/>
            <w:vAlign w:val="top"/>
          </w:tcPr>
          <w:p>
            <w:pPr>
              <w:spacing w:line="360" w:lineRule="auto"/>
              <w:rPr>
                <w:rFonts w:hint="eastAsia" w:ascii="仿宋" w:hAnsi="仿宋" w:eastAsia="仿宋" w:cs="仿宋"/>
                <w:sz w:val="24"/>
              </w:rPr>
            </w:pPr>
          </w:p>
        </w:tc>
        <w:tc>
          <w:tcPr>
            <w:tcW w:w="1024" w:type="dxa"/>
            <w:vMerge w:val="continue"/>
            <w:noWrap w:val="0"/>
            <w:vAlign w:val="top"/>
          </w:tcPr>
          <w:p>
            <w:pPr>
              <w:spacing w:line="360" w:lineRule="auto"/>
              <w:rPr>
                <w:rFonts w:hint="eastAsia" w:ascii="仿宋" w:hAnsi="仿宋" w:eastAsia="仿宋" w:cs="仿宋"/>
                <w:sz w:val="24"/>
              </w:rPr>
            </w:pPr>
          </w:p>
        </w:tc>
        <w:tc>
          <w:tcPr>
            <w:tcW w:w="1847" w:type="dxa"/>
            <w:gridSpan w:val="4"/>
            <w:noWrap w:val="0"/>
            <w:vAlign w:val="top"/>
          </w:tcPr>
          <w:p>
            <w:pPr>
              <w:pStyle w:val="34"/>
              <w:spacing w:before="157" w:line="360" w:lineRule="auto"/>
              <w:ind w:left="102"/>
              <w:rPr>
                <w:rFonts w:hint="eastAsia" w:ascii="仿宋" w:hAnsi="仿宋" w:eastAsia="仿宋" w:cs="仿宋"/>
                <w:sz w:val="24"/>
                <w:szCs w:val="24"/>
              </w:rPr>
            </w:pPr>
            <w:r>
              <w:rPr>
                <w:rFonts w:hint="eastAsia" w:ascii="仿宋" w:hAnsi="仿宋" w:eastAsia="仿宋" w:cs="仿宋"/>
                <w:sz w:val="24"/>
                <w:szCs w:val="24"/>
              </w:rPr>
              <w:t>技工</w:t>
            </w:r>
          </w:p>
        </w:tc>
        <w:tc>
          <w:tcPr>
            <w:tcW w:w="2256" w:type="dxa"/>
            <w:gridSpan w:val="2"/>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exact"/>
        </w:trPr>
        <w:tc>
          <w:tcPr>
            <w:tcW w:w="1968" w:type="dxa"/>
            <w:noWrap w:val="0"/>
            <w:vAlign w:val="top"/>
          </w:tcPr>
          <w:p>
            <w:pPr>
              <w:pStyle w:val="34"/>
              <w:spacing w:line="360" w:lineRule="auto"/>
              <w:rPr>
                <w:rFonts w:hint="eastAsia" w:ascii="仿宋" w:hAnsi="仿宋" w:eastAsia="仿宋" w:cs="仿宋"/>
                <w:sz w:val="24"/>
                <w:szCs w:val="24"/>
              </w:rPr>
            </w:pPr>
          </w:p>
          <w:p>
            <w:pPr>
              <w:pStyle w:val="34"/>
              <w:spacing w:before="3" w:line="360" w:lineRule="auto"/>
              <w:rPr>
                <w:rFonts w:hint="eastAsia" w:ascii="仿宋" w:hAnsi="仿宋" w:eastAsia="仿宋" w:cs="仿宋"/>
                <w:sz w:val="24"/>
                <w:szCs w:val="24"/>
              </w:rPr>
            </w:pPr>
          </w:p>
          <w:p>
            <w:pPr>
              <w:pStyle w:val="34"/>
              <w:spacing w:line="360" w:lineRule="auto"/>
              <w:ind w:left="102"/>
              <w:rPr>
                <w:rFonts w:hint="eastAsia" w:ascii="仿宋" w:hAnsi="仿宋" w:eastAsia="仿宋" w:cs="仿宋"/>
                <w:sz w:val="24"/>
                <w:szCs w:val="24"/>
              </w:rPr>
            </w:pPr>
            <w:r>
              <w:rPr>
                <w:rFonts w:hint="eastAsia" w:ascii="仿宋" w:hAnsi="仿宋" w:eastAsia="仿宋" w:cs="仿宋"/>
                <w:sz w:val="24"/>
                <w:szCs w:val="24"/>
              </w:rPr>
              <w:t>经营范围</w:t>
            </w:r>
          </w:p>
        </w:tc>
        <w:tc>
          <w:tcPr>
            <w:tcW w:w="7792" w:type="dxa"/>
            <w:gridSpan w:val="10"/>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exact"/>
        </w:trPr>
        <w:tc>
          <w:tcPr>
            <w:tcW w:w="1968" w:type="dxa"/>
            <w:noWrap w:val="0"/>
            <w:vAlign w:val="top"/>
          </w:tcPr>
          <w:p>
            <w:pPr>
              <w:pStyle w:val="34"/>
              <w:spacing w:before="163" w:line="360" w:lineRule="auto"/>
              <w:ind w:left="102"/>
              <w:rPr>
                <w:rFonts w:hint="eastAsia" w:ascii="仿宋" w:hAnsi="仿宋" w:eastAsia="仿宋" w:cs="仿宋"/>
                <w:sz w:val="24"/>
                <w:szCs w:val="24"/>
              </w:rPr>
            </w:pPr>
            <w:r>
              <w:rPr>
                <w:rFonts w:hint="eastAsia" w:ascii="仿宋" w:hAnsi="仿宋" w:eastAsia="仿宋" w:cs="仿宋"/>
                <w:sz w:val="24"/>
                <w:szCs w:val="24"/>
              </w:rPr>
              <w:t>备注</w:t>
            </w:r>
          </w:p>
        </w:tc>
        <w:tc>
          <w:tcPr>
            <w:tcW w:w="7792" w:type="dxa"/>
            <w:gridSpan w:val="10"/>
            <w:noWrap w:val="0"/>
            <w:vAlign w:val="top"/>
          </w:tcPr>
          <w:p>
            <w:pPr>
              <w:spacing w:line="360" w:lineRule="auto"/>
              <w:rPr>
                <w:rFonts w:hint="eastAsia" w:ascii="仿宋" w:hAnsi="仿宋" w:eastAsia="仿宋" w:cs="仿宋"/>
                <w:sz w:val="24"/>
              </w:rPr>
            </w:pPr>
          </w:p>
        </w:tc>
      </w:tr>
    </w:tbl>
    <w:p>
      <w:pPr>
        <w:spacing w:line="360" w:lineRule="auto"/>
        <w:rPr>
          <w:rFonts w:hint="eastAsia" w:ascii="仿宋" w:hAnsi="仿宋" w:eastAsia="仿宋" w:cs="仿宋"/>
          <w:sz w:val="24"/>
        </w:rPr>
      </w:pPr>
    </w:p>
    <w:p>
      <w:pPr>
        <w:pStyle w:val="9"/>
        <w:rPr>
          <w:rFonts w:hint="eastAsia" w:ascii="仿宋" w:hAnsi="仿宋" w:eastAsia="仿宋" w:cs="仿宋"/>
          <w:sz w:val="24"/>
        </w:rPr>
      </w:pPr>
    </w:p>
    <w:p>
      <w:pPr>
        <w:pStyle w:val="9"/>
        <w:rPr>
          <w:rFonts w:hint="eastAsia" w:ascii="仿宋" w:hAnsi="仿宋" w:eastAsia="仿宋" w:cs="仿宋"/>
          <w:sz w:val="24"/>
        </w:rPr>
      </w:pPr>
    </w:p>
    <w:p>
      <w:pPr>
        <w:pStyle w:val="9"/>
        <w:rPr>
          <w:rFonts w:hint="eastAsia" w:ascii="仿宋" w:hAnsi="仿宋" w:eastAsia="仿宋" w:cs="仿宋"/>
          <w:sz w:val="24"/>
        </w:rPr>
      </w:pPr>
    </w:p>
    <w:p>
      <w:pPr>
        <w:spacing w:line="500" w:lineRule="exact"/>
        <w:jc w:val="both"/>
        <w:rPr>
          <w:rFonts w:hint="eastAsia" w:ascii="仿宋" w:hAnsi="仿宋" w:eastAsia="仿宋" w:cs="仿宋"/>
          <w:kern w:val="0"/>
          <w:sz w:val="36"/>
          <w:szCs w:val="36"/>
          <w:lang w:val="zh-CN" w:eastAsia="zh-CN" w:bidi="zh-CN"/>
        </w:rPr>
        <w:sectPr>
          <w:pgSz w:w="11907" w:h="16840"/>
          <w:pgMar w:top="1440" w:right="1080" w:bottom="1440" w:left="1080" w:header="680" w:footer="680" w:gutter="0"/>
          <w:pgNumType w:fmt="decimal"/>
          <w:cols w:space="720" w:num="1"/>
        </w:sectPr>
      </w:pPr>
    </w:p>
    <w:p>
      <w:pPr>
        <w:spacing w:line="500" w:lineRule="exact"/>
        <w:jc w:val="both"/>
        <w:rPr>
          <w:rFonts w:hint="eastAsia" w:ascii="仿宋" w:hAnsi="仿宋" w:eastAsia="仿宋" w:cs="仿宋"/>
          <w:b/>
          <w:bCs/>
          <w:kern w:val="0"/>
          <w:sz w:val="32"/>
          <w:szCs w:val="32"/>
          <w:lang w:val="zh-CN" w:eastAsia="zh-CN" w:bidi="zh-CN"/>
        </w:rPr>
      </w:pPr>
      <w:r>
        <w:rPr>
          <w:rFonts w:hint="eastAsia" w:ascii="仿宋" w:hAnsi="仿宋" w:eastAsia="仿宋" w:cs="仿宋"/>
          <w:b/>
          <w:bCs/>
          <w:kern w:val="0"/>
          <w:sz w:val="32"/>
          <w:szCs w:val="32"/>
          <w:lang w:val="zh-CN" w:eastAsia="zh-CN" w:bidi="zh-CN"/>
        </w:rPr>
        <w:t>（二） 资格审查资料</w:t>
      </w:r>
    </w:p>
    <w:p>
      <w:pPr>
        <w:spacing w:line="500" w:lineRule="exact"/>
        <w:jc w:val="both"/>
        <w:rPr>
          <w:rFonts w:hint="eastAsia" w:ascii="仿宋" w:hAnsi="仿宋" w:eastAsia="仿宋" w:cs="仿宋"/>
          <w:kern w:val="0"/>
          <w:sz w:val="28"/>
          <w:szCs w:val="28"/>
          <w:lang w:val="zh-CN" w:eastAsia="zh-CN" w:bidi="zh-CN"/>
        </w:rPr>
        <w:sectPr>
          <w:pgSz w:w="11907" w:h="16840"/>
          <w:pgMar w:top="1440" w:right="1080" w:bottom="1440" w:left="1080" w:header="680" w:footer="680" w:gutter="0"/>
          <w:pgNumType w:fmt="decimal"/>
          <w:cols w:space="720" w:num="1"/>
        </w:sectPr>
      </w:pPr>
      <w:r>
        <w:rPr>
          <w:rFonts w:hint="eastAsia" w:ascii="仿宋" w:hAnsi="仿宋" w:eastAsia="仿宋" w:cs="仿宋"/>
          <w:kern w:val="0"/>
          <w:sz w:val="28"/>
          <w:szCs w:val="28"/>
          <w:lang w:val="zh-CN" w:eastAsia="zh-CN" w:bidi="zh-CN"/>
        </w:rPr>
        <w:t>应附投标人须知前附表第 1.4.1 款规定的资料。</w:t>
      </w:r>
    </w:p>
    <w:p>
      <w:pPr>
        <w:spacing w:line="500" w:lineRule="exact"/>
        <w:jc w:val="both"/>
        <w:rPr>
          <w:rFonts w:hint="eastAsia" w:ascii="仿宋" w:hAnsi="仿宋" w:eastAsia="仿宋" w:cs="仿宋"/>
          <w:kern w:val="0"/>
          <w:sz w:val="36"/>
          <w:szCs w:val="36"/>
          <w:lang w:val="zh-CN" w:eastAsia="zh-CN" w:bidi="zh-CN"/>
        </w:rPr>
      </w:pPr>
      <w:r>
        <w:rPr>
          <w:rFonts w:hint="eastAsia" w:ascii="仿宋" w:hAnsi="仿宋" w:eastAsia="仿宋" w:cs="仿宋"/>
          <w:kern w:val="0"/>
          <w:sz w:val="36"/>
          <w:szCs w:val="36"/>
          <w:lang w:val="zh-CN" w:eastAsia="zh-CN" w:bidi="zh-CN"/>
        </w:rPr>
        <w:t>附  件</w:t>
      </w:r>
    </w:p>
    <w:p>
      <w:pPr>
        <w:spacing w:line="500" w:lineRule="exact"/>
        <w:ind w:firstLine="640" w:firstLineChars="200"/>
        <w:jc w:val="center"/>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洛阳市政府采购供应商信用承诺函</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致</w:t>
      </w:r>
      <w:r>
        <w:rPr>
          <w:rFonts w:hint="eastAsia" w:ascii="仿宋" w:hAnsi="仿宋" w:eastAsia="仿宋" w:cs="仿宋"/>
          <w:kern w:val="0"/>
          <w:sz w:val="24"/>
          <w:szCs w:val="24"/>
          <w:u w:val="single"/>
          <w:lang w:val="zh-CN" w:eastAsia="zh-CN" w:bidi="zh-CN"/>
        </w:rPr>
        <w:t xml:space="preserve">  （采购人或采购代理机构）</w:t>
      </w:r>
      <w:r>
        <w:rPr>
          <w:rFonts w:hint="eastAsia" w:ascii="仿宋" w:hAnsi="仿宋" w:eastAsia="仿宋" w:cs="仿宋"/>
          <w:kern w:val="0"/>
          <w:sz w:val="24"/>
          <w:szCs w:val="24"/>
          <w:lang w:val="zh-CN" w:eastAsia="zh-CN" w:bidi="zh-CN"/>
        </w:rPr>
        <w:t xml:space="preserve">  ：</w:t>
      </w:r>
    </w:p>
    <w:p>
      <w:pPr>
        <w:spacing w:line="500" w:lineRule="exact"/>
        <w:ind w:firstLine="480" w:firstLineChars="200"/>
        <w:rPr>
          <w:rFonts w:hint="eastAsia" w:ascii="仿宋" w:hAnsi="仿宋" w:eastAsia="仿宋" w:cs="仿宋"/>
          <w:sz w:val="28"/>
          <w:szCs w:val="28"/>
        </w:rPr>
      </w:pPr>
      <w:r>
        <w:rPr>
          <w:rFonts w:hint="eastAsia" w:ascii="仿宋" w:hAnsi="仿宋" w:eastAsia="仿宋" w:cs="仿宋"/>
          <w:kern w:val="0"/>
          <w:sz w:val="24"/>
          <w:szCs w:val="24"/>
          <w:lang w:val="zh-CN" w:eastAsia="zh-CN" w:bidi="zh-CN"/>
        </w:rPr>
        <w:t>单位名称（自然人姓名）：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00" w:lineRule="exact"/>
        <w:ind w:firstLine="480" w:firstLineChars="200"/>
        <w:rPr>
          <w:rFonts w:hint="eastAsia" w:ascii="仿宋" w:hAnsi="仿宋" w:eastAsia="仿宋" w:cs="仿宋"/>
          <w:sz w:val="28"/>
          <w:szCs w:val="28"/>
        </w:rPr>
      </w:pPr>
      <w:r>
        <w:rPr>
          <w:rFonts w:hint="eastAsia" w:ascii="仿宋" w:hAnsi="仿宋" w:eastAsia="仿宋" w:cs="仿宋"/>
          <w:kern w:val="0"/>
          <w:sz w:val="24"/>
          <w:szCs w:val="24"/>
          <w:lang w:val="zh-CN" w:eastAsia="zh-CN" w:bidi="zh-CN"/>
        </w:rPr>
        <w:t>统一社会信用代码（身份证号码）：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00" w:lineRule="exact"/>
        <w:ind w:firstLine="480" w:firstLineChars="200"/>
        <w:rPr>
          <w:rFonts w:hint="eastAsia" w:ascii="仿宋" w:hAnsi="仿宋" w:eastAsia="仿宋" w:cs="仿宋"/>
          <w:sz w:val="28"/>
          <w:szCs w:val="28"/>
        </w:rPr>
      </w:pPr>
      <w:r>
        <w:rPr>
          <w:rFonts w:hint="eastAsia" w:ascii="仿宋" w:hAnsi="仿宋" w:eastAsia="仿宋" w:cs="仿宋"/>
          <w:kern w:val="0"/>
          <w:sz w:val="24"/>
          <w:szCs w:val="24"/>
          <w:lang w:val="zh-CN" w:eastAsia="zh-CN" w:bidi="zh-CN"/>
        </w:rPr>
        <w:t>法定代表人（负责人）：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00" w:lineRule="exact"/>
        <w:ind w:firstLine="480" w:firstLineChars="200"/>
        <w:rPr>
          <w:rFonts w:hint="eastAsia" w:ascii="仿宋" w:hAnsi="仿宋" w:eastAsia="仿宋" w:cs="仿宋"/>
          <w:sz w:val="28"/>
          <w:szCs w:val="28"/>
        </w:rPr>
      </w:pPr>
      <w:r>
        <w:rPr>
          <w:rFonts w:hint="eastAsia" w:ascii="仿宋" w:hAnsi="仿宋" w:eastAsia="仿宋" w:cs="仿宋"/>
          <w:kern w:val="0"/>
          <w:sz w:val="24"/>
          <w:szCs w:val="24"/>
          <w:lang w:val="zh-CN" w:eastAsia="zh-CN" w:bidi="zh-CN"/>
        </w:rPr>
        <w:t>联系地址和电话：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为维护公平、公正、公开的政府采购市场秩序，树立诚实守信的政府采购供应商形象，我单位（本人）自愿作出以下承诺：</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（一）具有独立承担民事责任的能力；</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（二）具有良好的商业信誉和健全的财务会计制度；</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（三）具有履行合同所必需的设备和专业技术能力；</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（四）有依法缴纳税收和社会保障资金的良好记录；</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（五）参加政府采购活动前三年内，在经营活动中没有重大违法记录；</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（六）未被列入经营异常名录或者严重违法失信名单、失信被执行人、重大税收违法案件当事人名单、政府采购严重违法失信行为记录名单；</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（七）未被相关监管部门作出行政处罚且尚在处罚有效期内；</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（八）未曾作出虚假采购承诺；</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（九）符合法律、行政法规规定的其他条件。</w:t>
      </w:r>
    </w:p>
    <w:p>
      <w:pPr>
        <w:adjustRightInd w:val="0"/>
        <w:snapToGrid w:val="0"/>
        <w:spacing w:line="500" w:lineRule="exact"/>
        <w:ind w:firstLine="480" w:firstLineChars="2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djustRightInd w:val="0"/>
        <w:snapToGrid w:val="0"/>
        <w:spacing w:before="155" w:beforeLines="50" w:line="400" w:lineRule="exact"/>
        <w:rPr>
          <w:rFonts w:hint="eastAsia" w:ascii="仿宋" w:hAnsi="仿宋" w:eastAsia="仿宋" w:cs="仿宋"/>
          <w:kern w:val="0"/>
          <w:sz w:val="24"/>
          <w:szCs w:val="24"/>
          <w:lang w:val="zh-CN" w:eastAsia="zh-CN" w:bidi="zh-CN"/>
        </w:rPr>
      </w:pPr>
    </w:p>
    <w:p>
      <w:pPr>
        <w:adjustRightInd w:val="0"/>
        <w:snapToGrid w:val="0"/>
        <w:spacing w:before="155" w:beforeLines="50" w:line="500" w:lineRule="exact"/>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 xml:space="preserve">投标人（电子章）： </w:t>
      </w:r>
    </w:p>
    <w:p>
      <w:pPr>
        <w:adjustRightInd w:val="0"/>
        <w:snapToGrid w:val="0"/>
        <w:spacing w:before="155" w:beforeLines="50" w:line="500" w:lineRule="exact"/>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 xml:space="preserve">法定代表人、负责人、本人、或授权代表(签字或电子印章)： </w:t>
      </w:r>
    </w:p>
    <w:p>
      <w:pPr>
        <w:adjustRightInd w:val="0"/>
        <w:snapToGrid w:val="0"/>
        <w:spacing w:before="155" w:beforeLines="50" w:line="500" w:lineRule="exact"/>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 xml:space="preserve">日期：    年    月   日 </w:t>
      </w:r>
    </w:p>
    <w:p>
      <w:pPr>
        <w:adjustRightInd w:val="0"/>
        <w:snapToGrid w:val="0"/>
        <w:spacing w:before="155" w:beforeLines="50" w:line="460" w:lineRule="exact"/>
        <w:ind w:firstLine="480" w:firstLineChars="200"/>
        <w:rPr>
          <w:rFonts w:hint="eastAsia" w:ascii="仿宋" w:hAnsi="仿宋" w:eastAsia="仿宋" w:cs="仿宋"/>
          <w:kern w:val="0"/>
          <w:sz w:val="24"/>
          <w:szCs w:val="24"/>
          <w:lang w:val="zh-CN" w:eastAsia="zh-CN" w:bidi="zh-CN"/>
        </w:rPr>
      </w:pPr>
    </w:p>
    <w:p>
      <w:pPr>
        <w:spacing w:line="400" w:lineRule="exact"/>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注：1.投标人须在投标文件中按此模板提供承诺函，未提供视为未实质性响应招标文件要求，按无效投标处理。</w:t>
      </w:r>
    </w:p>
    <w:p>
      <w:pPr>
        <w:spacing w:line="400" w:lineRule="exact"/>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 xml:space="preserve">2.投标人的法定代表人或者授权代表的签字或盖章应真实、有效，如由授权代表签字或盖章的，应提供“法定代表人授权书”。 </w:t>
      </w:r>
    </w:p>
    <w:p>
      <w:pPr>
        <w:pStyle w:val="9"/>
        <w:rPr>
          <w:rFonts w:hint="eastAsia" w:ascii="仿宋" w:hAnsi="仿宋" w:eastAsia="仿宋" w:cs="仿宋"/>
          <w:sz w:val="24"/>
        </w:rPr>
        <w:sectPr>
          <w:pgSz w:w="11907" w:h="16840"/>
          <w:pgMar w:top="1440" w:right="1080" w:bottom="1440" w:left="1080" w:header="680" w:footer="680" w:gutter="0"/>
          <w:pgNumType w:fmt="decimal"/>
          <w:cols w:space="720" w:num="1"/>
        </w:sectPr>
      </w:pPr>
    </w:p>
    <w:p>
      <w:pPr>
        <w:spacing w:before="6" w:line="360" w:lineRule="auto"/>
        <w:ind w:left="100"/>
        <w:rPr>
          <w:rFonts w:hint="eastAsia" w:ascii="仿宋" w:hAnsi="仿宋" w:eastAsia="仿宋" w:cs="仿宋"/>
          <w:kern w:val="0"/>
          <w:sz w:val="24"/>
          <w:szCs w:val="24"/>
          <w:lang w:val="zh-CN" w:eastAsia="zh-CN" w:bidi="zh-CN"/>
        </w:rPr>
      </w:pPr>
      <w:r>
        <w:rPr>
          <w:rFonts w:hint="eastAsia" w:ascii="仿宋" w:hAnsi="仿宋" w:eastAsia="仿宋" w:cs="仿宋"/>
          <w:kern w:val="0"/>
          <w:sz w:val="24"/>
          <w:szCs w:val="24"/>
          <w:lang w:val="zh-CN" w:eastAsia="zh-CN" w:bidi="zh-CN"/>
        </w:rPr>
        <w:t>（三）</w:t>
      </w:r>
      <w:r>
        <w:rPr>
          <w:rFonts w:hint="eastAsia" w:ascii="仿宋" w:hAnsi="仿宋" w:eastAsia="仿宋" w:cs="仿宋"/>
          <w:color w:val="0000FF"/>
          <w:kern w:val="0"/>
          <w:sz w:val="24"/>
          <w:szCs w:val="24"/>
          <w:lang w:val="zh-CN" w:eastAsia="zh-CN" w:bidi="zh-CN"/>
        </w:rPr>
        <w:t>企业20</w:t>
      </w:r>
      <w:r>
        <w:rPr>
          <w:rFonts w:hint="eastAsia" w:ascii="仿宋" w:hAnsi="仿宋" w:eastAsia="仿宋" w:cs="仿宋"/>
          <w:color w:val="0000FF"/>
          <w:kern w:val="0"/>
          <w:sz w:val="24"/>
          <w:szCs w:val="24"/>
          <w:lang w:val="en-US" w:eastAsia="zh-CN" w:bidi="zh-CN"/>
        </w:rPr>
        <w:t>20</w:t>
      </w:r>
      <w:r>
        <w:rPr>
          <w:rFonts w:hint="eastAsia" w:ascii="仿宋" w:hAnsi="仿宋" w:eastAsia="仿宋" w:cs="仿宋"/>
          <w:color w:val="0000FF"/>
          <w:kern w:val="0"/>
          <w:sz w:val="24"/>
          <w:szCs w:val="24"/>
          <w:lang w:val="zh-CN" w:eastAsia="zh-CN" w:bidi="zh-CN"/>
        </w:rPr>
        <w:t>年</w:t>
      </w:r>
      <w:r>
        <w:rPr>
          <w:rFonts w:hint="eastAsia" w:ascii="仿宋" w:hAnsi="仿宋" w:eastAsia="仿宋" w:cs="仿宋"/>
          <w:color w:val="0000FF"/>
          <w:kern w:val="0"/>
          <w:sz w:val="24"/>
          <w:szCs w:val="24"/>
          <w:lang w:val="en-US" w:eastAsia="zh-CN" w:bidi="zh-CN"/>
        </w:rPr>
        <w:t>1</w:t>
      </w:r>
      <w:r>
        <w:rPr>
          <w:rFonts w:hint="eastAsia" w:ascii="仿宋" w:hAnsi="仿宋" w:eastAsia="仿宋" w:cs="仿宋"/>
          <w:color w:val="0000FF"/>
          <w:kern w:val="0"/>
          <w:sz w:val="24"/>
          <w:szCs w:val="24"/>
          <w:lang w:val="zh-CN" w:eastAsia="zh-CN" w:bidi="zh-CN"/>
        </w:rPr>
        <w:t>月1日以来完成的类似项目情况表</w:t>
      </w:r>
    </w:p>
    <w:tbl>
      <w:tblPr>
        <w:tblStyle w:val="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0"/>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合同名称</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合同项目所在地</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发包人名称</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发包人地址</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发包人电话</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签约合同价</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开工日期</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完工日期</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承担的工作</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工程质量</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技术负责人</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监理人或总监理工程师以及电话</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合同项目描述</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exact"/>
        </w:trPr>
        <w:tc>
          <w:tcPr>
            <w:tcW w:w="3560" w:type="dxa"/>
            <w:noWrap w:val="0"/>
            <w:vAlign w:val="center"/>
          </w:tcPr>
          <w:p>
            <w:pPr>
              <w:pStyle w:val="34"/>
              <w:keepNext w:val="0"/>
              <w:keepLines w:val="0"/>
              <w:pageBreakBefore w:val="0"/>
              <w:widowControl w:val="0"/>
              <w:kinsoku/>
              <w:wordWrap/>
              <w:overflowPunct/>
              <w:topLinePunct w:val="0"/>
              <w:bidi w:val="0"/>
              <w:adjustRightInd/>
              <w:snapToGrid/>
              <w:spacing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6200" w:type="dxa"/>
            <w:noWrap w:val="0"/>
            <w:vAlign w:val="top"/>
          </w:tcPr>
          <w:p>
            <w:pPr>
              <w:keepNext w:val="0"/>
              <w:keepLines w:val="0"/>
              <w:pageBreakBefore w:val="0"/>
              <w:widowControl w:val="0"/>
              <w:kinsoku/>
              <w:wordWrap/>
              <w:overflowPunct/>
              <w:topLinePunct w:val="0"/>
              <w:bidi w:val="0"/>
              <w:adjustRightInd/>
              <w:snapToGrid/>
              <w:spacing w:line="400" w:lineRule="exact"/>
              <w:ind w:left="0" w:right="0"/>
              <w:textAlignment w:val="auto"/>
              <w:rPr>
                <w:rFonts w:hint="eastAsia" w:ascii="仿宋" w:hAnsi="仿宋" w:eastAsia="仿宋" w:cs="仿宋"/>
                <w:sz w:val="24"/>
              </w:rPr>
            </w:pPr>
          </w:p>
        </w:tc>
      </w:tr>
    </w:tbl>
    <w:p>
      <w:pPr>
        <w:spacing w:before="63" w:line="360" w:lineRule="auto"/>
        <w:ind w:left="100"/>
        <w:jc w:val="left"/>
        <w:rPr>
          <w:rFonts w:hint="eastAsia" w:ascii="仿宋" w:hAnsi="仿宋" w:eastAsia="仿宋" w:cs="仿宋"/>
          <w:sz w:val="24"/>
          <w:highlight w:val="none"/>
        </w:rPr>
        <w:sectPr>
          <w:pgSz w:w="11907" w:h="16840"/>
          <w:pgMar w:top="1440" w:right="1080" w:bottom="1440" w:left="1080" w:header="680" w:footer="680" w:gutter="0"/>
          <w:pgNumType w:fmt="decimal"/>
          <w:cols w:space="720" w:num="1"/>
        </w:sectPr>
      </w:pPr>
      <w:r>
        <w:rPr>
          <w:rFonts w:hint="eastAsia" w:ascii="仿宋" w:hAnsi="仿宋" w:eastAsia="仿宋" w:cs="仿宋"/>
          <w:b/>
          <w:sz w:val="24"/>
          <w:highlight w:val="none"/>
        </w:rPr>
        <w:t>注：后附中标通知书、施工合同。</w:t>
      </w:r>
    </w:p>
    <w:p>
      <w:pPr>
        <w:numPr>
          <w:ilvl w:val="0"/>
          <w:numId w:val="0"/>
        </w:numPr>
        <w:autoSpaceDE w:val="0"/>
        <w:autoSpaceDN w:val="0"/>
        <w:spacing w:before="2" w:line="360" w:lineRule="auto"/>
        <w:ind w:right="15" w:rightChars="0"/>
        <w:jc w:val="center"/>
        <w:rPr>
          <w:rFonts w:hint="eastAsia" w:ascii="仿宋" w:hAnsi="仿宋" w:eastAsia="仿宋" w:cs="仿宋"/>
          <w:bCs/>
          <w:sz w:val="24"/>
        </w:rPr>
      </w:pPr>
      <w:bookmarkStart w:id="846" w:name="_bookmark31"/>
      <w:bookmarkEnd w:id="846"/>
      <w:bookmarkStart w:id="847" w:name="_Toc10315"/>
      <w:bookmarkStart w:id="848" w:name="_Toc27389"/>
      <w:r>
        <w:rPr>
          <w:rFonts w:hint="eastAsia" w:ascii="仿宋" w:hAnsi="仿宋" w:eastAsia="仿宋" w:cs="仿宋"/>
          <w:bCs/>
          <w:sz w:val="24"/>
          <w:lang w:eastAsia="zh-CN"/>
        </w:rPr>
        <w:t>（四）</w:t>
      </w:r>
      <w:r>
        <w:rPr>
          <w:rFonts w:hint="eastAsia" w:ascii="仿宋" w:hAnsi="仿宋" w:eastAsia="仿宋" w:cs="仿宋"/>
          <w:bCs/>
          <w:sz w:val="24"/>
        </w:rPr>
        <w:t>投标人其他资格证明材料</w:t>
      </w:r>
      <w:bookmarkEnd w:id="847"/>
      <w:bookmarkEnd w:id="848"/>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spacing w:line="360" w:lineRule="auto"/>
        <w:rPr>
          <w:rFonts w:hint="eastAsia" w:ascii="仿宋" w:hAnsi="仿宋" w:eastAsia="仿宋" w:cs="仿宋"/>
          <w:b/>
          <w:sz w:val="24"/>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10"/>
        <w:rPr>
          <w:rFonts w:hint="eastAsia" w:ascii="仿宋" w:hAnsi="仿宋" w:eastAsia="仿宋" w:cs="仿宋"/>
          <w:b/>
          <w:szCs w:val="28"/>
        </w:rPr>
      </w:pPr>
    </w:p>
    <w:p>
      <w:pPr>
        <w:pStyle w:val="4"/>
        <w:keepNext w:val="0"/>
        <w:keepLines w:val="0"/>
        <w:autoSpaceDE w:val="0"/>
        <w:autoSpaceDN w:val="0"/>
        <w:spacing w:before="0" w:after="0" w:line="518" w:lineRule="exact"/>
        <w:ind w:left="396"/>
        <w:jc w:val="center"/>
        <w:rPr>
          <w:rFonts w:hint="eastAsia" w:ascii="仿宋" w:hAnsi="仿宋" w:eastAsia="仿宋" w:cs="仿宋"/>
          <w:sz w:val="28"/>
          <w:szCs w:val="28"/>
        </w:rPr>
      </w:pPr>
      <w:bookmarkStart w:id="849" w:name="_Toc6210"/>
      <w:r>
        <w:rPr>
          <w:rFonts w:hint="eastAsia" w:ascii="仿宋" w:hAnsi="仿宋" w:eastAsia="仿宋" w:cs="仿宋"/>
          <w:sz w:val="28"/>
          <w:szCs w:val="28"/>
        </w:rPr>
        <w:t>九、投标人认为有必要提供的其他资</w:t>
      </w:r>
      <w:bookmarkEnd w:id="849"/>
      <w:r>
        <w:rPr>
          <w:rFonts w:hint="eastAsia" w:ascii="仿宋" w:hAnsi="仿宋" w:eastAsia="仿宋" w:cs="仿宋"/>
          <w:sz w:val="28"/>
          <w:szCs w:val="28"/>
        </w:rPr>
        <w:t>料</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1"/>
          <w:szCs w:val="21"/>
          <w:lang w:val="en-US" w:eastAsia="zh-CN"/>
        </w:rPr>
      </w:pPr>
      <w:bookmarkStart w:id="850" w:name="_bookmark32"/>
      <w:bookmarkEnd w:id="850"/>
      <w:bookmarkStart w:id="851" w:name="第八章__图纸"/>
      <w:bookmarkEnd w:id="851"/>
      <w:bookmarkStart w:id="852" w:name="_Toc12735"/>
      <w:bookmarkStart w:id="853" w:name="_Toc25745"/>
      <w:bookmarkStart w:id="854" w:name="_Toc4093"/>
      <w:r>
        <w:rPr>
          <w:rFonts w:hint="eastAsia" w:ascii="仿宋" w:hAnsi="仿宋" w:eastAsia="仿宋" w:cs="仿宋"/>
          <w:sz w:val="32"/>
          <w:szCs w:val="32"/>
          <w:lang w:val="en-US" w:eastAsia="zh-CN"/>
        </w:rPr>
        <w:t>政府采购政策部分</w:t>
      </w:r>
      <w:bookmarkEnd w:id="852"/>
      <w:bookmarkEnd w:id="853"/>
    </w:p>
    <w:bookmarkEnd w:id="854"/>
    <w:p>
      <w:pPr>
        <w:pStyle w:val="39"/>
        <w:ind w:left="3240"/>
        <w:rPr>
          <w:rFonts w:hint="eastAsia" w:ascii="仿宋" w:hAnsi="仿宋" w:eastAsia="仿宋" w:cs="仿宋"/>
          <w:caps w:val="0"/>
          <w:smallCaps w:val="0"/>
          <w:spacing w:val="0"/>
          <w:w w:val="100"/>
        </w:rPr>
      </w:pPr>
      <w:r>
        <w:rPr>
          <w:rFonts w:hint="eastAsia" w:ascii="仿宋" w:hAnsi="仿宋" w:eastAsia="仿宋" w:cs="仿宋"/>
          <w:caps w:val="0"/>
          <w:smallCaps w:val="0"/>
          <w:spacing w:val="0"/>
          <w:w w:val="100"/>
        </w:rPr>
        <w:t>中小企业声明函（工程）</w:t>
      </w: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本公司（联合体）郑重声明，根据《政府采购促进中小企业发展管理办法》（财库﹝2020﹞46  号）的规定，本公司（联合体）参加</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（单位名称）</w:t>
      </w:r>
      <w:r>
        <w:rPr>
          <w:rFonts w:hint="eastAsia" w:ascii="仿宋" w:hAnsi="仿宋" w:eastAsia="仿宋" w:cs="仿宋"/>
          <w:caps w:val="0"/>
          <w:smallCaps w:val="0"/>
          <w:spacing w:val="0"/>
          <w:w w:val="100"/>
          <w:sz w:val="24"/>
          <w:szCs w:val="24"/>
        </w:rPr>
        <w:t>的</w:t>
      </w:r>
      <w:r>
        <w:rPr>
          <w:rFonts w:hint="eastAsia" w:ascii="仿宋" w:hAnsi="仿宋" w:eastAsia="仿宋" w:cs="仿宋"/>
          <w:caps w:val="0"/>
          <w:smallCaps w:val="0"/>
          <w:spacing w:val="0"/>
          <w:w w:val="100"/>
          <w:sz w:val="24"/>
          <w:szCs w:val="24"/>
          <w:u w:val="single"/>
        </w:rPr>
        <w:t xml:space="preserve">  （项目名称）</w:t>
      </w:r>
      <w:r>
        <w:rPr>
          <w:rFonts w:hint="eastAsia" w:ascii="仿宋" w:hAnsi="仿宋" w:eastAsia="仿宋" w:cs="仿宋"/>
          <w:caps w:val="0"/>
          <w:smallCaps w:val="0"/>
          <w:spacing w:val="0"/>
          <w:w w:val="100"/>
          <w:sz w:val="24"/>
          <w:szCs w:val="24"/>
        </w:rPr>
        <w:t>采购活动，工程的施工单位全部为符合政策要求的中小企业。相关企业（含联合体中的中小企业、签订分包意向协议的中小企业）的具体情况如下：</w:t>
      </w:r>
    </w:p>
    <w:p>
      <w:pPr>
        <w:pStyle w:val="43"/>
        <w:tabs>
          <w:tab w:val="left" w:pos="883"/>
          <w:tab w:val="left" w:pos="2293"/>
          <w:tab w:val="left" w:pos="2383"/>
          <w:tab w:val="left" w:pos="4967"/>
          <w:tab w:val="left" w:pos="5567"/>
          <w:tab w:val="left" w:pos="7895"/>
        </w:tabs>
        <w:spacing w:line="460" w:lineRule="exact"/>
        <w:ind w:firstLine="418"/>
        <w:jc w:val="left"/>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lang w:val="en-US" w:eastAsia="zh-CN"/>
        </w:rPr>
        <w:t>1.</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（标的名称）</w:t>
      </w:r>
      <w:r>
        <w:rPr>
          <w:rFonts w:hint="eastAsia" w:ascii="仿宋" w:hAnsi="仿宋" w:eastAsia="仿宋" w:cs="仿宋"/>
          <w:caps w:val="0"/>
          <w:smallCaps w:val="0"/>
          <w:spacing w:val="0"/>
          <w:w w:val="100"/>
          <w:sz w:val="24"/>
          <w:szCs w:val="24"/>
        </w:rPr>
        <w:t xml:space="preserve"> ，属于</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（采购文件中明确的所属行业）</w:t>
      </w:r>
      <w:r>
        <w:rPr>
          <w:rFonts w:hint="eastAsia" w:ascii="仿宋" w:hAnsi="仿宋" w:eastAsia="仿宋" w:cs="仿宋"/>
          <w:caps w:val="0"/>
          <w:smallCaps w:val="0"/>
          <w:spacing w:val="0"/>
          <w:w w:val="100"/>
          <w:sz w:val="24"/>
          <w:szCs w:val="24"/>
        </w:rPr>
        <w:t>；承建（承接） 企业为</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（企业名称）</w:t>
      </w:r>
      <w:r>
        <w:rPr>
          <w:rFonts w:hint="eastAsia" w:ascii="仿宋" w:hAnsi="仿宋" w:eastAsia="仿宋" w:cs="仿宋"/>
          <w:caps w:val="0"/>
          <w:smallCaps w:val="0"/>
          <w:spacing w:val="0"/>
          <w:w w:val="100"/>
          <w:sz w:val="24"/>
          <w:szCs w:val="24"/>
        </w:rPr>
        <w:t>，从业人员</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rPr>
        <w:t>人，营业收入为</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rPr>
        <w:t>万元，资产总额为万元，属于</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rPr>
        <w:t>（中型企业、小型企业、微型企业）；</w:t>
      </w:r>
    </w:p>
    <w:p>
      <w:pPr>
        <w:pStyle w:val="43"/>
        <w:tabs>
          <w:tab w:val="left" w:pos="883"/>
          <w:tab w:val="left" w:pos="2293"/>
          <w:tab w:val="left" w:pos="2383"/>
          <w:tab w:val="left" w:pos="4922"/>
          <w:tab w:val="left" w:pos="5567"/>
          <w:tab w:val="left" w:pos="7895"/>
        </w:tabs>
        <w:spacing w:line="460" w:lineRule="exact"/>
        <w:ind w:firstLine="418"/>
        <w:jc w:val="left"/>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lang w:val="en-US" w:eastAsia="zh-CN"/>
        </w:rPr>
        <w:t>2.</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 xml:space="preserve"> （标的名称）</w:t>
      </w:r>
      <w:r>
        <w:rPr>
          <w:rFonts w:hint="eastAsia" w:ascii="仿宋" w:hAnsi="仿宋" w:eastAsia="仿宋" w:cs="仿宋"/>
          <w:caps w:val="0"/>
          <w:smallCaps w:val="0"/>
          <w:spacing w:val="0"/>
          <w:w w:val="100"/>
          <w:sz w:val="24"/>
          <w:szCs w:val="24"/>
        </w:rPr>
        <w:t>，属于</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（采购文件中明确的所属行业）</w:t>
      </w:r>
      <w:r>
        <w:rPr>
          <w:rFonts w:hint="eastAsia" w:ascii="仿宋" w:hAnsi="仿宋" w:eastAsia="仿宋" w:cs="仿宋"/>
          <w:caps w:val="0"/>
          <w:smallCaps w:val="0"/>
          <w:spacing w:val="0"/>
          <w:w w:val="100"/>
          <w:sz w:val="24"/>
          <w:szCs w:val="24"/>
        </w:rPr>
        <w:t>；承建（承接） 企业为</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（企业名称）</w:t>
      </w:r>
      <w:r>
        <w:rPr>
          <w:rFonts w:hint="eastAsia" w:ascii="仿宋" w:hAnsi="仿宋" w:eastAsia="仿宋" w:cs="仿宋"/>
          <w:caps w:val="0"/>
          <w:smallCaps w:val="0"/>
          <w:spacing w:val="0"/>
          <w:w w:val="100"/>
          <w:sz w:val="24"/>
          <w:szCs w:val="24"/>
        </w:rPr>
        <w:t>，从业人员</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rPr>
        <w:t>人，营业收入为</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rPr>
        <w:t>万元，资产总额为万元，属于</w:t>
      </w:r>
      <w:r>
        <w:rPr>
          <w:rFonts w:hint="eastAsia" w:ascii="仿宋" w:hAnsi="仿宋" w:eastAsia="仿宋" w:cs="仿宋"/>
          <w:caps w:val="0"/>
          <w:smallCaps w:val="0"/>
          <w:spacing w:val="0"/>
          <w:w w:val="100"/>
          <w:sz w:val="24"/>
          <w:szCs w:val="24"/>
          <w:u w:val="single"/>
        </w:rPr>
        <w:t xml:space="preserve"> </w:t>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u w:val="single"/>
        </w:rPr>
        <w:tab/>
      </w:r>
      <w:r>
        <w:rPr>
          <w:rFonts w:hint="eastAsia" w:ascii="仿宋" w:hAnsi="仿宋" w:eastAsia="仿宋" w:cs="仿宋"/>
          <w:caps w:val="0"/>
          <w:smallCaps w:val="0"/>
          <w:spacing w:val="0"/>
          <w:w w:val="100"/>
          <w:sz w:val="24"/>
          <w:szCs w:val="24"/>
        </w:rPr>
        <w:t>（中型企业、小型企业、微型企业）；</w:t>
      </w: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w:t>
      </w: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以上企业，不属于大企业的分支机构，不存在控股股东为大企业的情形，也不存在与大企业的负责人为同一人的情形。</w:t>
      </w: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本企业对上述声明内容的真实性负责。如有虚假，将依法承担相应责任。</w:t>
      </w:r>
    </w:p>
    <w:p>
      <w:pPr>
        <w:pStyle w:val="28"/>
        <w:spacing w:line="460" w:lineRule="exact"/>
        <w:ind w:firstLine="480" w:firstLineChars="200"/>
        <w:rPr>
          <w:rFonts w:hint="eastAsia" w:ascii="仿宋" w:hAnsi="仿宋" w:eastAsia="仿宋" w:cs="仿宋"/>
          <w:caps w:val="0"/>
          <w:smallCaps w:val="0"/>
          <w:spacing w:val="0"/>
          <w:w w:val="100"/>
          <w:sz w:val="24"/>
          <w:szCs w:val="24"/>
        </w:rPr>
      </w:pP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 xml:space="preserve">企业名称（电子签章）： </w:t>
      </w: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日 期：</w:t>
      </w:r>
    </w:p>
    <w:p>
      <w:pPr>
        <w:pStyle w:val="28"/>
        <w:spacing w:line="460" w:lineRule="exact"/>
        <w:ind w:firstLine="480" w:firstLineChars="200"/>
        <w:rPr>
          <w:rFonts w:hint="eastAsia" w:ascii="仿宋" w:hAnsi="仿宋" w:eastAsia="仿宋" w:cs="仿宋"/>
          <w:caps w:val="0"/>
          <w:smallCaps w:val="0"/>
          <w:spacing w:val="0"/>
          <w:w w:val="100"/>
          <w:sz w:val="24"/>
          <w:szCs w:val="24"/>
        </w:rPr>
      </w:pPr>
    </w:p>
    <w:p>
      <w:pPr>
        <w:pStyle w:val="28"/>
        <w:spacing w:line="460" w:lineRule="exact"/>
        <w:ind w:firstLine="480" w:firstLineChars="200"/>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注：</w:t>
      </w:r>
    </w:p>
    <w:p>
      <w:pPr>
        <w:pStyle w:val="43"/>
        <w:numPr>
          <w:ilvl w:val="0"/>
          <w:numId w:val="11"/>
        </w:numPr>
        <w:tabs>
          <w:tab w:val="left" w:pos="883"/>
        </w:tabs>
        <w:spacing w:line="460" w:lineRule="exact"/>
        <w:ind w:left="-274" w:leftChars="0" w:firstLine="418" w:firstLineChars="0"/>
        <w:jc w:val="left"/>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从业人员、营业收入、资产总额填报上一年度数据，无上一年度数据的新成立企业可不填报。</w:t>
      </w:r>
    </w:p>
    <w:p>
      <w:pPr>
        <w:pStyle w:val="43"/>
        <w:numPr>
          <w:ilvl w:val="0"/>
          <w:numId w:val="11"/>
        </w:numPr>
        <w:tabs>
          <w:tab w:val="left" w:pos="403"/>
        </w:tabs>
        <w:spacing w:line="460" w:lineRule="exact"/>
        <w:ind w:left="-274" w:leftChars="0" w:firstLine="418" w:firstLineChars="0"/>
        <w:jc w:val="left"/>
        <w:rPr>
          <w:rFonts w:hint="eastAsia" w:ascii="仿宋" w:hAnsi="仿宋" w:eastAsia="仿宋" w:cs="仿宋"/>
          <w:caps w:val="0"/>
          <w:smallCaps w:val="0"/>
          <w:spacing w:val="0"/>
          <w:w w:val="100"/>
          <w:sz w:val="24"/>
          <w:szCs w:val="24"/>
        </w:rPr>
      </w:pPr>
      <w:r>
        <w:rPr>
          <w:rFonts w:hint="eastAsia" w:ascii="仿宋" w:hAnsi="仿宋" w:eastAsia="仿宋" w:cs="仿宋"/>
          <w:caps w:val="0"/>
          <w:smallCaps w:val="0"/>
          <w:spacing w:val="0"/>
          <w:w w:val="100"/>
          <w:sz w:val="24"/>
          <w:szCs w:val="24"/>
        </w:rPr>
        <w:t>供应商提供声明函内容不实的，属于提供虚假材料谋取中标、成交，依照《中华人民共和国政府采购法》等国家有关规定追究相应责任。</w:t>
      </w:r>
    </w:p>
    <w:p>
      <w:pPr>
        <w:jc w:val="left"/>
        <w:rPr>
          <w:rFonts w:hint="eastAsia" w:ascii="仿宋" w:hAnsi="仿宋" w:eastAsia="仿宋" w:cs="仿宋"/>
          <w:b/>
          <w:bCs/>
          <w:sz w:val="28"/>
          <w:szCs w:val="28"/>
          <w:highlight w:val="none"/>
          <w:lang w:val="en-US" w:eastAsia="zh-CN"/>
        </w:rPr>
      </w:pPr>
    </w:p>
    <w:p>
      <w:pPr>
        <w:pStyle w:val="18"/>
        <w:rPr>
          <w:rFonts w:hint="eastAsia" w:ascii="仿宋" w:hAnsi="仿宋" w:eastAsia="仿宋" w:cs="仿宋"/>
          <w:b/>
          <w:bCs/>
          <w:sz w:val="28"/>
          <w:szCs w:val="28"/>
          <w:highlight w:val="none"/>
          <w:lang w:val="en-US" w:eastAsia="zh-CN"/>
        </w:rPr>
      </w:pPr>
    </w:p>
    <w:p>
      <w:pPr>
        <w:pStyle w:val="44"/>
        <w:outlineLvl w:val="2"/>
        <w:rPr>
          <w:rFonts w:hint="eastAsia" w:ascii="仿宋" w:hAnsi="仿宋" w:eastAsia="仿宋" w:cs="仿宋"/>
          <w:caps w:val="0"/>
          <w:smallCaps w:val="0"/>
          <w:spacing w:val="0"/>
          <w:w w:val="100"/>
        </w:rPr>
      </w:pPr>
      <w:bookmarkStart w:id="855" w:name="_Toc10529"/>
      <w:r>
        <w:rPr>
          <w:rFonts w:hint="eastAsia" w:ascii="仿宋" w:hAnsi="仿宋" w:eastAsia="仿宋" w:cs="仿宋"/>
          <w:caps w:val="0"/>
          <w:smallCaps w:val="0"/>
          <w:spacing w:val="0"/>
          <w:w w:val="100"/>
        </w:rPr>
        <w:t>十、残疾人福利性单位声明函</w:t>
      </w:r>
      <w:bookmarkEnd w:id="855"/>
    </w:p>
    <w:p>
      <w:pPr>
        <w:pStyle w:val="45"/>
        <w:jc w:val="center"/>
        <w:rPr>
          <w:rFonts w:hint="eastAsia" w:ascii="仿宋" w:hAnsi="仿宋" w:eastAsia="仿宋" w:cs="仿宋"/>
          <w:caps w:val="0"/>
          <w:smallCaps w:val="0"/>
          <w:spacing w:val="0"/>
          <w:w w:val="100"/>
          <w:sz w:val="21"/>
          <w:szCs w:val="21"/>
        </w:rPr>
      </w:pPr>
    </w:p>
    <w:p>
      <w:pPr>
        <w:pStyle w:val="45"/>
        <w:jc w:val="center"/>
        <w:rPr>
          <w:rFonts w:hint="eastAsia" w:ascii="仿宋" w:hAnsi="仿宋" w:eastAsia="仿宋" w:cs="仿宋"/>
          <w:caps w:val="0"/>
          <w:smallCaps w:val="0"/>
          <w:spacing w:val="0"/>
          <w:w w:val="100"/>
          <w:sz w:val="28"/>
          <w:szCs w:val="28"/>
        </w:rPr>
      </w:pPr>
      <w:r>
        <w:rPr>
          <w:rFonts w:hint="eastAsia" w:ascii="仿宋" w:hAnsi="仿宋" w:eastAsia="仿宋" w:cs="仿宋"/>
          <w:caps w:val="0"/>
          <w:smallCaps w:val="0"/>
          <w:spacing w:val="0"/>
          <w:w w:val="100"/>
          <w:sz w:val="28"/>
          <w:szCs w:val="28"/>
        </w:rPr>
        <w:t>残疾人福利性单位声明函</w:t>
      </w:r>
    </w:p>
    <w:p>
      <w:pPr>
        <w:pStyle w:val="45"/>
        <w:jc w:val="center"/>
        <w:rPr>
          <w:rFonts w:hint="eastAsia" w:ascii="仿宋" w:hAnsi="仿宋" w:eastAsia="仿宋" w:cs="仿宋"/>
          <w:caps w:val="0"/>
          <w:smallCaps w:val="0"/>
          <w:spacing w:val="0"/>
          <w:w w:val="100"/>
          <w:sz w:val="21"/>
          <w:szCs w:val="21"/>
        </w:rPr>
      </w:pPr>
    </w:p>
    <w:p>
      <w:pPr>
        <w:pStyle w:val="45"/>
        <w:ind w:firstLine="420"/>
        <w:rPr>
          <w:rFonts w:hint="eastAsia" w:ascii="仿宋" w:hAnsi="仿宋" w:eastAsia="仿宋" w:cs="仿宋"/>
          <w:caps w:val="0"/>
          <w:smallCaps w:val="0"/>
          <w:color w:val="000000"/>
          <w:spacing w:val="0"/>
          <w:w w:val="100"/>
          <w:sz w:val="21"/>
          <w:szCs w:val="21"/>
        </w:rPr>
      </w:pPr>
      <w:r>
        <w:rPr>
          <w:rFonts w:hint="eastAsia" w:ascii="仿宋" w:hAnsi="仿宋" w:eastAsia="仿宋" w:cs="仿宋"/>
          <w:caps w:val="0"/>
          <w:smallCaps w:val="0"/>
          <w:color w:val="000000"/>
          <w:spacing w:val="0"/>
          <w:w w:val="10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141号）的规定，本单位为符合条件的残疾人福利性单位，且本单位参加______单位的______项目采购活动，由本企业承担工程。</w:t>
      </w:r>
    </w:p>
    <w:p>
      <w:pPr>
        <w:pStyle w:val="45"/>
        <w:ind w:firstLine="420"/>
        <w:rPr>
          <w:rFonts w:hint="eastAsia" w:ascii="仿宋" w:hAnsi="仿宋" w:eastAsia="仿宋" w:cs="仿宋"/>
          <w:caps w:val="0"/>
          <w:smallCaps w:val="0"/>
          <w:color w:val="000000"/>
          <w:spacing w:val="0"/>
          <w:w w:val="100"/>
          <w:sz w:val="21"/>
          <w:szCs w:val="21"/>
        </w:rPr>
      </w:pPr>
      <w:r>
        <w:rPr>
          <w:rFonts w:hint="eastAsia" w:ascii="仿宋" w:hAnsi="仿宋" w:eastAsia="仿宋" w:cs="仿宋"/>
          <w:caps w:val="0"/>
          <w:smallCaps w:val="0"/>
          <w:color w:val="000000"/>
          <w:spacing w:val="0"/>
          <w:w w:val="100"/>
          <w:sz w:val="21"/>
          <w:szCs w:val="21"/>
        </w:rPr>
        <w:t>本单位对上述声明的真实性负责。如有虚假，将依法承担相应责任。</w:t>
      </w:r>
    </w:p>
    <w:p>
      <w:pPr>
        <w:pStyle w:val="45"/>
        <w:rPr>
          <w:rFonts w:hint="eastAsia" w:ascii="仿宋" w:hAnsi="仿宋" w:eastAsia="仿宋" w:cs="仿宋"/>
          <w:caps w:val="0"/>
          <w:smallCaps w:val="0"/>
          <w:color w:val="000000"/>
          <w:spacing w:val="0"/>
          <w:w w:val="100"/>
          <w:sz w:val="21"/>
          <w:szCs w:val="21"/>
        </w:rPr>
      </w:pPr>
    </w:p>
    <w:p>
      <w:pPr>
        <w:pStyle w:val="45"/>
        <w:rPr>
          <w:rFonts w:hint="eastAsia" w:ascii="仿宋" w:hAnsi="仿宋" w:eastAsia="仿宋" w:cs="仿宋"/>
          <w:caps w:val="0"/>
          <w:smallCaps w:val="0"/>
          <w:spacing w:val="0"/>
          <w:w w:val="100"/>
          <w:sz w:val="21"/>
          <w:szCs w:val="21"/>
        </w:rPr>
      </w:pPr>
    </w:p>
    <w:p>
      <w:pPr>
        <w:pStyle w:val="45"/>
        <w:rPr>
          <w:rFonts w:hint="eastAsia" w:ascii="仿宋" w:hAnsi="仿宋" w:eastAsia="仿宋" w:cs="仿宋"/>
          <w:caps w:val="0"/>
          <w:smallCaps w:val="0"/>
          <w:spacing w:val="0"/>
          <w:w w:val="100"/>
          <w:sz w:val="21"/>
          <w:szCs w:val="21"/>
        </w:rPr>
      </w:pPr>
    </w:p>
    <w:p>
      <w:pPr>
        <w:pStyle w:val="45"/>
        <w:rPr>
          <w:rFonts w:hint="eastAsia" w:ascii="仿宋" w:hAnsi="仿宋" w:eastAsia="仿宋" w:cs="仿宋"/>
          <w:caps w:val="0"/>
          <w:smallCaps w:val="0"/>
          <w:spacing w:val="0"/>
          <w:w w:val="100"/>
          <w:sz w:val="21"/>
          <w:szCs w:val="21"/>
        </w:rPr>
      </w:pPr>
      <w:r>
        <w:rPr>
          <w:rFonts w:hint="eastAsia" w:ascii="仿宋" w:hAnsi="仿宋" w:eastAsia="仿宋" w:cs="仿宋"/>
          <w:caps w:val="0"/>
          <w:smallCaps w:val="0"/>
          <w:spacing w:val="0"/>
          <w:w w:val="100"/>
          <w:sz w:val="21"/>
          <w:szCs w:val="21"/>
        </w:rPr>
        <w:t xml:space="preserve">                                            </w:t>
      </w:r>
      <w:r>
        <w:rPr>
          <w:rFonts w:hint="eastAsia" w:ascii="仿宋" w:hAnsi="仿宋" w:eastAsia="仿宋" w:cs="仿宋"/>
          <w:caps w:val="0"/>
          <w:smallCaps w:val="0"/>
          <w:spacing w:val="0"/>
          <w:w w:val="100"/>
          <w:sz w:val="21"/>
          <w:szCs w:val="21"/>
          <w:lang w:eastAsia="zh-CN"/>
        </w:rPr>
        <w:t>投标人</w:t>
      </w:r>
      <w:r>
        <w:rPr>
          <w:rFonts w:hint="eastAsia" w:ascii="仿宋" w:hAnsi="仿宋" w:eastAsia="仿宋" w:cs="仿宋"/>
          <w:caps w:val="0"/>
          <w:smallCaps w:val="0"/>
          <w:spacing w:val="0"/>
          <w:w w:val="100"/>
          <w:sz w:val="21"/>
          <w:szCs w:val="21"/>
        </w:rPr>
        <w:t>（企业电子章）：</w:t>
      </w:r>
    </w:p>
    <w:p>
      <w:pPr>
        <w:pStyle w:val="45"/>
        <w:rPr>
          <w:rFonts w:hint="eastAsia" w:ascii="仿宋" w:hAnsi="仿宋" w:eastAsia="仿宋" w:cs="仿宋"/>
          <w:caps w:val="0"/>
          <w:smallCaps w:val="0"/>
          <w:spacing w:val="0"/>
          <w:w w:val="100"/>
          <w:sz w:val="21"/>
          <w:szCs w:val="21"/>
        </w:rPr>
      </w:pPr>
    </w:p>
    <w:p>
      <w:pPr>
        <w:pStyle w:val="45"/>
        <w:rPr>
          <w:rFonts w:hint="eastAsia" w:ascii="仿宋" w:hAnsi="仿宋" w:eastAsia="仿宋" w:cs="仿宋"/>
          <w:caps w:val="0"/>
          <w:smallCaps w:val="0"/>
          <w:spacing w:val="0"/>
          <w:w w:val="100"/>
          <w:sz w:val="21"/>
          <w:szCs w:val="21"/>
        </w:rPr>
      </w:pPr>
      <w:r>
        <w:rPr>
          <w:rFonts w:hint="eastAsia" w:ascii="仿宋" w:hAnsi="仿宋" w:eastAsia="仿宋" w:cs="仿宋"/>
          <w:caps w:val="0"/>
          <w:smallCaps w:val="0"/>
          <w:spacing w:val="0"/>
          <w:w w:val="100"/>
          <w:sz w:val="21"/>
          <w:szCs w:val="21"/>
        </w:rPr>
        <w:t xml:space="preserve">                                        </w:t>
      </w:r>
    </w:p>
    <w:p>
      <w:pPr>
        <w:pStyle w:val="45"/>
        <w:rPr>
          <w:rFonts w:hint="eastAsia" w:ascii="仿宋" w:hAnsi="仿宋" w:eastAsia="仿宋" w:cs="仿宋"/>
          <w:caps w:val="0"/>
          <w:smallCaps w:val="0"/>
          <w:spacing w:val="0"/>
          <w:w w:val="100"/>
          <w:sz w:val="21"/>
          <w:szCs w:val="21"/>
        </w:rPr>
      </w:pPr>
    </w:p>
    <w:p>
      <w:pPr>
        <w:pStyle w:val="45"/>
        <w:rPr>
          <w:rFonts w:hint="eastAsia" w:ascii="仿宋" w:hAnsi="仿宋" w:eastAsia="仿宋" w:cs="仿宋"/>
          <w:caps w:val="0"/>
          <w:smallCaps w:val="0"/>
          <w:spacing w:val="0"/>
          <w:w w:val="100"/>
          <w:sz w:val="21"/>
          <w:szCs w:val="21"/>
        </w:rPr>
      </w:pPr>
    </w:p>
    <w:p>
      <w:pPr>
        <w:pStyle w:val="46"/>
        <w:outlineLvl w:val="2"/>
        <w:rPr>
          <w:rFonts w:hint="eastAsia" w:ascii="仿宋" w:hAnsi="仿宋" w:eastAsia="仿宋" w:cs="仿宋"/>
          <w:caps w:val="0"/>
          <w:smallCaps w:val="0"/>
          <w:spacing w:val="0"/>
          <w:w w:val="100"/>
        </w:rPr>
      </w:pPr>
      <w:r>
        <w:rPr>
          <w:rFonts w:hint="eastAsia" w:ascii="仿宋" w:hAnsi="仿宋" w:eastAsia="仿宋" w:cs="仿宋"/>
          <w:caps w:val="0"/>
          <w:smallCaps w:val="0"/>
          <w:spacing w:val="0"/>
          <w:w w:val="100"/>
        </w:rPr>
        <w:br w:type="page"/>
      </w:r>
      <w:bookmarkStart w:id="856" w:name="_Toc22930"/>
      <w:r>
        <w:rPr>
          <w:rFonts w:hint="eastAsia" w:ascii="仿宋" w:hAnsi="仿宋" w:eastAsia="仿宋" w:cs="仿宋"/>
          <w:caps w:val="0"/>
          <w:smallCaps w:val="0"/>
          <w:spacing w:val="0"/>
          <w:w w:val="100"/>
        </w:rPr>
        <w:t>十</w:t>
      </w:r>
      <w:r>
        <w:rPr>
          <w:rFonts w:hint="eastAsia" w:ascii="仿宋" w:hAnsi="仿宋" w:eastAsia="仿宋" w:cs="仿宋"/>
          <w:caps w:val="0"/>
          <w:smallCaps w:val="0"/>
          <w:spacing w:val="0"/>
          <w:w w:val="100"/>
          <w:lang w:eastAsia="zh-CN"/>
        </w:rPr>
        <w:t>一</w:t>
      </w:r>
      <w:r>
        <w:rPr>
          <w:rFonts w:hint="eastAsia" w:ascii="仿宋" w:hAnsi="仿宋" w:eastAsia="仿宋" w:cs="仿宋"/>
          <w:caps w:val="0"/>
          <w:smallCaps w:val="0"/>
          <w:spacing w:val="0"/>
          <w:w w:val="100"/>
        </w:rPr>
        <w:t>、监狱企业证明文件</w:t>
      </w:r>
      <w:bookmarkEnd w:id="856"/>
    </w:p>
    <w:p>
      <w:pPr>
        <w:pStyle w:val="47"/>
        <w:jc w:val="center"/>
        <w:rPr>
          <w:rFonts w:hint="eastAsia" w:ascii="仿宋" w:hAnsi="仿宋" w:eastAsia="仿宋" w:cs="仿宋"/>
          <w:caps w:val="0"/>
          <w:smallCaps w:val="0"/>
          <w:spacing w:val="0"/>
          <w:w w:val="100"/>
          <w:sz w:val="21"/>
          <w:szCs w:val="21"/>
        </w:rPr>
      </w:pPr>
    </w:p>
    <w:p>
      <w:pPr>
        <w:pStyle w:val="47"/>
        <w:jc w:val="center"/>
        <w:rPr>
          <w:rFonts w:hint="eastAsia" w:ascii="仿宋" w:hAnsi="仿宋" w:eastAsia="仿宋" w:cs="仿宋"/>
          <w:caps w:val="0"/>
          <w:smallCaps w:val="0"/>
          <w:spacing w:val="0"/>
          <w:w w:val="100"/>
          <w:sz w:val="28"/>
          <w:szCs w:val="28"/>
        </w:rPr>
      </w:pPr>
      <w:r>
        <w:rPr>
          <w:rFonts w:hint="eastAsia" w:ascii="仿宋" w:hAnsi="仿宋" w:eastAsia="仿宋" w:cs="仿宋"/>
          <w:caps w:val="0"/>
          <w:smallCaps w:val="0"/>
          <w:spacing w:val="0"/>
          <w:w w:val="100"/>
          <w:sz w:val="28"/>
          <w:szCs w:val="28"/>
        </w:rPr>
        <w:t>监狱企业证明文件</w:t>
      </w:r>
    </w:p>
    <w:p>
      <w:pPr>
        <w:pStyle w:val="47"/>
        <w:jc w:val="center"/>
        <w:rPr>
          <w:rFonts w:hint="eastAsia" w:ascii="仿宋" w:hAnsi="仿宋" w:eastAsia="仿宋" w:cs="仿宋"/>
          <w:caps w:val="0"/>
          <w:smallCaps w:val="0"/>
          <w:spacing w:val="0"/>
          <w:w w:val="100"/>
          <w:sz w:val="21"/>
          <w:szCs w:val="21"/>
        </w:rPr>
      </w:pPr>
    </w:p>
    <w:p>
      <w:pPr>
        <w:pStyle w:val="47"/>
        <w:ind w:firstLine="420"/>
        <w:rPr>
          <w:rFonts w:hint="eastAsia" w:ascii="仿宋" w:hAnsi="仿宋" w:eastAsia="仿宋" w:cs="仿宋"/>
          <w:caps w:val="0"/>
          <w:smallCaps w:val="0"/>
          <w:spacing w:val="0"/>
          <w:w w:val="100"/>
          <w:sz w:val="21"/>
          <w:szCs w:val="21"/>
        </w:rPr>
      </w:pPr>
      <w:r>
        <w:rPr>
          <w:rFonts w:hint="eastAsia" w:ascii="仿宋" w:hAnsi="仿宋" w:eastAsia="仿宋" w:cs="仿宋"/>
          <w:caps w:val="0"/>
          <w:smallCaps w:val="0"/>
          <w:spacing w:val="0"/>
          <w:w w:val="100"/>
          <w:sz w:val="21"/>
          <w:szCs w:val="21"/>
        </w:rPr>
        <w:t>（监狱企业参加政府采购活动时，应当提供由省级以上监狱管理局、戒毒管理局(含新疆生产建设兵团)出具的属于监狱企业的证明文件。</w:t>
      </w:r>
    </w:p>
    <w:p>
      <w:pPr>
        <w:pStyle w:val="47"/>
        <w:rPr>
          <w:rFonts w:hint="eastAsia" w:ascii="仿宋" w:hAnsi="仿宋" w:eastAsia="仿宋" w:cs="仿宋"/>
          <w:caps w:val="0"/>
          <w:smallCaps w:val="0"/>
          <w:spacing w:val="0"/>
          <w:w w:val="100"/>
          <w:sz w:val="21"/>
          <w:szCs w:val="21"/>
        </w:rPr>
      </w:pPr>
    </w:p>
    <w:p>
      <w:pPr>
        <w:pStyle w:val="47"/>
        <w:rPr>
          <w:rFonts w:hint="eastAsia" w:ascii="仿宋" w:hAnsi="仿宋" w:eastAsia="仿宋" w:cs="仿宋"/>
          <w:caps w:val="0"/>
          <w:smallCaps w:val="0"/>
          <w:spacing w:val="0"/>
          <w:w w:val="100"/>
          <w:sz w:val="21"/>
          <w:szCs w:val="21"/>
        </w:rPr>
      </w:pPr>
    </w:p>
    <w:p>
      <w:pPr>
        <w:pStyle w:val="47"/>
        <w:rPr>
          <w:rFonts w:hint="eastAsia" w:ascii="仿宋" w:hAnsi="仿宋" w:eastAsia="仿宋" w:cs="仿宋"/>
          <w:caps w:val="0"/>
          <w:smallCaps w:val="0"/>
          <w:spacing w:val="0"/>
          <w:w w:val="100"/>
          <w:sz w:val="21"/>
          <w:szCs w:val="21"/>
        </w:rPr>
      </w:pPr>
      <w:r>
        <w:rPr>
          <w:rFonts w:hint="eastAsia" w:ascii="仿宋" w:hAnsi="仿宋" w:eastAsia="仿宋" w:cs="仿宋"/>
          <w:caps w:val="0"/>
          <w:smallCaps w:val="0"/>
          <w:spacing w:val="0"/>
          <w:w w:val="100"/>
          <w:sz w:val="21"/>
          <w:szCs w:val="21"/>
        </w:rPr>
        <w:t>注：在</w:t>
      </w:r>
      <w:r>
        <w:rPr>
          <w:rFonts w:hint="eastAsia" w:ascii="仿宋" w:hAnsi="仿宋" w:eastAsia="仿宋" w:cs="仿宋"/>
          <w:caps w:val="0"/>
          <w:smallCaps w:val="0"/>
          <w:spacing w:val="0"/>
          <w:w w:val="100"/>
          <w:sz w:val="21"/>
          <w:szCs w:val="21"/>
          <w:lang w:eastAsia="zh-CN"/>
        </w:rPr>
        <w:t>投标</w:t>
      </w:r>
      <w:r>
        <w:rPr>
          <w:rFonts w:hint="eastAsia" w:ascii="仿宋" w:hAnsi="仿宋" w:eastAsia="仿宋" w:cs="仿宋"/>
          <w:caps w:val="0"/>
          <w:smallCaps w:val="0"/>
          <w:spacing w:val="0"/>
          <w:w w:val="100"/>
          <w:sz w:val="21"/>
          <w:szCs w:val="21"/>
        </w:rPr>
        <w:t>文件中附扫描件</w:t>
      </w:r>
    </w:p>
    <w:p>
      <w:pPr>
        <w:pStyle w:val="18"/>
        <w:rPr>
          <w:rFonts w:hint="eastAsia" w:ascii="仿宋" w:hAnsi="仿宋" w:eastAsia="仿宋" w:cs="仿宋"/>
          <w:b/>
          <w:bCs/>
          <w:sz w:val="28"/>
          <w:szCs w:val="28"/>
          <w:highlight w:val="none"/>
          <w:lang w:val="en-US" w:eastAsia="zh-CN"/>
        </w:rPr>
      </w:pPr>
    </w:p>
    <w:p>
      <w:pPr>
        <w:pStyle w:val="2"/>
        <w:jc w:val="both"/>
        <w:rPr>
          <w:rFonts w:hint="eastAsia" w:ascii="仿宋" w:hAnsi="仿宋" w:eastAsia="仿宋" w:cs="仿宋"/>
          <w:b/>
          <w:bCs/>
          <w:sz w:val="36"/>
          <w:szCs w:val="36"/>
        </w:rPr>
      </w:pPr>
    </w:p>
    <w:p>
      <w:pPr>
        <w:pStyle w:val="11"/>
        <w:rPr>
          <w:rFonts w:hint="eastAsia"/>
        </w:rPr>
        <w:sectPr>
          <w:pgSz w:w="11906" w:h="16838"/>
          <w:pgMar w:top="1440" w:right="1080" w:bottom="1440" w:left="1080" w:header="851" w:footer="992" w:gutter="0"/>
          <w:pgNumType w:fmt="decimal"/>
          <w:cols w:space="425" w:num="1"/>
          <w:docGrid w:type="lines" w:linePitch="312" w:charSpace="0"/>
        </w:sectPr>
      </w:pPr>
    </w:p>
    <w:p>
      <w:pPr>
        <w:pStyle w:val="11"/>
        <w:keepNext w:val="0"/>
        <w:keepLines w:val="0"/>
        <w:pageBreakBefore w:val="0"/>
        <w:kinsoku/>
        <w:wordWrap/>
        <w:overflowPunct/>
        <w:topLinePunct w:val="0"/>
        <w:bidi w:val="0"/>
        <w:snapToGrid/>
        <w:spacing w:line="460" w:lineRule="exact"/>
        <w:textAlignment w:val="auto"/>
        <w:rPr>
          <w:rFonts w:hint="eastAsia" w:ascii="仿宋" w:hAnsi="仿宋" w:eastAsia="仿宋" w:cs="仿宋"/>
          <w:b/>
          <w:bCs/>
          <w:sz w:val="24"/>
          <w:szCs w:val="24"/>
        </w:rPr>
      </w:pPr>
      <w:bookmarkStart w:id="857" w:name="_Toc6621"/>
      <w:r>
        <w:rPr>
          <w:rFonts w:hint="eastAsia" w:ascii="仿宋" w:hAnsi="仿宋" w:eastAsia="仿宋" w:cs="仿宋"/>
          <w:b/>
          <w:bCs/>
          <w:sz w:val="24"/>
          <w:szCs w:val="24"/>
        </w:rPr>
        <w:t>招标投标法律法规知识宣传</w:t>
      </w:r>
      <w:bookmarkEnd w:id="857"/>
    </w:p>
    <w:p>
      <w:pPr>
        <w:pStyle w:val="11"/>
        <w:keepNext w:val="0"/>
        <w:keepLines w:val="0"/>
        <w:pageBreakBefore w:val="0"/>
        <w:kinsoku/>
        <w:wordWrap/>
        <w:overflowPunct/>
        <w:topLinePunct w:val="0"/>
        <w:bidi w:val="0"/>
        <w:snapToGrid/>
        <w:spacing w:line="460" w:lineRule="exact"/>
        <w:textAlignment w:val="auto"/>
        <w:rPr>
          <w:rFonts w:hint="eastAsia" w:ascii="仿宋" w:hAnsi="仿宋" w:eastAsia="仿宋" w:cs="仿宋"/>
          <w:sz w:val="24"/>
          <w:szCs w:val="24"/>
        </w:rPr>
      </w:pPr>
      <w:bookmarkStart w:id="858" w:name="_Toc29097"/>
      <w:r>
        <w:rPr>
          <w:rFonts w:hint="eastAsia" w:ascii="仿宋" w:hAnsi="仿宋" w:eastAsia="仿宋" w:cs="仿宋"/>
          <w:sz w:val="24"/>
          <w:szCs w:val="24"/>
        </w:rPr>
        <w:t>《中华人民共和国招标投标法实施条例》节选第六十七条规定，投标人相互串通投标或者与招标人串通投标的，投标人向招标人或者评标委员会成员行贿谋取中标的，中标无效；构成犯罪的，依法追究刑事责任。 投标人：（一）以行贿谋取中标；（二）3 年内 2 次以上串通投 标；（三）串通投标行为损害招标人、其他投标人或者国家、集体、公民的合法利益，造成直接经济损失 30 万元以上；（四）其他串通投标情节严重的行为。凡有以上行为之一的，属于情节严重行为， 由有关行政监督部门取消其1年至2年内参加依法必须进行招标的项目的投标资格。投标人自以上行为规定的处罚执行期限届满之日起3年内又有以上所列违法行为之一的，或者串通投标、以行贿谋取中标情节特别严重的，由工商行政管理机关吊销营业执照。第六十八条规定，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投标人：（一）伪造、变造资格、资质证书或者其他许可证件骗取中标； （二）3 年内2次以上使用他人名义投标；（三）弄虚作假骗取中标给招标人造成直接经 济损失 30 万元以上；（四）其他弄虚作假骗取中标情节严重的行为。凡有以上行 为之一的，属于招标投标法第五十四条规定的情节严重行为，由有关行政监督部门取消其1年至3年内参加依法必须进行招标的项目的投标资格。投标人自以上行为规定的处罚执行期限届满之日起 3年内又有该款所列违法行为之一 的，或者弄虚作假骗取中标情节特别严重的</w:t>
      </w:r>
      <w:r>
        <w:rPr>
          <w:rFonts w:hint="eastAsia" w:ascii="仿宋" w:hAnsi="仿宋" w:eastAsia="仿宋" w:cs="仿宋"/>
          <w:sz w:val="24"/>
          <w:szCs w:val="24"/>
          <w:lang w:eastAsia="zh-CN"/>
        </w:rPr>
        <w:t>，</w:t>
      </w:r>
      <w:r>
        <w:rPr>
          <w:rFonts w:hint="eastAsia" w:ascii="仿宋" w:hAnsi="仿宋" w:eastAsia="仿宋" w:cs="仿宋"/>
          <w:sz w:val="24"/>
          <w:szCs w:val="24"/>
        </w:rPr>
        <w:t>由工商行政管理机关吊销营业执照。第六十九条规定，出让或者出租资格、资质证书供他人投标的，依照法律、行政法规的规定给予行政处罚；构成犯罪的，依法追究刑事责任。70 二、《中华人民共和国刑法》有关招投标处罚规定第二百二十三条规定，〔串通投标罪〕投标人相互串通投标报价，损害招标人或者其他投标人利益，情节严重的，处三年以下有期徒刑或者拘役，并处或者处罚金。投标人与招标人串通投标， 损害国  家、集体、公民的合法利益的，依照前款的规定处罚。 三、《最高人民检察院公安部关于经济犯罪案件追诉标准的规定》涉及招投标处理事项第六十八条规定，投标人相互串通投标报价，或者投标人与招标人串通投标，涉嫌下列情形之一的，应予追诉：1、损害招标人、投标人或者国家、集体、公民的合法利益，造成的直接经济 损失数额在五十万元以上的；2、对其他投标人、招标人等投标招标活动的参加人采取威胁、欺骗等非法手 段的；  3、虽未达到上述数额标准，但因串  通投标， 受过行政处罚二次以上， 又串通 投标的。  四、《中华人民共和国审计法实施条例》涉及  招投标事项 第二十条规定， 政府投资和以政府投资为主的建设项目， 审计机关依法进行 审计监督。第四十条规定，对依法应当追究有关人员责任的，向有关主管机关、单位提 出给予处分的建议；对依法应当由有关主管机关处理、处罚的， 移送有关主管机 关； 涉嫌犯罪的， 移送司法机关。  五、 全国“扫黑除恶”专项斗争涉及招投标工作 根据中共中央、国务院《关于开展扫黑除恶专项斗争  的通知》精神，扫黑除 恶专项斗争打击的重点包括在建筑工程行业强揽工程、恶意竞标的黑恶势  力。对有组织地恶意围标串标、强揽工程项目、强行推荐设计、施工、监理队伍、强行 肢解分包  工程的，招投标等行政监督部门需将问题线索提交市扫黑除恶专项斗争办公室进行查处。</w:t>
      </w:r>
      <w:bookmarkEnd w:id="858"/>
    </w:p>
    <w:p>
      <w:pPr>
        <w:pStyle w:val="11"/>
        <w:keepNext w:val="0"/>
        <w:keepLines w:val="0"/>
        <w:pageBreakBefore w:val="0"/>
        <w:kinsoku/>
        <w:wordWrap/>
        <w:overflowPunct/>
        <w:topLinePunct w:val="0"/>
        <w:bidi w:val="0"/>
        <w:snapToGrid/>
        <w:spacing w:line="460" w:lineRule="exact"/>
        <w:textAlignment w:val="auto"/>
        <w:rPr>
          <w:rFonts w:hint="eastAsia" w:ascii="仿宋" w:hAnsi="仿宋" w:eastAsia="仿宋" w:cs="仿宋"/>
          <w:sz w:val="24"/>
          <w:szCs w:val="24"/>
        </w:rPr>
      </w:pPr>
    </w:p>
    <w:p>
      <w:pPr>
        <w:pStyle w:val="11"/>
        <w:keepNext w:val="0"/>
        <w:keepLines w:val="0"/>
        <w:pageBreakBefore w:val="0"/>
        <w:kinsoku/>
        <w:wordWrap/>
        <w:overflowPunct/>
        <w:topLinePunct w:val="0"/>
        <w:bidi w:val="0"/>
        <w:snapToGrid/>
        <w:spacing w:line="460" w:lineRule="exact"/>
        <w:textAlignment w:val="auto"/>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bookmarkStart w:id="859" w:name="_Toc30461"/>
      <w:r>
        <w:rPr>
          <w:rFonts w:hint="eastAsia" w:ascii="仿宋" w:hAnsi="仿宋" w:eastAsia="仿宋" w:cs="仿宋"/>
          <w:sz w:val="24"/>
          <w:szCs w:val="24"/>
        </w:rPr>
        <w:t>附件 1： 《洛阳市市级政府采购支持中小微企业信用融资信用担保合作金融机构名单》 下载地 址：洛阳市政府采购网（http://luoyang.hngp.gov.cn/） 首页“文件下载”栏。</w:t>
      </w:r>
      <w:bookmarkEnd w:id="859"/>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bookmarkStart w:id="860" w:name="_Toc16453"/>
      <w:r>
        <w:rPr>
          <w:rFonts w:hint="eastAsia" w:ascii="仿宋" w:hAnsi="仿宋" w:eastAsia="仿宋" w:cs="仿宋"/>
          <w:sz w:val="24"/>
          <w:szCs w:val="24"/>
        </w:rPr>
        <w:t>附件 2 ：河南省政府采购合同融资政策告知函</w:t>
      </w:r>
      <w:bookmarkEnd w:id="860"/>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bookmarkStart w:id="861" w:name="_Toc6736"/>
      <w:r>
        <w:rPr>
          <w:rFonts w:hint="eastAsia" w:ascii="仿宋" w:hAnsi="仿宋" w:eastAsia="仿宋" w:cs="仿宋"/>
          <w:sz w:val="24"/>
          <w:szCs w:val="24"/>
        </w:rPr>
        <w:t>各投标人：</w:t>
      </w:r>
      <w:bookmarkEnd w:id="861"/>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bookmarkStart w:id="862" w:name="_Toc25978"/>
      <w:r>
        <w:rPr>
          <w:rFonts w:hint="eastAsia" w:ascii="仿宋" w:hAnsi="仿宋" w:eastAsia="仿宋" w:cs="仿宋"/>
          <w:sz w:val="24"/>
          <w:szCs w:val="24"/>
        </w:rPr>
        <w:t>欢迎贵公司参与河南省政府采购活动！</w:t>
      </w:r>
      <w:bookmarkEnd w:id="862"/>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bookmarkStart w:id="863" w:name="_Toc18255"/>
      <w:r>
        <w:rPr>
          <w:rFonts w:hint="eastAsia" w:ascii="仿宋" w:hAnsi="仿宋" w:eastAsia="仿宋" w:cs="仿宋"/>
          <w:sz w:val="24"/>
          <w:szCs w:val="24"/>
        </w:rPr>
        <w:t>政府采购合同融资是河南省财政厅支持中小微企业发展， 针对参与政府采购活动的投标人融资 难、融资贵问题推出的一项融资政策。贵公司若成为本次政府采购项目的中标成交投标人， 可持政 府采购合同向金融机构申请贷款， 无需抵押、担保， 融资机构将根据《河南省政府采购合同融资工作实施方案》（豫财购〔2017〕 10 号），按照双方自愿的原则提供便捷、优惠的贷款服务。</w:t>
      </w:r>
      <w:bookmarkEnd w:id="863"/>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bookmarkStart w:id="864" w:name="_Toc10826"/>
      <w:r>
        <w:rPr>
          <w:rFonts w:hint="eastAsia" w:ascii="仿宋" w:hAnsi="仿宋" w:eastAsia="仿宋" w:cs="仿宋"/>
          <w:sz w:val="24"/>
          <w:szCs w:val="24"/>
        </w:rPr>
        <w:t>贷款渠道和提供贷款的金融机构， 可在河南省政府采购网“河南省政府采购合同融资平台”查 询联系。</w:t>
      </w:r>
      <w:bookmarkEnd w:id="864"/>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sectPr>
          <w:pgSz w:w="11906" w:h="16838"/>
          <w:pgMar w:top="1440" w:right="1080" w:bottom="1440" w:left="108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郑州银行股份有限公司洛阳分行政府采购融资贷</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联系方式及融资产品介绍</w:t>
      </w:r>
    </w:p>
    <w:p>
      <w:pPr>
        <w:keepNext w:val="0"/>
        <w:keepLines w:val="0"/>
        <w:pageBreakBefore w:val="0"/>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一、联系方式：</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2131"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131"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王剑</w:t>
            </w:r>
          </w:p>
        </w:tc>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主任</w:t>
            </w:r>
          </w:p>
        </w:tc>
        <w:tc>
          <w:tcPr>
            <w:tcW w:w="2131" w:type="dxa"/>
            <w:vMerge w:val="restart"/>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洛阳市洛龙区关林路与厚载门街交叉口隆安大厦</w:t>
            </w:r>
          </w:p>
        </w:tc>
        <w:tc>
          <w:tcPr>
            <w:tcW w:w="2131"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13838808890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杨洋</w:t>
            </w:r>
          </w:p>
        </w:tc>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业务负责人</w:t>
            </w:r>
          </w:p>
        </w:tc>
        <w:tc>
          <w:tcPr>
            <w:tcW w:w="2131" w:type="dxa"/>
            <w:vMerge w:val="continue"/>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c>
          <w:tcPr>
            <w:tcW w:w="2131"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15896531927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周宜辉</w:t>
            </w:r>
          </w:p>
        </w:tc>
        <w:tc>
          <w:tcPr>
            <w:tcW w:w="2130"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客户经理</w:t>
            </w:r>
          </w:p>
        </w:tc>
        <w:tc>
          <w:tcPr>
            <w:tcW w:w="2131" w:type="dxa"/>
            <w:vMerge w:val="continue"/>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c>
          <w:tcPr>
            <w:tcW w:w="2131"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15036316707</w:t>
            </w:r>
          </w:p>
        </w:tc>
      </w:tr>
    </w:tbl>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二、融资产品介绍：</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采贷”是郑州银行作为参与政府采购的中小企业量身定制的用于政府采购合同履约，并以政府回款为还款来源的贷款产品。该产品主要解决政府采购商中标垫资的痛点，帮助中标企业快速、高效、便捷获取银行资金。告别采购融资难，政府中标即可贷。优先支持纳入省市级财政预算的服务贸易类行业企业。</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“E采贷”五大特点</w:t>
      </w:r>
      <w:r>
        <w:rPr>
          <w:rFonts w:hint="eastAsia" w:ascii="仿宋" w:hAnsi="仿宋" w:eastAsia="仿宋" w:cs="仿宋"/>
          <w:color w:val="auto"/>
          <w:sz w:val="24"/>
          <w:szCs w:val="24"/>
          <w:highlight w:val="none"/>
        </w:rPr>
        <w:t>：1.纯信用：无需抵押、担保；2.更灵活：随借随还，按需支用；3.额度高：最高为上年度中标额的1.3倍，单笔最高1000万元；4.适用广：在河南省政府采购网（www.hngp.gov.cn）有备案信息即可准入；5.效率高：绿色通道，保证时效。</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业务流程</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1.企业申请：凭政府采购中标通知书，向郑州银行提出授信申请。</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2.银行审批：客户经理现场调查，3个工作日反馈审批结果。</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3.企业提款：凭政府采购合同、购销合同等即可提款使用。</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利率及优惠政策</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贸易类不低于5.5%，工程类不低于6.5%，对符合条件的小微企业实行减费让利政策，减少客户融资成本（不存在与贷款捆绑强制收费；只收费不服务；超范围、超标准收费；转嫁成本收费；不执行政府指导价、政府定价等提升企业贷款成本的现象）着力解决小微企业“融资难”、“融资贵”的问题帮助客户更好成长。分行所有收费项目均严格根据监管部门和总行要求执行，我行对银行账户一律免收账户管理费。</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中国银行股份有限公司河南省分行普惠金融</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政采通宝业务服务方案</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准入标准:</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1.持续经营2年（含）以上。</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2.客户持有政府采购中标通知书（或以往年度有执行政府采购的记录），且政府采购业务无行政处罚记录。</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3.最近年度纳税申报收入不低于200万元。   </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4.借款人及其法人代表、实际控制人信用良好。</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5、单一客户“政采贷”授信总量最高金额不超过1000万元</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6、单笔贷款期限不超过一年。</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7、根据借款人生产经营及回款周期等特点，可采用按季付息，到期一次还本的还款方式，或分期偿还我行授信。</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中国银行联系人：</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负责人：朱宗沛  15978695077</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信贷经理：印晨  15038659275</w:t>
      </w:r>
    </w:p>
    <w:p>
      <w:pPr>
        <w:pStyle w:val="48"/>
        <w:keepNext w:val="0"/>
        <w:keepLines w:val="0"/>
        <w:pageBreakBefore w:val="0"/>
        <w:shd w:val="clear" w:color="FFFFFF" w:fill="FFFFFF"/>
        <w:kinsoku/>
        <w:wordWrap/>
        <w:overflowPunct/>
        <w:topLinePunct w:val="0"/>
        <w:bidi w:val="0"/>
        <w:snapToGrid/>
        <w:spacing w:after="0" w:line="460" w:lineRule="exact"/>
        <w:ind w:firstLine="0"/>
        <w:jc w:val="center"/>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平顶山银行洛阳分行</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政府采购融资联系方式及产品介绍</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一、联系方式</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机构名称：平顶山银行洛阳分行</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联系人：刘亚兴</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联系电话：13837937717（微信同号）</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二、产品介绍</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“银政易贷”是指平顶山银行针对中标政府采购合同的企业实际控制人发放的，专项用于履行政府采购合同的个人贷款业务。 </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1、目标客户：中标优质县区或区级（含）以上政府采购合同的企业实际控制人</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2、采购合同项目：包括货物类，服务类和工程类等</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3、贷款额度：最高500万元（含）    </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4、借款期限：不超过2年（参考中标合同约定付款期限）</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5、贷款利率：综合年利率不低于7%</w:t>
      </w:r>
    </w:p>
    <w:p>
      <w:pPr>
        <w:keepNext w:val="0"/>
        <w:keepLines w:val="0"/>
        <w:pageBreakBefore w:val="0"/>
        <w:kinsoku/>
        <w:wordWrap/>
        <w:overflowPunct/>
        <w:topLinePunct w:val="0"/>
        <w:bidi w:val="0"/>
        <w:snapToGrid/>
        <w:spacing w:line="460" w:lineRule="exact"/>
        <w:ind w:firstLine="6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6、还款方式：按月付息，到期一次性还本或根据客户实际经营情况不规则还款</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恒丰银行政府采购融资贷联系方式</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及融资产品介绍</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一、联系方式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896"/>
        <w:gridCol w:w="211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896"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11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1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张龙妹</w:t>
            </w:r>
          </w:p>
        </w:tc>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客户经理</w:t>
            </w:r>
          </w:p>
        </w:tc>
        <w:tc>
          <w:tcPr>
            <w:tcW w:w="1896" w:type="dxa"/>
            <w:vMerge w:val="restart"/>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洛龙区展览路泉舜186西侧裙楼</w:t>
            </w:r>
          </w:p>
        </w:tc>
        <w:tc>
          <w:tcPr>
            <w:tcW w:w="211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18538882575</w:t>
            </w:r>
          </w:p>
        </w:tc>
        <w:tc>
          <w:tcPr>
            <w:tcW w:w="11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张浩</w:t>
            </w:r>
          </w:p>
        </w:tc>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公司金融部负责人</w:t>
            </w:r>
          </w:p>
        </w:tc>
        <w:tc>
          <w:tcPr>
            <w:tcW w:w="1896" w:type="dxa"/>
            <w:vMerge w:val="continue"/>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c>
          <w:tcPr>
            <w:tcW w:w="211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18937966885</w:t>
            </w:r>
          </w:p>
        </w:tc>
        <w:tc>
          <w:tcPr>
            <w:tcW w:w="11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裴绍辉</w:t>
            </w:r>
          </w:p>
        </w:tc>
        <w:tc>
          <w:tcPr>
            <w:tcW w:w="17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分管行长</w:t>
            </w:r>
          </w:p>
        </w:tc>
        <w:tc>
          <w:tcPr>
            <w:tcW w:w="1896" w:type="dxa"/>
            <w:vMerge w:val="continue"/>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c>
          <w:tcPr>
            <w:tcW w:w="211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18637904888</w:t>
            </w:r>
          </w:p>
        </w:tc>
        <w:tc>
          <w:tcPr>
            <w:tcW w:w="1104" w:type="dxa"/>
            <w:vAlign w:val="center"/>
          </w:tcPr>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二、融资产品介绍</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1.恒丰银行“政采云贷”</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针对政府采购项目中标小微客户在线发放用于采购项目（不包括工程项目）资金周转需要的流动资金贷款。</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担保方式：免抵押、无担保，开立指定回款账户</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授信额度：单户授信最高不超过1000万元</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授信期限：不超过一年，贷款到期日不晚于政府中标合同约定款日后的十个工作日</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还款方式：按月付息，到期还本或阶段性还款</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2.准入标准</w:t>
      </w:r>
    </w:p>
    <w:p>
      <w:pPr>
        <w:keepNext w:val="0"/>
        <w:keepLines w:val="0"/>
        <w:pageBreakBefore w:val="0"/>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（1）企业成立一年以上，有洛阳市固定经营场所；企业实际控制人有两年以上行业从业经验。</w:t>
      </w:r>
    </w:p>
    <w:p>
      <w:pPr>
        <w:keepNext w:val="0"/>
        <w:keepLines w:val="0"/>
        <w:pageBreakBefore w:val="0"/>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（2）企业及其实际控制人信誉良好，合法经营，无不良记录，无恶意违约记录。</w:t>
      </w:r>
    </w:p>
    <w:p>
      <w:pPr>
        <w:keepNext w:val="0"/>
        <w:keepLines w:val="0"/>
        <w:pageBreakBefore w:val="0"/>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（3）我行信用评级结果在B3三级以上。</w:t>
      </w:r>
    </w:p>
    <w:p>
      <w:pPr>
        <w:keepNext w:val="0"/>
        <w:keepLines w:val="0"/>
        <w:pageBreakBefore w:val="0"/>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w:t>
      </w:r>
      <w:r>
        <w:rPr>
          <w:rFonts w:hint="eastAsia" w:ascii="仿宋" w:hAnsi="仿宋" w:eastAsia="仿宋" w:cs="仿宋"/>
          <w:color w:val="auto"/>
          <w:sz w:val="24"/>
          <w:szCs w:val="24"/>
          <w:highlight w:val="none"/>
        </w:rPr>
        <w:t>企业名下现有贷款合计不超过上年度总收入的45%。</w:t>
      </w:r>
    </w:p>
    <w:p>
      <w:pPr>
        <w:keepNext w:val="0"/>
        <w:keepLines w:val="0"/>
        <w:pageBreakBefore w:val="0"/>
        <w:kinsoku/>
        <w:wordWrap/>
        <w:overflowPunct/>
        <w:topLinePunct w:val="0"/>
        <w:bidi w:val="0"/>
        <w:snapToGrid/>
        <w:spacing w:line="460" w:lineRule="exact"/>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（5）近两年有两次含以上政府中标记录，且供货履约情况良好。</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兴业银行洛阳分行</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政府采购融资联系方式及产品介绍</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分管领导：樊博（副行长、18638805299）；信贷经理：尚梅（市场营销部负责人、15538855595）；具体联系人：张海峰（产品经理、18603794400）</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产品介绍</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授信额度：最高不超过500万元（含）。</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期限：主体授信额度有效期不超过1年</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利率：自动生成贷款利率。</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用途：贷款资金专项用于借款企业履行政府交易采购平台采购合同或订单所需的各类成本、费用及劳务支出等短期流动资金需求和日常经营周转需要。</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担保方式：企业主个人提供连带责任保证，追加采购合同或订单对应的应收账款质押。</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支付方式：采用受托支付方式</w:t>
      </w:r>
    </w:p>
    <w:p>
      <w:pPr>
        <w:keepNext w:val="0"/>
        <w:keepLines w:val="0"/>
        <w:pageBreakBefore w:val="0"/>
        <w:numPr>
          <w:ilvl w:val="0"/>
          <w:numId w:val="12"/>
        </w:numPr>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还款方式：按月付息，本金可结合采购合同或订单情况及实际资金需求循环使用，采购合同或订单项下回款由系统自动扣划归还对应的贷款本息，借款企业也可自助提前还款。</w:t>
      </w:r>
    </w:p>
    <w:p>
      <w:pPr>
        <w:keepNext w:val="0"/>
        <w:keepLines w:val="0"/>
        <w:pageBreakBefore w:val="0"/>
        <w:kinsoku/>
        <w:wordWrap/>
        <w:overflowPunct/>
        <w:topLinePunct w:val="0"/>
        <w:bidi w:val="0"/>
        <w:snapToGrid/>
        <w:spacing w:line="460" w:lineRule="exact"/>
        <w:ind w:firstLine="482" w:firstLineChars="2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工商银行洛阳分行“政采贷”产品</w:t>
      </w:r>
    </w:p>
    <w:p>
      <w:pPr>
        <w:keepNext w:val="0"/>
        <w:keepLines w:val="0"/>
        <w:pageBreakBefore w:val="0"/>
        <w:widowControl/>
        <w:kinsoku/>
        <w:wordWrap/>
        <w:overflowPunct/>
        <w:topLinePunct w:val="0"/>
        <w:bidi w:val="0"/>
        <w:snapToGrid/>
        <w:spacing w:line="460" w:lineRule="exact"/>
        <w:ind w:firstLine="482" w:firstLineChars="2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工商银行“政采贷”简介：</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“政采贷”是工行与政府采购数据进行系统对接，根据获取包括但不限于供应商中标、采购合同、收验货、付款以及历史交易数据等信息，为政府供应商提供的融资贷款金融服务。</w:t>
      </w:r>
    </w:p>
    <w:p>
      <w:pPr>
        <w:keepNext w:val="0"/>
        <w:keepLines w:val="0"/>
        <w:pageBreakBefore w:val="0"/>
        <w:widowControl/>
        <w:numPr>
          <w:ilvl w:val="0"/>
          <w:numId w:val="13"/>
        </w:numPr>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适用范围：供应商目前仅限于小微企业，后续将结合市场需要，适时拓展至大中型企业。</w:t>
      </w:r>
    </w:p>
    <w:p>
      <w:pPr>
        <w:keepNext w:val="0"/>
        <w:keepLines w:val="0"/>
        <w:pageBreakBefore w:val="0"/>
        <w:widowControl/>
        <w:numPr>
          <w:ilvl w:val="0"/>
          <w:numId w:val="13"/>
        </w:numPr>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融资额度：供应商融资最高不超过订单金额70%。</w:t>
      </w:r>
    </w:p>
    <w:p>
      <w:pPr>
        <w:keepNext w:val="0"/>
        <w:keepLines w:val="0"/>
        <w:pageBreakBefore w:val="0"/>
        <w:widowControl/>
        <w:numPr>
          <w:ilvl w:val="0"/>
          <w:numId w:val="13"/>
        </w:numPr>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贷款期限：根据政府采购合同等内容确定贷款期限，最长可以5年。</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4、贷款利率：融资利率参考最近市场利率（LPR）合理确定。</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5、办理手续：</w:t>
      </w:r>
      <w:r>
        <w:rPr>
          <w:rFonts w:hint="eastAsia" w:ascii="仿宋" w:hAnsi="仿宋" w:eastAsia="仿宋" w:cs="仿宋"/>
          <w:color w:val="auto"/>
          <w:sz w:val="24"/>
          <w:szCs w:val="24"/>
          <w:highlight w:val="none"/>
        </w:rPr>
        <w:sym w:font="Wingdings" w:char="F081"/>
      </w:r>
      <w:r>
        <w:rPr>
          <w:rFonts w:hint="eastAsia" w:ascii="仿宋" w:hAnsi="仿宋" w:eastAsia="仿宋" w:cs="仿宋"/>
          <w:color w:val="auto"/>
          <w:sz w:val="24"/>
          <w:szCs w:val="24"/>
          <w:highlight w:val="none"/>
        </w:rPr>
        <w:t>供应商与工行取得联系，开立账户，开通网上银行。</w:t>
      </w:r>
      <w:r>
        <w:rPr>
          <w:rFonts w:hint="eastAsia" w:ascii="仿宋" w:hAnsi="仿宋" w:eastAsia="仿宋" w:cs="仿宋"/>
          <w:color w:val="auto"/>
          <w:sz w:val="24"/>
          <w:szCs w:val="24"/>
          <w:highlight w:val="none"/>
        </w:rPr>
        <w:sym w:font="Wingdings" w:char="F082"/>
      </w:r>
      <w:r>
        <w:rPr>
          <w:rFonts w:hint="eastAsia" w:ascii="仿宋" w:hAnsi="仿宋" w:eastAsia="仿宋" w:cs="仿宋"/>
          <w:color w:val="auto"/>
          <w:sz w:val="24"/>
          <w:szCs w:val="24"/>
          <w:highlight w:val="none"/>
        </w:rPr>
        <w:t>与工行经办人员线下沟通确定融资金额，通过工行网上银行自助申请贷款金额。</w:t>
      </w:r>
      <w:r>
        <w:rPr>
          <w:rFonts w:hint="eastAsia" w:ascii="仿宋" w:hAnsi="仿宋" w:eastAsia="仿宋" w:cs="仿宋"/>
          <w:color w:val="auto"/>
          <w:sz w:val="24"/>
          <w:szCs w:val="24"/>
          <w:highlight w:val="none"/>
        </w:rPr>
        <w:sym w:font="Wingdings" w:char="F083"/>
      </w:r>
      <w:r>
        <w:rPr>
          <w:rFonts w:hint="eastAsia" w:ascii="仿宋" w:hAnsi="仿宋" w:eastAsia="仿宋" w:cs="仿宋"/>
          <w:color w:val="auto"/>
          <w:sz w:val="24"/>
          <w:szCs w:val="24"/>
          <w:highlight w:val="none"/>
        </w:rPr>
        <w:t>工行进行贷款指令确定，贷款线上发放至供应商工行账户。</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分管领导：李亚琼：16603797557</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李若明：13233995266</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信贷经理：朱建国：13653893229</w:t>
      </w:r>
    </w:p>
    <w:p>
      <w:pPr>
        <w:keepNext w:val="0"/>
        <w:keepLines w:val="0"/>
        <w:pageBreakBefore w:val="0"/>
        <w:widowControl/>
        <w:kinsoku/>
        <w:wordWrap/>
        <w:overflowPunct/>
        <w:topLinePunct w:val="0"/>
        <w:bidi w:val="0"/>
        <w:snapToGrid/>
        <w:spacing w:line="46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张佩兰：15603799799</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color w:val="auto"/>
          <w:sz w:val="24"/>
          <w:szCs w:val="24"/>
          <w:highlight w:val="none"/>
        </w:rPr>
      </w:pP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平安银行“政采E贷”产品介绍</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平安银行“政采E贷”是平安银行与采购中心对接后，基于互联网技术、政府采购数据等信息，为中标政府采购项目的企业提供的互联网信用贷款。</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产品优势：</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1、额度高：线上最高500万元。</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2、申请易：5分钟完成线上申请。</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3、用款快：凭订单最快1天生效。</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4、纯信用：凭政府中标订单即可融资。</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产品申请资格： </w:t>
      </w:r>
    </w:p>
    <w:p>
      <w:pPr>
        <w:keepNext w:val="0"/>
        <w:keepLines w:val="0"/>
        <w:pageBreakBefore w:val="0"/>
        <w:numPr>
          <w:ilvl w:val="0"/>
          <w:numId w:val="14"/>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我行白名单财政项下的政府采购项目融资。</w:t>
      </w:r>
    </w:p>
    <w:p>
      <w:pPr>
        <w:keepNext w:val="0"/>
        <w:keepLines w:val="0"/>
        <w:pageBreakBefore w:val="0"/>
        <w:numPr>
          <w:ilvl w:val="0"/>
          <w:numId w:val="14"/>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有历史中标采购记录的政府采购供应商。</w:t>
      </w:r>
    </w:p>
    <w:p>
      <w:pPr>
        <w:keepNext w:val="0"/>
        <w:keepLines w:val="0"/>
        <w:pageBreakBefore w:val="0"/>
        <w:numPr>
          <w:ilvl w:val="0"/>
          <w:numId w:val="14"/>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企业及申请人信用良好。</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期限、利率和还款方式：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期限：1个月到1年。</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还款方式 ：先息后本、等额本息、等额本金。</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利率：年化利率低至6% 。</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举例1：</w:t>
      </w:r>
      <w:r>
        <w:rPr>
          <w:rFonts w:hint="eastAsia" w:ascii="仿宋" w:hAnsi="仿宋" w:eastAsia="仿宋" w:cs="仿宋"/>
          <w:color w:val="auto"/>
          <w:sz w:val="24"/>
          <w:szCs w:val="24"/>
          <w:highlight w:val="none"/>
        </w:rPr>
        <w:t>贷款100万元，3个月（先息后本，利率6%），前两个月需要支付利息5000元/月，到期还本付息。</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举例2：</w:t>
      </w:r>
      <w:r>
        <w:rPr>
          <w:rFonts w:hint="eastAsia" w:ascii="仿宋" w:hAnsi="仿宋" w:eastAsia="仿宋" w:cs="仿宋"/>
          <w:color w:val="auto"/>
          <w:sz w:val="24"/>
          <w:szCs w:val="24"/>
          <w:highlight w:val="none"/>
        </w:rPr>
        <w:t>贷款100万元，1年期限（等额本息，利率6%），每个月需要支付本息约86035元。</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平安银行洛阳分行联系人：</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总经理：    王煜    13523601120</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业务经理：  许洛周  13938876588</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业务负责人：许洛周  13938876588</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浙商银行“政采贷”</w:t>
      </w:r>
    </w:p>
    <w:p>
      <w:pPr>
        <w:pStyle w:val="37"/>
        <w:keepNext w:val="0"/>
        <w:keepLines w:val="0"/>
        <w:pageBreakBefore w:val="0"/>
        <w:kinsoku/>
        <w:wordWrap/>
        <w:overflowPunct/>
        <w:topLinePunct w:val="0"/>
        <w:bidi w:val="0"/>
        <w:snapToGrid/>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一、贷款产品介绍</w:t>
      </w:r>
    </w:p>
    <w:p>
      <w:pPr>
        <w:pStyle w:val="37"/>
        <w:keepNext w:val="0"/>
        <w:keepLines w:val="0"/>
        <w:pageBreakBefore w:val="0"/>
        <w:kinsoku/>
        <w:wordWrap/>
        <w:overflowPunct/>
        <w:topLinePunct w:val="0"/>
        <w:bidi w:val="0"/>
        <w:snapToGrid/>
        <w:spacing w:line="46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采贷”是本行为在政府机关、事业单位、社会团体、国有企业等招标进行的采购活动中中标并签订采购合同的小微企业发放的，以采购人合同款支付作为还款来源的流动资金贷款。借款人为符合本行标准的小型、微型企业。融资模式包括采购合同融资模式与应收账款融资模式。采购项目包括货物类、服务类和部分工程类。</w:t>
      </w:r>
    </w:p>
    <w:p>
      <w:pPr>
        <w:pStyle w:val="37"/>
        <w:keepNext w:val="0"/>
        <w:keepLines w:val="0"/>
        <w:pageBreakBefore w:val="0"/>
        <w:kinsoku/>
        <w:wordWrap/>
        <w:overflowPunct/>
        <w:topLinePunct w:val="0"/>
        <w:bidi w:val="0"/>
        <w:snapToGrid/>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二、适用对象                            </w:t>
      </w:r>
    </w:p>
    <w:p>
      <w:pPr>
        <w:pStyle w:val="37"/>
        <w:keepNext w:val="0"/>
        <w:keepLines w:val="0"/>
        <w:pageBreakBefore w:val="0"/>
        <w:kinsoku/>
        <w:wordWrap/>
        <w:overflowPunct/>
        <w:topLinePunct w:val="0"/>
        <w:bidi w:val="0"/>
        <w:snapToGrid/>
        <w:spacing w:line="46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连续经营 2 年及以上或实际控制人有 3 年及以上相关行业从业经验经营状况良好，信用记录良好小微企业。</w:t>
      </w:r>
    </w:p>
    <w:p>
      <w:pPr>
        <w:pStyle w:val="37"/>
        <w:keepNext w:val="0"/>
        <w:keepLines w:val="0"/>
        <w:pageBreakBefore w:val="0"/>
        <w:kinsoku/>
        <w:wordWrap/>
        <w:overflowPunct/>
        <w:topLinePunct w:val="0"/>
        <w:bidi w:val="0"/>
        <w:snapToGrid/>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三、贷款期限</w:t>
      </w:r>
    </w:p>
    <w:p>
      <w:pPr>
        <w:pStyle w:val="37"/>
        <w:keepNext w:val="0"/>
        <w:keepLines w:val="0"/>
        <w:pageBreakBefore w:val="0"/>
        <w:kinsoku/>
        <w:wordWrap/>
        <w:overflowPunct/>
        <w:topLinePunct w:val="0"/>
        <w:bidi w:val="0"/>
        <w:snapToGrid/>
        <w:spacing w:line="46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贷款期限：货物类、服务类利率最长一年，工程类最长可做三年。</w:t>
      </w:r>
    </w:p>
    <w:p>
      <w:pPr>
        <w:pStyle w:val="37"/>
        <w:keepNext w:val="0"/>
        <w:keepLines w:val="0"/>
        <w:pageBreakBefore w:val="0"/>
        <w:kinsoku/>
        <w:wordWrap/>
        <w:overflowPunct/>
        <w:topLinePunct w:val="0"/>
        <w:bidi w:val="0"/>
        <w:snapToGrid/>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四、产品特点</w:t>
      </w:r>
    </w:p>
    <w:p>
      <w:pPr>
        <w:pStyle w:val="37"/>
        <w:keepNext w:val="0"/>
        <w:keepLines w:val="0"/>
        <w:pageBreakBefore w:val="0"/>
        <w:kinsoku/>
        <w:wordWrap/>
        <w:overflowPunct/>
        <w:topLinePunct w:val="0"/>
        <w:bidi w:val="0"/>
        <w:snapToGrid/>
        <w:spacing w:line="46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中标即贷，最高可贷1000万，最快三天审批放款，可做工程类项目。</w:t>
      </w:r>
    </w:p>
    <w:p>
      <w:pPr>
        <w:pStyle w:val="37"/>
        <w:keepNext w:val="0"/>
        <w:keepLines w:val="0"/>
        <w:pageBreakBefore w:val="0"/>
        <w:kinsoku/>
        <w:wordWrap/>
        <w:overflowPunct/>
        <w:topLinePunct w:val="0"/>
        <w:bidi w:val="0"/>
        <w:snapToGrid/>
        <w:spacing w:line="46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分管领导：张庆浩   联系电话： 18538198600  </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信贷经理：郭利波   联系电话：15937918530   </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具体负责人：李超峰  联系电话：15538530</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广发银行“政采贷”</w:t>
      </w:r>
    </w:p>
    <w:p>
      <w:pPr>
        <w:keepNext w:val="0"/>
        <w:keepLines w:val="0"/>
        <w:pageBreakBefore w:val="0"/>
        <w:numPr>
          <w:ilvl w:val="0"/>
          <w:numId w:val="15"/>
        </w:numPr>
        <w:kinsoku/>
        <w:wordWrap/>
        <w:overflowPunct/>
        <w:topLinePunct w:val="0"/>
        <w:bidi w:val="0"/>
        <w:snapToGrid/>
        <w:spacing w:line="4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广发银行“政采贷”</w:t>
      </w:r>
    </w:p>
    <w:p>
      <w:pPr>
        <w:keepNext w:val="0"/>
        <w:keepLines w:val="0"/>
        <w:pageBreakBefore w:val="0"/>
        <w:numPr>
          <w:ilvl w:val="0"/>
          <w:numId w:val="16"/>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对象：针对政府采购平台内资信情况良好、经营正常的中小微企业供应商提供原材料购买、组织生产、货物运输等流动资金授信服务。</w:t>
      </w:r>
    </w:p>
    <w:p>
      <w:pPr>
        <w:keepNext w:val="0"/>
        <w:keepLines w:val="0"/>
        <w:pageBreakBefore w:val="0"/>
        <w:numPr>
          <w:ilvl w:val="0"/>
          <w:numId w:val="16"/>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担保方式：以政府采购项目下的应收账款质押；企业实际控制人及主要个人股东提供连带责任保证担保</w:t>
      </w:r>
    </w:p>
    <w:p>
      <w:pPr>
        <w:keepNext w:val="0"/>
        <w:keepLines w:val="0"/>
        <w:pageBreakBefore w:val="0"/>
        <w:numPr>
          <w:ilvl w:val="0"/>
          <w:numId w:val="16"/>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授信额度：单户敞口授信额度不超过1000万元；单笔采购项目融资不超过有效合同净额的90%</w:t>
      </w:r>
    </w:p>
    <w:p>
      <w:pPr>
        <w:keepNext w:val="0"/>
        <w:keepLines w:val="0"/>
        <w:pageBreakBefore w:val="0"/>
        <w:numPr>
          <w:ilvl w:val="0"/>
          <w:numId w:val="16"/>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授信期限：额度有效期一年，授信期限不超过一年且不得超过额度到期日后3个月，不超过采购项目合同约定的最迟付款日后3个月</w:t>
      </w:r>
    </w:p>
    <w:p>
      <w:pPr>
        <w:keepNext w:val="0"/>
        <w:keepLines w:val="0"/>
        <w:pageBreakBefore w:val="0"/>
        <w:numPr>
          <w:ilvl w:val="0"/>
          <w:numId w:val="16"/>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还款方式：按月付息，可根据单笔业务实际付款频率和时间点进行还款，不得采取随借随还出账模式，还款方式应与政府采购合同约定的应收账款金额、账期等相匹配。</w:t>
      </w:r>
    </w:p>
    <w:p>
      <w:pPr>
        <w:keepNext w:val="0"/>
        <w:keepLines w:val="0"/>
        <w:pageBreakBefore w:val="0"/>
        <w:numPr>
          <w:ilvl w:val="0"/>
          <w:numId w:val="15"/>
        </w:numPr>
        <w:kinsoku/>
        <w:wordWrap/>
        <w:overflowPunct/>
        <w:topLinePunct w:val="0"/>
        <w:bidi w:val="0"/>
        <w:snapToGrid/>
        <w:spacing w:line="4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准入标准</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企业成立且持续经营满3年以上，主营业务未有变化，有固定经营场所，且注册地在当地</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政府采购历史超过一年或进入政府采购供应商名单时间超过一年，实际履约不低于一次</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近两年销售收入保持正增长或主营业务利润为正</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资产负债率不超过70%</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在我行评价不低于BB+级</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企业主（含实际控制人、主要股东或配偶）拥有本地户口或房产</w:t>
      </w:r>
    </w:p>
    <w:p>
      <w:pPr>
        <w:keepNext w:val="0"/>
        <w:keepLines w:val="0"/>
        <w:pageBreakBefore w:val="0"/>
        <w:numPr>
          <w:ilvl w:val="0"/>
          <w:numId w:val="17"/>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不得介入在金融机构有未结清（互）保类授信（含实际控制人夫妇个人经营性贷款）的企业</w:t>
      </w:r>
    </w:p>
    <w:p>
      <w:pPr>
        <w:keepNext w:val="0"/>
        <w:keepLines w:val="0"/>
        <w:pageBreakBefore w:val="0"/>
        <w:numPr>
          <w:ilvl w:val="0"/>
          <w:numId w:val="15"/>
        </w:numPr>
        <w:kinsoku/>
        <w:wordWrap/>
        <w:overflowPunct/>
        <w:topLinePunct w:val="0"/>
        <w:bidi w:val="0"/>
        <w:snapToGrid/>
        <w:spacing w:line="4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授信用途</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授信仅限于借款人自身在具体合同项下的原材料采购、组织生产、货物运输等劳动资金需求，不得挪用于担保企业、借款人关联企业、借款人固定资产建设和股本权益类投资</w:t>
      </w:r>
    </w:p>
    <w:p>
      <w:pPr>
        <w:keepNext w:val="0"/>
        <w:keepLines w:val="0"/>
        <w:pageBreakBefore w:val="0"/>
        <w:numPr>
          <w:ilvl w:val="0"/>
          <w:numId w:val="15"/>
        </w:numPr>
        <w:kinsoku/>
        <w:wordWrap/>
        <w:overflowPunct/>
        <w:topLinePunct w:val="0"/>
        <w:bidi w:val="0"/>
        <w:snapToGrid/>
        <w:spacing w:line="4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业务流程</w:t>
      </w:r>
    </w:p>
    <w:p>
      <w:pPr>
        <w:keepNext w:val="0"/>
        <w:keepLines w:val="0"/>
        <w:pageBreakBefore w:val="0"/>
        <w:numPr>
          <w:ilvl w:val="0"/>
          <w:numId w:val="18"/>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业务访谈，确定贸易真实性</w:t>
      </w:r>
    </w:p>
    <w:p>
      <w:pPr>
        <w:keepNext w:val="0"/>
        <w:keepLines w:val="0"/>
        <w:pageBreakBefore w:val="0"/>
        <w:numPr>
          <w:ilvl w:val="0"/>
          <w:numId w:val="18"/>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授信申请，企业按照我行授信调查的相关规定提供申请资料</w:t>
      </w:r>
    </w:p>
    <w:p>
      <w:pPr>
        <w:keepNext w:val="0"/>
        <w:keepLines w:val="0"/>
        <w:pageBreakBefore w:val="0"/>
        <w:numPr>
          <w:ilvl w:val="0"/>
          <w:numId w:val="18"/>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授信调查与额度核定，客户经理双人调查，发起客户评级，并按流程提交审批</w:t>
      </w:r>
    </w:p>
    <w:p>
      <w:pPr>
        <w:keepNext w:val="0"/>
        <w:keepLines w:val="0"/>
        <w:pageBreakBefore w:val="0"/>
        <w:numPr>
          <w:ilvl w:val="0"/>
          <w:numId w:val="18"/>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授信审查审批</w:t>
      </w:r>
    </w:p>
    <w:p>
      <w:pPr>
        <w:keepNext w:val="0"/>
        <w:keepLines w:val="0"/>
        <w:pageBreakBefore w:val="0"/>
        <w:numPr>
          <w:ilvl w:val="0"/>
          <w:numId w:val="18"/>
        </w:numPr>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按照要求出账</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主管行长：李文强  18137865269</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具体负责人：    何俊杰  13838894026</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信贷经理：      姜晓凤  15103799119</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中信银行洛阳分行”政采贷”</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一、产品释义</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“政采贷”是中信银行为政府采购中标小微企业提供的特色融资业务，致力于解决政府采购上游供应商的融资难题。</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二、产品特点</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授信额度高、授信期限长、担保方式活</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三、产品内容</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金额最高1000万元（含）、贷款期限最长1年（含）、无需抵质押物</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四、申请基本条件</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有固定的经营场所</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信用记录良好，无不良、违法行为；</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持续经营6个月（含）以上或实际控制人从业2年以上</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从事政府采购活动1年以上；</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具备政府采购投标资格且交易记录良好</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采购项目符合国家产业政策和资源环保政策要求</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五、申请资料</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营业执照；实际控制人身份证件；经营情况资料；从事政府采购活动资料；近一年政府采购回款的银行流水</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中信银行洛阳分行”政采贷”联系人：</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高晋卿   洛阳分行副行长 18637127868</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闫恺      洛阳分行普惠金融部总经理 15837959999</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陈幽静   洛阳分行普惠金融部信贷经理  15838817353</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洛阳银行“政采贷”</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（一）资料清单</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1、借款人依法成立并有效存续的相关材料；</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2、经政府采购项目中标的证明材料；</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3、以往参加政府采购项目的履约情况；</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4、其他洛阳银行认为需要提供的资料。</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（二）授信要素</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1、贷款额度：</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原则上不超过政府采购合同金额的70%。</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2、期限与还款方式：</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与政府采购合同中约定的结算周期、付款方式等相匹配。</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3、担保方式：</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法定代表人、实际控制人提供连带责任保证，放款前完成应收账款质押登记手续。</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（三）联系方式</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分管领导：陈经理 15837979663</w:t>
      </w:r>
    </w:p>
    <w:p>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信贷经理、具体负责人：任经理 18738439998</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邮储银行政采贷</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贷款对象：</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1.已获得省本级政府采购中标通知，具备履约能力；</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2.企业在政府采购活动中与政府采购合作1年（含）以上；</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3.在邮储银行开立回款专用账户。</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贷款要素：</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1.纯信用；</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2.额度高：可贷合同标的额70%，最高额度300万；</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3.方便用：可一次性或分期还款</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联系人：王玉辉    职  务： 总经理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电  话：13598159333</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中原银行洛阳分行“政采贷”产品简介</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一、融资机构基本情况及联系人联系电话</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1.融资入口：</w:t>
      </w:r>
    </w:p>
    <w:p>
      <w:pPr>
        <w:keepNext w:val="0"/>
        <w:keepLines w:val="0"/>
        <w:pageBreakBefore w:val="0"/>
        <w:kinsoku/>
        <w:wordWrap/>
        <w:overflowPunct/>
        <w:topLinePunct w:val="0"/>
        <w:bidi w:val="0"/>
        <w:snapToGrid/>
        <w:spacing w:line="4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"http://www.zybank.com.cn/zyyh/gsyw55/xqyjr/xqyzcd/382690/index.html" </w:instrText>
      </w:r>
      <w:r>
        <w:rPr>
          <w:rFonts w:hint="eastAsia" w:ascii="仿宋" w:hAnsi="仿宋" w:eastAsia="仿宋" w:cs="仿宋"/>
          <w:color w:val="auto"/>
          <w:sz w:val="24"/>
          <w:szCs w:val="24"/>
          <w:highlight w:val="none"/>
        </w:rPr>
        <w:fldChar w:fldCharType="separate"/>
      </w:r>
      <w:r>
        <w:rPr>
          <w:rStyle w:val="23"/>
          <w:rFonts w:hint="eastAsia" w:ascii="仿宋" w:hAnsi="仿宋" w:eastAsia="仿宋" w:cs="仿宋"/>
          <w:color w:val="auto"/>
          <w:sz w:val="24"/>
          <w:szCs w:val="24"/>
          <w:highlight w:val="none"/>
        </w:rPr>
        <w:t>http://www.zybank.com.cn/zyyh/gsyw55/xqyjr/xqyzcd/382690/index.html</w:t>
      </w:r>
      <w:r>
        <w:rPr>
          <w:rStyle w:val="23"/>
          <w:rFonts w:hint="eastAsia" w:ascii="仿宋" w:hAnsi="仿宋" w:eastAsia="仿宋" w:cs="仿宋"/>
          <w:color w:val="auto"/>
          <w:sz w:val="24"/>
          <w:szCs w:val="24"/>
          <w:highlight w:val="none"/>
        </w:rPr>
        <w:fldChar w:fldCharType="end"/>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2.融资机构业务人员信息列表：</w:t>
      </w:r>
    </w:p>
    <w:tbl>
      <w:tblPr>
        <w:tblStyle w:val="20"/>
        <w:tblW w:w="80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6"/>
        <w:gridCol w:w="1716"/>
        <w:gridCol w:w="1866"/>
        <w:gridCol w:w="3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8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7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业务联系人</w:t>
            </w:r>
          </w:p>
        </w:tc>
        <w:tc>
          <w:tcPr>
            <w:tcW w:w="18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w:t>
            </w:r>
          </w:p>
        </w:tc>
        <w:tc>
          <w:tcPr>
            <w:tcW w:w="36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8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岳恒志</w:t>
            </w:r>
          </w:p>
        </w:tc>
        <w:tc>
          <w:tcPr>
            <w:tcW w:w="18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17737799828</w:t>
            </w:r>
          </w:p>
        </w:tc>
        <w:tc>
          <w:tcPr>
            <w:tcW w:w="36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洛阳市洛龙区长兴街66号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8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许然涛</w:t>
            </w:r>
          </w:p>
        </w:tc>
        <w:tc>
          <w:tcPr>
            <w:tcW w:w="18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19903896628</w:t>
            </w:r>
          </w:p>
        </w:tc>
        <w:tc>
          <w:tcPr>
            <w:tcW w:w="36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洛阳市洛龙区长兴街66号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8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71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柴碧林</w:t>
            </w:r>
          </w:p>
        </w:tc>
        <w:tc>
          <w:tcPr>
            <w:tcW w:w="18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13271555838</w:t>
            </w:r>
          </w:p>
        </w:tc>
        <w:tc>
          <w:tcPr>
            <w:tcW w:w="3666" w:type="dxa"/>
          </w:tcPr>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洛阳市洛龙区长兴街66号</w:t>
            </w:r>
          </w:p>
        </w:tc>
      </w:tr>
    </w:tbl>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二、融资流程及各环节办结时间</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客户通过“中原银行公司金融公众号”、“中原银行小微金融公众号”或“中原银行官方网站”等渠道申请即可办理。对于申报资料齐全，符合标准的业务，5个工作日即可完成审查审批。</w:t>
      </w:r>
    </w:p>
    <w:p>
      <w:pPr>
        <w:pStyle w:val="49"/>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建设银行政府采购合同融资</w:t>
      </w:r>
    </w:p>
    <w:p>
      <w:pPr>
        <w:pStyle w:val="49"/>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lang w:val="en-US" w:eastAsia="zh-CN" w:bidi="ar-SA"/>
        </w:rPr>
        <w:t>产品介绍及联系方式</w:t>
      </w:r>
    </w:p>
    <w:p>
      <w:pPr>
        <w:keepNext w:val="0"/>
        <w:keepLines w:val="0"/>
        <w:pageBreakBefore w:val="0"/>
        <w:kinsoku/>
        <w:wordWrap/>
        <w:overflowPunct/>
        <w:topLinePunct w:val="0"/>
        <w:bidi w:val="0"/>
        <w:snapToGrid/>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1、业务流程</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（1）采购人的采购资金纳入同级或以上政府财政预算。</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（2）供应商与政府采购部门签署采购合同。</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（3）采购合同在公开平台进行公示或者备案。</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（4）采购供应商依托采购合同，通过建行集团供应链平台申请融资。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（5）建行核实贸易背景，按照采购合同金额的一定比例（考虑质押率）发放融资款项。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（6）业务到期前，政府部门支付采购款项到建设银行指定的回款专户中。</w:t>
      </w:r>
    </w:p>
    <w:p>
      <w:pPr>
        <w:pStyle w:val="2"/>
        <w:keepNext w:val="0"/>
        <w:keepLines w:val="0"/>
        <w:pageBreakBefore w:val="0"/>
        <w:kinsoku/>
        <w:wordWrap/>
        <w:overflowPunct/>
        <w:topLinePunct w:val="0"/>
        <w:bidi w:val="0"/>
        <w:snapToGrid/>
        <w:spacing w:line="460" w:lineRule="exact"/>
        <w:ind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2、产品优势</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（1）无抵押（依据政府采购合同及历史交易、履约信息作为授信依据）；</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（2）放款快（在线审批，快捷放款）；</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（3）额度高（单笔合同贷款金额最高3000万元）；</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（4）操作便捷（流程简捷，全线上化操作）；</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（5）还款灵活（支持多种还款付息方式，支持提前还款）；</w:t>
      </w:r>
    </w:p>
    <w:p>
      <w:pPr>
        <w:keepNext w:val="0"/>
        <w:keepLines w:val="0"/>
        <w:pageBreakBefore w:val="0"/>
        <w:kinsoku/>
        <w:wordWrap/>
        <w:overflowPunct/>
        <w:topLinePunct w:val="0"/>
        <w:bidi w:val="0"/>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3、借款人基本条件</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（1）供应商经工商行政管理机关（或主管机关）核准登记的企业法人或个体工商户，有固定经营场所，合法经营。</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（2）供应商未纳入</w:t>
      </w:r>
      <w:bookmarkStart w:id="865" w:name="_Hlk11443363"/>
      <w:r>
        <w:rPr>
          <w:rFonts w:hint="eastAsia" w:ascii="仿宋" w:hAnsi="仿宋" w:eastAsia="仿宋" w:cs="仿宋"/>
          <w:color w:val="auto"/>
          <w:sz w:val="24"/>
          <w:szCs w:val="24"/>
          <w:highlight w:val="none"/>
        </w:rPr>
        <w:t>政府采购严重违法失信行为记录名单</w:t>
      </w:r>
      <w:bookmarkEnd w:id="865"/>
      <w:r>
        <w:rPr>
          <w:rFonts w:hint="eastAsia" w:ascii="仿宋" w:hAnsi="仿宋" w:eastAsia="仿宋" w:cs="仿宋"/>
          <w:color w:val="auto"/>
          <w:sz w:val="24"/>
          <w:szCs w:val="24"/>
          <w:highlight w:val="none"/>
        </w:rPr>
        <w:t>。（3）不存在我行反洗钱客户身份识别管理制度规定的禁止准入情形或停止业务关系的情形。（4）供应商企业具有持续经营能力，信用记录良好，近2年在中国人民银行企业征信系统无不良信用记录。（5）供应商企业主个人信用记录良好，近2年在中国人民银行个人征信系统个人逾期或欠息在30天（含）以内的次数不超过2（含）次，且不存在逾期或欠息在30天以上的信用记录。（6）供应商与采购人具有长期稳定合作关系，原则上要有2次及以上的历史政府采购中标记录。（7）供应商及采购人为本地注册企业。（8）供应商成立一年以上。（9）供应商具有明确的还款来源和风险缓释措施。</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4、申请路径：</w:t>
      </w:r>
      <w:r>
        <w:rPr>
          <w:rFonts w:hint="eastAsia" w:ascii="仿宋" w:hAnsi="仿宋" w:eastAsia="仿宋" w:cs="仿宋"/>
          <w:color w:val="auto"/>
          <w:sz w:val="24"/>
          <w:szCs w:val="24"/>
          <w:highlight w:val="none"/>
        </w:rPr>
        <w:t>建行集团供应链平台</w:t>
      </w:r>
    </w:p>
    <w:p>
      <w:pPr>
        <w:pStyle w:val="49"/>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en-US"/>
        </w:rPr>
        <w:t>5、利率：</w:t>
      </w:r>
      <w:r>
        <w:rPr>
          <w:rFonts w:hint="eastAsia" w:ascii="仿宋" w:hAnsi="仿宋" w:eastAsia="仿宋" w:cs="仿宋"/>
          <w:color w:val="auto"/>
          <w:sz w:val="24"/>
          <w:szCs w:val="24"/>
          <w:highlight w:val="none"/>
          <w:lang w:val="en-US" w:eastAsia="zh-CN" w:bidi="ar-SA"/>
        </w:rPr>
        <w:t>针对不同客户差别化定价，根据客户综合贡献度合理确定。</w:t>
      </w:r>
    </w:p>
    <w:p>
      <w:pPr>
        <w:pStyle w:val="49"/>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en-US"/>
        </w:rPr>
        <w:t>6、联系方式：</w:t>
      </w:r>
      <w:r>
        <w:rPr>
          <w:rFonts w:hint="eastAsia" w:ascii="仿宋" w:hAnsi="仿宋" w:eastAsia="仿宋" w:cs="仿宋"/>
          <w:color w:val="auto"/>
          <w:sz w:val="24"/>
          <w:szCs w:val="24"/>
          <w:highlight w:val="none"/>
          <w:lang w:val="en-US" w:eastAsia="zh-CN" w:bidi="ar-SA"/>
        </w:rPr>
        <w:t>分管领导：马顺超13693835688</w:t>
      </w:r>
    </w:p>
    <w:p>
      <w:pPr>
        <w:pStyle w:val="49"/>
        <w:keepNext w:val="0"/>
        <w:keepLines w:val="0"/>
        <w:pageBreakBefore w:val="0"/>
        <w:kinsoku/>
        <w:wordWrap/>
        <w:overflowPunct/>
        <w:topLinePunct w:val="0"/>
        <w:bidi w:val="0"/>
        <w:snapToGrid/>
        <w:spacing w:line="460" w:lineRule="exact"/>
        <w:ind w:firstLine="1680" w:firstLineChars="7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信贷经理：张翠荣13937942294</w:t>
      </w:r>
    </w:p>
    <w:p>
      <w:pPr>
        <w:keepNext w:val="0"/>
        <w:keepLines w:val="0"/>
        <w:pageBreakBefore w:val="0"/>
        <w:kinsoku/>
        <w:wordWrap/>
        <w:overflowPunct/>
        <w:topLinePunct w:val="0"/>
        <w:bidi w:val="0"/>
        <w:snapToGrid/>
        <w:spacing w:line="460" w:lineRule="exact"/>
        <w:ind w:firstLine="472" w:firstLineChars="196"/>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招商银行政府采购融资贷联系方式及融资产品介绍</w:t>
      </w:r>
    </w:p>
    <w:p>
      <w:pPr>
        <w:pStyle w:val="50"/>
        <w:keepNext w:val="0"/>
        <w:keepLines w:val="0"/>
        <w:pageBreakBefore w:val="0"/>
        <w:numPr>
          <w:ilvl w:val="0"/>
          <w:numId w:val="19"/>
        </w:numPr>
        <w:kinsoku/>
        <w:wordWrap/>
        <w:overflowPunct/>
        <w:topLinePunct w:val="0"/>
        <w:bidi w:val="0"/>
        <w:snapToGrid/>
        <w:spacing w:line="460" w:lineRule="exact"/>
        <w:ind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联系方式：</w:t>
      </w:r>
    </w:p>
    <w:tbl>
      <w:tblPr>
        <w:tblStyle w:val="19"/>
        <w:tblW w:w="9782" w:type="dxa"/>
        <w:tblInd w:w="-176" w:type="dxa"/>
        <w:tblLayout w:type="fixed"/>
        <w:tblCellMar>
          <w:top w:w="0" w:type="dxa"/>
          <w:left w:w="108" w:type="dxa"/>
          <w:bottom w:w="0" w:type="dxa"/>
          <w:right w:w="108" w:type="dxa"/>
        </w:tblCellMar>
      </w:tblPr>
      <w:tblGrid>
        <w:gridCol w:w="1457"/>
        <w:gridCol w:w="1980"/>
        <w:gridCol w:w="3540"/>
        <w:gridCol w:w="1954"/>
        <w:gridCol w:w="851"/>
      </w:tblGrid>
      <w:tr>
        <w:tblPrEx>
          <w:tblCellMar>
            <w:top w:w="0" w:type="dxa"/>
            <w:left w:w="108" w:type="dxa"/>
            <w:bottom w:w="0" w:type="dxa"/>
            <w:right w:w="108" w:type="dxa"/>
          </w:tblCellMar>
        </w:tblPrEx>
        <w:trPr>
          <w:trHeight w:val="270" w:hRule="atLeast"/>
        </w:trPr>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分管领导</w:t>
            </w:r>
          </w:p>
        </w:tc>
        <w:tc>
          <w:tcPr>
            <w:tcW w:w="19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职务</w:t>
            </w:r>
          </w:p>
        </w:tc>
        <w:tc>
          <w:tcPr>
            <w:tcW w:w="3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tc>
        <w:tc>
          <w:tcPr>
            <w:tcW w:w="19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CellMar>
            <w:top w:w="0" w:type="dxa"/>
            <w:left w:w="108" w:type="dxa"/>
            <w:bottom w:w="0" w:type="dxa"/>
            <w:right w:w="108" w:type="dxa"/>
          </w:tblCellMar>
        </w:tblPrEx>
        <w:trPr>
          <w:trHeight w:val="270" w:hRule="atLeast"/>
        </w:trPr>
        <w:tc>
          <w:tcPr>
            <w:tcW w:w="145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彭国庆</w:t>
            </w:r>
          </w:p>
        </w:tc>
        <w:tc>
          <w:tcPr>
            <w:tcW w:w="1980"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公司业务分管行长</w:t>
            </w:r>
          </w:p>
        </w:tc>
        <w:tc>
          <w:tcPr>
            <w:tcW w:w="3540"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洛阳市涧西区南昌路7号西苑大厦</w:t>
            </w:r>
          </w:p>
        </w:tc>
        <w:tc>
          <w:tcPr>
            <w:tcW w:w="195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15236667303</w:t>
            </w:r>
          </w:p>
        </w:tc>
        <w:tc>
          <w:tcPr>
            <w:tcW w:w="85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270" w:hRule="atLeast"/>
        </w:trPr>
        <w:tc>
          <w:tcPr>
            <w:tcW w:w="145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王伊宁</w:t>
            </w:r>
          </w:p>
        </w:tc>
        <w:tc>
          <w:tcPr>
            <w:tcW w:w="19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客户经理</w:t>
            </w:r>
          </w:p>
        </w:tc>
        <w:tc>
          <w:tcPr>
            <w:tcW w:w="3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洛阳市涧西区南昌路7号西苑大厦</w:t>
            </w:r>
          </w:p>
        </w:tc>
        <w:tc>
          <w:tcPr>
            <w:tcW w:w="19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13683861133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二、审批流程</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1、申请路径：</w:t>
      </w: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手机扫描二维码申请</w:t>
      </w:r>
    </w:p>
    <w:p>
      <w:pPr>
        <w:spacing w:line="480" w:lineRule="auto"/>
        <w:ind w:firstLine="548" w:firstLineChars="19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114300" distR="114300">
            <wp:extent cx="1937385" cy="157162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937385" cy="15716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46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（2）网页版申请</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"https://sme.cmbchina.com/" </w:instrText>
      </w:r>
      <w:r>
        <w:rPr>
          <w:rFonts w:hint="eastAsia" w:ascii="仿宋" w:hAnsi="仿宋" w:eastAsia="仿宋" w:cs="仿宋"/>
          <w:color w:val="auto"/>
          <w:sz w:val="24"/>
          <w:szCs w:val="24"/>
          <w:highlight w:val="none"/>
        </w:rPr>
        <w:fldChar w:fldCharType="separate"/>
      </w:r>
      <w:r>
        <w:rPr>
          <w:rStyle w:val="23"/>
          <w:rFonts w:hint="eastAsia" w:ascii="仿宋" w:hAnsi="仿宋" w:eastAsia="仿宋" w:cs="仿宋"/>
          <w:color w:val="auto"/>
          <w:sz w:val="24"/>
          <w:szCs w:val="24"/>
          <w:highlight w:val="none"/>
        </w:rPr>
        <w:t>https://sme.cmbchina.com/</w:t>
      </w:r>
      <w:r>
        <w:rPr>
          <w:rStyle w:val="23"/>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spacing w:line="460" w:lineRule="exact"/>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2、授信额度：</w:t>
      </w:r>
      <w:r>
        <w:rPr>
          <w:rFonts w:hint="eastAsia" w:ascii="仿宋" w:hAnsi="仿宋" w:eastAsia="仿宋" w:cs="仿宋"/>
          <w:color w:val="auto"/>
          <w:sz w:val="24"/>
          <w:szCs w:val="24"/>
          <w:highlight w:val="none"/>
        </w:rPr>
        <w:t>基于政府采购中标总额和实际采购合同办理融资,额度最高可达到3000万，线上自助模式最高1000万；</w:t>
      </w:r>
    </w:p>
    <w:p>
      <w:pPr>
        <w:keepNext w:val="0"/>
        <w:keepLines w:val="0"/>
        <w:pageBreakBefore w:val="0"/>
        <w:kinsoku/>
        <w:wordWrap/>
        <w:overflowPunct/>
        <w:topLinePunct w:val="0"/>
        <w:autoSpaceDE/>
        <w:autoSpaceDN/>
        <w:bidi w:val="0"/>
        <w:spacing w:line="46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color w:val="auto"/>
          <w:sz w:val="24"/>
          <w:szCs w:val="24"/>
          <w:highlight w:val="none"/>
        </w:rPr>
        <w:t>利率：</w:t>
      </w:r>
      <w:r>
        <w:rPr>
          <w:rFonts w:hint="eastAsia" w:ascii="仿宋" w:hAnsi="仿宋" w:eastAsia="仿宋" w:cs="仿宋"/>
          <w:color w:val="auto"/>
          <w:sz w:val="24"/>
          <w:szCs w:val="24"/>
          <w:highlight w:val="none"/>
        </w:rPr>
        <w:t>为切实降低中小微企业融资成本，我行严格执行普惠金融利率政策，对符合标准的普惠小微贷款业务一定补贴优惠；</w:t>
      </w:r>
    </w:p>
    <w:p>
      <w:pPr>
        <w:keepNext w:val="0"/>
        <w:keepLines w:val="0"/>
        <w:pageBreakBefore w:val="0"/>
        <w:kinsoku/>
        <w:wordWrap/>
        <w:overflowPunct/>
        <w:topLinePunct w:val="0"/>
        <w:autoSpaceDE/>
        <w:autoSpaceDN/>
        <w:bidi w:val="0"/>
        <w:spacing w:line="460" w:lineRule="exact"/>
        <w:ind w:firstLine="472" w:firstLineChars="196"/>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4、风控措施：</w:t>
      </w:r>
    </w:p>
    <w:p>
      <w:pPr>
        <w:keepNext w:val="0"/>
        <w:keepLines w:val="0"/>
        <w:pageBreakBefore w:val="0"/>
        <w:kinsoku/>
        <w:wordWrap/>
        <w:overflowPunct/>
        <w:topLinePunct w:val="0"/>
        <w:autoSpaceDE/>
        <w:autoSpaceDN/>
        <w:bidi w:val="0"/>
        <w:spacing w:line="4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（1）回款锁定——保证融资申请人在我行进行融资的政府采购商务合同所对应的回款账户为我行且唯一；（2）在我行据以融资的商务合同项下的应收账款质押；（3）实际控制人夫妇提供连带担保；</w:t>
      </w:r>
    </w:p>
    <w:p>
      <w:pPr>
        <w:keepNext w:val="0"/>
        <w:keepLines w:val="0"/>
        <w:pageBreakBefore w:val="0"/>
        <w:kinsoku/>
        <w:wordWrap/>
        <w:overflowPunct/>
        <w:topLinePunct w:val="0"/>
        <w:autoSpaceDE/>
        <w:autoSpaceDN/>
        <w:bidi w:val="0"/>
        <w:spacing w:line="460" w:lineRule="exact"/>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5、客户准入</w:t>
      </w:r>
    </w:p>
    <w:p>
      <w:pPr>
        <w:keepNext w:val="0"/>
        <w:keepLines w:val="0"/>
        <w:pageBreakBefore w:val="0"/>
        <w:kinsoku/>
        <w:wordWrap/>
        <w:overflowPunct/>
        <w:topLinePunct w:val="0"/>
        <w:autoSpaceDE/>
        <w:autoSpaceDN/>
        <w:bidi w:val="0"/>
        <w:spacing w:line="460" w:lineRule="exact"/>
        <w:ind w:left="420" w:left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（1）采购单位 ：</w:t>
      </w:r>
      <w:r>
        <w:rPr>
          <w:rFonts w:hint="eastAsia" w:ascii="仿宋" w:hAnsi="仿宋" w:eastAsia="仿宋" w:cs="仿宋"/>
          <w:color w:val="auto"/>
          <w:sz w:val="24"/>
          <w:szCs w:val="24"/>
          <w:highlight w:val="none"/>
        </w:rPr>
        <w:t>区县及以上政府机构；由上述政府统筹付款的二甲以上公立医院、学校、科研机构等事业单位；付款记录良好，无拖欠大额工程款、采购款、逃废银行债务等不良记录；</w:t>
      </w:r>
    </w:p>
    <w:p>
      <w:pPr>
        <w:keepNext w:val="0"/>
        <w:keepLines w:val="0"/>
        <w:pageBreakBefore w:val="0"/>
        <w:kinsoku/>
        <w:wordWrap/>
        <w:overflowPunct/>
        <w:topLinePunct w:val="0"/>
        <w:autoSpaceDE/>
        <w:autoSpaceDN/>
        <w:bidi w:val="0"/>
        <w:spacing w:line="460" w:lineRule="exact"/>
        <w:ind w:left="420" w:left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（2）采购项目 ：</w:t>
      </w:r>
      <w:r>
        <w:rPr>
          <w:rFonts w:hint="eastAsia" w:ascii="仿宋" w:hAnsi="仿宋" w:eastAsia="仿宋" w:cs="仿宋"/>
          <w:color w:val="auto"/>
          <w:sz w:val="24"/>
          <w:szCs w:val="24"/>
          <w:highlight w:val="none"/>
        </w:rPr>
        <w:t>优先支持货物类采购，稳妥介入服务类采购，审慎介入建设工程类采购；未在他行办理以同一采购合同为贸易背景的融资业务；</w:t>
      </w:r>
    </w:p>
    <w:p>
      <w:pPr>
        <w:keepNext w:val="0"/>
        <w:keepLines w:val="0"/>
        <w:pageBreakBefore w:val="0"/>
        <w:kinsoku/>
        <w:wordWrap/>
        <w:overflowPunct/>
        <w:topLinePunct w:val="0"/>
        <w:autoSpaceDE/>
        <w:autoSpaceDN/>
        <w:bidi w:val="0"/>
        <w:spacing w:line="460" w:lineRule="exact"/>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8、政采自助贷：</w:t>
      </w:r>
    </w:p>
    <w:p>
      <w:pPr>
        <w:keepNext w:val="0"/>
        <w:keepLines w:val="0"/>
        <w:pageBreakBefore w:val="0"/>
        <w:kinsoku/>
        <w:wordWrap/>
        <w:overflowPunct/>
        <w:topLinePunct w:val="0"/>
        <w:autoSpaceDE/>
        <w:autoSpaceDN/>
        <w:bidi w:val="0"/>
        <w:spacing w:line="460" w:lineRule="exact"/>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（1）线上申请及预授信，额度最高1000万；（2）网银端线上自助提款，10分钟内即可到账；（3）基于政府采购中标总额和实际采购合同办理融资, 融资比例最高可达合同金额的80%；（4）利率优惠,线上可随借随还，更加符合政采供应商需求并降低企业成本。</w:t>
      </w:r>
    </w:p>
    <w:p>
      <w:pPr>
        <w:keepNext w:val="0"/>
        <w:keepLines w:val="0"/>
        <w:pageBreakBefore w:val="0"/>
        <w:kinsoku/>
        <w:wordWrap/>
        <w:overflowPunct/>
        <w:topLinePunct w:val="0"/>
        <w:autoSpaceDE/>
        <w:autoSpaceDN/>
        <w:bidi w:val="0"/>
        <w:spacing w:line="460" w:lineRule="exact"/>
        <w:ind w:firstLine="470" w:firstLineChars="196"/>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ab/>
      </w:r>
      <w:r>
        <w:rPr>
          <w:rFonts w:hint="eastAsia" w:ascii="仿宋" w:hAnsi="仿宋" w:eastAsia="仿宋" w:cs="仿宋"/>
          <w:b/>
          <w:bCs/>
          <w:color w:val="auto"/>
          <w:sz w:val="24"/>
          <w:szCs w:val="24"/>
          <w:highlight w:val="none"/>
        </w:rPr>
        <w:t>浦发银行政府采购融资贷联系方式及融资产品介绍</w:t>
      </w:r>
    </w:p>
    <w:p>
      <w:pPr>
        <w:keepNext w:val="0"/>
        <w:keepLines w:val="0"/>
        <w:pageBreakBefore w:val="0"/>
        <w:kinsoku/>
        <w:wordWrap/>
        <w:overflowPunct/>
        <w:topLinePunct w:val="0"/>
        <w:autoSpaceDE/>
        <w:autoSpaceDN/>
        <w:bidi w:val="0"/>
        <w:spacing w:line="460" w:lineRule="exact"/>
        <w:ind w:firstLine="480" w:firstLineChars="200"/>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一、联系方式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1705"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05"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苏冰</w:t>
            </w:r>
          </w:p>
        </w:tc>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高级产品经理</w:t>
            </w:r>
          </w:p>
        </w:tc>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洛阳市洛龙区展览路211号</w:t>
            </w:r>
          </w:p>
        </w:tc>
        <w:tc>
          <w:tcPr>
            <w:tcW w:w="1705"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18623790623</w:t>
            </w:r>
          </w:p>
        </w:tc>
        <w:tc>
          <w:tcPr>
            <w:tcW w:w="1705"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微信同手机号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汪乐阳</w:t>
            </w:r>
          </w:p>
        </w:tc>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普惠金融部总经理</w:t>
            </w:r>
          </w:p>
        </w:tc>
        <w:tc>
          <w:tcPr>
            <w:tcW w:w="1704"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洛阳市洛龙区展览路211号</w:t>
            </w:r>
          </w:p>
        </w:tc>
        <w:tc>
          <w:tcPr>
            <w:tcW w:w="1705"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13698889966</w:t>
            </w:r>
          </w:p>
        </w:tc>
        <w:tc>
          <w:tcPr>
            <w:tcW w:w="1705" w:type="dxa"/>
            <w:vAlign w:val="center"/>
          </w:tcPr>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微信同手机号</w:t>
            </w:r>
          </w:p>
        </w:tc>
      </w:tr>
    </w:tbl>
    <w:p>
      <w:pPr>
        <w:keepNext w:val="0"/>
        <w:keepLines w:val="0"/>
        <w:pageBreakBefore w:val="0"/>
        <w:kinsoku/>
        <w:wordWrap/>
        <w:overflowPunct/>
        <w:topLinePunct w:val="0"/>
        <w:autoSpaceDE/>
        <w:autoSpaceDN/>
        <w:bidi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二、融资产品介绍</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在您中标政府采购项目，从合同(订单)生效到最终收款期间，有没有因采购原材料、生产产品等产生资金压力，存在融资需求的情况？</w:t>
      </w:r>
    </w:p>
    <w:p>
      <w:pPr>
        <w:keepNext w:val="0"/>
        <w:keepLines w:val="0"/>
        <w:pageBreakBefore w:val="0"/>
        <w:widowControl/>
        <w:kinsoku/>
        <w:wordWrap/>
        <w:overflowPunct/>
        <w:topLinePunct w:val="0"/>
        <w:autoSpaceDE/>
        <w:autoSpaceDN/>
        <w:bidi w:val="0"/>
        <w:spacing w:line="460" w:lineRule="exact"/>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（一）产品介绍：</w:t>
      </w:r>
    </w:p>
    <w:p>
      <w:pPr>
        <w:keepNext w:val="0"/>
        <w:keepLines w:val="0"/>
        <w:pageBreakBefore w:val="0"/>
        <w:widowControl/>
        <w:kinsoku/>
        <w:wordWrap/>
        <w:overflowPunct/>
        <w:topLinePunct w:val="0"/>
        <w:autoSpaceDE/>
        <w:autoSpaceDN/>
        <w:bidi w:val="0"/>
        <w:spacing w:line="460" w:lineRule="exact"/>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“政采e贷”是由洛阳市财政局与浦发银行共同开发，基于政府采购合同，为供应商提供的信用贷款。</w:t>
      </w:r>
    </w:p>
    <w:p>
      <w:pPr>
        <w:keepNext w:val="0"/>
        <w:keepLines w:val="0"/>
        <w:pageBreakBefore w:val="0"/>
        <w:widowControl/>
        <w:kinsoku/>
        <w:wordWrap/>
        <w:overflowPunct/>
        <w:topLinePunct w:val="0"/>
        <w:autoSpaceDE/>
        <w:autoSpaceDN/>
        <w:bidi w:val="0"/>
        <w:spacing w:line="460" w:lineRule="exact"/>
        <w:ind w:firstLine="482"/>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（二）产品优势：</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1、融资期限最长可达1年。</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2、货物、服务类最高1000万元，工程类最高1500万元。</w:t>
      </w:r>
    </w:p>
    <w:p>
      <w:pPr>
        <w:keepNext w:val="0"/>
        <w:keepLines w:val="0"/>
        <w:pageBreakBefore w:val="0"/>
        <w:widowControl/>
        <w:kinsoku/>
        <w:wordWrap/>
        <w:overflowPunct/>
        <w:topLinePunct w:val="0"/>
        <w:autoSpaceDE/>
        <w:autoSpaceDN/>
        <w:bidi w:val="0"/>
        <w:spacing w:line="460" w:lineRule="exact"/>
        <w:ind w:left="839" w:hanging="36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3、信用贷款，低门槛，循环额度，随借随还。</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4、业务流程简单，在线秒级放款，尊享快捷体验。</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5、总行补贴，融资利率有优惠。</w:t>
      </w:r>
    </w:p>
    <w:p>
      <w:pPr>
        <w:keepNext w:val="0"/>
        <w:keepLines w:val="0"/>
        <w:pageBreakBefore w:val="0"/>
        <w:widowControl/>
        <w:kinsoku/>
        <w:wordWrap/>
        <w:overflowPunct/>
        <w:topLinePunct w:val="0"/>
        <w:autoSpaceDE/>
        <w:autoSpaceDN/>
        <w:bidi w:val="0"/>
        <w:spacing w:line="460" w:lineRule="exact"/>
        <w:ind w:firstLine="482"/>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（三）适用客户：</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1、在河南省境内注册的供应商，未列入河南省政府采购供应商黑名单。</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2、人民银行征信系统无逾期、垫款等情况，且无其他不良信用记录。</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b/>
          <w:color w:val="auto"/>
          <w:kern w:val="0"/>
          <w:sz w:val="24"/>
          <w:szCs w:val="24"/>
          <w:highlight w:val="none"/>
        </w:rPr>
        <w:t>政府采购中标区域：</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（1）河南省省直、郑州市（含市内各区）项目</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（2）洛阳市市直项目</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（3）河南其他地市市直项目</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（4）林州、长垣、新郑、禹州中标项目。</w:t>
      </w:r>
    </w:p>
    <w:p>
      <w:pPr>
        <w:keepNext w:val="0"/>
        <w:keepLines w:val="0"/>
        <w:pageBreakBefore w:val="0"/>
        <w:widowControl/>
        <w:kinsoku/>
        <w:wordWrap/>
        <w:overflowPunct/>
        <w:topLinePunct w:val="0"/>
        <w:autoSpaceDE/>
        <w:autoSpaceDN/>
        <w:bidi w:val="0"/>
        <w:spacing w:line="460" w:lineRule="exact"/>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（四）申请路径</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1、供应商首先与联系人联系，提供企业基本证件、征信报告、中标合同、采购合同等进行客户准入和额度测算。</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2、供应商来浦发银行开户，在政府采购合同中填写浦发银行账号。</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（若客户已签署其他银行账号，则需要联系浦发银行进行备案银行账号变更）</w:t>
      </w:r>
    </w:p>
    <w:p>
      <w:pPr>
        <w:keepNext w:val="0"/>
        <w:keepLines w:val="0"/>
        <w:pageBreakBefore w:val="0"/>
        <w:widowControl/>
        <w:kinsoku/>
        <w:wordWrap/>
        <w:overflowPunct/>
        <w:topLinePunct w:val="0"/>
        <w:autoSpaceDE/>
        <w:autoSpaceDN/>
        <w:bidi w:val="0"/>
        <w:spacing w:line="46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3、授信审查和放款（资料齐全一周时间）</w:t>
      </w:r>
    </w:p>
    <w:p>
      <w:pPr>
        <w:keepNext w:val="0"/>
        <w:keepLines w:val="0"/>
        <w:pageBreakBefore w:val="0"/>
        <w:kinsoku/>
        <w:wordWrap/>
        <w:overflowPunct/>
        <w:topLinePunct w:val="0"/>
        <w:autoSpaceDE/>
        <w:autoSpaceDN/>
        <w:bidi w:val="0"/>
        <w:spacing w:line="460" w:lineRule="exact"/>
        <w:ind w:firstLine="472" w:firstLineChars="19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交通银行政府采购融资贷联系方式及融资产品介绍</w:t>
      </w:r>
    </w:p>
    <w:p>
      <w:pPr>
        <w:keepNext w:val="0"/>
        <w:keepLines w:val="0"/>
        <w:pageBreakBefore w:val="0"/>
        <w:kinsoku/>
        <w:wordWrap/>
        <w:overflowPunct/>
        <w:topLinePunct w:val="0"/>
        <w:autoSpaceDE/>
        <w:autoSpaceDN/>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银行针对政府采购供应商中的小微企业推出的，以未来应收账款作为质押、以财政性资金作为还款来源的融资业务。凡参与过政府采购历史的中标企业，即可提前在我行预申请融资额度，中标且签订采购合同后可随时提用。我行具有绿色批复通道、授信额度高、免抵押担保、期限长等优势。</w:t>
      </w:r>
    </w:p>
    <w:p>
      <w:pPr>
        <w:keepNext w:val="0"/>
        <w:keepLines w:val="0"/>
        <w:pageBreakBefore w:val="0"/>
        <w:kinsoku/>
        <w:wordWrap/>
        <w:overflowPunct/>
        <w:topLinePunct w:val="0"/>
        <w:autoSpaceDE/>
        <w:autoSpaceDN/>
        <w:bidi w:val="0"/>
        <w:spacing w:line="460" w:lineRule="exact"/>
        <w:ind w:firstLine="480" w:firstLineChars="200"/>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  周贯超     联系方式：15538830369</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顾  伟     联系方式：18037558778</w:t>
      </w:r>
    </w:p>
    <w:p>
      <w:pPr>
        <w:keepNext w:val="0"/>
        <w:keepLines w:val="0"/>
        <w:pageBreakBefore w:val="0"/>
        <w:kinsoku/>
        <w:wordWrap/>
        <w:overflowPunct/>
        <w:topLinePunct w:val="0"/>
        <w:autoSpaceDE/>
        <w:autoSpaceDN/>
        <w:bidi w:val="0"/>
        <w:spacing w:line="46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魏柴扉               18837923035</w:t>
      </w:r>
    </w:p>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洛阳农商银行“普惠政府采购贷”产品简介及联系人</w:t>
      </w:r>
    </w:p>
    <w:p>
      <w:pPr>
        <w:keepNext w:val="0"/>
        <w:keepLines w:val="0"/>
        <w:pageBreakBefore w:val="0"/>
        <w:kinsoku/>
        <w:wordWrap/>
        <w:overflowPunct/>
        <w:topLinePunct w:val="0"/>
        <w:autoSpaceDE/>
        <w:autoSpaceDN/>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简介：“普惠政府采购贷”是指本行以政府采购诚信考核和信用审查为基础，凭借中小微企业供应商取得并提供的政府采购合同，依托省财政厅的电子化政府采购系统平台，按优于一般中小微企业的贷款利率及手续，直接向本行申请贷款的中小微企业发放的用于采购合同项下商品备货、生产和加工的贷款。以信用方式为主，追加供货商法定代表人或者实际控制人提供连带责任保证担保，融资额度不超过采购合同标的额的70%，贷款期限不超过1年，贷款利率原则上执行LPR上浮60%执行。</w:t>
      </w:r>
    </w:p>
    <w:p>
      <w:pPr>
        <w:keepNext w:val="0"/>
        <w:keepLines w:val="0"/>
        <w:pageBreakBefore w:val="0"/>
        <w:kinsoku/>
        <w:wordWrap/>
        <w:overflowPunct/>
        <w:topLinePunct w:val="0"/>
        <w:autoSpaceDE/>
        <w:autoSpaceDN/>
        <w:bidi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分管领导：</w:t>
      </w:r>
      <w:r>
        <w:rPr>
          <w:rFonts w:hint="eastAsia" w:ascii="仿宋" w:hAnsi="仿宋" w:eastAsia="仿宋" w:cs="仿宋"/>
          <w:color w:val="auto"/>
          <w:sz w:val="24"/>
          <w:szCs w:val="24"/>
          <w:highlight w:val="none"/>
        </w:rPr>
        <w:t>张学强 13083636800</w:t>
      </w:r>
    </w:p>
    <w:p>
      <w:pPr>
        <w:keepNext w:val="0"/>
        <w:keepLines w:val="0"/>
        <w:pageBreakBefore w:val="0"/>
        <w:kinsoku/>
        <w:wordWrap/>
        <w:overflowPunct/>
        <w:topLinePunct w:val="0"/>
        <w:autoSpaceDE/>
        <w:autoSpaceDN/>
        <w:bidi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信贷经理：</w:t>
      </w:r>
      <w:r>
        <w:rPr>
          <w:rFonts w:hint="eastAsia" w:ascii="仿宋" w:hAnsi="仿宋" w:eastAsia="仿宋" w:cs="仿宋"/>
          <w:color w:val="auto"/>
          <w:sz w:val="24"/>
          <w:szCs w:val="24"/>
          <w:highlight w:val="none"/>
        </w:rPr>
        <w:t>常洁   13721681719</w:t>
      </w:r>
    </w:p>
    <w:p>
      <w:pPr>
        <w:keepNext w:val="0"/>
        <w:keepLines w:val="0"/>
        <w:pageBreakBefore w:val="0"/>
        <w:kinsoku/>
        <w:wordWrap/>
        <w:overflowPunct/>
        <w:topLinePunct w:val="0"/>
        <w:autoSpaceDE/>
        <w:autoSpaceDN/>
        <w:bidi w:val="0"/>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具体负责人：</w:t>
      </w:r>
      <w:r>
        <w:rPr>
          <w:rFonts w:hint="eastAsia" w:ascii="仿宋" w:hAnsi="仿宋" w:eastAsia="仿宋" w:cs="仿宋"/>
          <w:color w:val="auto"/>
          <w:sz w:val="24"/>
          <w:szCs w:val="24"/>
          <w:highlight w:val="none"/>
        </w:rPr>
        <w:t>娄艳阁 13526989222</w:t>
      </w:r>
    </w:p>
    <w:p>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农行洛阳分行政采贷</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1、产品定义：指境内购销双方签署订单后，农业银行以订单项下的预期销货款作为主要还款来源，为满足销货方在货物发运前因支付原材料采购款、组织生产、货物运输等资金需求而向其提供的短期融资。</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2、贷款期限：一年以内。</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3、适用对象：地市级（含）以上政府的采购部门统一组织的政府采购行为形成的订单等。</w:t>
      </w:r>
    </w:p>
    <w:p>
      <w:pPr>
        <w:keepNext w:val="0"/>
        <w:keepLines w:val="0"/>
        <w:pageBreakBefore w:val="0"/>
        <w:numPr>
          <w:ilvl w:val="0"/>
          <w:numId w:val="20"/>
        </w:numPr>
        <w:kinsoku/>
        <w:wordWrap/>
        <w:overflowPunct/>
        <w:topLinePunct w:val="0"/>
        <w:autoSpaceDE/>
        <w:autoSpaceDN/>
        <w:bidi w:val="0"/>
        <w:spacing w:line="460" w:lineRule="exact"/>
        <w:ind w:firstLine="6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理条件：（1）在农行开立基本结算账户或一般结算账户。（2）借款人符合国家产业政策及我行信贷政策，生产经营正常,具备购货方认可的供货能力。（3）订单项下商品属于销货方营业执照经营范围内，商品质量稳定，符合国家及行业标准。（4）与购货方有两年以上稳定的供销关系，合作期间的履约交货记录及销售回款情况良好。（5）在金融机构无不良信用记录，或虽然有过不良信用记录，但不良信用记录的产生并非由于主观恶意且已全部偿还。</w:t>
      </w:r>
    </w:p>
    <w:p>
      <w:pPr>
        <w:keepNext w:val="0"/>
        <w:keepLines w:val="0"/>
        <w:pageBreakBefore w:val="0"/>
        <w:numPr>
          <w:ilvl w:val="0"/>
          <w:numId w:val="20"/>
        </w:numPr>
        <w:kinsoku/>
        <w:wordWrap/>
        <w:overflowPunct/>
        <w:topLinePunct w:val="0"/>
        <w:autoSpaceDE/>
        <w:autoSpaceDN/>
        <w:bidi w:val="0"/>
        <w:spacing w:line="460" w:lineRule="exact"/>
        <w:ind w:firstLine="6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业务流程：客户申请--银行调查--业务审查审批--合同签署--贷款发放。</w:t>
      </w:r>
    </w:p>
    <w:p>
      <w:pPr>
        <w:keepNext w:val="0"/>
        <w:keepLines w:val="0"/>
        <w:pageBreakBefore w:val="0"/>
        <w:numPr>
          <w:ilvl w:val="0"/>
          <w:numId w:val="21"/>
        </w:numPr>
        <w:kinsoku/>
        <w:wordWrap/>
        <w:overflowPunct/>
        <w:topLinePunct w:val="0"/>
        <w:autoSpaceDE/>
        <w:autoSpaceDN/>
        <w:bidi w:val="0"/>
        <w:spacing w:line="460" w:lineRule="exact"/>
        <w:ind w:firstLine="6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业务分管及联系人</w:t>
      </w:r>
    </w:p>
    <w:p>
      <w:pPr>
        <w:keepNext w:val="0"/>
        <w:keepLines w:val="0"/>
        <w:pageBreakBefore w:val="0"/>
        <w:kinsoku/>
        <w:wordWrap/>
        <w:overflowPunct/>
        <w:topLinePunct w:val="0"/>
        <w:autoSpaceDE/>
        <w:autoSpaceDN/>
        <w:bidi w:val="0"/>
        <w:spacing w:line="460" w:lineRule="exact"/>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分管领导：蔡浩洋　18567663969</w:t>
      </w:r>
    </w:p>
    <w:p>
      <w:pPr>
        <w:keepNext w:val="0"/>
        <w:keepLines w:val="0"/>
        <w:pageBreakBefore w:val="0"/>
        <w:kinsoku/>
        <w:wordWrap/>
        <w:overflowPunct/>
        <w:topLinePunct w:val="0"/>
        <w:autoSpaceDE/>
        <w:autoSpaceDN/>
        <w:bidi w:val="0"/>
        <w:spacing w:line="460" w:lineRule="exact"/>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客户经理：张琦颖　18567663732</w:t>
      </w:r>
    </w:p>
    <w:p>
      <w:pPr>
        <w:keepNext w:val="0"/>
        <w:keepLines w:val="0"/>
        <w:pageBreakBefore w:val="0"/>
        <w:kinsoku/>
        <w:wordWrap/>
        <w:overflowPunct/>
        <w:topLinePunct w:val="0"/>
        <w:autoSpaceDE/>
        <w:autoSpaceDN/>
        <w:bidi w:val="0"/>
        <w:spacing w:line="460" w:lineRule="exact"/>
        <w:ind w:firstLine="472" w:firstLineChars="19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华夏银行洛阳分行“政采贷”产品介绍</w:t>
      </w:r>
    </w:p>
    <w:p>
      <w:pPr>
        <w:keepNext w:val="0"/>
        <w:keepLines w:val="0"/>
        <w:pageBreakBefore w:val="0"/>
        <w:kinsoku/>
        <w:wordWrap/>
        <w:overflowPunct/>
        <w:topLinePunct w:val="0"/>
        <w:autoSpaceDE/>
        <w:autoSpaceDN/>
        <w:bidi w:val="0"/>
        <w:spacing w:line="460" w:lineRule="exact"/>
        <w:jc w:val="center"/>
        <w:textAlignment w:val="baseline"/>
        <w:rPr>
          <w:rStyle w:val="51"/>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产品特点</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融资便捷快捷</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线上提交融资申请，线上反馈审批额度</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审批手续简便</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审批手续及所需的资料相对简便</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融资比例合理</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最高融资比例可达订单金额的80%</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价格合理灵活</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按实际融资天数计息，低于同业平均水平</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还款灵活方便</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按期还息，到期还本，可提前部分还款或全部还款</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无需抵押担保</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凭订单即可申请，无需追加抵押担保</w:t>
      </w:r>
    </w:p>
    <w:p>
      <w:pPr>
        <w:keepNext w:val="0"/>
        <w:keepLines w:val="0"/>
        <w:pageBreakBefore w:val="0"/>
        <w:kinsoku/>
        <w:wordWrap/>
        <w:overflowPunct/>
        <w:topLinePunct w:val="0"/>
        <w:autoSpaceDE/>
        <w:autoSpaceDN/>
        <w:bidi w:val="0"/>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申请条件和资料</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经工商形状管理机关（或主管机关）核准登记的企业法人或个体工商户，有固定经营场所，合法经营；</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企业为货物或服务类供应商；</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未纳入政府采购严重违法失信行为记录名单；</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企业近三年中标数不少于2次；</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企业具备与中标项目相匹配的生产或销售资质。</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申请资料：</w:t>
      </w:r>
      <w:r>
        <w:rPr>
          <w:rFonts w:hint="eastAsia" w:ascii="仿宋" w:hAnsi="仿宋" w:eastAsia="仿宋" w:cs="仿宋"/>
          <w:color w:val="auto"/>
          <w:sz w:val="24"/>
          <w:szCs w:val="24"/>
          <w:highlight w:val="none"/>
        </w:rPr>
        <w:t>营业执照正副本、法人身份证</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申请流程：</w:t>
      </w:r>
      <w:r>
        <w:rPr>
          <w:rFonts w:hint="eastAsia" w:ascii="仿宋" w:hAnsi="仿宋" w:eastAsia="仿宋" w:cs="仿宋"/>
          <w:color w:val="auto"/>
          <w:sz w:val="24"/>
          <w:szCs w:val="24"/>
          <w:highlight w:val="none"/>
        </w:rPr>
        <w:t>通过河南省政府采购网进入“华夏政采E贷”根据提示完成授信申请，系统审批通过后，前往网点开立企业账户及签订贷款协议，登陆“华夏政采贷”根据提示完成放款申请，系统审批通过后完成提款。</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联系方式：</w:t>
      </w:r>
      <w:r>
        <w:rPr>
          <w:rFonts w:hint="eastAsia" w:ascii="仿宋" w:hAnsi="仿宋" w:eastAsia="仿宋" w:cs="仿宋"/>
          <w:color w:val="auto"/>
          <w:sz w:val="24"/>
          <w:szCs w:val="24"/>
          <w:highlight w:val="none"/>
        </w:rPr>
        <w:t>分管领导：马鲜平副行长</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部门经理：杜青青营销管理部经理13633790075</w:t>
      </w:r>
    </w:p>
    <w:p>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具体负责人联系方式：谢逸伦客户经理15038621500</w:t>
      </w:r>
    </w:p>
    <w:p>
      <w:pPr>
        <w:keepNext w:val="0"/>
        <w:keepLines w:val="0"/>
        <w:pageBreakBefore w:val="0"/>
        <w:kinsoku/>
        <w:wordWrap/>
        <w:overflowPunct/>
        <w:topLinePunct w:val="0"/>
        <w:autoSpaceDE/>
        <w:autoSpaceDN/>
        <w:bidi w:val="0"/>
        <w:spacing w:line="460" w:lineRule="exact"/>
        <w:ind w:firstLine="472" w:firstLineChars="19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中国光大银行政府采购贷融资产品</w:t>
      </w:r>
    </w:p>
    <w:p>
      <w:pPr>
        <w:keepNext w:val="0"/>
        <w:keepLines w:val="0"/>
        <w:pageBreakBefore w:val="0"/>
        <w:kinsoku/>
        <w:wordWrap/>
        <w:overflowPunct/>
        <w:topLinePunct w:val="0"/>
        <w:autoSpaceDE/>
        <w:autoSpaceDN/>
        <w:bidi w:val="0"/>
        <w:spacing w:line="460" w:lineRule="exact"/>
        <w:ind w:firstLine="472" w:firstLineChars="1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介绍及联系方式</w:t>
      </w:r>
    </w:p>
    <w:p>
      <w:pPr>
        <w:pStyle w:val="16"/>
        <w:keepNext w:val="0"/>
        <w:keepLines w:val="0"/>
        <w:pageBreakBefore w:val="0"/>
        <w:widowControl/>
        <w:numPr>
          <w:ilvl w:val="0"/>
          <w:numId w:val="22"/>
        </w:numPr>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产品定义</w:t>
      </w:r>
    </w:p>
    <w:p>
      <w:pPr>
        <w:pStyle w:val="16"/>
        <w:keepNext w:val="0"/>
        <w:keepLines w:val="0"/>
        <w:pageBreakBefore w:val="0"/>
        <w:widowControl/>
        <w:kinsoku/>
        <w:wordWrap/>
        <w:overflowPunct/>
        <w:topLinePunct w:val="0"/>
        <w:autoSpaceDE/>
        <w:autoSpaceDN/>
        <w:bidi w:val="0"/>
        <w:spacing w:beforeAutospacing="0" w:afterAutospacing="0" w:line="460" w:lineRule="exac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“政采易”是指光大银行根据政府采购中标通知书，以政府财政支付资金为主要还款来源，通过封闭回款路径等方式，为中标供应商提供流动资金贷款。</w:t>
      </w:r>
    </w:p>
    <w:p>
      <w:pPr>
        <w:pStyle w:val="16"/>
        <w:keepNext w:val="0"/>
        <w:keepLines w:val="0"/>
        <w:pageBreakBefore w:val="0"/>
        <w:widowControl/>
        <w:numPr>
          <w:ilvl w:val="0"/>
          <w:numId w:val="22"/>
        </w:numPr>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借款人基本条件</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（一）具有独立承担民事责任的能力,有固定的经营场所；</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（二）企业成立1（含）年以上，且实际控制人有3年以上实际行业经验，具有良好的纳税记录、工商登记记录；</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（三）企业具有履行合同所必需的设备和服务能力；</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（四）生产经营符合国家法律法规、产业政策和环境保护要求，符合我行信贷政策；</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（五）人行征信信息查询系统查询显示企业法人、法定代表人、主要经营者无重大不良记录；政府采购履约行为无不良记录；</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（六）中标供应商在我行信用评级应在B-级（含）以上；</w:t>
      </w:r>
    </w:p>
    <w:p>
      <w:pPr>
        <w:keepNext w:val="0"/>
        <w:keepLines w:val="0"/>
        <w:pageBreakBefore w:val="0"/>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（七）我行要求的其他条件。</w:t>
      </w:r>
    </w:p>
    <w:p>
      <w:pPr>
        <w:pStyle w:val="16"/>
        <w:keepNext w:val="0"/>
        <w:keepLines w:val="0"/>
        <w:pageBreakBefore w:val="0"/>
        <w:widowControl/>
        <w:numPr>
          <w:ilvl w:val="0"/>
          <w:numId w:val="22"/>
        </w:numPr>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业务流程</w:t>
      </w:r>
    </w:p>
    <w:p>
      <w:pPr>
        <w:keepNext w:val="0"/>
        <w:keepLines w:val="0"/>
        <w:pageBreakBefore w:val="0"/>
        <w:numPr>
          <w:ilvl w:val="0"/>
          <w:numId w:val="23"/>
        </w:numPr>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供应商的采购资金纳入同级或以上政府财政预算。</w:t>
      </w:r>
    </w:p>
    <w:p>
      <w:pPr>
        <w:keepNext w:val="0"/>
        <w:keepLines w:val="0"/>
        <w:pageBreakBefore w:val="0"/>
        <w:numPr>
          <w:ilvl w:val="0"/>
          <w:numId w:val="23"/>
        </w:numPr>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供应商与政府采购部门签署采购合同。</w:t>
      </w:r>
    </w:p>
    <w:p>
      <w:pPr>
        <w:keepNext w:val="0"/>
        <w:keepLines w:val="0"/>
        <w:pageBreakBefore w:val="0"/>
        <w:numPr>
          <w:ilvl w:val="0"/>
          <w:numId w:val="23"/>
        </w:numPr>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采购合同在公开平台进行公示或者备案。</w:t>
      </w:r>
    </w:p>
    <w:p>
      <w:pPr>
        <w:keepNext w:val="0"/>
        <w:keepLines w:val="0"/>
        <w:pageBreakBefore w:val="0"/>
        <w:numPr>
          <w:ilvl w:val="0"/>
          <w:numId w:val="23"/>
        </w:numPr>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供应商依托采购合同，向光大银行申请融资。</w:t>
      </w:r>
    </w:p>
    <w:p>
      <w:pPr>
        <w:keepNext w:val="0"/>
        <w:keepLines w:val="0"/>
        <w:pageBreakBefore w:val="0"/>
        <w:numPr>
          <w:ilvl w:val="0"/>
          <w:numId w:val="23"/>
        </w:numPr>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光大银行对采购商进行调查，根据政府采购中标合同金额扣除预付款*一定比例发放融资款项。</w:t>
      </w:r>
    </w:p>
    <w:p>
      <w:pPr>
        <w:keepNext w:val="0"/>
        <w:keepLines w:val="0"/>
        <w:pageBreakBefore w:val="0"/>
        <w:numPr>
          <w:ilvl w:val="0"/>
          <w:numId w:val="23"/>
        </w:numPr>
        <w:tabs>
          <w:tab w:val="left" w:pos="1560"/>
        </w:tabs>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中标供应商须在光大银行开立结算账户并将其指定为企业政府采购结算专户，回款至该账户。</w:t>
      </w:r>
    </w:p>
    <w:p>
      <w:pPr>
        <w:pStyle w:val="16"/>
        <w:keepNext w:val="0"/>
        <w:keepLines w:val="0"/>
        <w:pageBreakBefore w:val="0"/>
        <w:widowControl/>
        <w:numPr>
          <w:ilvl w:val="0"/>
          <w:numId w:val="22"/>
        </w:numPr>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利率</w:t>
      </w:r>
    </w:p>
    <w:p>
      <w:pPr>
        <w:pStyle w:val="16"/>
        <w:keepNext w:val="0"/>
        <w:keepLines w:val="0"/>
        <w:pageBreakBefore w:val="0"/>
        <w:widowControl/>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根据当地同业水平合理确定贷款利率水平，执行总行贷款利率授权管理政策。</w:t>
      </w:r>
    </w:p>
    <w:p>
      <w:pPr>
        <w:pStyle w:val="16"/>
        <w:keepNext w:val="0"/>
        <w:keepLines w:val="0"/>
        <w:pageBreakBefore w:val="0"/>
        <w:widowControl/>
        <w:numPr>
          <w:ilvl w:val="0"/>
          <w:numId w:val="22"/>
        </w:numPr>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贷款期限</w:t>
      </w:r>
    </w:p>
    <w:p>
      <w:pPr>
        <w:pStyle w:val="52"/>
        <w:keepNext w:val="0"/>
        <w:keepLines w:val="0"/>
        <w:pageBreakBefore w:val="0"/>
        <w:tabs>
          <w:tab w:val="left" w:pos="1560"/>
        </w:tabs>
        <w:kinsoku/>
        <w:wordWrap/>
        <w:overflowPunct/>
        <w:topLinePunct w:val="0"/>
        <w:autoSpaceDE/>
        <w:autoSpaceDN/>
        <w:bidi w:val="0"/>
        <w:adjustRightInd w:val="0"/>
        <w:snapToGrid w:val="0"/>
        <w:spacing w:line="460" w:lineRule="exact"/>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贷款期限应与政府采购合同中约定的结算周期、付款方式相匹配，最长不超过合同约定付款日期后两个月。</w:t>
      </w:r>
    </w:p>
    <w:p>
      <w:pPr>
        <w:pStyle w:val="16"/>
        <w:keepNext w:val="0"/>
        <w:keepLines w:val="0"/>
        <w:pageBreakBefore w:val="0"/>
        <w:widowControl/>
        <w:numPr>
          <w:ilvl w:val="0"/>
          <w:numId w:val="22"/>
        </w:numPr>
        <w:kinsoku/>
        <w:wordWrap/>
        <w:overflowPunct/>
        <w:topLinePunct w:val="0"/>
        <w:autoSpaceDE/>
        <w:autoSpaceDN/>
        <w:bidi w:val="0"/>
        <w:spacing w:beforeAutospacing="0" w:after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p>
      <w:pPr>
        <w:keepNext w:val="0"/>
        <w:keepLines w:val="0"/>
        <w:pageBreakBefore w:val="0"/>
        <w:kinsoku/>
        <w:wordWrap/>
        <w:overflowPunct/>
        <w:topLinePunct w:val="0"/>
        <w:autoSpaceDE/>
        <w:autoSpaceDN/>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1、分管领导 ：王慧18837902280</w:t>
      </w:r>
    </w:p>
    <w:p>
      <w:pPr>
        <w:keepNext w:val="0"/>
        <w:keepLines w:val="0"/>
        <w:pageBreakBefore w:val="0"/>
        <w:kinsoku/>
        <w:wordWrap/>
        <w:overflowPunct/>
        <w:topLinePunct w:val="0"/>
        <w:autoSpaceDE/>
        <w:autoSpaceDN/>
        <w:bidi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2、信贷经理：刘勇 18837995809</w:t>
      </w:r>
    </w:p>
    <w:p>
      <w:pPr>
        <w:pStyle w:val="11"/>
        <w:keepNext w:val="0"/>
        <w:keepLines w:val="0"/>
        <w:pageBreakBefore w:val="0"/>
        <w:kinsoku/>
        <w:wordWrap/>
        <w:overflowPunct/>
        <w:topLinePunct w:val="0"/>
        <w:autoSpaceDE/>
        <w:autoSpaceDN/>
        <w:bidi w:val="0"/>
        <w:spacing w:line="460" w:lineRule="exact"/>
        <w:rPr>
          <w:rFonts w:hint="eastAsia" w:ascii="仿宋" w:hAnsi="仿宋" w:eastAsia="仿宋" w:cs="仿宋"/>
          <w:sz w:val="24"/>
          <w:szCs w:val="24"/>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2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rPr>
        <w:rFonts w:hint="eastAsia" w:eastAsia="楷体_GB2312" w:cs="Times New Roman"/>
        <w:sz w:val="21"/>
        <w:highlight w:val="lightGray"/>
        <w:shd w:val="clear" w:color="auto" w:fill="auto"/>
        <w:lang w:eastAsia="zh-CN"/>
      </w:rPr>
      <w:t xml:space="preserve">公开 公平 公正 诚信   </w:t>
    </w:r>
    <w:r>
      <w:rPr>
        <w:rFonts w:hint="eastAsia" w:eastAsia="楷体_GB2312"/>
        <w:sz w:val="21"/>
        <w:highlight w:val="lightGray"/>
        <w:shd w:val="clear" w:color="auto" w:fill="auto"/>
      </w:rPr>
      <w:t xml:space="preserve">                                  </w:t>
    </w:r>
    <w:r>
      <w:rPr>
        <w:rFonts w:hint="eastAsia" w:eastAsia="楷体_GB2312"/>
        <w:sz w:val="21"/>
        <w:highlight w:val="lightGray"/>
        <w:shd w:val="clear" w:color="auto" w:fill="auto"/>
        <w:lang w:val="en-US" w:eastAsia="zh-CN"/>
      </w:rPr>
      <w:t xml:space="preserve">                清鸿工程咨询有限公司</w:t>
    </w:r>
    <w:r>
      <w:rPr>
        <w:rFonts w:hint="eastAsia" w:eastAsia="楷体_GB2312"/>
        <w:sz w:val="21"/>
        <w:highlight w:val="white"/>
        <w:shd w:val="clear" w:color="FFFFFF" w:fill="D9D9D9"/>
        <w:lang w:eastAsia="zh-CN"/>
      </w:rPr>
      <w:t xml:space="preserve">   </w:t>
    </w:r>
    <w:r>
      <w:rPr>
        <w:rFonts w:hint="eastAsia" w:eastAsia="楷体_GB2312"/>
        <w:sz w:val="21"/>
        <w:highlight w:val="white"/>
        <w:shd w:val="pct10" w:color="auto" w:fill="FFFFFF"/>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rPr>
        <w:rFonts w:hint="eastAsia" w:eastAsia="楷体_GB2312" w:cs="Times New Roman"/>
        <w:sz w:val="21"/>
        <w:highlight w:val="white"/>
        <w:shd w:val="pct10" w:color="auto" w:fill="FFFFFF"/>
        <w:lang w:eastAsia="zh-CN"/>
      </w:rPr>
      <w:t xml:space="preserve">公开 公平 公正 诚信   </w:t>
    </w:r>
    <w:r>
      <w:rPr>
        <w:rFonts w:hint="eastAsia" w:eastAsia="楷体_GB2312"/>
        <w:sz w:val="21"/>
        <w:highlight w:val="white"/>
        <w:shd w:val="pct10" w:color="auto" w:fill="FFFFFF"/>
      </w:rPr>
      <w:t xml:space="preserve">                              </w:t>
    </w:r>
    <w:r>
      <w:rPr>
        <w:rFonts w:hint="eastAsia" w:eastAsia="楷体_GB2312"/>
        <w:sz w:val="21"/>
        <w:highlight w:val="white"/>
        <w:shd w:val="pct10" w:color="auto" w:fill="FFFFFF"/>
        <w:lang w:val="en-US" w:eastAsia="zh-CN"/>
      </w:rPr>
      <w:t xml:space="preserve">    </w:t>
    </w:r>
    <w:r>
      <w:rPr>
        <w:rFonts w:hint="eastAsia" w:eastAsia="楷体_GB2312"/>
        <w:sz w:val="21"/>
        <w:highlight w:val="white"/>
        <w:shd w:val="pct10" w:color="auto" w:fill="FFFFFF"/>
      </w:rPr>
      <w:t xml:space="preserve">    </w:t>
    </w:r>
    <w:r>
      <w:rPr>
        <w:rFonts w:hint="eastAsia" w:eastAsia="楷体_GB2312"/>
        <w:sz w:val="21"/>
        <w:highlight w:val="white"/>
        <w:shd w:val="pct10" w:color="auto" w:fill="FFFFFF"/>
        <w:lang w:val="en-US" w:eastAsia="zh-CN"/>
      </w:rPr>
      <w:t xml:space="preserve">            清鸿工程咨询有限公司</w:t>
    </w:r>
    <w:r>
      <w:rPr>
        <w:rFonts w:hint="eastAsia" w:eastAsia="楷体_GB2312"/>
        <w:sz w:val="21"/>
        <w:highlight w:val="white"/>
        <w:shd w:val="pct10" w:color="auto" w:fill="FFFFFF"/>
      </w:rPr>
      <w:t xml:space="preserve"> </w:t>
    </w:r>
    <w:r>
      <w:rPr>
        <w:rFonts w:hint="eastAsia" w:eastAsia="楷体_GB2312"/>
        <w:sz w:val="21"/>
        <w:highlight w:val="white"/>
        <w:shd w:val="pct10" w:color="auto" w:fill="FFFFFF"/>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3"/>
      <w:numFmt w:val="decimal"/>
      <w:lvlText w:val="%1"/>
      <w:lvlJc w:val="left"/>
      <w:pPr>
        <w:ind w:left="582" w:hanging="361"/>
        <w:jc w:val="left"/>
      </w:pPr>
      <w:rPr>
        <w:rFonts w:hint="default"/>
        <w:lang w:val="zh-CN" w:eastAsia="zh-CN" w:bidi="zh-CN"/>
      </w:rPr>
    </w:lvl>
    <w:lvl w:ilvl="1" w:tentative="0">
      <w:start w:val="5"/>
      <w:numFmt w:val="decimal"/>
      <w:lvlText w:val="%1.%2"/>
      <w:lvlJc w:val="left"/>
      <w:pPr>
        <w:ind w:left="582" w:hanging="361"/>
        <w:jc w:val="left"/>
      </w:pPr>
      <w:rPr>
        <w:rFonts w:hint="default" w:ascii="宋体" w:hAnsi="宋体" w:eastAsia="宋体" w:cs="宋体"/>
        <w:spacing w:val="-1"/>
        <w:w w:val="100"/>
        <w:sz w:val="22"/>
        <w:szCs w:val="22"/>
        <w:lang w:val="zh-CN" w:eastAsia="zh-CN" w:bidi="zh-CN"/>
      </w:rPr>
    </w:lvl>
    <w:lvl w:ilvl="2" w:tentative="0">
      <w:start w:val="1"/>
      <w:numFmt w:val="decimal"/>
      <w:lvlText w:val="%1.%2.%3"/>
      <w:lvlJc w:val="left"/>
      <w:pPr>
        <w:ind w:left="22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746" w:hanging="601"/>
      </w:pPr>
      <w:rPr>
        <w:rFonts w:hint="default"/>
        <w:lang w:val="zh-CN" w:eastAsia="zh-CN" w:bidi="zh-CN"/>
      </w:rPr>
    </w:lvl>
    <w:lvl w:ilvl="4" w:tentative="0">
      <w:start w:val="0"/>
      <w:numFmt w:val="bullet"/>
      <w:lvlText w:val="•"/>
      <w:lvlJc w:val="left"/>
      <w:pPr>
        <w:ind w:left="3830" w:hanging="601"/>
      </w:pPr>
      <w:rPr>
        <w:rFonts w:hint="default"/>
        <w:lang w:val="zh-CN" w:eastAsia="zh-CN" w:bidi="zh-CN"/>
      </w:rPr>
    </w:lvl>
    <w:lvl w:ilvl="5" w:tentative="0">
      <w:start w:val="0"/>
      <w:numFmt w:val="bullet"/>
      <w:lvlText w:val="•"/>
      <w:lvlJc w:val="left"/>
      <w:pPr>
        <w:ind w:left="4913" w:hanging="601"/>
      </w:pPr>
      <w:rPr>
        <w:rFonts w:hint="default"/>
        <w:lang w:val="zh-CN" w:eastAsia="zh-CN" w:bidi="zh-CN"/>
      </w:rPr>
    </w:lvl>
    <w:lvl w:ilvl="6" w:tentative="0">
      <w:start w:val="0"/>
      <w:numFmt w:val="bullet"/>
      <w:lvlText w:val="•"/>
      <w:lvlJc w:val="left"/>
      <w:pPr>
        <w:ind w:left="5996" w:hanging="601"/>
      </w:pPr>
      <w:rPr>
        <w:rFonts w:hint="default"/>
        <w:lang w:val="zh-CN" w:eastAsia="zh-CN" w:bidi="zh-CN"/>
      </w:rPr>
    </w:lvl>
    <w:lvl w:ilvl="7" w:tentative="0">
      <w:start w:val="0"/>
      <w:numFmt w:val="bullet"/>
      <w:lvlText w:val="•"/>
      <w:lvlJc w:val="left"/>
      <w:pPr>
        <w:ind w:left="7080" w:hanging="601"/>
      </w:pPr>
      <w:rPr>
        <w:rFonts w:hint="default"/>
        <w:lang w:val="zh-CN" w:eastAsia="zh-CN" w:bidi="zh-CN"/>
      </w:rPr>
    </w:lvl>
    <w:lvl w:ilvl="8" w:tentative="0">
      <w:start w:val="0"/>
      <w:numFmt w:val="bullet"/>
      <w:lvlText w:val="•"/>
      <w:lvlJc w:val="left"/>
      <w:pPr>
        <w:ind w:left="8163" w:hanging="601"/>
      </w:pPr>
      <w:rPr>
        <w:rFonts w:hint="default"/>
        <w:lang w:val="zh-CN" w:eastAsia="zh-CN" w:bidi="zh-CN"/>
      </w:rPr>
    </w:lvl>
  </w:abstractNum>
  <w:abstractNum w:abstractNumId="1">
    <w:nsid w:val="A814EFDE"/>
    <w:multiLevelType w:val="singleLevel"/>
    <w:tmpl w:val="A814EFDE"/>
    <w:lvl w:ilvl="0" w:tentative="0">
      <w:start w:val="1"/>
      <w:numFmt w:val="chineseCounting"/>
      <w:suff w:val="nothing"/>
      <w:lvlText w:val="%1、"/>
      <w:lvlJc w:val="left"/>
      <w:rPr>
        <w:rFonts w:hint="eastAsia"/>
      </w:rPr>
    </w:lvl>
  </w:abstractNum>
  <w:abstractNum w:abstractNumId="2">
    <w:nsid w:val="B8635214"/>
    <w:multiLevelType w:val="singleLevel"/>
    <w:tmpl w:val="B8635214"/>
    <w:lvl w:ilvl="0" w:tentative="0">
      <w:start w:val="1"/>
      <w:numFmt w:val="decimal"/>
      <w:suff w:val="nothing"/>
      <w:lvlText w:val="%1、"/>
      <w:lvlJc w:val="left"/>
    </w:lvl>
  </w:abstractNum>
  <w:abstractNum w:abstractNumId="3">
    <w:nsid w:val="C68DB927"/>
    <w:multiLevelType w:val="singleLevel"/>
    <w:tmpl w:val="C68DB927"/>
    <w:lvl w:ilvl="0" w:tentative="0">
      <w:start w:val="1"/>
      <w:numFmt w:val="decimal"/>
      <w:suff w:val="nothing"/>
      <w:lvlText w:val="%1、"/>
      <w:lvlJc w:val="left"/>
    </w:lvl>
  </w:abstractNum>
  <w:abstractNum w:abstractNumId="4">
    <w:nsid w:val="C734B888"/>
    <w:multiLevelType w:val="singleLevel"/>
    <w:tmpl w:val="C734B888"/>
    <w:lvl w:ilvl="0" w:tentative="0">
      <w:start w:val="3"/>
      <w:numFmt w:val="chineseCounting"/>
      <w:suff w:val="nothing"/>
      <w:lvlText w:val="%1、"/>
      <w:lvlJc w:val="left"/>
      <w:rPr>
        <w:rFonts w:hint="eastAsia"/>
      </w:rPr>
    </w:lvl>
  </w:abstractNum>
  <w:abstractNum w:abstractNumId="5">
    <w:nsid w:val="D191D001"/>
    <w:multiLevelType w:val="singleLevel"/>
    <w:tmpl w:val="D191D001"/>
    <w:lvl w:ilvl="0" w:tentative="0">
      <w:start w:val="1"/>
      <w:numFmt w:val="chineseCounting"/>
      <w:suff w:val="nothing"/>
      <w:lvlText w:val="（%1）"/>
      <w:lvlJc w:val="left"/>
      <w:rPr>
        <w:rFonts w:hint="eastAsia"/>
      </w:rPr>
    </w:lvl>
  </w:abstractNum>
  <w:abstractNum w:abstractNumId="6">
    <w:nsid w:val="E9DCE3F8"/>
    <w:multiLevelType w:val="singleLevel"/>
    <w:tmpl w:val="E9DCE3F8"/>
    <w:lvl w:ilvl="0" w:tentative="0">
      <w:start w:val="1"/>
      <w:numFmt w:val="decimal"/>
      <w:suff w:val="space"/>
      <w:lvlText w:val="（%1）"/>
      <w:lvlJc w:val="left"/>
    </w:lvl>
  </w:abstractNum>
  <w:abstractNum w:abstractNumId="7">
    <w:nsid w:val="F1252375"/>
    <w:multiLevelType w:val="singleLevel"/>
    <w:tmpl w:val="F1252375"/>
    <w:lvl w:ilvl="0" w:tentative="0">
      <w:start w:val="3"/>
      <w:numFmt w:val="decimal"/>
      <w:suff w:val="nothing"/>
      <w:lvlText w:val="（%1）"/>
      <w:lvlJc w:val="left"/>
    </w:lvl>
  </w:abstractNum>
  <w:abstractNum w:abstractNumId="8">
    <w:nsid w:val="F4C7A77D"/>
    <w:multiLevelType w:val="singleLevel"/>
    <w:tmpl w:val="F4C7A77D"/>
    <w:lvl w:ilvl="0" w:tentative="0">
      <w:start w:val="1"/>
      <w:numFmt w:val="decimal"/>
      <w:suff w:val="nothing"/>
      <w:lvlText w:val="（%1）"/>
      <w:lvlJc w:val="left"/>
    </w:lvl>
  </w:abstractNum>
  <w:abstractNum w:abstractNumId="9">
    <w:nsid w:val="F6D21E66"/>
    <w:multiLevelType w:val="singleLevel"/>
    <w:tmpl w:val="F6D21E66"/>
    <w:lvl w:ilvl="0" w:tentative="0">
      <w:start w:val="1"/>
      <w:numFmt w:val="decimal"/>
      <w:suff w:val="nothing"/>
      <w:lvlText w:val="%1、"/>
      <w:lvlJc w:val="left"/>
    </w:lvl>
  </w:abstractNum>
  <w:abstractNum w:abstractNumId="10">
    <w:nsid w:val="FCC33E8C"/>
    <w:multiLevelType w:val="singleLevel"/>
    <w:tmpl w:val="FCC33E8C"/>
    <w:lvl w:ilvl="0" w:tentative="0">
      <w:start w:val="1"/>
      <w:numFmt w:val="decimal"/>
      <w:suff w:val="nothing"/>
      <w:lvlText w:val="（%1）"/>
      <w:lvlJc w:val="left"/>
    </w:lvl>
  </w:abstractNum>
  <w:abstractNum w:abstractNumId="11">
    <w:nsid w:val="00000005"/>
    <w:multiLevelType w:val="singleLevel"/>
    <w:tmpl w:val="00000005"/>
    <w:lvl w:ilvl="0" w:tentative="0">
      <w:start w:val="1"/>
      <w:numFmt w:val="decimal"/>
      <w:suff w:val="nothing"/>
      <w:lvlText w:val="%1．"/>
      <w:lvlJc w:val="left"/>
    </w:lvl>
  </w:abstractNum>
  <w:abstractNum w:abstractNumId="12">
    <w:nsid w:val="1C0C3297"/>
    <w:multiLevelType w:val="singleLevel"/>
    <w:tmpl w:val="1C0C3297"/>
    <w:lvl w:ilvl="0" w:tentative="0">
      <w:start w:val="1"/>
      <w:numFmt w:val="chineseCounting"/>
      <w:suff w:val="nothing"/>
      <w:lvlText w:val="%1、"/>
      <w:lvlJc w:val="left"/>
      <w:rPr>
        <w:rFonts w:hint="eastAsia"/>
      </w:rPr>
    </w:lvl>
  </w:abstractNum>
  <w:abstractNum w:abstractNumId="13">
    <w:nsid w:val="2A9E38DE"/>
    <w:multiLevelType w:val="multilevel"/>
    <w:tmpl w:val="2A9E38DE"/>
    <w:lvl w:ilvl="0" w:tentative="0">
      <w:start w:val="1"/>
      <w:numFmt w:val="japaneseCounting"/>
      <w:lvlText w:val="%1、"/>
      <w:lvlJc w:val="left"/>
      <w:pPr>
        <w:ind w:left="420" w:hanging="420"/>
      </w:pPr>
      <w:rPr>
        <w:rFonts w:hint="default"/>
      </w:rPr>
    </w:lvl>
    <w:lvl w:ilvl="1" w:tentative="0">
      <w:start w:val="3"/>
      <w:numFmt w:val="decimal"/>
      <w:lvlText w:val="%2、"/>
      <w:lvlJc w:val="left"/>
      <w:pPr>
        <w:ind w:left="780" w:hanging="360"/>
      </w:pPr>
      <w:rPr>
        <w:rFonts w:hint="default"/>
      </w:rPr>
    </w:lvl>
    <w:lvl w:ilvl="2" w:tentative="0">
      <w:start w:val="2"/>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D1C487A"/>
    <w:multiLevelType w:val="multilevel"/>
    <w:tmpl w:val="2D1C487A"/>
    <w:lvl w:ilvl="0" w:tentative="0">
      <w:start w:val="1"/>
      <w:numFmt w:val="decimal"/>
      <w:lvlText w:val="%1、"/>
      <w:lvlJc w:val="left"/>
      <w:pPr>
        <w:ind w:left="1440" w:hanging="720"/>
      </w:pPr>
      <w:rPr>
        <w:rFonts w:ascii="宋体" w:hAnsi="宋体" w:eastAsia="宋体" w:cs="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
    <w:nsid w:val="5A241D34"/>
    <w:multiLevelType w:val="multilevel"/>
    <w:tmpl w:val="5A241D34"/>
    <w:lvl w:ilvl="0" w:tentative="0">
      <w:start w:val="1"/>
      <w:numFmt w:val="decimal"/>
      <w:lvlText w:val="%1."/>
      <w:lvlJc w:val="left"/>
      <w:pPr>
        <w:ind w:left="491" w:hanging="270"/>
        <w:jc w:val="right"/>
      </w:pPr>
      <w:rPr>
        <w:rFonts w:hint="default" w:ascii="微软雅黑" w:hAnsi="微软雅黑" w:eastAsia="微软雅黑" w:cs="微软雅黑"/>
        <w:b/>
        <w:bCs/>
        <w:spacing w:val="15"/>
        <w:w w:val="110"/>
        <w:sz w:val="22"/>
        <w:szCs w:val="22"/>
        <w:lang w:val="zh-CN" w:eastAsia="zh-CN" w:bidi="zh-CN"/>
      </w:rPr>
    </w:lvl>
    <w:lvl w:ilvl="1" w:tentative="0">
      <w:start w:val="1"/>
      <w:numFmt w:val="decimal"/>
      <w:lvlText w:val="%1.%2"/>
      <w:lvlJc w:val="left"/>
      <w:pPr>
        <w:ind w:left="221" w:hanging="405"/>
        <w:jc w:val="right"/>
      </w:pPr>
      <w:rPr>
        <w:rFonts w:hint="default"/>
        <w:b/>
        <w:bCs/>
        <w:spacing w:val="15"/>
        <w:w w:val="98"/>
        <w:lang w:val="zh-CN" w:eastAsia="zh-CN" w:bidi="zh-CN"/>
      </w:rPr>
    </w:lvl>
    <w:lvl w:ilvl="2" w:tentative="0">
      <w:start w:val="1"/>
      <w:numFmt w:val="decimal"/>
      <w:lvlText w:val="%1.%2.%3"/>
      <w:lvlJc w:val="left"/>
      <w:pPr>
        <w:ind w:left="221" w:hanging="405"/>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440" w:hanging="405"/>
      </w:pPr>
      <w:rPr>
        <w:rFonts w:hint="default"/>
        <w:lang w:val="zh-CN" w:eastAsia="zh-CN" w:bidi="zh-CN"/>
      </w:rPr>
    </w:lvl>
    <w:lvl w:ilvl="4" w:tentative="0">
      <w:start w:val="0"/>
      <w:numFmt w:val="bullet"/>
      <w:lvlText w:val="•"/>
      <w:lvlJc w:val="left"/>
      <w:pPr>
        <w:ind w:left="1500" w:hanging="405"/>
      </w:pPr>
      <w:rPr>
        <w:rFonts w:hint="default"/>
        <w:lang w:val="zh-CN" w:eastAsia="zh-CN" w:bidi="zh-CN"/>
      </w:rPr>
    </w:lvl>
    <w:lvl w:ilvl="5" w:tentative="0">
      <w:start w:val="0"/>
      <w:numFmt w:val="bullet"/>
      <w:lvlText w:val="•"/>
      <w:lvlJc w:val="left"/>
      <w:pPr>
        <w:ind w:left="2828" w:hanging="405"/>
      </w:pPr>
      <w:rPr>
        <w:rFonts w:hint="default"/>
        <w:lang w:val="zh-CN" w:eastAsia="zh-CN" w:bidi="zh-CN"/>
      </w:rPr>
    </w:lvl>
    <w:lvl w:ilvl="6" w:tentative="0">
      <w:start w:val="0"/>
      <w:numFmt w:val="bullet"/>
      <w:lvlText w:val="•"/>
      <w:lvlJc w:val="left"/>
      <w:pPr>
        <w:ind w:left="4156" w:hanging="405"/>
      </w:pPr>
      <w:rPr>
        <w:rFonts w:hint="default"/>
        <w:lang w:val="zh-CN" w:eastAsia="zh-CN" w:bidi="zh-CN"/>
      </w:rPr>
    </w:lvl>
    <w:lvl w:ilvl="7" w:tentative="0">
      <w:start w:val="0"/>
      <w:numFmt w:val="bullet"/>
      <w:lvlText w:val="•"/>
      <w:lvlJc w:val="left"/>
      <w:pPr>
        <w:ind w:left="5484" w:hanging="405"/>
      </w:pPr>
      <w:rPr>
        <w:rFonts w:hint="default"/>
        <w:lang w:val="zh-CN" w:eastAsia="zh-CN" w:bidi="zh-CN"/>
      </w:rPr>
    </w:lvl>
    <w:lvl w:ilvl="8" w:tentative="0">
      <w:start w:val="0"/>
      <w:numFmt w:val="bullet"/>
      <w:lvlText w:val="•"/>
      <w:lvlJc w:val="left"/>
      <w:pPr>
        <w:ind w:left="6812" w:hanging="405"/>
      </w:pPr>
      <w:rPr>
        <w:rFonts w:hint="default"/>
        <w:lang w:val="zh-CN" w:eastAsia="zh-CN" w:bidi="zh-CN"/>
      </w:rPr>
    </w:lvl>
  </w:abstractNum>
  <w:abstractNum w:abstractNumId="16">
    <w:nsid w:val="5A98AD98"/>
    <w:multiLevelType w:val="singleLevel"/>
    <w:tmpl w:val="5A98AD98"/>
    <w:lvl w:ilvl="0" w:tentative="0">
      <w:start w:val="6"/>
      <w:numFmt w:val="chineseCounting"/>
      <w:suff w:val="nothing"/>
      <w:lvlText w:val="%1、"/>
      <w:lvlJc w:val="left"/>
    </w:lvl>
  </w:abstractNum>
  <w:abstractNum w:abstractNumId="17">
    <w:nsid w:val="5D88AF6F"/>
    <w:multiLevelType w:val="singleLevel"/>
    <w:tmpl w:val="5D88AF6F"/>
    <w:lvl w:ilvl="0" w:tentative="0">
      <w:start w:val="2"/>
      <w:numFmt w:val="chineseCounting"/>
      <w:suff w:val="nothing"/>
      <w:lvlText w:val="（%1）"/>
      <w:lvlJc w:val="left"/>
      <w:rPr>
        <w:rFonts w:hint="eastAsia"/>
      </w:rPr>
    </w:lvl>
  </w:abstractNum>
  <w:abstractNum w:abstractNumId="18">
    <w:nsid w:val="6095E1D2"/>
    <w:multiLevelType w:val="singleLevel"/>
    <w:tmpl w:val="6095E1D2"/>
    <w:lvl w:ilvl="0" w:tentative="0">
      <w:start w:val="1"/>
      <w:numFmt w:val="decimal"/>
      <w:suff w:val="nothing"/>
      <w:lvlText w:val="%1、"/>
      <w:lvlJc w:val="left"/>
    </w:lvl>
  </w:abstractNum>
  <w:abstractNum w:abstractNumId="19">
    <w:nsid w:val="60A77BA0"/>
    <w:multiLevelType w:val="singleLevel"/>
    <w:tmpl w:val="60A77BA0"/>
    <w:lvl w:ilvl="0" w:tentative="0">
      <w:start w:val="4"/>
      <w:numFmt w:val="decimal"/>
      <w:suff w:val="nothing"/>
      <w:lvlText w:val="%1、"/>
      <w:lvlJc w:val="left"/>
    </w:lvl>
  </w:abstractNum>
  <w:abstractNum w:abstractNumId="20">
    <w:nsid w:val="60A77C49"/>
    <w:multiLevelType w:val="singleLevel"/>
    <w:tmpl w:val="60A77C49"/>
    <w:lvl w:ilvl="0" w:tentative="0">
      <w:start w:val="3"/>
      <w:numFmt w:val="chineseCounting"/>
      <w:suff w:val="nothing"/>
      <w:lvlText w:val="%1、"/>
      <w:lvlJc w:val="left"/>
    </w:lvl>
  </w:abstractNum>
  <w:abstractNum w:abstractNumId="21">
    <w:nsid w:val="732F2F6C"/>
    <w:multiLevelType w:val="multilevel"/>
    <w:tmpl w:val="732F2F6C"/>
    <w:lvl w:ilvl="0" w:tentative="0">
      <w:start w:val="3"/>
      <w:numFmt w:val="chineseCounting"/>
      <w:suff w:val="nothing"/>
      <w:lvlText w:val="%1、"/>
      <w:lvlJc w:val="left"/>
      <w:pPr>
        <w:ind w:left="272" w:firstLine="0"/>
      </w:pPr>
      <w:rPr>
        <w:rFonts w:hint="eastAsia"/>
      </w:rPr>
    </w:lvl>
    <w:lvl w:ilvl="1" w:tentative="0">
      <w:start w:val="0"/>
      <w:numFmt w:val="bullet"/>
      <w:lvlText w:val="•"/>
      <w:lvlJc w:val="left"/>
      <w:pPr>
        <w:ind w:left="1029" w:hanging="181"/>
      </w:pPr>
      <w:rPr>
        <w:rFonts w:hint="default"/>
        <w:lang w:val="zh-CN" w:eastAsia="zh-CN" w:bidi="zh-CN"/>
      </w:rPr>
    </w:lvl>
    <w:lvl w:ilvl="2" w:tentative="0">
      <w:start w:val="0"/>
      <w:numFmt w:val="bullet"/>
      <w:lvlText w:val="•"/>
      <w:lvlJc w:val="left"/>
      <w:pPr>
        <w:ind w:left="2112" w:hanging="181"/>
      </w:pPr>
      <w:rPr>
        <w:rFonts w:hint="default"/>
        <w:lang w:val="zh-CN" w:eastAsia="zh-CN" w:bidi="zh-CN"/>
      </w:rPr>
    </w:lvl>
    <w:lvl w:ilvl="3" w:tentative="0">
      <w:start w:val="0"/>
      <w:numFmt w:val="bullet"/>
      <w:lvlText w:val="•"/>
      <w:lvlJc w:val="left"/>
      <w:pPr>
        <w:ind w:left="3195" w:hanging="181"/>
      </w:pPr>
      <w:rPr>
        <w:rFonts w:hint="default"/>
        <w:lang w:val="zh-CN" w:eastAsia="zh-CN" w:bidi="zh-CN"/>
      </w:rPr>
    </w:lvl>
    <w:lvl w:ilvl="4" w:tentative="0">
      <w:start w:val="0"/>
      <w:numFmt w:val="bullet"/>
      <w:lvlText w:val="•"/>
      <w:lvlJc w:val="left"/>
      <w:pPr>
        <w:ind w:left="4278" w:hanging="181"/>
      </w:pPr>
      <w:rPr>
        <w:rFonts w:hint="default"/>
        <w:lang w:val="zh-CN" w:eastAsia="zh-CN" w:bidi="zh-CN"/>
      </w:rPr>
    </w:lvl>
    <w:lvl w:ilvl="5" w:tentative="0">
      <w:start w:val="0"/>
      <w:numFmt w:val="bullet"/>
      <w:lvlText w:val="•"/>
      <w:lvlJc w:val="left"/>
      <w:pPr>
        <w:ind w:left="5361" w:hanging="181"/>
      </w:pPr>
      <w:rPr>
        <w:rFonts w:hint="default"/>
        <w:lang w:val="zh-CN" w:eastAsia="zh-CN" w:bidi="zh-CN"/>
      </w:rPr>
    </w:lvl>
    <w:lvl w:ilvl="6" w:tentative="0">
      <w:start w:val="0"/>
      <w:numFmt w:val="bullet"/>
      <w:lvlText w:val="•"/>
      <w:lvlJc w:val="left"/>
      <w:pPr>
        <w:ind w:left="6444" w:hanging="181"/>
      </w:pPr>
      <w:rPr>
        <w:rFonts w:hint="default"/>
        <w:lang w:val="zh-CN" w:eastAsia="zh-CN" w:bidi="zh-CN"/>
      </w:rPr>
    </w:lvl>
    <w:lvl w:ilvl="7" w:tentative="0">
      <w:start w:val="0"/>
      <w:numFmt w:val="bullet"/>
      <w:lvlText w:val="•"/>
      <w:lvlJc w:val="left"/>
      <w:pPr>
        <w:ind w:left="7527" w:hanging="181"/>
      </w:pPr>
      <w:rPr>
        <w:rFonts w:hint="default"/>
        <w:lang w:val="zh-CN" w:eastAsia="zh-CN" w:bidi="zh-CN"/>
      </w:rPr>
    </w:lvl>
    <w:lvl w:ilvl="8" w:tentative="0">
      <w:start w:val="0"/>
      <w:numFmt w:val="bullet"/>
      <w:lvlText w:val="•"/>
      <w:lvlJc w:val="left"/>
      <w:pPr>
        <w:ind w:left="8610" w:hanging="181"/>
      </w:pPr>
      <w:rPr>
        <w:rFonts w:hint="default"/>
        <w:lang w:val="zh-CN" w:eastAsia="zh-CN" w:bidi="zh-CN"/>
      </w:rPr>
    </w:lvl>
  </w:abstractNum>
  <w:abstractNum w:abstractNumId="22">
    <w:nsid w:val="7EAED188"/>
    <w:multiLevelType w:val="singleLevel"/>
    <w:tmpl w:val="7EAED188"/>
    <w:lvl w:ilvl="0" w:tentative="0">
      <w:start w:val="3"/>
      <w:numFmt w:val="decimal"/>
      <w:suff w:val="nothing"/>
      <w:lvlText w:val="（%1）"/>
      <w:lvlJc w:val="left"/>
    </w:lvl>
  </w:abstractNum>
  <w:num w:numId="1">
    <w:abstractNumId w:val="22"/>
  </w:num>
  <w:num w:numId="2">
    <w:abstractNumId w:val="15"/>
  </w:num>
  <w:num w:numId="3">
    <w:abstractNumId w:val="0"/>
  </w:num>
  <w:num w:numId="4">
    <w:abstractNumId w:val="8"/>
  </w:num>
  <w:num w:numId="5">
    <w:abstractNumId w:val="10"/>
  </w:num>
  <w:num w:numId="6">
    <w:abstractNumId w:val="7"/>
  </w:num>
  <w:num w:numId="7">
    <w:abstractNumId w:val="6"/>
  </w:num>
  <w:num w:numId="8">
    <w:abstractNumId w:val="16"/>
  </w:num>
  <w:num w:numId="9">
    <w:abstractNumId w:val="11"/>
  </w:num>
  <w:num w:numId="10">
    <w:abstractNumId w:val="17"/>
  </w:num>
  <w:num w:numId="11">
    <w:abstractNumId w:val="21"/>
  </w:num>
  <w:num w:numId="12">
    <w:abstractNumId w:val="4"/>
  </w:num>
  <w:num w:numId="13">
    <w:abstractNumId w:val="18"/>
  </w:num>
  <w:num w:numId="14">
    <w:abstractNumId w:val="14"/>
  </w:num>
  <w:num w:numId="15">
    <w:abstractNumId w:val="12"/>
  </w:num>
  <w:num w:numId="16">
    <w:abstractNumId w:val="3"/>
  </w:num>
  <w:num w:numId="17">
    <w:abstractNumId w:val="2"/>
  </w:num>
  <w:num w:numId="18">
    <w:abstractNumId w:val="9"/>
  </w:num>
  <w:num w:numId="19">
    <w:abstractNumId w:val="13"/>
  </w:num>
  <w:num w:numId="20">
    <w:abstractNumId w:val="19"/>
  </w:num>
  <w:num w:numId="21">
    <w:abstractNumId w:val="20"/>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zJlZGNlOWU5NmUwNzA1OTYzNzZlODg2ZDI4MWIifQ=="/>
  </w:docVars>
  <w:rsids>
    <w:rsidRoot w:val="71404449"/>
    <w:rsid w:val="0007036F"/>
    <w:rsid w:val="019C3C80"/>
    <w:rsid w:val="01F6206C"/>
    <w:rsid w:val="023F0464"/>
    <w:rsid w:val="032D18DF"/>
    <w:rsid w:val="04CA7814"/>
    <w:rsid w:val="04D01B46"/>
    <w:rsid w:val="056D7A14"/>
    <w:rsid w:val="057B3CBC"/>
    <w:rsid w:val="06357DB2"/>
    <w:rsid w:val="07F92E63"/>
    <w:rsid w:val="08CE7287"/>
    <w:rsid w:val="09036103"/>
    <w:rsid w:val="09F558AC"/>
    <w:rsid w:val="0AA349BF"/>
    <w:rsid w:val="0ADA0E5D"/>
    <w:rsid w:val="0B905257"/>
    <w:rsid w:val="0C060D26"/>
    <w:rsid w:val="0C4418BB"/>
    <w:rsid w:val="0DAA36CE"/>
    <w:rsid w:val="0DC3245C"/>
    <w:rsid w:val="0E972A79"/>
    <w:rsid w:val="0EC43837"/>
    <w:rsid w:val="0F360CDD"/>
    <w:rsid w:val="1045758D"/>
    <w:rsid w:val="106869A1"/>
    <w:rsid w:val="116B5746"/>
    <w:rsid w:val="118B5F3C"/>
    <w:rsid w:val="11D569BC"/>
    <w:rsid w:val="135717E8"/>
    <w:rsid w:val="143E6371"/>
    <w:rsid w:val="145D1C0B"/>
    <w:rsid w:val="154A5411"/>
    <w:rsid w:val="15A92B4B"/>
    <w:rsid w:val="161B13E4"/>
    <w:rsid w:val="1722576E"/>
    <w:rsid w:val="174D40D3"/>
    <w:rsid w:val="185E231B"/>
    <w:rsid w:val="188B5919"/>
    <w:rsid w:val="18EB49A5"/>
    <w:rsid w:val="1A1F1313"/>
    <w:rsid w:val="1BED3E77"/>
    <w:rsid w:val="1E702BC8"/>
    <w:rsid w:val="20384CE8"/>
    <w:rsid w:val="20FC4548"/>
    <w:rsid w:val="212D32A1"/>
    <w:rsid w:val="218D4DAF"/>
    <w:rsid w:val="22242BD6"/>
    <w:rsid w:val="2276282E"/>
    <w:rsid w:val="239902B8"/>
    <w:rsid w:val="23D00197"/>
    <w:rsid w:val="242C3E5B"/>
    <w:rsid w:val="25B1441A"/>
    <w:rsid w:val="26093093"/>
    <w:rsid w:val="26267A06"/>
    <w:rsid w:val="26334CFF"/>
    <w:rsid w:val="26801F16"/>
    <w:rsid w:val="269B7B47"/>
    <w:rsid w:val="26CA4055"/>
    <w:rsid w:val="26E57B4F"/>
    <w:rsid w:val="27044208"/>
    <w:rsid w:val="27581A50"/>
    <w:rsid w:val="27DE4F2E"/>
    <w:rsid w:val="288A2770"/>
    <w:rsid w:val="29F612FF"/>
    <w:rsid w:val="2A282A72"/>
    <w:rsid w:val="2A8142AF"/>
    <w:rsid w:val="2A962B1C"/>
    <w:rsid w:val="2B672FF3"/>
    <w:rsid w:val="2BDA3D63"/>
    <w:rsid w:val="2C1F4808"/>
    <w:rsid w:val="2CF27FCF"/>
    <w:rsid w:val="2D5231E1"/>
    <w:rsid w:val="2F6E2C8A"/>
    <w:rsid w:val="30EA4760"/>
    <w:rsid w:val="30EB0DC6"/>
    <w:rsid w:val="3226388F"/>
    <w:rsid w:val="33EA3E24"/>
    <w:rsid w:val="34AF126B"/>
    <w:rsid w:val="357E0DAE"/>
    <w:rsid w:val="359B3D3B"/>
    <w:rsid w:val="365F542A"/>
    <w:rsid w:val="36764AD8"/>
    <w:rsid w:val="36931ABC"/>
    <w:rsid w:val="36E26E2D"/>
    <w:rsid w:val="370443FD"/>
    <w:rsid w:val="37FB3479"/>
    <w:rsid w:val="38EE7F12"/>
    <w:rsid w:val="3A7742A5"/>
    <w:rsid w:val="3AA931D8"/>
    <w:rsid w:val="3AAA1C17"/>
    <w:rsid w:val="3AD84980"/>
    <w:rsid w:val="3B2A1144"/>
    <w:rsid w:val="3BA063A6"/>
    <w:rsid w:val="3CBD7C40"/>
    <w:rsid w:val="3CCF626B"/>
    <w:rsid w:val="3DB16D94"/>
    <w:rsid w:val="3DBD7470"/>
    <w:rsid w:val="3DE155F8"/>
    <w:rsid w:val="3EEA1F06"/>
    <w:rsid w:val="3EF4003B"/>
    <w:rsid w:val="40BA692C"/>
    <w:rsid w:val="41D61543"/>
    <w:rsid w:val="41FD4D22"/>
    <w:rsid w:val="421849BE"/>
    <w:rsid w:val="42AB5AA2"/>
    <w:rsid w:val="436D2C6E"/>
    <w:rsid w:val="43833497"/>
    <w:rsid w:val="43C57AC2"/>
    <w:rsid w:val="43D30430"/>
    <w:rsid w:val="43DE49E6"/>
    <w:rsid w:val="44F179D6"/>
    <w:rsid w:val="45175508"/>
    <w:rsid w:val="45B44457"/>
    <w:rsid w:val="45DA1917"/>
    <w:rsid w:val="4617365F"/>
    <w:rsid w:val="46846D05"/>
    <w:rsid w:val="488C287B"/>
    <w:rsid w:val="49865A31"/>
    <w:rsid w:val="49DF19D0"/>
    <w:rsid w:val="49E1536C"/>
    <w:rsid w:val="4A385CA1"/>
    <w:rsid w:val="4B2F4FC2"/>
    <w:rsid w:val="4C837C98"/>
    <w:rsid w:val="4C895BDD"/>
    <w:rsid w:val="4C925E54"/>
    <w:rsid w:val="4D0867C9"/>
    <w:rsid w:val="4D3D49F8"/>
    <w:rsid w:val="4D693BB4"/>
    <w:rsid w:val="4D856D10"/>
    <w:rsid w:val="4E3E322E"/>
    <w:rsid w:val="4F271831"/>
    <w:rsid w:val="4F4E12B3"/>
    <w:rsid w:val="4FCC4894"/>
    <w:rsid w:val="500872CE"/>
    <w:rsid w:val="5047411B"/>
    <w:rsid w:val="51B00D4E"/>
    <w:rsid w:val="52804959"/>
    <w:rsid w:val="531C5418"/>
    <w:rsid w:val="54F9213F"/>
    <w:rsid w:val="55FD5625"/>
    <w:rsid w:val="563009FD"/>
    <w:rsid w:val="569F7332"/>
    <w:rsid w:val="574408E6"/>
    <w:rsid w:val="577F6FC4"/>
    <w:rsid w:val="59CA5F94"/>
    <w:rsid w:val="5C2810C9"/>
    <w:rsid w:val="5C7974BF"/>
    <w:rsid w:val="5CF523A9"/>
    <w:rsid w:val="5DA82CBB"/>
    <w:rsid w:val="5DED7EE9"/>
    <w:rsid w:val="61897126"/>
    <w:rsid w:val="62326B7D"/>
    <w:rsid w:val="62521A68"/>
    <w:rsid w:val="62BA55BB"/>
    <w:rsid w:val="649F4E3F"/>
    <w:rsid w:val="64A2181E"/>
    <w:rsid w:val="659C3EC2"/>
    <w:rsid w:val="67BC2052"/>
    <w:rsid w:val="68366AFD"/>
    <w:rsid w:val="69692B1A"/>
    <w:rsid w:val="6AAF3E06"/>
    <w:rsid w:val="6AC41168"/>
    <w:rsid w:val="6AFB1E97"/>
    <w:rsid w:val="6BD21DDE"/>
    <w:rsid w:val="6C485E71"/>
    <w:rsid w:val="6D9C02BD"/>
    <w:rsid w:val="6E72201C"/>
    <w:rsid w:val="6E781A51"/>
    <w:rsid w:val="705217BE"/>
    <w:rsid w:val="71111A93"/>
    <w:rsid w:val="71404449"/>
    <w:rsid w:val="73A10D37"/>
    <w:rsid w:val="74111A27"/>
    <w:rsid w:val="75C76085"/>
    <w:rsid w:val="77383B2B"/>
    <w:rsid w:val="779F2AFB"/>
    <w:rsid w:val="77D92B75"/>
    <w:rsid w:val="78306EF8"/>
    <w:rsid w:val="783B71EC"/>
    <w:rsid w:val="78616F82"/>
    <w:rsid w:val="787C1378"/>
    <w:rsid w:val="78EC1A16"/>
    <w:rsid w:val="7A070074"/>
    <w:rsid w:val="7A65389F"/>
    <w:rsid w:val="7B475E55"/>
    <w:rsid w:val="7B80064E"/>
    <w:rsid w:val="7C184313"/>
    <w:rsid w:val="7DEB6564"/>
    <w:rsid w:val="7E370156"/>
    <w:rsid w:val="7E6A080C"/>
    <w:rsid w:val="7EB138C0"/>
    <w:rsid w:val="7F65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Times New Roman" w:eastAsia="宋体"/>
      <w:sz w:val="30"/>
      <w:szCs w:val="2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keepNext/>
      <w:keepLines/>
      <w:spacing w:before="260" w:beforeLines="0" w:after="260" w:afterLines="0" w:line="416" w:lineRule="auto"/>
      <w:outlineLvl w:val="2"/>
    </w:pPr>
    <w:rPr>
      <w:rFonts w:ascii="Times New Roman" w:hAnsi="Times New Roman" w:eastAsia="宋体" w:cs="Times New Roman"/>
      <w:b/>
      <w:bCs/>
      <w:kern w:val="0"/>
      <w:sz w:val="32"/>
      <w:szCs w:val="32"/>
    </w:rPr>
  </w:style>
  <w:style w:type="paragraph" w:styleId="6">
    <w:name w:val="heading 5"/>
    <w:basedOn w:val="1"/>
    <w:next w:val="1"/>
    <w:qFormat/>
    <w:uiPriority w:val="1"/>
    <w:pPr>
      <w:ind w:right="418"/>
      <w:jc w:val="center"/>
      <w:outlineLvl w:val="4"/>
    </w:pPr>
    <w:rPr>
      <w:rFonts w:ascii="微软雅黑" w:hAnsi="微软雅黑" w:eastAsia="微软雅黑" w:cs="微软雅黑"/>
      <w:b/>
      <w:bCs/>
      <w:sz w:val="31"/>
      <w:szCs w:val="31"/>
      <w:lang w:val="zh-CN" w:eastAsia="zh-CN" w:bidi="zh-CN"/>
    </w:rPr>
  </w:style>
  <w:style w:type="paragraph" w:styleId="7">
    <w:name w:val="heading 7"/>
    <w:basedOn w:val="1"/>
    <w:next w:val="1"/>
    <w:qFormat/>
    <w:uiPriority w:val="1"/>
    <w:pPr>
      <w:ind w:left="472"/>
      <w:outlineLvl w:val="6"/>
    </w:pPr>
    <w:rPr>
      <w:rFonts w:ascii="宋体" w:hAnsi="宋体" w:eastAsia="宋体" w:cs="宋体"/>
      <w:b/>
      <w:bCs/>
      <w:sz w:val="21"/>
      <w:szCs w:val="21"/>
      <w:lang w:val="zh-CN" w:eastAsia="zh-CN" w:bidi="zh-CN"/>
    </w:rPr>
  </w:style>
  <w:style w:type="paragraph" w:styleId="8">
    <w:name w:val="heading 8"/>
    <w:basedOn w:val="1"/>
    <w:next w:val="1"/>
    <w:qFormat/>
    <w:uiPriority w:val="0"/>
    <w:pPr>
      <w:keepNext/>
      <w:keepLines/>
      <w:spacing w:before="240" w:beforeLines="0" w:after="64" w:afterLines="0" w:line="320" w:lineRule="auto"/>
      <w:outlineLvl w:val="7"/>
    </w:pPr>
    <w:rPr>
      <w:rFonts w:ascii="Arial" w:hAnsi="Arial" w:eastAsia="黑体"/>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qFormat/>
    <w:uiPriority w:val="0"/>
    <w:pPr>
      <w:ind w:firstLine="420" w:firstLineChars="200"/>
    </w:pPr>
    <w:rPr>
      <w:rFonts w:ascii="Times New Roman" w:hAnsi="Times New Roman" w:eastAsia="宋体" w:cs="Times New Roman"/>
    </w:rPr>
  </w:style>
  <w:style w:type="paragraph" w:styleId="10">
    <w:name w:val="Body Text"/>
    <w:basedOn w:val="1"/>
    <w:next w:val="11"/>
    <w:qFormat/>
    <w:uiPriority w:val="0"/>
    <w:pPr>
      <w:spacing w:after="120" w:afterLines="0"/>
    </w:pPr>
  </w:style>
  <w:style w:type="paragraph" w:styleId="11">
    <w:name w:val="Body Text 2"/>
    <w:basedOn w:val="1"/>
    <w:next w:val="10"/>
    <w:qFormat/>
    <w:uiPriority w:val="0"/>
    <w:pPr>
      <w:jc w:val="center"/>
      <w:outlineLvl w:val="0"/>
    </w:pPr>
    <w:rPr>
      <w:rFonts w:ascii="楷体_GB2312" w:eastAsia="仿宋_GB2312"/>
      <w:kern w:val="2"/>
      <w:sz w:val="30"/>
    </w:rPr>
  </w:style>
  <w:style w:type="paragraph" w:styleId="12">
    <w:name w:val="List 2"/>
    <w:basedOn w:val="1"/>
    <w:qFormat/>
    <w:uiPriority w:val="0"/>
    <w:pPr>
      <w:ind w:left="400" w:leftChars="200" w:hanging="200" w:hangingChars="200"/>
    </w:pPr>
    <w:rPr>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99"/>
    <w:pPr>
      <w:spacing w:before="240" w:after="60"/>
      <w:jc w:val="center"/>
      <w:outlineLvl w:val="0"/>
    </w:pPr>
    <w:rPr>
      <w:rFonts w:ascii="Cambria" w:hAnsi="Cambria"/>
      <w:b/>
      <w:bCs/>
      <w:sz w:val="32"/>
      <w:szCs w:val="32"/>
    </w:rPr>
  </w:style>
  <w:style w:type="paragraph" w:styleId="18">
    <w:name w:val="Body Text First Indent"/>
    <w:basedOn w:val="10"/>
    <w:qFormat/>
    <w:uiPriority w:val="0"/>
    <w:pPr>
      <w:spacing w:after="120" w:afterLines="0"/>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444444"/>
      <w:sz w:val="21"/>
      <w:szCs w:val="21"/>
      <w:u w:val="none"/>
    </w:rPr>
  </w:style>
  <w:style w:type="character" w:styleId="23">
    <w:name w:val="Hyperlink"/>
    <w:basedOn w:val="21"/>
    <w:qFormat/>
    <w:uiPriority w:val="0"/>
    <w:rPr>
      <w:color w:val="000000"/>
      <w:u w:val="none"/>
    </w:rPr>
  </w:style>
  <w:style w:type="paragraph" w:customStyle="1" w:styleId="24">
    <w:name w:val="Default_0"/>
    <w:next w:val="2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正文_0"/>
    <w:next w:val="26"/>
    <w:qFormat/>
    <w:uiPriority w:val="0"/>
    <w:pPr>
      <w:widowControl w:val="0"/>
      <w:jc w:val="both"/>
    </w:pPr>
    <w:rPr>
      <w:rFonts w:ascii="Times New Roman" w:hAnsi="Times New Roman" w:eastAsia="宋体" w:cs="Times New Roman"/>
      <w:lang w:val="en-US" w:eastAsia="zh-CN" w:bidi="ar-SA"/>
    </w:rPr>
  </w:style>
  <w:style w:type="paragraph" w:customStyle="1" w:styleId="26">
    <w:name w:val="正文首行缩进 2_0"/>
    <w:basedOn w:val="27"/>
    <w:qFormat/>
    <w:uiPriority w:val="0"/>
    <w:pPr>
      <w:spacing w:after="120" w:afterLines="0" w:line="240" w:lineRule="auto"/>
      <w:ind w:left="200" w:leftChars="200" w:firstLine="200" w:firstLineChars="200"/>
    </w:pPr>
  </w:style>
  <w:style w:type="paragraph" w:customStyle="1" w:styleId="27">
    <w:name w:val="正文文本缩进_0"/>
    <w:basedOn w:val="25"/>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8">
    <w:name w:val="正文文本_0"/>
    <w:basedOn w:val="25"/>
    <w:next w:val="29"/>
    <w:qFormat/>
    <w:uiPriority w:val="0"/>
    <w:rPr>
      <w:rFonts w:eastAsia="仿宋_GB2312"/>
      <w:kern w:val="2"/>
      <w:sz w:val="28"/>
      <w:szCs w:val="30"/>
    </w:rPr>
  </w:style>
  <w:style w:type="paragraph" w:customStyle="1" w:styleId="29">
    <w:name w:val="正文文本 2_0"/>
    <w:basedOn w:val="25"/>
    <w:qFormat/>
    <w:uiPriority w:val="0"/>
    <w:pPr>
      <w:jc w:val="center"/>
      <w:outlineLvl w:val="0"/>
    </w:pPr>
    <w:rPr>
      <w:rFonts w:ascii="楷体_GB2312" w:hAnsi="Calibri" w:eastAsia="仿宋_GB2312"/>
      <w:kern w:val="2"/>
      <w:sz w:val="30"/>
    </w:rPr>
  </w:style>
  <w:style w:type="paragraph" w:customStyle="1" w:styleId="30">
    <w:name w:val="正文_1"/>
    <w:next w:val="31"/>
    <w:qFormat/>
    <w:uiPriority w:val="0"/>
    <w:pPr>
      <w:widowControl w:val="0"/>
      <w:jc w:val="both"/>
    </w:pPr>
    <w:rPr>
      <w:rFonts w:ascii="Times New Roman" w:hAnsi="Times New Roman" w:eastAsia="宋体" w:cs="Times New Roman"/>
      <w:lang w:val="en-US" w:eastAsia="zh-CN" w:bidi="ar-SA"/>
    </w:rPr>
  </w:style>
  <w:style w:type="paragraph" w:customStyle="1" w:styleId="31">
    <w:name w:val="正文文本_1"/>
    <w:basedOn w:val="30"/>
    <w:next w:val="32"/>
    <w:qFormat/>
    <w:uiPriority w:val="0"/>
    <w:rPr>
      <w:rFonts w:eastAsia="仿宋_GB2312"/>
      <w:kern w:val="2"/>
      <w:sz w:val="28"/>
      <w:szCs w:val="30"/>
    </w:rPr>
  </w:style>
  <w:style w:type="paragraph" w:customStyle="1" w:styleId="32">
    <w:name w:val="正文文本 2_1"/>
    <w:basedOn w:val="30"/>
    <w:qFormat/>
    <w:uiPriority w:val="0"/>
    <w:pPr>
      <w:jc w:val="center"/>
      <w:outlineLvl w:val="0"/>
    </w:pPr>
    <w:rPr>
      <w:rFonts w:ascii="楷体_GB2312" w:eastAsia="仿宋_GB2312"/>
      <w:kern w:val="2"/>
      <w:sz w:val="30"/>
    </w:rPr>
  </w:style>
  <w:style w:type="paragraph" w:customStyle="1" w:styleId="33">
    <w:name w:val="*正文"/>
    <w:basedOn w:val="1"/>
    <w:next w:val="1"/>
    <w:qFormat/>
    <w:uiPriority w:val="0"/>
    <w:pPr>
      <w:widowControl/>
      <w:ind w:firstLine="482"/>
    </w:pPr>
    <w:rPr>
      <w:rFonts w:ascii="微软雅黑" w:hAnsi="微软雅黑" w:eastAsia="微软雅黑"/>
      <w:kern w:val="0"/>
      <w:sz w:val="21"/>
      <w:szCs w:val="20"/>
    </w:rPr>
  </w:style>
  <w:style w:type="paragraph" w:customStyle="1" w:styleId="34">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5">
    <w:name w:val="style4"/>
    <w:basedOn w:val="1"/>
    <w:next w:val="36"/>
    <w:qFormat/>
    <w:uiPriority w:val="0"/>
    <w:pPr>
      <w:widowControl/>
      <w:spacing w:before="280" w:after="280"/>
    </w:pPr>
    <w:rPr>
      <w:rFonts w:ascii="宋体" w:eastAsia="宋体"/>
      <w:sz w:val="18"/>
      <w:szCs w:val="24"/>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37">
    <w:name w:val="List Paragraph"/>
    <w:basedOn w:val="1"/>
    <w:qFormat/>
    <w:uiPriority w:val="1"/>
    <w:pPr>
      <w:widowControl/>
      <w:ind w:left="720"/>
      <w:contextualSpacing/>
      <w:jc w:val="left"/>
    </w:pPr>
    <w:rPr>
      <w:rFonts w:ascii="Calibri" w:hAnsi="Calibri"/>
      <w:kern w:val="0"/>
      <w:sz w:val="24"/>
      <w:szCs w:val="24"/>
      <w:lang w:eastAsia="en-US" w:bidi="en-US"/>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标题 5_0"/>
    <w:basedOn w:val="40"/>
    <w:next w:val="40"/>
    <w:qFormat/>
    <w:uiPriority w:val="0"/>
    <w:pPr>
      <w:keepNext/>
      <w:keepLines/>
      <w:spacing w:line="376" w:lineRule="auto"/>
      <w:outlineLvl w:val="4"/>
    </w:pPr>
    <w:rPr>
      <w:rFonts w:ascii="Calibri" w:hAnsi="Calibri" w:eastAsia="仿宋_GB2312"/>
      <w:b/>
      <w:bCs/>
      <w:sz w:val="28"/>
      <w:szCs w:val="28"/>
    </w:rPr>
  </w:style>
  <w:style w:type="paragraph" w:customStyle="1" w:styleId="40">
    <w:name w:val="正文_8_0"/>
    <w:next w:val="41"/>
    <w:qFormat/>
    <w:uiPriority w:val="0"/>
    <w:pPr>
      <w:widowControl w:val="0"/>
      <w:jc w:val="both"/>
    </w:pPr>
    <w:rPr>
      <w:rFonts w:ascii="Times New Roman" w:hAnsi="Times New Roman" w:eastAsia="宋体" w:cs="Times New Roman"/>
      <w:lang w:val="en-US" w:eastAsia="zh-CN" w:bidi="ar-SA"/>
    </w:rPr>
  </w:style>
  <w:style w:type="paragraph" w:customStyle="1" w:styleId="41">
    <w:name w:val="列表 2_2"/>
    <w:basedOn w:val="42"/>
    <w:qFormat/>
    <w:uiPriority w:val="0"/>
    <w:pPr>
      <w:ind w:left="400" w:leftChars="200" w:hanging="200" w:hangingChars="200"/>
    </w:pPr>
    <w:rPr>
      <w:szCs w:val="24"/>
    </w:rPr>
  </w:style>
  <w:style w:type="paragraph" w:customStyle="1" w:styleId="42">
    <w:name w:val="正文_8"/>
    <w:next w:val="41"/>
    <w:qFormat/>
    <w:uiPriority w:val="0"/>
    <w:pPr>
      <w:widowControl w:val="0"/>
      <w:jc w:val="both"/>
    </w:pPr>
    <w:rPr>
      <w:rFonts w:ascii="Times New Roman" w:hAnsi="Times New Roman" w:eastAsia="宋体" w:cs="Times New Roman"/>
      <w:lang w:val="en-US" w:eastAsia="zh-CN" w:bidi="ar-SA"/>
    </w:rPr>
  </w:style>
  <w:style w:type="paragraph" w:customStyle="1" w:styleId="43">
    <w:name w:val="List Paragraph_0"/>
    <w:basedOn w:val="42"/>
    <w:unhideWhenUsed/>
    <w:qFormat/>
    <w:uiPriority w:val="99"/>
    <w:pPr>
      <w:ind w:firstLine="420" w:firstLineChars="200"/>
    </w:pPr>
    <w:rPr>
      <w:rFonts w:ascii="Calibri" w:hAnsi="Calibri" w:eastAsia="Calibri"/>
    </w:rPr>
  </w:style>
  <w:style w:type="paragraph" w:customStyle="1" w:styleId="44">
    <w:name w:val="Normal_11"/>
    <w:qFormat/>
    <w:uiPriority w:val="0"/>
    <w:rPr>
      <w:rFonts w:ascii="黑体" w:hAnsi="黑体" w:eastAsia="黑体" w:cs="Times New Roman"/>
      <w:b/>
      <w:sz w:val="32"/>
      <w:szCs w:val="24"/>
      <w:lang w:val="en-US" w:eastAsia="zh-CN" w:bidi="ar-SA"/>
    </w:rPr>
  </w:style>
  <w:style w:type="paragraph" w:customStyle="1" w:styleId="45">
    <w:name w:val="正文_9"/>
    <w:qFormat/>
    <w:uiPriority w:val="0"/>
    <w:pPr>
      <w:widowControl w:val="0"/>
      <w:jc w:val="both"/>
    </w:pPr>
    <w:rPr>
      <w:rFonts w:ascii="Times New Roman" w:hAnsi="Times New Roman" w:eastAsia="宋体" w:cs="Times New Roman"/>
      <w:lang w:val="en-US" w:eastAsia="zh-CN" w:bidi="ar-SA"/>
    </w:rPr>
  </w:style>
  <w:style w:type="paragraph" w:customStyle="1" w:styleId="46">
    <w:name w:val="Normal_12"/>
    <w:qFormat/>
    <w:uiPriority w:val="0"/>
    <w:rPr>
      <w:rFonts w:ascii="黑体" w:hAnsi="黑体" w:eastAsia="黑体" w:cs="Times New Roman"/>
      <w:b/>
      <w:sz w:val="32"/>
      <w:szCs w:val="24"/>
      <w:lang w:val="en-US" w:eastAsia="zh-CN" w:bidi="ar-SA"/>
    </w:rPr>
  </w:style>
  <w:style w:type="paragraph" w:customStyle="1" w:styleId="47">
    <w:name w:val="正文_10"/>
    <w:qFormat/>
    <w:uiPriority w:val="0"/>
    <w:pPr>
      <w:widowControl w:val="0"/>
      <w:jc w:val="both"/>
    </w:pPr>
    <w:rPr>
      <w:rFonts w:ascii="Times New Roman" w:hAnsi="Times New Roman" w:eastAsia="宋体" w:cs="Times New Roman"/>
      <w:lang w:val="en-US" w:eastAsia="zh-CN" w:bidi="ar-SA"/>
    </w:rPr>
  </w:style>
  <w:style w:type="paragraph" w:customStyle="1" w:styleId="48">
    <w:name w:val="Body text|1"/>
    <w:basedOn w:val="1"/>
    <w:qFormat/>
    <w:uiPriority w:val="0"/>
    <w:pPr>
      <w:spacing w:after="220" w:line="420" w:lineRule="auto"/>
      <w:ind w:firstLine="400"/>
      <w:jc w:val="left"/>
    </w:pPr>
    <w:rPr>
      <w:rFonts w:ascii="MingLiU" w:hAnsi="MingLiU" w:eastAsia="MingLiU" w:cs="MingLiU"/>
      <w:sz w:val="20"/>
      <w:szCs w:val="20"/>
      <w:lang w:val="zh-TW" w:eastAsia="zh-TW" w:bidi="zh-TW"/>
    </w:rPr>
  </w:style>
  <w:style w:type="paragraph" w:customStyle="1" w:styleId="49">
    <w:name w:val="&quot;Table caption|1&quot;"/>
    <w:basedOn w:val="1"/>
    <w:qFormat/>
    <w:uiPriority w:val="0"/>
    <w:pPr>
      <w:shd w:val="clear" w:color="FFFFFF" w:fill="FFFFFF"/>
    </w:pPr>
    <w:rPr>
      <w:rFonts w:ascii="MingLiU" w:hAnsi="MingLiU" w:eastAsia="MingLiU" w:cs="MingLiU"/>
      <w:sz w:val="19"/>
      <w:szCs w:val="19"/>
      <w:lang w:val="zh-TW" w:eastAsia="zh-TW" w:bidi="zh-TW"/>
    </w:rPr>
  </w:style>
  <w:style w:type="paragraph" w:customStyle="1" w:styleId="50">
    <w:name w:val="列出段落1"/>
    <w:basedOn w:val="1"/>
    <w:qFormat/>
    <w:uiPriority w:val="34"/>
    <w:pPr>
      <w:ind w:firstLine="420" w:firstLineChars="200"/>
    </w:pPr>
  </w:style>
  <w:style w:type="character" w:customStyle="1" w:styleId="51">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52">
    <w:name w:val="_Style 2"/>
    <w:basedOn w:val="1"/>
    <w:qFormat/>
    <w:uiPriority w:val="0"/>
    <w:pPr>
      <w:ind w:firstLine="420" w:firstLineChars="200"/>
    </w:pPr>
  </w:style>
  <w:style w:type="paragraph" w:customStyle="1" w:styleId="53">
    <w:name w:val="正文_1_0"/>
    <w:next w:val="31"/>
    <w:qFormat/>
    <w:uiPriority w:val="0"/>
    <w:pPr>
      <w:widowControl w:val="0"/>
      <w:jc w:val="both"/>
    </w:pPr>
    <w:rPr>
      <w:rFonts w:ascii="Calibri" w:hAnsi="Calibri" w:eastAsia="宋体" w:cs="Times New Roman"/>
      <w:lang w:val="en-US" w:eastAsia="zh-CN" w:bidi="ar-SA"/>
    </w:rPr>
  </w:style>
  <w:style w:type="character" w:customStyle="1" w:styleId="54">
    <w:name w:val="hover18"/>
    <w:basedOn w:val="21"/>
    <w:qFormat/>
    <w:uiPriority w:val="0"/>
  </w:style>
  <w:style w:type="character" w:customStyle="1" w:styleId="55">
    <w:name w:val="hover17"/>
    <w:basedOn w:val="21"/>
    <w:qFormat/>
    <w:uiPriority w:val="0"/>
  </w:style>
  <w:style w:type="paragraph" w:customStyle="1" w:styleId="56">
    <w:name w:val="*正文_0"/>
    <w:basedOn w:val="53"/>
    <w:next w:val="25"/>
    <w:qFormat/>
    <w:uiPriority w:val="0"/>
    <w:pPr>
      <w:widowControl/>
      <w:ind w:firstLine="482"/>
    </w:pPr>
    <w:rPr>
      <w:rFonts w:ascii="微软雅黑" w:hAnsi="微软雅黑" w:eastAsia="微软雅黑"/>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51826</Words>
  <Characters>55442</Characters>
  <Lines>0</Lines>
  <Paragraphs>0</Paragraphs>
  <TotalTime>11</TotalTime>
  <ScaleCrop>false</ScaleCrop>
  <LinksUpToDate>false</LinksUpToDate>
  <CharactersWithSpaces>64339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2021-12-07T06:49:00Z</dcterms:created>
  <dc:creator>刘～孟</dc:creator>
  <cp:lastModifiedBy>刘～孟</cp:lastModifiedBy>
  <dcterms:modified xsi:type="dcterms:W3CDTF">2023-09-25T09:50:03Z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B94DF840B83545BDB64D5884EA8911E7</vt:lpwstr>
  </property>
</Properties>
</file>