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6C1157">
      <w:pPr>
        <w:widowControl/>
        <w:tabs>
          <w:tab w:val="center" w:pos="4422"/>
          <w:tab w:val="left" w:pos="6450"/>
        </w:tabs>
        <w:jc w:val="center"/>
        <w:rPr>
          <w:rFonts w:hint="default" w:ascii="宋体" w:hAnsi="宋体" w:eastAsia="宋体"/>
          <w:color w:val="000000"/>
          <w:sz w:val="28"/>
          <w:szCs w:val="28"/>
          <w:lang w:val="en-US" w:eastAsia="zh-CN"/>
        </w:rPr>
      </w:pPr>
      <w:r>
        <w:rPr>
          <w:rFonts w:hint="eastAsia" w:ascii="宋体" w:hAnsi="宋体"/>
          <w:b/>
          <w:sz w:val="52"/>
          <w:szCs w:val="52"/>
        </w:rPr>
        <w:t>杞县</w:t>
      </w:r>
      <w:r>
        <w:rPr>
          <w:rFonts w:hint="eastAsia" w:ascii="宋体" w:hAnsi="宋体"/>
          <w:b/>
          <w:sz w:val="52"/>
          <w:szCs w:val="52"/>
          <w:lang w:val="en-US" w:eastAsia="zh-CN"/>
        </w:rPr>
        <w:t>教育体育局设备采购项目</w:t>
      </w:r>
    </w:p>
    <w:p w14:paraId="0CE40893">
      <w:pPr>
        <w:widowControl/>
        <w:tabs>
          <w:tab w:val="center" w:pos="4422"/>
          <w:tab w:val="left" w:pos="6450"/>
        </w:tabs>
        <w:jc w:val="center"/>
        <w:rPr>
          <w:rFonts w:ascii="宋体" w:hAnsi="宋体"/>
          <w:color w:val="000000"/>
          <w:sz w:val="28"/>
          <w:szCs w:val="28"/>
        </w:rPr>
      </w:pPr>
    </w:p>
    <w:p w14:paraId="45ED0BA2">
      <w:pPr>
        <w:widowControl/>
        <w:tabs>
          <w:tab w:val="center" w:pos="4422"/>
          <w:tab w:val="left" w:pos="6450"/>
        </w:tabs>
        <w:jc w:val="center"/>
        <w:rPr>
          <w:rFonts w:ascii="宋体" w:hAnsi="宋体"/>
          <w:color w:val="000000"/>
          <w:sz w:val="28"/>
          <w:szCs w:val="28"/>
        </w:rPr>
      </w:pPr>
    </w:p>
    <w:p w14:paraId="630E9AD5">
      <w:pPr>
        <w:widowControl/>
        <w:tabs>
          <w:tab w:val="center" w:pos="4422"/>
          <w:tab w:val="left" w:pos="6450"/>
        </w:tabs>
        <w:jc w:val="center"/>
        <w:rPr>
          <w:rFonts w:ascii="宋体" w:hAnsi="宋体"/>
          <w:color w:val="000000"/>
          <w:sz w:val="28"/>
          <w:szCs w:val="28"/>
        </w:rPr>
      </w:pPr>
    </w:p>
    <w:p w14:paraId="1FF2B96F">
      <w:pPr>
        <w:pStyle w:val="22"/>
        <w:ind w:firstLine="210"/>
      </w:pPr>
    </w:p>
    <w:p w14:paraId="6C6C96E2">
      <w:pPr>
        <w:pStyle w:val="23"/>
        <w:ind w:firstLine="560"/>
      </w:pPr>
    </w:p>
    <w:p w14:paraId="2206C1E5">
      <w:pPr>
        <w:pStyle w:val="22"/>
        <w:ind w:firstLine="321"/>
        <w:jc w:val="center"/>
        <w:rPr>
          <w:rFonts w:ascii="宋体" w:hAnsi="宋体"/>
          <w:b/>
          <w:sz w:val="32"/>
          <w:szCs w:val="32"/>
        </w:rPr>
      </w:pPr>
      <w:r>
        <w:rPr>
          <w:rFonts w:hint="eastAsia" w:ascii="宋体" w:hAnsi="宋体"/>
          <w:b/>
          <w:sz w:val="32"/>
          <w:szCs w:val="32"/>
          <w:lang w:val="en-US" w:eastAsia="zh-CN"/>
        </w:rPr>
        <w:t>四</w:t>
      </w:r>
      <w:r>
        <w:rPr>
          <w:rFonts w:hint="eastAsia" w:ascii="宋体" w:hAnsi="宋体"/>
          <w:b/>
          <w:sz w:val="32"/>
          <w:szCs w:val="32"/>
        </w:rPr>
        <w:t>标段</w:t>
      </w:r>
    </w:p>
    <w:p w14:paraId="1EDB8FCD">
      <w:pPr>
        <w:widowControl/>
        <w:tabs>
          <w:tab w:val="center" w:pos="4422"/>
          <w:tab w:val="left" w:pos="6450"/>
        </w:tabs>
        <w:jc w:val="center"/>
        <w:rPr>
          <w:rFonts w:ascii="宋体" w:hAnsi="宋体"/>
          <w:b/>
          <w:color w:val="000000"/>
          <w:sz w:val="72"/>
          <w:szCs w:val="72"/>
        </w:rPr>
      </w:pPr>
      <w:r>
        <w:rPr>
          <w:rFonts w:hint="eastAsia" w:ascii="宋体" w:hAnsi="宋体"/>
          <w:b/>
          <w:color w:val="000000"/>
          <w:sz w:val="72"/>
          <w:szCs w:val="72"/>
        </w:rPr>
        <w:t>招</w:t>
      </w:r>
      <w:r>
        <w:rPr>
          <w:rFonts w:ascii="宋体" w:hAnsi="宋体"/>
          <w:b/>
          <w:color w:val="000000"/>
          <w:sz w:val="72"/>
          <w:szCs w:val="72"/>
        </w:rPr>
        <w:t xml:space="preserve"> </w:t>
      </w:r>
      <w:r>
        <w:rPr>
          <w:rFonts w:hint="eastAsia" w:ascii="宋体" w:hAnsi="宋体"/>
          <w:b/>
          <w:color w:val="000000"/>
          <w:sz w:val="72"/>
          <w:szCs w:val="72"/>
        </w:rPr>
        <w:t>标</w:t>
      </w:r>
      <w:r>
        <w:rPr>
          <w:rFonts w:ascii="宋体" w:hAnsi="宋体"/>
          <w:b/>
          <w:color w:val="000000"/>
          <w:sz w:val="72"/>
          <w:szCs w:val="72"/>
        </w:rPr>
        <w:t xml:space="preserve"> </w:t>
      </w:r>
      <w:r>
        <w:rPr>
          <w:rFonts w:hint="eastAsia" w:ascii="宋体" w:hAnsi="宋体"/>
          <w:b/>
          <w:color w:val="000000"/>
          <w:sz w:val="72"/>
          <w:szCs w:val="72"/>
        </w:rPr>
        <w:t>文</w:t>
      </w:r>
      <w:r>
        <w:rPr>
          <w:rFonts w:ascii="宋体" w:hAnsi="宋体"/>
          <w:b/>
          <w:color w:val="000000"/>
          <w:sz w:val="72"/>
          <w:szCs w:val="72"/>
        </w:rPr>
        <w:t xml:space="preserve"> </w:t>
      </w:r>
      <w:r>
        <w:rPr>
          <w:rFonts w:hint="eastAsia" w:ascii="宋体" w:hAnsi="宋体"/>
          <w:b/>
          <w:color w:val="000000"/>
          <w:sz w:val="72"/>
          <w:szCs w:val="72"/>
        </w:rPr>
        <w:t>件</w:t>
      </w:r>
    </w:p>
    <w:p w14:paraId="5C748E9B">
      <w:pPr>
        <w:spacing w:line="560" w:lineRule="exact"/>
        <w:ind w:firstLine="2530" w:firstLineChars="900"/>
        <w:rPr>
          <w:rFonts w:ascii="宋体" w:hAnsi="宋体"/>
          <w:b/>
          <w:sz w:val="28"/>
          <w:szCs w:val="28"/>
        </w:rPr>
      </w:pPr>
    </w:p>
    <w:p w14:paraId="3C94CD66">
      <w:pPr>
        <w:spacing w:line="560" w:lineRule="exact"/>
        <w:jc w:val="center"/>
        <w:rPr>
          <w:rFonts w:hint="default" w:ascii="宋体" w:hAnsi="宋体" w:eastAsia="宋体"/>
          <w:b/>
          <w:sz w:val="32"/>
          <w:szCs w:val="32"/>
          <w:lang w:val="en-US" w:eastAsia="zh-CN"/>
        </w:rPr>
      </w:pPr>
      <w:r>
        <w:rPr>
          <w:rFonts w:hint="eastAsia" w:ascii="宋体" w:hAnsi="宋体"/>
          <w:b/>
          <w:sz w:val="32"/>
          <w:szCs w:val="32"/>
        </w:rPr>
        <w:t>项目编号：</w:t>
      </w:r>
      <w:r>
        <w:rPr>
          <w:rFonts w:hint="eastAsia" w:ascii="宋体" w:hAnsi="宋体"/>
          <w:b/>
          <w:color w:val="auto"/>
          <w:sz w:val="32"/>
          <w:szCs w:val="32"/>
        </w:rPr>
        <w:t>汴杞财招标采购-2025-</w:t>
      </w:r>
      <w:r>
        <w:rPr>
          <w:rFonts w:hint="eastAsia" w:ascii="宋体" w:hAnsi="宋体"/>
          <w:b/>
          <w:color w:val="auto"/>
          <w:sz w:val="32"/>
          <w:szCs w:val="32"/>
          <w:lang w:val="en-US" w:eastAsia="zh-CN"/>
        </w:rPr>
        <w:t>29</w:t>
      </w:r>
    </w:p>
    <w:p w14:paraId="4CBFC1CB">
      <w:pPr>
        <w:jc w:val="center"/>
        <w:rPr>
          <w:rFonts w:ascii="宋体" w:hAnsi="宋体"/>
          <w:b/>
          <w:color w:val="000000"/>
          <w:sz w:val="32"/>
          <w:szCs w:val="32"/>
        </w:rPr>
      </w:pPr>
    </w:p>
    <w:p w14:paraId="40C1E28E">
      <w:pPr>
        <w:jc w:val="center"/>
        <w:rPr>
          <w:rFonts w:ascii="宋体" w:hAnsi="宋体"/>
          <w:b/>
          <w:color w:val="000000"/>
          <w:sz w:val="32"/>
          <w:szCs w:val="32"/>
        </w:rPr>
      </w:pPr>
    </w:p>
    <w:p w14:paraId="6E795C46">
      <w:pPr>
        <w:jc w:val="center"/>
        <w:rPr>
          <w:rFonts w:ascii="宋体" w:hAnsi="宋体"/>
          <w:b/>
          <w:color w:val="000000"/>
          <w:sz w:val="32"/>
          <w:szCs w:val="32"/>
        </w:rPr>
      </w:pPr>
    </w:p>
    <w:p w14:paraId="09633251">
      <w:pPr>
        <w:pStyle w:val="22"/>
        <w:ind w:firstLine="210"/>
      </w:pPr>
    </w:p>
    <w:p w14:paraId="316FFAD6">
      <w:pPr>
        <w:rPr>
          <w:rFonts w:ascii="宋体" w:hAnsi="宋体"/>
          <w:b/>
          <w:sz w:val="32"/>
          <w:szCs w:val="32"/>
        </w:rPr>
      </w:pPr>
      <w:r>
        <w:rPr>
          <w:rFonts w:hint="eastAsia" w:ascii="宋体" w:hAnsi="宋体"/>
          <w:b/>
          <w:color w:val="000000"/>
          <w:sz w:val="32"/>
          <w:szCs w:val="32"/>
        </w:rPr>
        <w:t>招 标 人：杞县教育体育局</w:t>
      </w:r>
    </w:p>
    <w:p w14:paraId="5195A752">
      <w:pPr>
        <w:rPr>
          <w:rFonts w:ascii="宋体" w:hAnsi="宋体"/>
          <w:b/>
          <w:color w:val="000000"/>
          <w:sz w:val="32"/>
          <w:szCs w:val="32"/>
        </w:rPr>
      </w:pPr>
      <w:r>
        <w:rPr>
          <w:rFonts w:hint="eastAsia" w:ascii="宋体" w:hAnsi="宋体"/>
          <w:b/>
          <w:color w:val="000000"/>
          <w:sz w:val="32"/>
          <w:szCs w:val="32"/>
        </w:rPr>
        <w:t>集采机构：</w:t>
      </w:r>
      <w:r>
        <w:rPr>
          <w:rFonts w:hint="eastAsia" w:ascii="宋体" w:hAnsi="宋体"/>
          <w:b/>
          <w:sz w:val="32"/>
          <w:szCs w:val="32"/>
        </w:rPr>
        <w:t>杞县公共资源交易服务所</w:t>
      </w:r>
    </w:p>
    <w:p w14:paraId="17EDC319">
      <w:pPr>
        <w:jc w:val="center"/>
        <w:rPr>
          <w:rFonts w:ascii="宋体" w:hAnsi="宋体"/>
          <w:b/>
          <w:color w:val="000000"/>
          <w:sz w:val="32"/>
          <w:szCs w:val="32"/>
        </w:rPr>
      </w:pPr>
    </w:p>
    <w:p w14:paraId="1E527A8E">
      <w:pPr>
        <w:jc w:val="center"/>
        <w:rPr>
          <w:rFonts w:ascii="宋体" w:hAnsi="宋体"/>
          <w:b/>
          <w:color w:val="000000"/>
          <w:sz w:val="32"/>
          <w:szCs w:val="32"/>
        </w:rPr>
        <w:sectPr>
          <w:footerReference r:id="rId3" w:type="default"/>
          <w:pgSz w:w="11906" w:h="16838"/>
          <w:pgMar w:top="1417" w:right="1474" w:bottom="1417" w:left="1474" w:header="720" w:footer="720" w:gutter="0"/>
          <w:pgNumType w:fmt="upperRoman" w:start="1"/>
          <w:cols w:space="720" w:num="1"/>
          <w:docGrid w:type="lines" w:linePitch="312" w:charSpace="0"/>
        </w:sectPr>
      </w:pPr>
      <w:r>
        <w:rPr>
          <w:rFonts w:ascii="宋体" w:hAnsi="宋体"/>
          <w:b/>
          <w:color w:val="000000"/>
          <w:sz w:val="32"/>
          <w:szCs w:val="32"/>
        </w:rPr>
        <w:pict>
          <v:shape id="文本框 67" o:spid="_x0000_s2050" o:spt="202" type="#_x0000_t202" style="position:absolute;left:0pt;margin-left:-18.7pt;margin-top:35.8pt;height:46.8pt;width:519pt;z-index:251659264;mso-width-relative:page;mso-height-relative:page;" filled="t" stroked="t" coordsize="21600,21600">
            <v:path/>
            <v:fill type="gradient" on="t" angle="90" focussize="0f,0f">
              <o:fill type="gradientUnscaled" v:ext="backwardCompatible"/>
            </v:fill>
            <v:stroke weight="1.25pt" color="#FFFFFF" joinstyle="miter"/>
            <v:imagedata o:title=""/>
            <o:lock v:ext="edit"/>
            <v:textbox>
              <w:txbxContent>
                <w:p w14:paraId="108E4D7C"/>
              </w:txbxContent>
            </v:textbox>
          </v:shape>
        </w:pict>
      </w:r>
      <w:r>
        <w:rPr>
          <w:rFonts w:hint="eastAsia" w:ascii="宋体" w:hAnsi="宋体"/>
          <w:b/>
          <w:color w:val="000000"/>
          <w:sz w:val="32"/>
          <w:szCs w:val="32"/>
        </w:rPr>
        <w:t>二〇二五年</w:t>
      </w:r>
      <w:r>
        <w:rPr>
          <w:rFonts w:hint="eastAsia" w:ascii="宋体" w:hAnsi="宋体"/>
          <w:b/>
          <w:color w:val="000000"/>
          <w:sz w:val="32"/>
          <w:szCs w:val="32"/>
          <w:lang w:val="en-US" w:eastAsia="zh-CN"/>
        </w:rPr>
        <w:t>六</w:t>
      </w:r>
      <w:r>
        <w:rPr>
          <w:rFonts w:hint="eastAsia" w:ascii="宋体" w:hAnsi="宋体"/>
          <w:b/>
          <w:color w:val="000000"/>
          <w:sz w:val="32"/>
          <w:szCs w:val="32"/>
        </w:rPr>
        <w:t>月</w:t>
      </w:r>
    </w:p>
    <w:p w14:paraId="32D90B17">
      <w:pPr>
        <w:spacing w:line="360" w:lineRule="auto"/>
        <w:jc w:val="center"/>
        <w:rPr>
          <w:rFonts w:hint="eastAsia" w:ascii="宋体" w:hAnsi="宋体" w:eastAsia="宋体"/>
          <w:b/>
          <w:bCs/>
          <w:color w:val="000000"/>
          <w:sz w:val="28"/>
          <w:szCs w:val="28"/>
          <w:lang w:eastAsia="zh-CN"/>
        </w:rPr>
      </w:pPr>
      <w:bookmarkStart w:id="0" w:name="_Toc271554719"/>
      <w:bookmarkEnd w:id="0"/>
      <w:bookmarkStart w:id="1" w:name="_Toc8864"/>
      <w:bookmarkEnd w:id="1"/>
      <w:bookmarkStart w:id="2" w:name="_Toc24902"/>
      <w:bookmarkEnd w:id="2"/>
      <w:bookmarkStart w:id="3" w:name="_Toc28490"/>
      <w:bookmarkEnd w:id="3"/>
      <w:bookmarkStart w:id="4" w:name="_Toc17535"/>
      <w:r>
        <w:rPr>
          <w:rFonts w:hint="eastAsia" w:ascii="宋体" w:hAnsi="宋体" w:eastAsia="宋体"/>
          <w:b/>
          <w:bCs/>
          <w:color w:val="000000"/>
          <w:sz w:val="28"/>
          <w:szCs w:val="28"/>
          <w:lang w:eastAsia="zh-CN"/>
        </w:rPr>
        <w:drawing>
          <wp:inline distT="0" distB="0" distL="114300" distR="114300">
            <wp:extent cx="5681345" cy="7980680"/>
            <wp:effectExtent l="0" t="0" r="14605" b="1270"/>
            <wp:docPr id="1" name="图片 1" descr="c1e97957f074cd332bee1dbd9530c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1e97957f074cd332bee1dbd9530cc6"/>
                    <pic:cNvPicPr>
                      <a:picLocks noChangeAspect="1"/>
                    </pic:cNvPicPr>
                  </pic:nvPicPr>
                  <pic:blipFill>
                    <a:blip r:embed="rId8"/>
                    <a:stretch>
                      <a:fillRect/>
                    </a:stretch>
                  </pic:blipFill>
                  <pic:spPr>
                    <a:xfrm>
                      <a:off x="0" y="0"/>
                      <a:ext cx="5681345" cy="7980680"/>
                    </a:xfrm>
                    <a:prstGeom prst="rect">
                      <a:avLst/>
                    </a:prstGeom>
                  </pic:spPr>
                </pic:pic>
              </a:graphicData>
            </a:graphic>
          </wp:inline>
        </w:drawing>
      </w:r>
    </w:p>
    <w:p w14:paraId="22A88D52">
      <w:pPr>
        <w:spacing w:line="360" w:lineRule="auto"/>
        <w:jc w:val="center"/>
        <w:rPr>
          <w:rFonts w:hint="eastAsia" w:ascii="宋体" w:hAnsi="宋体"/>
          <w:b/>
          <w:bCs/>
          <w:color w:val="000000"/>
          <w:sz w:val="28"/>
          <w:szCs w:val="28"/>
        </w:rPr>
      </w:pPr>
    </w:p>
    <w:p w14:paraId="4E2AD11C">
      <w:pPr>
        <w:spacing w:line="360" w:lineRule="auto"/>
        <w:jc w:val="center"/>
        <w:rPr>
          <w:rFonts w:hint="eastAsia" w:ascii="宋体" w:hAnsi="宋体"/>
          <w:b/>
          <w:bCs/>
          <w:color w:val="000000"/>
          <w:sz w:val="28"/>
          <w:szCs w:val="28"/>
        </w:rPr>
      </w:pPr>
    </w:p>
    <w:p w14:paraId="73245C22">
      <w:pPr>
        <w:spacing w:line="360" w:lineRule="auto"/>
        <w:jc w:val="center"/>
        <w:rPr>
          <w:rFonts w:ascii="宋体" w:hAnsi="宋体"/>
          <w:b/>
          <w:bCs/>
          <w:color w:val="000000"/>
          <w:sz w:val="28"/>
          <w:szCs w:val="28"/>
        </w:rPr>
      </w:pPr>
      <w:r>
        <w:rPr>
          <w:rFonts w:hint="eastAsia" w:ascii="宋体" w:hAnsi="宋体"/>
          <w:b/>
          <w:bCs/>
          <w:color w:val="000000"/>
          <w:sz w:val="28"/>
          <w:szCs w:val="28"/>
        </w:rPr>
        <w:t>目  录</w:t>
      </w:r>
      <w:bookmarkEnd w:id="4"/>
    </w:p>
    <w:p w14:paraId="7361D3F7">
      <w:pPr>
        <w:pStyle w:val="16"/>
        <w:tabs>
          <w:tab w:val="right" w:leader="dot" w:pos="8958"/>
        </w:tabs>
        <w:rPr>
          <w:sz w:val="28"/>
          <w:szCs w:val="28"/>
        </w:rPr>
      </w:pPr>
      <w:r>
        <w:rPr>
          <w:rFonts w:asciiTheme="minorEastAsia" w:hAnsiTheme="minorEastAsia" w:eastAsiaTheme="minorEastAsia"/>
          <w:color w:val="000000"/>
          <w:sz w:val="28"/>
          <w:szCs w:val="28"/>
        </w:rPr>
        <w:fldChar w:fldCharType="begin"/>
      </w:r>
      <w:r>
        <w:rPr>
          <w:rFonts w:asciiTheme="minorEastAsia" w:hAnsiTheme="minorEastAsia" w:eastAsiaTheme="minorEastAsia"/>
          <w:color w:val="000000"/>
          <w:sz w:val="28"/>
          <w:szCs w:val="28"/>
        </w:rPr>
        <w:instrText xml:space="preserve">TOC \o "1-2" \h \u </w:instrText>
      </w:r>
      <w:r>
        <w:rPr>
          <w:rFonts w:asciiTheme="minorEastAsia" w:hAnsiTheme="minorEastAsia" w:eastAsiaTheme="minorEastAsia"/>
          <w:color w:val="000000"/>
          <w:sz w:val="28"/>
          <w:szCs w:val="28"/>
        </w:rPr>
        <w:fldChar w:fldCharType="separate"/>
      </w:r>
      <w:r>
        <w:rPr>
          <w:rFonts w:asciiTheme="minorEastAsia" w:hAnsiTheme="minorEastAsia" w:eastAsiaTheme="minorEastAsia"/>
          <w:color w:val="000000"/>
          <w:sz w:val="28"/>
          <w:szCs w:val="28"/>
        </w:rPr>
        <w:fldChar w:fldCharType="begin"/>
      </w:r>
      <w:r>
        <w:rPr>
          <w:rFonts w:asciiTheme="minorEastAsia" w:hAnsiTheme="minorEastAsia" w:eastAsiaTheme="minorEastAsia"/>
          <w:sz w:val="28"/>
          <w:szCs w:val="28"/>
        </w:rPr>
        <w:instrText xml:space="preserve"> HYPERLINK \l _Toc27189 </w:instrText>
      </w:r>
      <w:r>
        <w:rPr>
          <w:rFonts w:asciiTheme="minorEastAsia" w:hAnsiTheme="minorEastAsia" w:eastAsiaTheme="minorEastAsia"/>
          <w:sz w:val="28"/>
          <w:szCs w:val="28"/>
        </w:rPr>
        <w:fldChar w:fldCharType="separate"/>
      </w:r>
      <w:r>
        <w:rPr>
          <w:rFonts w:hint="eastAsia" w:ascii="黑体" w:hAnsi="黑体" w:eastAsia="黑体"/>
          <w:bCs w:val="0"/>
          <w:sz w:val="28"/>
          <w:szCs w:val="28"/>
        </w:rPr>
        <w:t>第一章  招标公告</w:t>
      </w:r>
      <w:r>
        <w:rPr>
          <w:sz w:val="28"/>
          <w:szCs w:val="28"/>
        </w:rPr>
        <w:tab/>
      </w:r>
      <w:r>
        <w:rPr>
          <w:sz w:val="28"/>
          <w:szCs w:val="28"/>
        </w:rPr>
        <w:fldChar w:fldCharType="begin"/>
      </w:r>
      <w:r>
        <w:rPr>
          <w:sz w:val="28"/>
          <w:szCs w:val="28"/>
        </w:rPr>
        <w:instrText xml:space="preserve"> PAGEREF _Toc27189 \h </w:instrText>
      </w:r>
      <w:r>
        <w:rPr>
          <w:sz w:val="28"/>
          <w:szCs w:val="28"/>
        </w:rPr>
        <w:fldChar w:fldCharType="separate"/>
      </w:r>
      <w:r>
        <w:rPr>
          <w:sz w:val="28"/>
          <w:szCs w:val="28"/>
        </w:rPr>
        <w:t>1</w:t>
      </w:r>
      <w:r>
        <w:rPr>
          <w:sz w:val="28"/>
          <w:szCs w:val="28"/>
        </w:rPr>
        <w:fldChar w:fldCharType="end"/>
      </w:r>
      <w:r>
        <w:rPr>
          <w:rFonts w:asciiTheme="minorEastAsia" w:hAnsiTheme="minorEastAsia" w:eastAsiaTheme="minorEastAsia"/>
          <w:color w:val="000000"/>
          <w:sz w:val="28"/>
          <w:szCs w:val="28"/>
        </w:rPr>
        <w:fldChar w:fldCharType="end"/>
      </w:r>
    </w:p>
    <w:p w14:paraId="3696D5FB">
      <w:pPr>
        <w:pStyle w:val="16"/>
        <w:tabs>
          <w:tab w:val="right" w:leader="dot" w:pos="8958"/>
        </w:tabs>
        <w:rPr>
          <w:sz w:val="28"/>
          <w:szCs w:val="28"/>
        </w:rPr>
      </w:pPr>
      <w:r>
        <w:rPr>
          <w:rFonts w:asciiTheme="minorEastAsia" w:hAnsiTheme="minorEastAsia" w:eastAsiaTheme="minorEastAsia"/>
          <w:color w:val="000000"/>
          <w:sz w:val="28"/>
          <w:szCs w:val="28"/>
        </w:rPr>
        <w:fldChar w:fldCharType="begin"/>
      </w:r>
      <w:r>
        <w:rPr>
          <w:rFonts w:asciiTheme="minorEastAsia" w:hAnsiTheme="minorEastAsia" w:eastAsiaTheme="minorEastAsia"/>
          <w:sz w:val="28"/>
          <w:szCs w:val="28"/>
        </w:rPr>
        <w:instrText xml:space="preserve"> HYPERLINK \l _Toc23483 </w:instrText>
      </w:r>
      <w:r>
        <w:rPr>
          <w:rFonts w:asciiTheme="minorEastAsia" w:hAnsiTheme="minorEastAsia" w:eastAsiaTheme="minorEastAsia"/>
          <w:sz w:val="28"/>
          <w:szCs w:val="28"/>
        </w:rPr>
        <w:fldChar w:fldCharType="separate"/>
      </w:r>
      <w:r>
        <w:rPr>
          <w:rFonts w:hint="eastAsia" w:ascii="黑体" w:hAnsi="黑体" w:eastAsia="黑体"/>
          <w:bCs w:val="0"/>
          <w:sz w:val="28"/>
          <w:szCs w:val="28"/>
        </w:rPr>
        <w:t>第二章 投标人须知</w:t>
      </w:r>
      <w:r>
        <w:rPr>
          <w:sz w:val="28"/>
          <w:szCs w:val="28"/>
        </w:rPr>
        <w:tab/>
      </w:r>
      <w:r>
        <w:rPr>
          <w:sz w:val="28"/>
          <w:szCs w:val="28"/>
        </w:rPr>
        <w:fldChar w:fldCharType="begin"/>
      </w:r>
      <w:r>
        <w:rPr>
          <w:sz w:val="28"/>
          <w:szCs w:val="28"/>
        </w:rPr>
        <w:instrText xml:space="preserve"> PAGEREF _Toc23483 \h </w:instrText>
      </w:r>
      <w:r>
        <w:rPr>
          <w:sz w:val="28"/>
          <w:szCs w:val="28"/>
        </w:rPr>
        <w:fldChar w:fldCharType="separate"/>
      </w:r>
      <w:r>
        <w:rPr>
          <w:sz w:val="28"/>
          <w:szCs w:val="28"/>
        </w:rPr>
        <w:t>5</w:t>
      </w:r>
      <w:r>
        <w:rPr>
          <w:sz w:val="28"/>
          <w:szCs w:val="28"/>
        </w:rPr>
        <w:fldChar w:fldCharType="end"/>
      </w:r>
      <w:r>
        <w:rPr>
          <w:rFonts w:asciiTheme="minorEastAsia" w:hAnsiTheme="minorEastAsia" w:eastAsiaTheme="minorEastAsia"/>
          <w:color w:val="000000"/>
          <w:sz w:val="28"/>
          <w:szCs w:val="28"/>
        </w:rPr>
        <w:fldChar w:fldCharType="end"/>
      </w:r>
    </w:p>
    <w:p w14:paraId="6A25962C">
      <w:pPr>
        <w:pStyle w:val="16"/>
        <w:tabs>
          <w:tab w:val="right" w:leader="dot" w:pos="8958"/>
        </w:tabs>
        <w:rPr>
          <w:sz w:val="28"/>
          <w:szCs w:val="28"/>
        </w:rPr>
      </w:pPr>
      <w:r>
        <w:rPr>
          <w:rFonts w:asciiTheme="minorEastAsia" w:hAnsiTheme="minorEastAsia" w:eastAsiaTheme="minorEastAsia"/>
          <w:color w:val="000000"/>
          <w:sz w:val="28"/>
          <w:szCs w:val="28"/>
        </w:rPr>
        <w:fldChar w:fldCharType="begin"/>
      </w:r>
      <w:r>
        <w:rPr>
          <w:rFonts w:asciiTheme="minorEastAsia" w:hAnsiTheme="minorEastAsia" w:eastAsiaTheme="minorEastAsia"/>
          <w:sz w:val="28"/>
          <w:szCs w:val="28"/>
        </w:rPr>
        <w:instrText xml:space="preserve"> HYPERLINK \l _Toc3961 </w:instrText>
      </w:r>
      <w:r>
        <w:rPr>
          <w:rFonts w:asciiTheme="minorEastAsia" w:hAnsiTheme="minorEastAsia" w:eastAsiaTheme="minorEastAsia"/>
          <w:sz w:val="28"/>
          <w:szCs w:val="28"/>
        </w:rPr>
        <w:fldChar w:fldCharType="separate"/>
      </w:r>
      <w:r>
        <w:rPr>
          <w:rFonts w:hint="eastAsia" w:ascii="黑体" w:hAnsi="黑体" w:eastAsia="黑体"/>
          <w:bCs w:val="0"/>
          <w:sz w:val="28"/>
          <w:szCs w:val="28"/>
        </w:rPr>
        <w:t>第三章  评标办法（综合评分法）</w:t>
      </w:r>
      <w:r>
        <w:rPr>
          <w:sz w:val="28"/>
          <w:szCs w:val="28"/>
        </w:rPr>
        <w:tab/>
      </w:r>
      <w:r>
        <w:rPr>
          <w:sz w:val="28"/>
          <w:szCs w:val="28"/>
        </w:rPr>
        <w:fldChar w:fldCharType="begin"/>
      </w:r>
      <w:r>
        <w:rPr>
          <w:sz w:val="28"/>
          <w:szCs w:val="28"/>
        </w:rPr>
        <w:instrText xml:space="preserve"> PAGEREF _Toc3961 \h </w:instrText>
      </w:r>
      <w:r>
        <w:rPr>
          <w:sz w:val="28"/>
          <w:szCs w:val="28"/>
        </w:rPr>
        <w:fldChar w:fldCharType="separate"/>
      </w:r>
      <w:r>
        <w:rPr>
          <w:sz w:val="28"/>
          <w:szCs w:val="28"/>
        </w:rPr>
        <w:t>24</w:t>
      </w:r>
      <w:r>
        <w:rPr>
          <w:sz w:val="28"/>
          <w:szCs w:val="28"/>
        </w:rPr>
        <w:fldChar w:fldCharType="end"/>
      </w:r>
      <w:r>
        <w:rPr>
          <w:rFonts w:asciiTheme="minorEastAsia" w:hAnsiTheme="minorEastAsia" w:eastAsiaTheme="minorEastAsia"/>
          <w:color w:val="000000"/>
          <w:sz w:val="28"/>
          <w:szCs w:val="28"/>
        </w:rPr>
        <w:fldChar w:fldCharType="end"/>
      </w:r>
    </w:p>
    <w:p w14:paraId="3EC2A5FF">
      <w:pPr>
        <w:pStyle w:val="16"/>
        <w:tabs>
          <w:tab w:val="right" w:leader="dot" w:pos="8958"/>
        </w:tabs>
        <w:rPr>
          <w:sz w:val="28"/>
          <w:szCs w:val="28"/>
        </w:rPr>
      </w:pPr>
      <w:r>
        <w:rPr>
          <w:rFonts w:asciiTheme="minorEastAsia" w:hAnsiTheme="minorEastAsia" w:eastAsiaTheme="minorEastAsia"/>
          <w:color w:val="000000"/>
          <w:sz w:val="28"/>
          <w:szCs w:val="28"/>
        </w:rPr>
        <w:fldChar w:fldCharType="begin"/>
      </w:r>
      <w:r>
        <w:rPr>
          <w:rFonts w:asciiTheme="minorEastAsia" w:hAnsiTheme="minorEastAsia" w:eastAsiaTheme="minorEastAsia"/>
          <w:sz w:val="28"/>
          <w:szCs w:val="28"/>
        </w:rPr>
        <w:instrText xml:space="preserve"> HYPERLINK \l _Toc1839 </w:instrText>
      </w:r>
      <w:r>
        <w:rPr>
          <w:rFonts w:asciiTheme="minorEastAsia" w:hAnsiTheme="minorEastAsia" w:eastAsiaTheme="minorEastAsia"/>
          <w:sz w:val="28"/>
          <w:szCs w:val="28"/>
        </w:rPr>
        <w:fldChar w:fldCharType="separate"/>
      </w:r>
      <w:r>
        <w:rPr>
          <w:rFonts w:hint="eastAsia" w:ascii="黑体" w:hAnsi="黑体" w:eastAsia="黑体" w:cs="黑体"/>
          <w:sz w:val="28"/>
          <w:szCs w:val="28"/>
        </w:rPr>
        <w:t>第四章  合同条款及格式</w:t>
      </w:r>
      <w:r>
        <w:rPr>
          <w:sz w:val="28"/>
          <w:szCs w:val="28"/>
        </w:rPr>
        <w:tab/>
      </w:r>
      <w:r>
        <w:rPr>
          <w:sz w:val="28"/>
          <w:szCs w:val="28"/>
        </w:rPr>
        <w:fldChar w:fldCharType="begin"/>
      </w:r>
      <w:r>
        <w:rPr>
          <w:sz w:val="28"/>
          <w:szCs w:val="28"/>
        </w:rPr>
        <w:instrText xml:space="preserve"> PAGEREF _Toc1839 \h </w:instrText>
      </w:r>
      <w:r>
        <w:rPr>
          <w:sz w:val="28"/>
          <w:szCs w:val="28"/>
        </w:rPr>
        <w:fldChar w:fldCharType="separate"/>
      </w:r>
      <w:r>
        <w:rPr>
          <w:sz w:val="28"/>
          <w:szCs w:val="28"/>
        </w:rPr>
        <w:t>29</w:t>
      </w:r>
      <w:r>
        <w:rPr>
          <w:sz w:val="28"/>
          <w:szCs w:val="28"/>
        </w:rPr>
        <w:fldChar w:fldCharType="end"/>
      </w:r>
      <w:r>
        <w:rPr>
          <w:rFonts w:asciiTheme="minorEastAsia" w:hAnsiTheme="minorEastAsia" w:eastAsiaTheme="minorEastAsia"/>
          <w:color w:val="000000"/>
          <w:sz w:val="28"/>
          <w:szCs w:val="28"/>
        </w:rPr>
        <w:fldChar w:fldCharType="end"/>
      </w:r>
    </w:p>
    <w:p w14:paraId="49D20BF8">
      <w:pPr>
        <w:pStyle w:val="16"/>
        <w:tabs>
          <w:tab w:val="right" w:leader="dot" w:pos="8958"/>
        </w:tabs>
        <w:rPr>
          <w:sz w:val="28"/>
          <w:szCs w:val="28"/>
        </w:rPr>
      </w:pPr>
      <w:r>
        <w:rPr>
          <w:rFonts w:asciiTheme="minorEastAsia" w:hAnsiTheme="minorEastAsia" w:eastAsiaTheme="minorEastAsia"/>
          <w:color w:val="000000"/>
          <w:sz w:val="28"/>
          <w:szCs w:val="28"/>
        </w:rPr>
        <w:fldChar w:fldCharType="begin"/>
      </w:r>
      <w:r>
        <w:rPr>
          <w:rFonts w:asciiTheme="minorEastAsia" w:hAnsiTheme="minorEastAsia" w:eastAsiaTheme="minorEastAsia"/>
          <w:sz w:val="28"/>
          <w:szCs w:val="28"/>
        </w:rPr>
        <w:instrText xml:space="preserve"> HYPERLINK \l _Toc4629 </w:instrText>
      </w:r>
      <w:r>
        <w:rPr>
          <w:rFonts w:asciiTheme="minorEastAsia" w:hAnsiTheme="minorEastAsia" w:eastAsiaTheme="minorEastAsia"/>
          <w:sz w:val="28"/>
          <w:szCs w:val="28"/>
        </w:rPr>
        <w:fldChar w:fldCharType="separate"/>
      </w:r>
      <w:r>
        <w:rPr>
          <w:rFonts w:hint="eastAsia" w:ascii="黑体" w:hAnsi="黑体" w:eastAsia="黑体" w:cs="黑体"/>
          <w:sz w:val="28"/>
          <w:szCs w:val="28"/>
        </w:rPr>
        <w:t xml:space="preserve">第五章 </w:t>
      </w:r>
      <w:r>
        <w:rPr>
          <w:rFonts w:hint="eastAsia" w:ascii="黑体" w:hAnsi="黑体" w:eastAsia="黑体" w:cs="黑体"/>
          <w:bCs w:val="0"/>
          <w:sz w:val="28"/>
          <w:szCs w:val="28"/>
        </w:rPr>
        <w:t>招标项目需求及技术参数</w:t>
      </w:r>
      <w:r>
        <w:rPr>
          <w:sz w:val="28"/>
          <w:szCs w:val="28"/>
        </w:rPr>
        <w:tab/>
      </w:r>
      <w:r>
        <w:rPr>
          <w:sz w:val="28"/>
          <w:szCs w:val="28"/>
        </w:rPr>
        <w:fldChar w:fldCharType="begin"/>
      </w:r>
      <w:r>
        <w:rPr>
          <w:sz w:val="28"/>
          <w:szCs w:val="28"/>
        </w:rPr>
        <w:instrText xml:space="preserve"> PAGEREF _Toc4629 \h </w:instrText>
      </w:r>
      <w:r>
        <w:rPr>
          <w:sz w:val="28"/>
          <w:szCs w:val="28"/>
        </w:rPr>
        <w:fldChar w:fldCharType="separate"/>
      </w:r>
      <w:r>
        <w:rPr>
          <w:sz w:val="28"/>
          <w:szCs w:val="28"/>
        </w:rPr>
        <w:t>33</w:t>
      </w:r>
      <w:r>
        <w:rPr>
          <w:sz w:val="28"/>
          <w:szCs w:val="28"/>
        </w:rPr>
        <w:fldChar w:fldCharType="end"/>
      </w:r>
      <w:r>
        <w:rPr>
          <w:rFonts w:asciiTheme="minorEastAsia" w:hAnsiTheme="minorEastAsia" w:eastAsiaTheme="minorEastAsia"/>
          <w:color w:val="000000"/>
          <w:sz w:val="28"/>
          <w:szCs w:val="28"/>
        </w:rPr>
        <w:fldChar w:fldCharType="end"/>
      </w:r>
    </w:p>
    <w:p w14:paraId="391ADD85">
      <w:pPr>
        <w:pStyle w:val="16"/>
        <w:tabs>
          <w:tab w:val="right" w:leader="dot" w:pos="8958"/>
        </w:tabs>
        <w:rPr>
          <w:sz w:val="28"/>
          <w:szCs w:val="28"/>
        </w:rPr>
      </w:pPr>
      <w:r>
        <w:rPr>
          <w:rFonts w:asciiTheme="minorEastAsia" w:hAnsiTheme="minorEastAsia" w:eastAsiaTheme="minorEastAsia"/>
          <w:color w:val="000000"/>
          <w:sz w:val="28"/>
          <w:szCs w:val="28"/>
        </w:rPr>
        <w:fldChar w:fldCharType="begin"/>
      </w:r>
      <w:r>
        <w:rPr>
          <w:rFonts w:asciiTheme="minorEastAsia" w:hAnsiTheme="minorEastAsia" w:eastAsiaTheme="minorEastAsia"/>
          <w:sz w:val="28"/>
          <w:szCs w:val="28"/>
        </w:rPr>
        <w:instrText xml:space="preserve"> HYPERLINK \l _Toc20430 </w:instrText>
      </w:r>
      <w:r>
        <w:rPr>
          <w:rFonts w:asciiTheme="minorEastAsia" w:hAnsiTheme="minorEastAsia" w:eastAsiaTheme="minorEastAsia"/>
          <w:sz w:val="28"/>
          <w:szCs w:val="28"/>
        </w:rPr>
        <w:fldChar w:fldCharType="separate"/>
      </w:r>
      <w:r>
        <w:rPr>
          <w:rFonts w:hint="eastAsia" w:ascii="黑体" w:hAnsi="黑体" w:eastAsia="黑体"/>
          <w:bCs w:val="0"/>
          <w:sz w:val="28"/>
          <w:szCs w:val="28"/>
        </w:rPr>
        <w:t>第六章  投标文件格式</w:t>
      </w:r>
      <w:r>
        <w:rPr>
          <w:sz w:val="28"/>
          <w:szCs w:val="28"/>
        </w:rPr>
        <w:tab/>
      </w:r>
      <w:r>
        <w:rPr>
          <w:sz w:val="28"/>
          <w:szCs w:val="28"/>
        </w:rPr>
        <w:fldChar w:fldCharType="begin"/>
      </w:r>
      <w:r>
        <w:rPr>
          <w:sz w:val="28"/>
          <w:szCs w:val="28"/>
        </w:rPr>
        <w:instrText xml:space="preserve"> PAGEREF _Toc20430 \h </w:instrText>
      </w:r>
      <w:r>
        <w:rPr>
          <w:sz w:val="28"/>
          <w:szCs w:val="28"/>
        </w:rPr>
        <w:fldChar w:fldCharType="separate"/>
      </w:r>
      <w:r>
        <w:rPr>
          <w:sz w:val="28"/>
          <w:szCs w:val="28"/>
        </w:rPr>
        <w:t>41</w:t>
      </w:r>
      <w:r>
        <w:rPr>
          <w:sz w:val="28"/>
          <w:szCs w:val="28"/>
        </w:rPr>
        <w:fldChar w:fldCharType="end"/>
      </w:r>
      <w:r>
        <w:rPr>
          <w:rFonts w:asciiTheme="minorEastAsia" w:hAnsiTheme="minorEastAsia" w:eastAsiaTheme="minorEastAsia"/>
          <w:color w:val="000000"/>
          <w:sz w:val="28"/>
          <w:szCs w:val="28"/>
        </w:rPr>
        <w:fldChar w:fldCharType="end"/>
      </w:r>
    </w:p>
    <w:p w14:paraId="25E6A5D6">
      <w:pPr>
        <w:pStyle w:val="17"/>
        <w:tabs>
          <w:tab w:val="right" w:leader="dot" w:pos="8958"/>
        </w:tabs>
        <w:rPr>
          <w:sz w:val="28"/>
          <w:szCs w:val="28"/>
        </w:rPr>
      </w:pPr>
      <w:r>
        <w:rPr>
          <w:rFonts w:asciiTheme="minorEastAsia" w:hAnsiTheme="minorEastAsia" w:eastAsiaTheme="minorEastAsia"/>
          <w:color w:val="000000"/>
          <w:sz w:val="28"/>
          <w:szCs w:val="28"/>
        </w:rPr>
        <w:fldChar w:fldCharType="begin"/>
      </w:r>
      <w:r>
        <w:rPr>
          <w:rFonts w:asciiTheme="minorEastAsia" w:hAnsiTheme="minorEastAsia" w:eastAsiaTheme="minorEastAsia"/>
          <w:sz w:val="28"/>
          <w:szCs w:val="28"/>
        </w:rPr>
        <w:instrText xml:space="preserve"> HYPERLINK \l _Toc11732 </w:instrText>
      </w:r>
      <w:r>
        <w:rPr>
          <w:rFonts w:asciiTheme="minorEastAsia" w:hAnsiTheme="minorEastAsia" w:eastAsiaTheme="minorEastAsia"/>
          <w:sz w:val="28"/>
          <w:szCs w:val="28"/>
        </w:rPr>
        <w:fldChar w:fldCharType="separate"/>
      </w:r>
      <w:r>
        <w:rPr>
          <w:rFonts w:hint="eastAsia"/>
          <w:sz w:val="28"/>
          <w:szCs w:val="28"/>
        </w:rPr>
        <w:t>一、投标函及投标函附录</w:t>
      </w:r>
      <w:r>
        <w:rPr>
          <w:sz w:val="28"/>
          <w:szCs w:val="28"/>
        </w:rPr>
        <w:tab/>
      </w:r>
      <w:r>
        <w:rPr>
          <w:sz w:val="28"/>
          <w:szCs w:val="28"/>
        </w:rPr>
        <w:fldChar w:fldCharType="begin"/>
      </w:r>
      <w:r>
        <w:rPr>
          <w:sz w:val="28"/>
          <w:szCs w:val="28"/>
        </w:rPr>
        <w:instrText xml:space="preserve"> PAGEREF _Toc11732 \h </w:instrText>
      </w:r>
      <w:r>
        <w:rPr>
          <w:sz w:val="28"/>
          <w:szCs w:val="28"/>
        </w:rPr>
        <w:fldChar w:fldCharType="separate"/>
      </w:r>
      <w:r>
        <w:rPr>
          <w:sz w:val="28"/>
          <w:szCs w:val="28"/>
        </w:rPr>
        <w:t>44</w:t>
      </w:r>
      <w:r>
        <w:rPr>
          <w:sz w:val="28"/>
          <w:szCs w:val="28"/>
        </w:rPr>
        <w:fldChar w:fldCharType="end"/>
      </w:r>
      <w:r>
        <w:rPr>
          <w:rFonts w:asciiTheme="minorEastAsia" w:hAnsiTheme="minorEastAsia" w:eastAsiaTheme="minorEastAsia"/>
          <w:color w:val="000000"/>
          <w:sz w:val="28"/>
          <w:szCs w:val="28"/>
        </w:rPr>
        <w:fldChar w:fldCharType="end"/>
      </w:r>
    </w:p>
    <w:p w14:paraId="533CD342">
      <w:pPr>
        <w:pStyle w:val="17"/>
        <w:tabs>
          <w:tab w:val="right" w:leader="dot" w:pos="8958"/>
        </w:tabs>
        <w:rPr>
          <w:sz w:val="28"/>
          <w:szCs w:val="28"/>
        </w:rPr>
      </w:pPr>
      <w:r>
        <w:rPr>
          <w:rFonts w:asciiTheme="minorEastAsia" w:hAnsiTheme="minorEastAsia" w:eastAsiaTheme="minorEastAsia"/>
          <w:color w:val="000000"/>
          <w:sz w:val="28"/>
          <w:szCs w:val="28"/>
        </w:rPr>
        <w:fldChar w:fldCharType="begin"/>
      </w:r>
      <w:r>
        <w:rPr>
          <w:rFonts w:asciiTheme="minorEastAsia" w:hAnsiTheme="minorEastAsia" w:eastAsiaTheme="minorEastAsia"/>
          <w:sz w:val="28"/>
          <w:szCs w:val="28"/>
        </w:rPr>
        <w:instrText xml:space="preserve"> HYPERLINK \l _Toc30427 </w:instrText>
      </w:r>
      <w:r>
        <w:rPr>
          <w:rFonts w:asciiTheme="minorEastAsia" w:hAnsiTheme="minorEastAsia" w:eastAsiaTheme="minorEastAsia"/>
          <w:sz w:val="28"/>
          <w:szCs w:val="28"/>
        </w:rPr>
        <w:fldChar w:fldCharType="separate"/>
      </w:r>
      <w:r>
        <w:rPr>
          <w:rFonts w:hint="eastAsia"/>
          <w:sz w:val="28"/>
          <w:szCs w:val="28"/>
        </w:rPr>
        <w:t>二</w:t>
      </w:r>
      <w:r>
        <w:rPr>
          <w:sz w:val="28"/>
          <w:szCs w:val="28"/>
        </w:rPr>
        <w:t>、</w:t>
      </w:r>
      <w:r>
        <w:rPr>
          <w:rFonts w:hint="eastAsia"/>
          <w:sz w:val="28"/>
          <w:szCs w:val="28"/>
        </w:rPr>
        <w:t>法定代表人身份证明</w:t>
      </w:r>
      <w:r>
        <w:rPr>
          <w:sz w:val="28"/>
          <w:szCs w:val="28"/>
        </w:rPr>
        <w:tab/>
      </w:r>
      <w:r>
        <w:rPr>
          <w:sz w:val="28"/>
          <w:szCs w:val="28"/>
        </w:rPr>
        <w:fldChar w:fldCharType="begin"/>
      </w:r>
      <w:r>
        <w:rPr>
          <w:sz w:val="28"/>
          <w:szCs w:val="28"/>
        </w:rPr>
        <w:instrText xml:space="preserve"> PAGEREF _Toc30427 \h </w:instrText>
      </w:r>
      <w:r>
        <w:rPr>
          <w:sz w:val="28"/>
          <w:szCs w:val="28"/>
        </w:rPr>
        <w:fldChar w:fldCharType="separate"/>
      </w:r>
      <w:r>
        <w:rPr>
          <w:sz w:val="28"/>
          <w:szCs w:val="28"/>
        </w:rPr>
        <w:t>47</w:t>
      </w:r>
      <w:r>
        <w:rPr>
          <w:sz w:val="28"/>
          <w:szCs w:val="28"/>
        </w:rPr>
        <w:fldChar w:fldCharType="end"/>
      </w:r>
      <w:r>
        <w:rPr>
          <w:rFonts w:asciiTheme="minorEastAsia" w:hAnsiTheme="minorEastAsia" w:eastAsiaTheme="minorEastAsia"/>
          <w:color w:val="000000"/>
          <w:sz w:val="28"/>
          <w:szCs w:val="28"/>
        </w:rPr>
        <w:fldChar w:fldCharType="end"/>
      </w:r>
    </w:p>
    <w:p w14:paraId="0ED1BF57">
      <w:pPr>
        <w:pStyle w:val="17"/>
        <w:tabs>
          <w:tab w:val="right" w:leader="dot" w:pos="8958"/>
        </w:tabs>
        <w:rPr>
          <w:sz w:val="28"/>
          <w:szCs w:val="28"/>
        </w:rPr>
      </w:pPr>
      <w:r>
        <w:rPr>
          <w:rFonts w:asciiTheme="minorEastAsia" w:hAnsiTheme="minorEastAsia" w:eastAsiaTheme="minorEastAsia"/>
          <w:color w:val="000000"/>
          <w:sz w:val="28"/>
          <w:szCs w:val="28"/>
        </w:rPr>
        <w:fldChar w:fldCharType="begin"/>
      </w:r>
      <w:r>
        <w:rPr>
          <w:rFonts w:asciiTheme="minorEastAsia" w:hAnsiTheme="minorEastAsia" w:eastAsiaTheme="minorEastAsia"/>
          <w:sz w:val="28"/>
          <w:szCs w:val="28"/>
        </w:rPr>
        <w:instrText xml:space="preserve"> HYPERLINK \l _Toc14445 </w:instrText>
      </w:r>
      <w:r>
        <w:rPr>
          <w:rFonts w:asciiTheme="minorEastAsia" w:hAnsiTheme="minorEastAsia" w:eastAsiaTheme="minorEastAsia"/>
          <w:sz w:val="28"/>
          <w:szCs w:val="28"/>
        </w:rPr>
        <w:fldChar w:fldCharType="separate"/>
      </w:r>
      <w:r>
        <w:rPr>
          <w:rFonts w:hint="eastAsia"/>
          <w:sz w:val="28"/>
          <w:szCs w:val="28"/>
        </w:rPr>
        <w:t>三、法定代表人授权委托书</w:t>
      </w:r>
      <w:r>
        <w:rPr>
          <w:sz w:val="28"/>
          <w:szCs w:val="28"/>
        </w:rPr>
        <w:tab/>
      </w:r>
      <w:r>
        <w:rPr>
          <w:sz w:val="28"/>
          <w:szCs w:val="28"/>
        </w:rPr>
        <w:fldChar w:fldCharType="begin"/>
      </w:r>
      <w:r>
        <w:rPr>
          <w:sz w:val="28"/>
          <w:szCs w:val="28"/>
        </w:rPr>
        <w:instrText xml:space="preserve"> PAGEREF _Toc14445 \h </w:instrText>
      </w:r>
      <w:r>
        <w:rPr>
          <w:sz w:val="28"/>
          <w:szCs w:val="28"/>
        </w:rPr>
        <w:fldChar w:fldCharType="separate"/>
      </w:r>
      <w:r>
        <w:rPr>
          <w:sz w:val="28"/>
          <w:szCs w:val="28"/>
        </w:rPr>
        <w:t>48</w:t>
      </w:r>
      <w:r>
        <w:rPr>
          <w:sz w:val="28"/>
          <w:szCs w:val="28"/>
        </w:rPr>
        <w:fldChar w:fldCharType="end"/>
      </w:r>
      <w:r>
        <w:rPr>
          <w:rFonts w:asciiTheme="minorEastAsia" w:hAnsiTheme="minorEastAsia" w:eastAsiaTheme="minorEastAsia"/>
          <w:color w:val="000000"/>
          <w:sz w:val="28"/>
          <w:szCs w:val="28"/>
        </w:rPr>
        <w:fldChar w:fldCharType="end"/>
      </w:r>
    </w:p>
    <w:p w14:paraId="28FC96D8">
      <w:pPr>
        <w:pStyle w:val="17"/>
        <w:tabs>
          <w:tab w:val="right" w:leader="dot" w:pos="8958"/>
        </w:tabs>
        <w:rPr>
          <w:sz w:val="28"/>
          <w:szCs w:val="28"/>
        </w:rPr>
      </w:pPr>
      <w:r>
        <w:rPr>
          <w:rFonts w:asciiTheme="minorEastAsia" w:hAnsiTheme="minorEastAsia" w:eastAsiaTheme="minorEastAsia"/>
          <w:color w:val="000000"/>
          <w:sz w:val="28"/>
          <w:szCs w:val="28"/>
        </w:rPr>
        <w:fldChar w:fldCharType="begin"/>
      </w:r>
      <w:r>
        <w:rPr>
          <w:rFonts w:asciiTheme="minorEastAsia" w:hAnsiTheme="minorEastAsia" w:eastAsiaTheme="minorEastAsia"/>
          <w:sz w:val="28"/>
          <w:szCs w:val="28"/>
        </w:rPr>
        <w:instrText xml:space="preserve"> HYPERLINK \l _Toc3061 </w:instrText>
      </w:r>
      <w:r>
        <w:rPr>
          <w:rFonts w:asciiTheme="minorEastAsia" w:hAnsiTheme="minorEastAsia" w:eastAsiaTheme="minorEastAsia"/>
          <w:sz w:val="28"/>
          <w:szCs w:val="28"/>
        </w:rPr>
        <w:fldChar w:fldCharType="separate"/>
      </w:r>
      <w:r>
        <w:rPr>
          <w:rFonts w:hint="eastAsia"/>
          <w:sz w:val="28"/>
          <w:szCs w:val="28"/>
        </w:rPr>
        <w:t>四、资格审查资料</w:t>
      </w:r>
      <w:r>
        <w:rPr>
          <w:sz w:val="28"/>
          <w:szCs w:val="28"/>
        </w:rPr>
        <w:tab/>
      </w:r>
      <w:r>
        <w:rPr>
          <w:sz w:val="28"/>
          <w:szCs w:val="28"/>
        </w:rPr>
        <w:fldChar w:fldCharType="begin"/>
      </w:r>
      <w:r>
        <w:rPr>
          <w:sz w:val="28"/>
          <w:szCs w:val="28"/>
        </w:rPr>
        <w:instrText xml:space="preserve"> PAGEREF _Toc3061 \h </w:instrText>
      </w:r>
      <w:r>
        <w:rPr>
          <w:sz w:val="28"/>
          <w:szCs w:val="28"/>
        </w:rPr>
        <w:fldChar w:fldCharType="separate"/>
      </w:r>
      <w:r>
        <w:rPr>
          <w:sz w:val="28"/>
          <w:szCs w:val="28"/>
        </w:rPr>
        <w:t>49</w:t>
      </w:r>
      <w:r>
        <w:rPr>
          <w:sz w:val="28"/>
          <w:szCs w:val="28"/>
        </w:rPr>
        <w:fldChar w:fldCharType="end"/>
      </w:r>
      <w:r>
        <w:rPr>
          <w:rFonts w:asciiTheme="minorEastAsia" w:hAnsiTheme="minorEastAsia" w:eastAsiaTheme="minorEastAsia"/>
          <w:color w:val="000000"/>
          <w:sz w:val="28"/>
          <w:szCs w:val="28"/>
        </w:rPr>
        <w:fldChar w:fldCharType="end"/>
      </w:r>
    </w:p>
    <w:p w14:paraId="2C7AFD90">
      <w:pPr>
        <w:pStyle w:val="17"/>
        <w:tabs>
          <w:tab w:val="right" w:leader="dot" w:pos="8958"/>
        </w:tabs>
        <w:rPr>
          <w:sz w:val="28"/>
          <w:szCs w:val="28"/>
        </w:rPr>
      </w:pPr>
      <w:r>
        <w:rPr>
          <w:rFonts w:asciiTheme="minorEastAsia" w:hAnsiTheme="minorEastAsia" w:eastAsiaTheme="minorEastAsia"/>
          <w:color w:val="000000"/>
          <w:sz w:val="28"/>
          <w:szCs w:val="28"/>
        </w:rPr>
        <w:fldChar w:fldCharType="begin"/>
      </w:r>
      <w:r>
        <w:rPr>
          <w:rFonts w:asciiTheme="minorEastAsia" w:hAnsiTheme="minorEastAsia" w:eastAsiaTheme="minorEastAsia"/>
          <w:sz w:val="28"/>
          <w:szCs w:val="28"/>
        </w:rPr>
        <w:instrText xml:space="preserve"> HYPERLINK \l _Toc15891 </w:instrText>
      </w:r>
      <w:r>
        <w:rPr>
          <w:rFonts w:asciiTheme="minorEastAsia" w:hAnsiTheme="minorEastAsia" w:eastAsiaTheme="minorEastAsia"/>
          <w:sz w:val="28"/>
          <w:szCs w:val="28"/>
        </w:rPr>
        <w:fldChar w:fldCharType="separate"/>
      </w:r>
      <w:r>
        <w:rPr>
          <w:rFonts w:hint="eastAsia"/>
          <w:sz w:val="28"/>
          <w:szCs w:val="28"/>
        </w:rPr>
        <w:t>五、技术部分</w:t>
      </w:r>
      <w:r>
        <w:rPr>
          <w:sz w:val="28"/>
          <w:szCs w:val="28"/>
        </w:rPr>
        <w:tab/>
      </w:r>
      <w:r>
        <w:rPr>
          <w:sz w:val="28"/>
          <w:szCs w:val="28"/>
        </w:rPr>
        <w:fldChar w:fldCharType="begin"/>
      </w:r>
      <w:r>
        <w:rPr>
          <w:sz w:val="28"/>
          <w:szCs w:val="28"/>
        </w:rPr>
        <w:instrText xml:space="preserve"> PAGEREF _Toc15891 \h </w:instrText>
      </w:r>
      <w:r>
        <w:rPr>
          <w:sz w:val="28"/>
          <w:szCs w:val="28"/>
        </w:rPr>
        <w:fldChar w:fldCharType="separate"/>
      </w:r>
      <w:r>
        <w:rPr>
          <w:sz w:val="28"/>
          <w:szCs w:val="28"/>
        </w:rPr>
        <w:t>56</w:t>
      </w:r>
      <w:r>
        <w:rPr>
          <w:sz w:val="28"/>
          <w:szCs w:val="28"/>
        </w:rPr>
        <w:fldChar w:fldCharType="end"/>
      </w:r>
      <w:r>
        <w:rPr>
          <w:rFonts w:asciiTheme="minorEastAsia" w:hAnsiTheme="minorEastAsia" w:eastAsiaTheme="minorEastAsia"/>
          <w:color w:val="000000"/>
          <w:sz w:val="28"/>
          <w:szCs w:val="28"/>
        </w:rPr>
        <w:fldChar w:fldCharType="end"/>
      </w:r>
    </w:p>
    <w:p w14:paraId="4DA80CA1">
      <w:pPr>
        <w:pStyle w:val="17"/>
        <w:tabs>
          <w:tab w:val="right" w:leader="dot" w:pos="8958"/>
        </w:tabs>
        <w:rPr>
          <w:sz w:val="28"/>
          <w:szCs w:val="28"/>
        </w:rPr>
      </w:pPr>
      <w:r>
        <w:rPr>
          <w:rFonts w:asciiTheme="minorEastAsia" w:hAnsiTheme="minorEastAsia" w:eastAsiaTheme="minorEastAsia"/>
          <w:color w:val="000000"/>
          <w:sz w:val="28"/>
          <w:szCs w:val="28"/>
        </w:rPr>
        <w:fldChar w:fldCharType="begin"/>
      </w:r>
      <w:r>
        <w:rPr>
          <w:rFonts w:asciiTheme="minorEastAsia" w:hAnsiTheme="minorEastAsia" w:eastAsiaTheme="minorEastAsia"/>
          <w:sz w:val="28"/>
          <w:szCs w:val="28"/>
        </w:rPr>
        <w:instrText xml:space="preserve"> HYPERLINK \l _Toc332 </w:instrText>
      </w:r>
      <w:r>
        <w:rPr>
          <w:rFonts w:asciiTheme="minorEastAsia" w:hAnsiTheme="minorEastAsia" w:eastAsiaTheme="minorEastAsia"/>
          <w:sz w:val="28"/>
          <w:szCs w:val="28"/>
        </w:rPr>
        <w:fldChar w:fldCharType="separate"/>
      </w:r>
      <w:r>
        <w:rPr>
          <w:rFonts w:hint="eastAsia"/>
          <w:sz w:val="28"/>
          <w:szCs w:val="28"/>
        </w:rPr>
        <w:t>六、商务部分</w:t>
      </w:r>
      <w:r>
        <w:rPr>
          <w:sz w:val="28"/>
          <w:szCs w:val="28"/>
        </w:rPr>
        <w:tab/>
      </w:r>
      <w:r>
        <w:rPr>
          <w:sz w:val="28"/>
          <w:szCs w:val="28"/>
        </w:rPr>
        <w:fldChar w:fldCharType="begin"/>
      </w:r>
      <w:r>
        <w:rPr>
          <w:sz w:val="28"/>
          <w:szCs w:val="28"/>
        </w:rPr>
        <w:instrText xml:space="preserve"> PAGEREF _Toc332 \h </w:instrText>
      </w:r>
      <w:r>
        <w:rPr>
          <w:sz w:val="28"/>
          <w:szCs w:val="28"/>
        </w:rPr>
        <w:fldChar w:fldCharType="separate"/>
      </w:r>
      <w:r>
        <w:rPr>
          <w:sz w:val="28"/>
          <w:szCs w:val="28"/>
        </w:rPr>
        <w:t>58</w:t>
      </w:r>
      <w:r>
        <w:rPr>
          <w:sz w:val="28"/>
          <w:szCs w:val="28"/>
        </w:rPr>
        <w:fldChar w:fldCharType="end"/>
      </w:r>
      <w:r>
        <w:rPr>
          <w:rFonts w:asciiTheme="minorEastAsia" w:hAnsiTheme="minorEastAsia" w:eastAsiaTheme="minorEastAsia"/>
          <w:color w:val="000000"/>
          <w:sz w:val="28"/>
          <w:szCs w:val="28"/>
        </w:rPr>
        <w:fldChar w:fldCharType="end"/>
      </w:r>
    </w:p>
    <w:p w14:paraId="1BF12435">
      <w:pPr>
        <w:pStyle w:val="17"/>
        <w:tabs>
          <w:tab w:val="right" w:leader="dot" w:pos="8958"/>
        </w:tabs>
      </w:pPr>
      <w:r>
        <w:rPr>
          <w:rFonts w:asciiTheme="minorEastAsia" w:hAnsiTheme="minorEastAsia" w:eastAsiaTheme="minorEastAsia"/>
          <w:color w:val="000000"/>
          <w:sz w:val="28"/>
          <w:szCs w:val="28"/>
        </w:rPr>
        <w:fldChar w:fldCharType="begin"/>
      </w:r>
      <w:r>
        <w:rPr>
          <w:rFonts w:asciiTheme="minorEastAsia" w:hAnsiTheme="minorEastAsia" w:eastAsiaTheme="minorEastAsia"/>
          <w:sz w:val="28"/>
          <w:szCs w:val="28"/>
        </w:rPr>
        <w:instrText xml:space="preserve"> HYPERLINK \l _Toc19413 </w:instrText>
      </w:r>
      <w:r>
        <w:rPr>
          <w:rFonts w:asciiTheme="minorEastAsia" w:hAnsiTheme="minorEastAsia" w:eastAsiaTheme="minorEastAsia"/>
          <w:sz w:val="28"/>
          <w:szCs w:val="28"/>
        </w:rPr>
        <w:fldChar w:fldCharType="separate"/>
      </w:r>
      <w:r>
        <w:rPr>
          <w:rFonts w:hint="eastAsia"/>
          <w:sz w:val="28"/>
          <w:szCs w:val="28"/>
        </w:rPr>
        <w:t>七、其他材料</w:t>
      </w:r>
      <w:r>
        <w:rPr>
          <w:sz w:val="28"/>
          <w:szCs w:val="28"/>
        </w:rPr>
        <w:tab/>
      </w:r>
      <w:r>
        <w:rPr>
          <w:sz w:val="28"/>
          <w:szCs w:val="28"/>
        </w:rPr>
        <w:fldChar w:fldCharType="begin"/>
      </w:r>
      <w:r>
        <w:rPr>
          <w:sz w:val="28"/>
          <w:szCs w:val="28"/>
        </w:rPr>
        <w:instrText xml:space="preserve"> PAGEREF _Toc19413 \h </w:instrText>
      </w:r>
      <w:r>
        <w:rPr>
          <w:sz w:val="28"/>
          <w:szCs w:val="28"/>
        </w:rPr>
        <w:fldChar w:fldCharType="separate"/>
      </w:r>
      <w:r>
        <w:rPr>
          <w:sz w:val="28"/>
          <w:szCs w:val="28"/>
        </w:rPr>
        <w:t>59</w:t>
      </w:r>
      <w:r>
        <w:rPr>
          <w:sz w:val="28"/>
          <w:szCs w:val="28"/>
        </w:rPr>
        <w:fldChar w:fldCharType="end"/>
      </w:r>
      <w:r>
        <w:rPr>
          <w:rFonts w:asciiTheme="minorEastAsia" w:hAnsiTheme="minorEastAsia" w:eastAsiaTheme="minorEastAsia"/>
          <w:color w:val="000000"/>
          <w:sz w:val="28"/>
          <w:szCs w:val="28"/>
        </w:rPr>
        <w:fldChar w:fldCharType="end"/>
      </w:r>
    </w:p>
    <w:p w14:paraId="6598C2FC">
      <w:pPr>
        <w:pStyle w:val="22"/>
        <w:ind w:firstLine="0" w:firstLineChars="0"/>
        <w:rPr>
          <w:rFonts w:ascii="宋体" w:hAnsi="宋体"/>
          <w:color w:val="000000"/>
          <w:sz w:val="28"/>
          <w:szCs w:val="28"/>
        </w:rPr>
        <w:sectPr>
          <w:headerReference r:id="rId4" w:type="default"/>
          <w:pgSz w:w="11906" w:h="16838"/>
          <w:pgMar w:top="1417" w:right="1474" w:bottom="1417" w:left="1474" w:header="720" w:footer="720" w:gutter="0"/>
          <w:pgNumType w:fmt="upperRoman" w:start="1"/>
          <w:cols w:space="720" w:num="1"/>
          <w:docGrid w:type="lines" w:linePitch="312" w:charSpace="0"/>
        </w:sectPr>
      </w:pPr>
      <w:r>
        <w:rPr>
          <w:rFonts w:asciiTheme="minorEastAsia" w:hAnsiTheme="minorEastAsia" w:eastAsiaTheme="minorEastAsia"/>
          <w:color w:val="000000"/>
          <w:szCs w:val="28"/>
        </w:rPr>
        <w:fldChar w:fldCharType="end"/>
      </w:r>
    </w:p>
    <w:p w14:paraId="499E0E14">
      <w:pPr>
        <w:pStyle w:val="2"/>
        <w:jc w:val="center"/>
        <w:rPr>
          <w:rFonts w:ascii="黑体" w:hAnsi="黑体" w:eastAsia="黑体"/>
        </w:rPr>
      </w:pPr>
      <w:bookmarkStart w:id="5" w:name="_Toc708"/>
      <w:bookmarkEnd w:id="5"/>
      <w:bookmarkStart w:id="6" w:name="_Toc27189"/>
      <w:r>
        <w:rPr>
          <w:rStyle w:val="58"/>
          <w:rFonts w:hint="eastAsia" w:ascii="黑体" w:hAnsi="黑体" w:eastAsia="黑体"/>
          <w:b w:val="0"/>
          <w:bCs w:val="0"/>
        </w:rPr>
        <w:t>第一章  招标公告</w:t>
      </w:r>
      <w:bookmarkEnd w:id="6"/>
    </w:p>
    <w:p w14:paraId="6D7EECA4">
      <w:pPr>
        <w:spacing w:line="520" w:lineRule="exact"/>
        <w:jc w:val="center"/>
        <w:rPr>
          <w:rFonts w:hint="default" w:ascii="宋体" w:hAnsi="宋体" w:eastAsia="宋体"/>
          <w:sz w:val="36"/>
          <w:szCs w:val="36"/>
          <w:lang w:val="en-US" w:eastAsia="zh-CN"/>
        </w:rPr>
      </w:pPr>
      <w:bookmarkStart w:id="7" w:name="_Toc31021"/>
      <w:bookmarkEnd w:id="7"/>
      <w:bookmarkStart w:id="8" w:name="_Toc4520"/>
      <w:bookmarkEnd w:id="8"/>
      <w:bookmarkStart w:id="9" w:name="_Toc22105"/>
      <w:bookmarkEnd w:id="9"/>
      <w:bookmarkStart w:id="10" w:name="_Toc271554737"/>
      <w:bookmarkEnd w:id="10"/>
      <w:bookmarkStart w:id="11" w:name="_Toc24786"/>
      <w:bookmarkEnd w:id="11"/>
      <w:r>
        <w:rPr>
          <w:rFonts w:hint="eastAsia" w:ascii="宋体" w:hAnsi="宋体"/>
          <w:sz w:val="36"/>
          <w:szCs w:val="36"/>
        </w:rPr>
        <w:t>杞县</w:t>
      </w:r>
      <w:r>
        <w:rPr>
          <w:rFonts w:hint="eastAsia" w:ascii="宋体" w:hAnsi="宋体"/>
          <w:sz w:val="36"/>
          <w:szCs w:val="36"/>
          <w:lang w:val="en-US" w:eastAsia="zh-CN"/>
        </w:rPr>
        <w:t>教育体育局设备采购项目</w:t>
      </w:r>
    </w:p>
    <w:p w14:paraId="666DEA52">
      <w:pPr>
        <w:spacing w:line="520" w:lineRule="exact"/>
        <w:jc w:val="center"/>
        <w:rPr>
          <w:rFonts w:ascii="宋体" w:hAnsi="宋体"/>
          <w:sz w:val="36"/>
          <w:szCs w:val="36"/>
        </w:rPr>
      </w:pPr>
      <w:r>
        <w:rPr>
          <w:rFonts w:hint="eastAsia" w:ascii="宋体" w:hAnsi="宋体"/>
          <w:sz w:val="36"/>
          <w:szCs w:val="36"/>
          <w:lang w:val="en-US" w:eastAsia="zh-CN"/>
        </w:rPr>
        <w:t>四</w:t>
      </w:r>
      <w:r>
        <w:rPr>
          <w:rFonts w:hint="eastAsia" w:ascii="宋体" w:hAnsi="宋体"/>
          <w:sz w:val="36"/>
          <w:szCs w:val="36"/>
        </w:rPr>
        <w:t>标段招标公告</w:t>
      </w:r>
    </w:p>
    <w:p w14:paraId="5ABA64FD">
      <w:pPr>
        <w:spacing w:line="500" w:lineRule="exact"/>
        <w:ind w:firstLine="560" w:firstLineChars="200"/>
        <w:rPr>
          <w:rFonts w:ascii="宋体" w:hAnsi="宋体"/>
          <w:sz w:val="28"/>
          <w:szCs w:val="28"/>
        </w:rPr>
      </w:pPr>
    </w:p>
    <w:p w14:paraId="2502A164">
      <w:pPr>
        <w:spacing w:line="520" w:lineRule="exact"/>
        <w:ind w:firstLine="560" w:firstLineChars="200"/>
        <w:rPr>
          <w:rFonts w:ascii="宋体" w:hAnsi="宋体"/>
          <w:sz w:val="28"/>
          <w:szCs w:val="28"/>
        </w:rPr>
      </w:pPr>
      <w:r>
        <w:rPr>
          <w:rFonts w:hint="eastAsia" w:ascii="宋体" w:hAnsi="宋体"/>
          <w:sz w:val="28"/>
          <w:szCs w:val="28"/>
        </w:rPr>
        <w:t>杞县公共资源交易服务所受</w:t>
      </w:r>
      <w:r>
        <w:rPr>
          <w:rFonts w:hint="eastAsia" w:ascii="宋体" w:hAnsi="宋体" w:cs="宋体"/>
          <w:sz w:val="28"/>
          <w:szCs w:val="28"/>
        </w:rPr>
        <w:t>杞县教育体育局</w:t>
      </w:r>
      <w:r>
        <w:rPr>
          <w:rFonts w:hint="eastAsia" w:ascii="宋体" w:hAnsi="宋体"/>
          <w:sz w:val="28"/>
          <w:szCs w:val="28"/>
        </w:rPr>
        <w:t>的委托，就杞</w:t>
      </w:r>
      <w:bookmarkStart w:id="601" w:name="_GoBack"/>
      <w:bookmarkEnd w:id="601"/>
      <w:r>
        <w:rPr>
          <w:rFonts w:hint="eastAsia" w:ascii="宋体" w:hAnsi="宋体"/>
          <w:sz w:val="28"/>
          <w:szCs w:val="28"/>
        </w:rPr>
        <w:t>县教育体育局设备采购项目进行公开招标</w:t>
      </w:r>
      <w:r>
        <w:rPr>
          <w:rFonts w:ascii="宋体" w:hAnsi="宋体"/>
          <w:sz w:val="28"/>
          <w:szCs w:val="28"/>
        </w:rPr>
        <w:t xml:space="preserve">, </w:t>
      </w:r>
      <w:r>
        <w:rPr>
          <w:rFonts w:hint="eastAsia" w:ascii="宋体" w:hAnsi="宋体"/>
          <w:sz w:val="28"/>
          <w:szCs w:val="28"/>
        </w:rPr>
        <w:t>欢迎国内符合相关条件的合格供应商报名参加，现将相关事宜公告如下：</w:t>
      </w:r>
    </w:p>
    <w:p w14:paraId="34C9B23C">
      <w:pPr>
        <w:spacing w:line="520" w:lineRule="exact"/>
        <w:ind w:firstLine="560" w:firstLineChars="200"/>
        <w:rPr>
          <w:rFonts w:ascii="宋体" w:hAnsi="宋体"/>
          <w:sz w:val="28"/>
          <w:szCs w:val="28"/>
        </w:rPr>
      </w:pPr>
      <w:r>
        <w:rPr>
          <w:rFonts w:hint="eastAsia" w:ascii="宋体" w:hAnsi="宋体"/>
          <w:sz w:val="28"/>
          <w:szCs w:val="28"/>
        </w:rPr>
        <w:t>一、项目名称及编号：</w:t>
      </w:r>
    </w:p>
    <w:p w14:paraId="2993DF50">
      <w:pPr>
        <w:spacing w:line="52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、项目名称：杞县教育体育局设备采购项目</w:t>
      </w:r>
    </w:p>
    <w:p w14:paraId="301A8C77">
      <w:pPr>
        <w:spacing w:line="520" w:lineRule="exact"/>
        <w:ind w:firstLine="560" w:firstLineChars="200"/>
        <w:rPr>
          <w:rFonts w:hint="default" w:ascii="宋体" w:hAnsi="宋体" w:eastAsia="宋体"/>
          <w:color w:val="FF0000"/>
          <w:sz w:val="28"/>
          <w:szCs w:val="28"/>
          <w:lang w:val="en-US" w:eastAsia="zh-CN"/>
        </w:rPr>
      </w:pPr>
      <w:r>
        <w:rPr>
          <w:rFonts w:ascii="宋体" w:hAnsi="宋体"/>
          <w:sz w:val="28"/>
          <w:szCs w:val="28"/>
        </w:rPr>
        <w:t>2</w:t>
      </w:r>
      <w:r>
        <w:rPr>
          <w:rFonts w:hint="eastAsia" w:ascii="宋体" w:hAnsi="宋体"/>
          <w:sz w:val="28"/>
          <w:szCs w:val="28"/>
        </w:rPr>
        <w:t>、项目编号：</w:t>
      </w:r>
      <w:r>
        <w:rPr>
          <w:rFonts w:hint="eastAsia" w:ascii="宋体" w:hAnsi="宋体"/>
          <w:color w:val="auto"/>
          <w:sz w:val="28"/>
          <w:szCs w:val="28"/>
        </w:rPr>
        <w:t>汴杞财招标采购-2025-</w:t>
      </w:r>
      <w:r>
        <w:rPr>
          <w:rFonts w:hint="eastAsia" w:ascii="宋体" w:hAnsi="宋体"/>
          <w:color w:val="auto"/>
          <w:sz w:val="28"/>
          <w:szCs w:val="28"/>
          <w:lang w:val="en-US" w:eastAsia="zh-CN"/>
        </w:rPr>
        <w:t>29</w:t>
      </w:r>
    </w:p>
    <w:p w14:paraId="3DA7DCEB">
      <w:pPr>
        <w:spacing w:line="520" w:lineRule="exact"/>
        <w:ind w:firstLine="560" w:firstLineChars="200"/>
        <w:rPr>
          <w:rFonts w:ascii="宋体" w:hAnsi="宋体"/>
          <w:sz w:val="28"/>
          <w:szCs w:val="28"/>
        </w:rPr>
      </w:pPr>
      <w:r>
        <w:rPr>
          <w:rFonts w:hint="eastAsia" w:ascii="宋体" w:hAnsi="宋体"/>
          <w:sz w:val="28"/>
          <w:szCs w:val="28"/>
        </w:rPr>
        <w:t>二、项目简要说明：</w:t>
      </w:r>
    </w:p>
    <w:p w14:paraId="3C17A78F">
      <w:pPr>
        <w:spacing w:line="520" w:lineRule="exact"/>
        <w:ind w:firstLine="560" w:firstLineChars="200"/>
        <w:rPr>
          <w:rFonts w:ascii="宋体" w:hAnsi="宋体"/>
          <w:sz w:val="28"/>
          <w:szCs w:val="28"/>
        </w:rPr>
      </w:pPr>
      <w:r>
        <w:rPr>
          <w:rFonts w:hint="eastAsia" w:ascii="宋体" w:hAnsi="宋体"/>
          <w:sz w:val="28"/>
          <w:szCs w:val="28"/>
        </w:rPr>
        <w:t>1、资金来源：财政资金</w:t>
      </w:r>
    </w:p>
    <w:p w14:paraId="47F765BC">
      <w:pPr>
        <w:spacing w:line="520" w:lineRule="exact"/>
        <w:ind w:firstLine="560" w:firstLineChars="200"/>
        <w:rPr>
          <w:rFonts w:ascii="宋体" w:hAnsi="宋体"/>
          <w:sz w:val="28"/>
          <w:szCs w:val="28"/>
        </w:rPr>
      </w:pPr>
      <w:r>
        <w:rPr>
          <w:rFonts w:hint="eastAsia" w:ascii="宋体" w:hAnsi="宋体"/>
          <w:sz w:val="28"/>
          <w:szCs w:val="28"/>
        </w:rPr>
        <w:t>2、项目金额：</w:t>
      </w:r>
      <w:r>
        <w:rPr>
          <w:rFonts w:hint="eastAsia" w:ascii="宋体" w:hAnsi="宋体"/>
          <w:sz w:val="28"/>
          <w:szCs w:val="28"/>
          <w:lang w:val="en-US" w:eastAsia="zh-CN"/>
        </w:rPr>
        <w:t>244.124063</w:t>
      </w:r>
      <w:r>
        <w:rPr>
          <w:rFonts w:hint="eastAsia" w:ascii="宋体" w:hAnsi="宋体"/>
          <w:sz w:val="28"/>
          <w:szCs w:val="28"/>
        </w:rPr>
        <w:t>万元</w:t>
      </w:r>
    </w:p>
    <w:p w14:paraId="2F7730D6">
      <w:pPr>
        <w:spacing w:line="52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、质量要求：合格</w:t>
      </w:r>
    </w:p>
    <w:p w14:paraId="33CFCB03">
      <w:pPr>
        <w:spacing w:line="520" w:lineRule="exact"/>
        <w:ind w:firstLine="560" w:firstLineChars="200"/>
        <w:rPr>
          <w:rFonts w:ascii="宋体" w:hAnsi="宋体"/>
          <w:sz w:val="28"/>
          <w:szCs w:val="28"/>
        </w:rPr>
      </w:pPr>
      <w:r>
        <w:rPr>
          <w:rFonts w:ascii="宋体" w:hAnsi="宋体"/>
          <w:sz w:val="28"/>
          <w:szCs w:val="28"/>
        </w:rPr>
        <w:t>4</w:t>
      </w:r>
      <w:r>
        <w:rPr>
          <w:rFonts w:hint="eastAsia" w:ascii="宋体" w:hAnsi="宋体"/>
          <w:sz w:val="28"/>
          <w:szCs w:val="28"/>
        </w:rPr>
        <w:t>、项目地点：杞县境内</w:t>
      </w:r>
    </w:p>
    <w:p w14:paraId="5B2BC013">
      <w:pPr>
        <w:spacing w:line="520" w:lineRule="exact"/>
        <w:ind w:firstLine="560" w:firstLineChars="200"/>
        <w:rPr>
          <w:rFonts w:ascii="宋体" w:hAnsi="宋体"/>
          <w:sz w:val="28"/>
          <w:szCs w:val="28"/>
        </w:rPr>
      </w:pPr>
      <w:r>
        <w:rPr>
          <w:rFonts w:hint="eastAsia" w:ascii="宋体" w:hAnsi="宋体"/>
          <w:sz w:val="28"/>
          <w:szCs w:val="28"/>
        </w:rPr>
        <w:t>5、项目标段：</w:t>
      </w:r>
      <w:r>
        <w:rPr>
          <w:rFonts w:hint="eastAsia" w:ascii="宋体" w:hAnsi="宋体"/>
          <w:sz w:val="28"/>
          <w:szCs w:val="28"/>
          <w:lang w:val="en-US" w:eastAsia="zh-CN"/>
        </w:rPr>
        <w:t>四</w:t>
      </w:r>
      <w:r>
        <w:rPr>
          <w:rFonts w:hint="eastAsia" w:ascii="宋体" w:hAnsi="宋体"/>
          <w:sz w:val="28"/>
          <w:szCs w:val="28"/>
        </w:rPr>
        <w:t>标段</w:t>
      </w:r>
    </w:p>
    <w:p w14:paraId="08FB0908">
      <w:pPr>
        <w:spacing w:line="520" w:lineRule="exact"/>
        <w:ind w:firstLine="560" w:firstLineChars="200"/>
        <w:rPr>
          <w:rFonts w:hint="default" w:ascii="宋体" w:hAnsi="宋体" w:eastAsia="宋体"/>
          <w:sz w:val="28"/>
          <w:szCs w:val="28"/>
          <w:lang w:val="en-US" w:eastAsia="zh-CN"/>
        </w:rPr>
      </w:pPr>
      <w:r>
        <w:rPr>
          <w:rFonts w:hint="eastAsia" w:ascii="宋体" w:hAnsi="宋体"/>
          <w:sz w:val="28"/>
          <w:szCs w:val="28"/>
        </w:rPr>
        <w:t>6、招标内容：</w:t>
      </w:r>
      <w:r>
        <w:rPr>
          <w:rFonts w:hint="eastAsia" w:ascii="宋体" w:hAnsi="宋体"/>
          <w:sz w:val="28"/>
          <w:szCs w:val="28"/>
          <w:lang w:val="en-US" w:eastAsia="zh-CN"/>
        </w:rPr>
        <w:t>智慧互动黑板及打印机一批</w:t>
      </w:r>
    </w:p>
    <w:p w14:paraId="26C59D72">
      <w:pPr>
        <w:spacing w:line="520" w:lineRule="exact"/>
        <w:ind w:firstLine="560" w:firstLineChars="200"/>
        <w:rPr>
          <w:rFonts w:ascii="宋体" w:hAnsi="宋体"/>
          <w:sz w:val="28"/>
          <w:szCs w:val="28"/>
        </w:rPr>
      </w:pPr>
      <w:r>
        <w:rPr>
          <w:rFonts w:hint="eastAsia" w:ascii="宋体" w:hAnsi="宋体"/>
          <w:sz w:val="28"/>
          <w:szCs w:val="28"/>
        </w:rPr>
        <w:t>7、标段金额：</w:t>
      </w:r>
      <w:r>
        <w:rPr>
          <w:rFonts w:hint="eastAsia" w:ascii="宋体" w:hAnsi="宋体"/>
          <w:sz w:val="28"/>
          <w:szCs w:val="28"/>
          <w:lang w:val="en-US" w:eastAsia="zh-CN"/>
        </w:rPr>
        <w:t>76.075</w:t>
      </w:r>
      <w:r>
        <w:rPr>
          <w:rFonts w:hint="eastAsia" w:ascii="宋体" w:hAnsi="宋体"/>
          <w:sz w:val="28"/>
          <w:szCs w:val="28"/>
        </w:rPr>
        <w:t>万元</w:t>
      </w:r>
    </w:p>
    <w:p w14:paraId="2AB04239">
      <w:pPr>
        <w:spacing w:line="520" w:lineRule="exact"/>
        <w:ind w:firstLine="560" w:firstLineChars="200"/>
        <w:rPr>
          <w:rFonts w:ascii="宋体" w:hAnsi="宋体"/>
          <w:sz w:val="28"/>
          <w:szCs w:val="28"/>
        </w:rPr>
      </w:pPr>
      <w:r>
        <w:rPr>
          <w:rFonts w:hint="eastAsia" w:ascii="宋体" w:hAnsi="宋体"/>
          <w:sz w:val="28"/>
          <w:szCs w:val="28"/>
        </w:rPr>
        <w:t>8、交货及安装时间</w:t>
      </w:r>
      <w:r>
        <w:rPr>
          <w:rFonts w:hint="eastAsia" w:ascii="宋体" w:hAnsi="宋体"/>
          <w:color w:val="000000" w:themeColor="text1"/>
          <w:sz w:val="28"/>
          <w:szCs w:val="28"/>
        </w:rPr>
        <w:t>：合同签订后10天。</w:t>
      </w:r>
    </w:p>
    <w:p w14:paraId="557534B5">
      <w:pPr>
        <w:spacing w:line="520" w:lineRule="exact"/>
        <w:ind w:firstLine="560" w:firstLineChars="200"/>
        <w:rPr>
          <w:rFonts w:ascii="宋体" w:hAnsi="宋体"/>
          <w:sz w:val="28"/>
          <w:szCs w:val="28"/>
        </w:rPr>
      </w:pPr>
      <w:r>
        <w:rPr>
          <w:rFonts w:hint="eastAsia" w:ascii="宋体" w:hAnsi="宋体"/>
          <w:sz w:val="28"/>
          <w:szCs w:val="28"/>
        </w:rPr>
        <w:t>三、本项目需要落实的政府采购政策：</w:t>
      </w:r>
    </w:p>
    <w:p w14:paraId="5A5A82F9">
      <w:pPr>
        <w:spacing w:line="520" w:lineRule="exact"/>
        <w:ind w:firstLine="560" w:firstLineChars="200"/>
        <w:rPr>
          <w:rFonts w:ascii="宋体" w:hAnsi="宋体"/>
          <w:sz w:val="28"/>
          <w:szCs w:val="28"/>
        </w:rPr>
      </w:pPr>
      <w:r>
        <w:rPr>
          <w:rFonts w:hint="eastAsia" w:ascii="宋体" w:hAnsi="宋体"/>
          <w:sz w:val="28"/>
          <w:szCs w:val="28"/>
        </w:rPr>
        <w:t>1.本</w:t>
      </w:r>
      <w:r>
        <w:rPr>
          <w:rFonts w:hint="eastAsia" w:ascii="宋体" w:hAnsi="宋体"/>
          <w:color w:val="000000" w:themeColor="text1"/>
          <w:sz w:val="28"/>
          <w:szCs w:val="28"/>
        </w:rPr>
        <w:t>项目非专门面向中小企业采购。</w:t>
      </w:r>
      <w:r>
        <w:rPr>
          <w:rFonts w:hint="eastAsia" w:ascii="宋体" w:hAnsi="宋体"/>
          <w:sz w:val="28"/>
          <w:szCs w:val="28"/>
        </w:rPr>
        <w:t>但为了政府采购促进中小企业发展,根据财政部《关于进一步加大政府采购支持中小企业力度的通知》（财库[2022]19号）规定。采购人对符合本办法规定的小微企业报价给予20%的扣除，用扣除后的价格参加评审。监狱企业、残疾人福利性单位视同小型、微型企业，享受小型、微型企业评审中价格扣除的政府采购政策，不重复享受。</w:t>
      </w:r>
    </w:p>
    <w:p w14:paraId="57F8A51F">
      <w:pPr>
        <w:spacing w:line="52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政府采购支持采用本国产品的政策。</w:t>
      </w:r>
    </w:p>
    <w:p w14:paraId="1752FE1B">
      <w:pPr>
        <w:spacing w:line="52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优先采购环境标志产品。</w:t>
      </w:r>
    </w:p>
    <w:p w14:paraId="79060771">
      <w:pPr>
        <w:spacing w:line="520" w:lineRule="exact"/>
        <w:ind w:firstLine="560" w:firstLineChars="200"/>
        <w:rPr>
          <w:rFonts w:ascii="宋体" w:hAnsi="宋体"/>
          <w:sz w:val="28"/>
          <w:szCs w:val="28"/>
        </w:rPr>
      </w:pPr>
      <w:r>
        <w:rPr>
          <w:rFonts w:hint="eastAsia" w:ascii="宋体" w:hAnsi="宋体"/>
          <w:sz w:val="28"/>
          <w:szCs w:val="28"/>
        </w:rPr>
        <w:t>四、投标人资格要求：</w:t>
      </w:r>
    </w:p>
    <w:p w14:paraId="3C6CE1EF">
      <w:pPr>
        <w:pStyle w:val="63"/>
        <w:spacing w:line="520" w:lineRule="exact"/>
        <w:ind w:firstLine="560" w:firstLineChars="200"/>
        <w:rPr>
          <w:rFonts w:ascii="宋体" w:hAnsi="宋体"/>
          <w:sz w:val="28"/>
          <w:szCs w:val="28"/>
          <w:shd w:val="clear" w:color="auto" w:fill="FFFFFF"/>
        </w:rPr>
      </w:pPr>
      <w:r>
        <w:rPr>
          <w:rFonts w:hint="eastAsia" w:ascii="宋体" w:hAnsi="宋体"/>
          <w:sz w:val="28"/>
          <w:szCs w:val="28"/>
          <w:shd w:val="clear" w:color="auto" w:fill="FFFFFF"/>
        </w:rPr>
        <w:t>1、符合《中华人民共和国政府采购法》第二十二条规定。</w:t>
      </w:r>
    </w:p>
    <w:p w14:paraId="4177EF9B">
      <w:pPr>
        <w:pStyle w:val="63"/>
        <w:spacing w:line="520" w:lineRule="exact"/>
        <w:rPr>
          <w:rFonts w:ascii="宋体" w:hAnsi="宋体"/>
          <w:sz w:val="28"/>
          <w:szCs w:val="28"/>
          <w:shd w:val="clear" w:color="auto" w:fill="FFFFFF"/>
        </w:rPr>
      </w:pPr>
      <w:r>
        <w:rPr>
          <w:rFonts w:hint="eastAsia" w:ascii="宋体" w:hAnsi="宋体"/>
          <w:sz w:val="28"/>
          <w:szCs w:val="28"/>
          <w:shd w:val="clear" w:color="auto" w:fill="FFFFFF"/>
        </w:rPr>
        <w:t>（1）具有独立承担民事责任的能力, 提供有效的营业执照。</w:t>
      </w:r>
    </w:p>
    <w:p w14:paraId="6964D10E">
      <w:pPr>
        <w:pStyle w:val="63"/>
        <w:spacing w:line="520" w:lineRule="exact"/>
        <w:rPr>
          <w:rFonts w:ascii="宋体" w:hAnsi="宋体"/>
          <w:sz w:val="28"/>
          <w:szCs w:val="28"/>
          <w:shd w:val="clear" w:color="auto" w:fill="FFFFFF"/>
        </w:rPr>
      </w:pPr>
      <w:r>
        <w:rPr>
          <w:rFonts w:hint="eastAsia" w:ascii="宋体" w:hAnsi="宋体"/>
          <w:sz w:val="28"/>
          <w:szCs w:val="28"/>
          <w:shd w:val="clear" w:color="auto" w:fill="FFFFFF"/>
        </w:rPr>
        <w:t>（2）具有良好的商业信誉和健全的财务会计制度，提供近三年以来任意一年度的财务审计报告（新成立未满一年的公司可提供成立至今的财务报表）。</w:t>
      </w:r>
    </w:p>
    <w:p w14:paraId="2B8EFCD2">
      <w:pPr>
        <w:pStyle w:val="63"/>
        <w:spacing w:line="520" w:lineRule="exact"/>
        <w:rPr>
          <w:rFonts w:ascii="宋体" w:hAnsi="宋体"/>
          <w:sz w:val="28"/>
          <w:szCs w:val="28"/>
          <w:shd w:val="clear" w:color="auto" w:fill="FFFFFF"/>
        </w:rPr>
      </w:pPr>
      <w:r>
        <w:rPr>
          <w:rFonts w:hint="eastAsia" w:ascii="宋体" w:hAnsi="宋体"/>
          <w:sz w:val="28"/>
          <w:szCs w:val="28"/>
          <w:shd w:val="clear" w:color="auto" w:fill="FFFFFF"/>
        </w:rPr>
        <w:t>（3）有具依法缴纳税收和社会保障资金的良好记录，提供202</w:t>
      </w:r>
      <w:r>
        <w:rPr>
          <w:rFonts w:hint="eastAsia" w:ascii="宋体" w:hAnsi="宋体"/>
          <w:sz w:val="28"/>
          <w:szCs w:val="28"/>
          <w:shd w:val="clear" w:color="auto" w:fill="FFFFFF"/>
          <w:lang w:val="en-US" w:eastAsia="zh-CN"/>
        </w:rPr>
        <w:t>5</w:t>
      </w:r>
      <w:r>
        <w:rPr>
          <w:rFonts w:hint="eastAsia" w:ascii="宋体" w:hAnsi="宋体"/>
          <w:sz w:val="28"/>
          <w:szCs w:val="28"/>
          <w:shd w:val="clear" w:color="auto" w:fill="FFFFFF"/>
        </w:rPr>
        <w:t>年1月 1 日以来任意三个月依法缴纳社保和税收的证明材料。（依法免税或不需要缴纳社会保障资金的供应商，应提供相应证明文件）。</w:t>
      </w:r>
    </w:p>
    <w:p w14:paraId="0837BE9B">
      <w:pPr>
        <w:pStyle w:val="63"/>
        <w:spacing w:line="520" w:lineRule="exact"/>
        <w:rPr>
          <w:rFonts w:ascii="宋体" w:hAnsi="宋体"/>
          <w:sz w:val="28"/>
          <w:szCs w:val="28"/>
          <w:shd w:val="clear" w:color="auto" w:fill="FFFFFF"/>
        </w:rPr>
      </w:pPr>
      <w:r>
        <w:rPr>
          <w:rFonts w:hint="eastAsia" w:ascii="宋体" w:hAnsi="宋体"/>
          <w:sz w:val="28"/>
          <w:szCs w:val="28"/>
          <w:shd w:val="clear" w:color="auto" w:fill="FFFFFF"/>
        </w:rPr>
        <w:t>（4）具有履行合同所必需的设备和专业技术能力。提供相关证明材料或承诺书（格式自拟）。</w:t>
      </w:r>
    </w:p>
    <w:p w14:paraId="6450F261">
      <w:pPr>
        <w:pStyle w:val="63"/>
        <w:spacing w:line="520" w:lineRule="exact"/>
        <w:rPr>
          <w:rFonts w:ascii="宋体" w:hAnsi="宋体"/>
          <w:sz w:val="28"/>
          <w:szCs w:val="28"/>
          <w:shd w:val="clear" w:color="auto" w:fill="FFFFFF"/>
        </w:rPr>
      </w:pPr>
      <w:r>
        <w:rPr>
          <w:rFonts w:hint="eastAsia" w:ascii="宋体" w:hAnsi="宋体"/>
          <w:sz w:val="28"/>
          <w:szCs w:val="28"/>
          <w:shd w:val="clear" w:color="auto" w:fill="FFFFFF"/>
        </w:rPr>
        <w:t>（5）参加政府采购活动前 3 年内在经营活动中没有重大违法记录，提供书面声明。</w:t>
      </w:r>
    </w:p>
    <w:p w14:paraId="71247700">
      <w:pPr>
        <w:pStyle w:val="63"/>
        <w:spacing w:line="520" w:lineRule="exact"/>
        <w:rPr>
          <w:rFonts w:ascii="宋体" w:hAnsi="宋体"/>
          <w:sz w:val="28"/>
          <w:szCs w:val="28"/>
          <w:shd w:val="clear" w:color="auto" w:fill="FFFFFF"/>
        </w:rPr>
      </w:pPr>
      <w:r>
        <w:rPr>
          <w:rFonts w:hint="eastAsia" w:ascii="宋体" w:hAnsi="宋体"/>
          <w:sz w:val="28"/>
          <w:szCs w:val="28"/>
          <w:shd w:val="clear" w:color="auto" w:fill="FFFFFF"/>
        </w:rPr>
        <w:t>（6）法律、行政法规规定的其他条件。</w:t>
      </w:r>
    </w:p>
    <w:p w14:paraId="392D5C2B">
      <w:pPr>
        <w:pStyle w:val="63"/>
        <w:spacing w:line="520" w:lineRule="exact"/>
        <w:ind w:firstLine="560" w:firstLineChars="200"/>
        <w:rPr>
          <w:rFonts w:ascii="宋体" w:hAnsi="宋体"/>
          <w:sz w:val="28"/>
          <w:szCs w:val="28"/>
        </w:rPr>
      </w:pPr>
      <w:r>
        <w:rPr>
          <w:rFonts w:hint="eastAsia" w:ascii="宋体" w:hAnsi="宋体" w:cs="宋体"/>
          <w:kern w:val="0"/>
          <w:sz w:val="28"/>
          <w:szCs w:val="28"/>
          <w:shd w:val="clear" w:color="auto" w:fill="FFFFFF"/>
        </w:rPr>
        <w:t>2、</w:t>
      </w:r>
      <w:r>
        <w:rPr>
          <w:rFonts w:hint="eastAsia" w:ascii="宋体" w:hAnsi="宋体"/>
          <w:sz w:val="28"/>
          <w:szCs w:val="28"/>
        </w:rPr>
        <w:t>投标人未列入失信被执行人和重大税收违法失信主体（查询渠道：“信用中国”网站（www.creditchina.gov.cn）、政府采购严重违法失信行为记录名单（查询渠道：中国政府采购网（www.ccgp.gov.cn）；否则，拒绝其投标（提供以上要求的查询网站截图）。</w:t>
      </w:r>
    </w:p>
    <w:p w14:paraId="1226903E">
      <w:pPr>
        <w:pStyle w:val="63"/>
        <w:spacing w:line="520" w:lineRule="exact"/>
        <w:ind w:firstLine="560" w:firstLineChars="200"/>
        <w:rPr>
          <w:sz w:val="28"/>
          <w:szCs w:val="28"/>
        </w:rPr>
      </w:pPr>
      <w:r>
        <w:rPr>
          <w:rFonts w:hint="eastAsia"/>
          <w:sz w:val="28"/>
          <w:szCs w:val="28"/>
        </w:rPr>
        <w:t>3、本项目不接受联合体投标。</w:t>
      </w:r>
    </w:p>
    <w:p w14:paraId="6BF0F7EA">
      <w:pPr>
        <w:pStyle w:val="63"/>
        <w:spacing w:line="520" w:lineRule="exact"/>
        <w:ind w:firstLine="560" w:firstLineChars="200"/>
        <w:rPr>
          <w:sz w:val="28"/>
          <w:szCs w:val="28"/>
        </w:rPr>
      </w:pPr>
      <w:r>
        <w:rPr>
          <w:rFonts w:hint="eastAsia"/>
          <w:kern w:val="0"/>
          <w:sz w:val="28"/>
          <w:szCs w:val="28"/>
        </w:rPr>
        <w:t>注：各投标人均可就本招标项目标段中任意标段投标，一个投标人只允许中标</w:t>
      </w:r>
      <w:r>
        <w:rPr>
          <w:kern w:val="0"/>
          <w:sz w:val="28"/>
          <w:szCs w:val="28"/>
        </w:rPr>
        <w:t xml:space="preserve"> 1 </w:t>
      </w:r>
      <w:r>
        <w:rPr>
          <w:rFonts w:hint="eastAsia"/>
          <w:kern w:val="0"/>
          <w:sz w:val="28"/>
          <w:szCs w:val="28"/>
        </w:rPr>
        <w:t>个标段，中标顺序按标段顺序。</w:t>
      </w:r>
    </w:p>
    <w:p w14:paraId="6ADE9416">
      <w:pPr>
        <w:spacing w:line="520" w:lineRule="exact"/>
        <w:ind w:firstLine="560" w:firstLineChars="200"/>
        <w:rPr>
          <w:rFonts w:ascii="宋体" w:hAnsi="宋体"/>
          <w:sz w:val="28"/>
          <w:szCs w:val="28"/>
        </w:rPr>
      </w:pPr>
      <w:r>
        <w:rPr>
          <w:rFonts w:hint="eastAsia" w:ascii="宋体" w:hAnsi="宋体"/>
          <w:sz w:val="28"/>
          <w:szCs w:val="28"/>
        </w:rPr>
        <w:t>五、招标文件的获取：</w:t>
      </w:r>
    </w:p>
    <w:p w14:paraId="06F39CC3">
      <w:pPr>
        <w:pStyle w:val="63"/>
        <w:spacing w:line="52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、招标文件下载时间</w:t>
      </w:r>
      <w:r>
        <w:rPr>
          <w:rFonts w:ascii="宋体" w:hAnsi="宋体"/>
          <w:sz w:val="28"/>
          <w:szCs w:val="28"/>
        </w:rPr>
        <w:t>:</w:t>
      </w:r>
      <w:r>
        <w:rPr>
          <w:rFonts w:hint="eastAsia" w:ascii="宋体" w:hAnsi="宋体"/>
          <w:sz w:val="28"/>
          <w:szCs w:val="28"/>
        </w:rPr>
        <w:t xml:space="preserve"> </w:t>
      </w:r>
      <w:r>
        <w:rPr>
          <w:rFonts w:hint="eastAsia" w:ascii="宋体" w:hAnsi="宋体"/>
          <w:color w:val="000000" w:themeColor="text1"/>
          <w:sz w:val="28"/>
          <w:szCs w:val="28"/>
        </w:rPr>
        <w:t>2025年</w:t>
      </w:r>
      <w:r>
        <w:rPr>
          <w:rFonts w:hint="eastAsia" w:ascii="宋体" w:hAnsi="宋体"/>
          <w:color w:val="000000" w:themeColor="text1"/>
          <w:sz w:val="28"/>
          <w:szCs w:val="28"/>
          <w:lang w:val="en-US" w:eastAsia="zh-CN"/>
        </w:rPr>
        <w:t>6</w:t>
      </w:r>
      <w:r>
        <w:rPr>
          <w:rFonts w:hint="eastAsia" w:ascii="宋体" w:hAnsi="宋体"/>
          <w:color w:val="000000" w:themeColor="text1"/>
          <w:sz w:val="28"/>
          <w:szCs w:val="28"/>
        </w:rPr>
        <w:t>月</w:t>
      </w:r>
      <w:r>
        <w:rPr>
          <w:rFonts w:hint="eastAsia" w:ascii="宋体" w:hAnsi="宋体"/>
          <w:color w:val="000000" w:themeColor="text1"/>
          <w:sz w:val="28"/>
          <w:szCs w:val="28"/>
          <w:lang w:val="en-US" w:eastAsia="zh-CN"/>
        </w:rPr>
        <w:t>20</w:t>
      </w:r>
      <w:r>
        <w:rPr>
          <w:rFonts w:hint="eastAsia" w:ascii="宋体" w:hAnsi="宋体"/>
          <w:color w:val="000000" w:themeColor="text1"/>
          <w:sz w:val="28"/>
          <w:szCs w:val="28"/>
        </w:rPr>
        <w:t>日至2025年</w:t>
      </w:r>
      <w:r>
        <w:rPr>
          <w:rFonts w:hint="eastAsia" w:ascii="宋体" w:hAnsi="宋体"/>
          <w:color w:val="000000" w:themeColor="text1"/>
          <w:sz w:val="28"/>
          <w:szCs w:val="28"/>
          <w:lang w:val="en-US" w:eastAsia="zh-CN"/>
        </w:rPr>
        <w:t>7</w:t>
      </w:r>
      <w:r>
        <w:rPr>
          <w:rFonts w:hint="eastAsia" w:ascii="宋体" w:hAnsi="宋体"/>
          <w:color w:val="000000" w:themeColor="text1"/>
          <w:sz w:val="28"/>
          <w:szCs w:val="28"/>
        </w:rPr>
        <w:t>月</w:t>
      </w:r>
      <w:r>
        <w:rPr>
          <w:rFonts w:hint="eastAsia" w:ascii="宋体" w:hAnsi="宋体"/>
          <w:color w:val="000000" w:themeColor="text1"/>
          <w:sz w:val="28"/>
          <w:szCs w:val="28"/>
          <w:lang w:val="en-US" w:eastAsia="zh-CN"/>
        </w:rPr>
        <w:t>9</w:t>
      </w:r>
      <w:r>
        <w:rPr>
          <w:rFonts w:hint="eastAsia" w:ascii="宋体" w:hAnsi="宋体"/>
          <w:color w:val="000000" w:themeColor="text1"/>
          <w:sz w:val="28"/>
          <w:szCs w:val="28"/>
        </w:rPr>
        <w:t>日</w:t>
      </w:r>
      <w:r>
        <w:rPr>
          <w:rFonts w:hint="eastAsia" w:ascii="宋体" w:hAnsi="宋体"/>
          <w:sz w:val="28"/>
          <w:szCs w:val="28"/>
        </w:rPr>
        <w:t>，每天上午09:00至12:00，下午12:00至17:00（北京时间，法定节假日除外。）</w:t>
      </w:r>
    </w:p>
    <w:p w14:paraId="219434FC">
      <w:pPr>
        <w:pStyle w:val="63"/>
        <w:spacing w:line="52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、招标文件获取地点：开封市公共资源交易中心网站</w:t>
      </w:r>
      <w:r>
        <w:fldChar w:fldCharType="begin"/>
      </w:r>
      <w:r>
        <w:instrText xml:space="preserve"> HYPERLINK "http://www.kfsggzyjyw.cn/kfggzy/" </w:instrText>
      </w:r>
      <w:r>
        <w:fldChar w:fldCharType="separate"/>
      </w:r>
      <w:r>
        <w:rPr>
          <w:rStyle w:val="29"/>
          <w:rFonts w:ascii="宋体" w:hAnsi="宋体"/>
          <w:sz w:val="28"/>
          <w:szCs w:val="28"/>
        </w:rPr>
        <w:t>http://www.kfsggzyjyw.cn/kfggzy/</w:t>
      </w:r>
      <w:r>
        <w:rPr>
          <w:rStyle w:val="29"/>
          <w:rFonts w:ascii="宋体" w:hAnsi="宋体"/>
          <w:sz w:val="28"/>
          <w:szCs w:val="28"/>
        </w:rPr>
        <w:fldChar w:fldCharType="end"/>
      </w:r>
    </w:p>
    <w:p w14:paraId="3F9214AA">
      <w:pPr>
        <w:pStyle w:val="63"/>
        <w:spacing w:line="52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、招标文件获取方式：供应商应注册成为开封市公共资源交易中心网站会员并取得</w:t>
      </w:r>
      <w:r>
        <w:rPr>
          <w:rFonts w:ascii="宋体" w:hAnsi="宋体"/>
          <w:sz w:val="28"/>
          <w:szCs w:val="28"/>
        </w:rPr>
        <w:t xml:space="preserve"> CA</w:t>
      </w:r>
      <w:r>
        <w:rPr>
          <w:rFonts w:hint="eastAsia" w:ascii="宋体" w:hAnsi="宋体"/>
          <w:sz w:val="28"/>
          <w:szCs w:val="28"/>
        </w:rPr>
        <w:t>密钥，按要求下载电子招标文件</w:t>
      </w:r>
    </w:p>
    <w:p w14:paraId="5AE80E55">
      <w:pPr>
        <w:pStyle w:val="63"/>
        <w:spacing w:line="520" w:lineRule="exact"/>
        <w:ind w:firstLine="560" w:firstLineChars="200"/>
        <w:rPr>
          <w:rFonts w:ascii="宋体" w:hAnsi="宋体"/>
          <w:sz w:val="28"/>
          <w:szCs w:val="28"/>
        </w:rPr>
      </w:pPr>
      <w:r>
        <w:rPr>
          <w:rFonts w:ascii="宋体" w:hAnsi="宋体"/>
          <w:sz w:val="28"/>
          <w:szCs w:val="28"/>
        </w:rPr>
        <w:t>4</w:t>
      </w:r>
      <w:r>
        <w:rPr>
          <w:rFonts w:hint="eastAsia" w:ascii="宋体" w:hAnsi="宋体"/>
          <w:sz w:val="28"/>
          <w:szCs w:val="28"/>
        </w:rPr>
        <w:t>、招标文件售价：</w:t>
      </w:r>
      <w:r>
        <w:rPr>
          <w:rFonts w:ascii="宋体" w:hAnsi="宋体"/>
          <w:sz w:val="28"/>
          <w:szCs w:val="28"/>
        </w:rPr>
        <w:t>0</w:t>
      </w:r>
      <w:r>
        <w:rPr>
          <w:rFonts w:hint="eastAsia" w:ascii="宋体" w:hAnsi="宋体"/>
          <w:sz w:val="28"/>
          <w:szCs w:val="28"/>
        </w:rPr>
        <w:t>元</w:t>
      </w:r>
    </w:p>
    <w:p w14:paraId="4AD72C98">
      <w:pPr>
        <w:pStyle w:val="63"/>
        <w:spacing w:line="520" w:lineRule="exact"/>
        <w:ind w:firstLine="560" w:firstLineChars="200"/>
        <w:rPr>
          <w:rFonts w:ascii="宋体" w:hAnsi="宋体"/>
          <w:sz w:val="28"/>
          <w:szCs w:val="28"/>
        </w:rPr>
      </w:pPr>
      <w:r>
        <w:rPr>
          <w:rFonts w:ascii="宋体" w:hAnsi="宋体"/>
          <w:sz w:val="28"/>
          <w:szCs w:val="28"/>
        </w:rPr>
        <w:t>5</w:t>
      </w:r>
      <w:r>
        <w:rPr>
          <w:rFonts w:hint="eastAsia" w:ascii="宋体" w:hAnsi="宋体"/>
          <w:sz w:val="28"/>
          <w:szCs w:val="28"/>
        </w:rPr>
        <w:t>、投标保证金：本项目不需要缴纳投标保证金。</w:t>
      </w:r>
    </w:p>
    <w:p w14:paraId="2254810C">
      <w:pPr>
        <w:pStyle w:val="63"/>
        <w:spacing w:line="520" w:lineRule="exact"/>
        <w:ind w:firstLine="560" w:firstLineChars="200"/>
        <w:rPr>
          <w:rFonts w:ascii="宋体" w:hAnsi="宋体"/>
          <w:sz w:val="28"/>
          <w:szCs w:val="28"/>
        </w:rPr>
      </w:pPr>
      <w:r>
        <w:rPr>
          <w:rFonts w:hint="eastAsia" w:ascii="宋体" w:hAnsi="宋体"/>
          <w:sz w:val="28"/>
          <w:szCs w:val="28"/>
        </w:rPr>
        <w:t>五、</w:t>
      </w:r>
      <w:r>
        <w:rPr>
          <w:rFonts w:ascii="宋体" w:hAnsi="宋体"/>
          <w:sz w:val="28"/>
          <w:szCs w:val="28"/>
        </w:rPr>
        <w:t xml:space="preserve"> </w:t>
      </w:r>
      <w:r>
        <w:rPr>
          <w:rFonts w:hint="eastAsia" w:ascii="宋体" w:hAnsi="宋体"/>
          <w:sz w:val="28"/>
          <w:szCs w:val="28"/>
        </w:rPr>
        <w:t>投标文件提交截止时间及地点：</w:t>
      </w:r>
    </w:p>
    <w:p w14:paraId="3F670660">
      <w:pPr>
        <w:pStyle w:val="63"/>
        <w:spacing w:line="520" w:lineRule="exact"/>
        <w:ind w:firstLine="560" w:firstLineChars="200"/>
        <w:rPr>
          <w:rFonts w:ascii="宋体" w:hAnsi="宋体"/>
          <w:color w:val="000000" w:themeColor="text1"/>
          <w:sz w:val="28"/>
          <w:szCs w:val="28"/>
        </w:rPr>
      </w:pPr>
      <w:r>
        <w:rPr>
          <w:rFonts w:ascii="宋体" w:hAnsi="宋体"/>
          <w:sz w:val="28"/>
          <w:szCs w:val="28"/>
        </w:rPr>
        <w:t>1</w:t>
      </w:r>
      <w:r>
        <w:rPr>
          <w:rFonts w:hint="eastAsia" w:ascii="宋体" w:hAnsi="宋体"/>
          <w:sz w:val="28"/>
          <w:szCs w:val="28"/>
        </w:rPr>
        <w:t>、投标文件上传截止时间</w:t>
      </w:r>
      <w:r>
        <w:rPr>
          <w:rFonts w:hint="eastAsia" w:ascii="宋体" w:hAnsi="宋体"/>
          <w:color w:val="000000" w:themeColor="text1"/>
          <w:sz w:val="28"/>
          <w:szCs w:val="28"/>
        </w:rPr>
        <w:t>：</w:t>
      </w:r>
      <w:r>
        <w:rPr>
          <w:rFonts w:ascii="宋体" w:hAnsi="宋体"/>
          <w:color w:val="000000" w:themeColor="text1"/>
          <w:sz w:val="28"/>
          <w:szCs w:val="28"/>
        </w:rPr>
        <w:t>202</w:t>
      </w:r>
      <w:r>
        <w:rPr>
          <w:rFonts w:hint="eastAsia" w:ascii="宋体" w:hAnsi="宋体"/>
          <w:color w:val="000000" w:themeColor="text1"/>
          <w:sz w:val="28"/>
          <w:szCs w:val="28"/>
        </w:rPr>
        <w:t>5年</w:t>
      </w:r>
      <w:r>
        <w:rPr>
          <w:rFonts w:hint="eastAsia" w:ascii="宋体" w:hAnsi="宋体"/>
          <w:color w:val="000000" w:themeColor="text1"/>
          <w:sz w:val="28"/>
          <w:szCs w:val="28"/>
          <w:lang w:val="en-US" w:eastAsia="zh-CN"/>
        </w:rPr>
        <w:t>7</w:t>
      </w:r>
      <w:r>
        <w:rPr>
          <w:rFonts w:hint="eastAsia" w:ascii="宋体" w:hAnsi="宋体"/>
          <w:color w:val="000000" w:themeColor="text1"/>
          <w:sz w:val="28"/>
          <w:szCs w:val="28"/>
        </w:rPr>
        <w:t>月</w:t>
      </w:r>
      <w:r>
        <w:rPr>
          <w:rFonts w:hint="eastAsia" w:ascii="宋体" w:hAnsi="宋体"/>
          <w:color w:val="000000" w:themeColor="text1"/>
          <w:sz w:val="28"/>
          <w:szCs w:val="28"/>
          <w:lang w:val="en-US" w:eastAsia="zh-CN"/>
        </w:rPr>
        <w:t>10</w:t>
      </w:r>
      <w:r>
        <w:rPr>
          <w:rFonts w:hint="eastAsia" w:ascii="宋体" w:hAnsi="宋体"/>
          <w:color w:val="000000" w:themeColor="text1"/>
          <w:sz w:val="28"/>
          <w:szCs w:val="28"/>
        </w:rPr>
        <w:t>日上午9</w:t>
      </w:r>
      <w:r>
        <w:rPr>
          <w:rFonts w:ascii="宋体" w:hAnsi="宋体"/>
          <w:color w:val="000000" w:themeColor="text1"/>
          <w:sz w:val="28"/>
          <w:szCs w:val="28"/>
        </w:rPr>
        <w:t xml:space="preserve"> </w:t>
      </w:r>
      <w:r>
        <w:rPr>
          <w:rFonts w:hint="eastAsia" w:ascii="宋体" w:hAnsi="宋体"/>
          <w:color w:val="000000" w:themeColor="text1"/>
          <w:sz w:val="28"/>
          <w:szCs w:val="28"/>
        </w:rPr>
        <w:t>点3</w:t>
      </w:r>
      <w:r>
        <w:rPr>
          <w:rFonts w:ascii="宋体" w:hAnsi="宋体"/>
          <w:color w:val="000000" w:themeColor="text1"/>
          <w:sz w:val="28"/>
          <w:szCs w:val="28"/>
        </w:rPr>
        <w:t>0</w:t>
      </w:r>
      <w:r>
        <w:rPr>
          <w:rFonts w:hint="eastAsia" w:ascii="宋体" w:hAnsi="宋体"/>
          <w:color w:val="000000" w:themeColor="text1"/>
          <w:sz w:val="28"/>
          <w:szCs w:val="28"/>
        </w:rPr>
        <w:t>分。</w:t>
      </w:r>
    </w:p>
    <w:p w14:paraId="1A852EEA">
      <w:pPr>
        <w:pStyle w:val="63"/>
        <w:spacing w:line="52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、电子投标文件须在投标截止时间前在开封市公共资源交易中心网站</w:t>
      </w:r>
      <w:r>
        <w:rPr>
          <w:rFonts w:ascii="宋体" w:hAnsi="宋体"/>
          <w:sz w:val="28"/>
          <w:szCs w:val="28"/>
        </w:rPr>
        <w:t>http://www.kfsggzyjyw.cn/kfggzy/</w:t>
      </w:r>
      <w:r>
        <w:rPr>
          <w:rFonts w:hint="eastAsia" w:ascii="宋体" w:hAnsi="宋体"/>
          <w:sz w:val="28"/>
          <w:szCs w:val="28"/>
        </w:rPr>
        <w:t>会员系统中加密上传。</w:t>
      </w:r>
    </w:p>
    <w:p w14:paraId="7FDB65A0">
      <w:pPr>
        <w:pStyle w:val="63"/>
        <w:spacing w:line="520" w:lineRule="exact"/>
        <w:ind w:firstLine="560" w:firstLineChars="200"/>
        <w:rPr>
          <w:rFonts w:ascii="宋体" w:hAnsi="宋体"/>
          <w:sz w:val="28"/>
          <w:szCs w:val="28"/>
        </w:rPr>
      </w:pPr>
      <w:r>
        <w:rPr>
          <w:rFonts w:hint="eastAsia" w:ascii="宋体" w:hAnsi="宋体"/>
          <w:sz w:val="28"/>
          <w:szCs w:val="28"/>
        </w:rPr>
        <w:t>六、开标时间及地点：</w:t>
      </w:r>
    </w:p>
    <w:p w14:paraId="66C451D4">
      <w:pPr>
        <w:pStyle w:val="63"/>
        <w:spacing w:line="52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时间</w:t>
      </w:r>
      <w:r>
        <w:rPr>
          <w:rFonts w:hint="eastAsia" w:ascii="宋体" w:hAnsi="宋体"/>
          <w:color w:val="000000" w:themeColor="text1"/>
          <w:sz w:val="28"/>
          <w:szCs w:val="28"/>
        </w:rPr>
        <w:t>：2025年</w:t>
      </w:r>
      <w:r>
        <w:rPr>
          <w:rFonts w:hint="eastAsia" w:ascii="宋体" w:hAnsi="宋体"/>
          <w:color w:val="000000" w:themeColor="text1"/>
          <w:sz w:val="28"/>
          <w:szCs w:val="28"/>
          <w:lang w:val="en-US" w:eastAsia="zh-CN"/>
        </w:rPr>
        <w:t>7</w:t>
      </w:r>
      <w:r>
        <w:rPr>
          <w:rFonts w:hint="eastAsia" w:ascii="宋体" w:hAnsi="宋体"/>
          <w:color w:val="000000" w:themeColor="text1"/>
          <w:sz w:val="28"/>
          <w:szCs w:val="28"/>
        </w:rPr>
        <w:t>月</w:t>
      </w:r>
      <w:r>
        <w:rPr>
          <w:rFonts w:hint="eastAsia" w:ascii="宋体" w:hAnsi="宋体"/>
          <w:color w:val="000000" w:themeColor="text1"/>
          <w:sz w:val="28"/>
          <w:szCs w:val="28"/>
          <w:lang w:val="en-US" w:eastAsia="zh-CN"/>
        </w:rPr>
        <w:t>10</w:t>
      </w:r>
      <w:r>
        <w:rPr>
          <w:rFonts w:hint="eastAsia" w:ascii="宋体" w:hAnsi="宋体"/>
          <w:color w:val="000000" w:themeColor="text1"/>
          <w:sz w:val="28"/>
          <w:szCs w:val="28"/>
        </w:rPr>
        <w:t>日上午9点30分。</w:t>
      </w:r>
    </w:p>
    <w:p w14:paraId="70A4A75D">
      <w:pPr>
        <w:pStyle w:val="63"/>
        <w:spacing w:line="52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地点</w:t>
      </w:r>
      <w:r>
        <w:rPr>
          <w:rFonts w:ascii="宋体" w:hAnsi="宋体"/>
          <w:sz w:val="28"/>
          <w:szCs w:val="28"/>
        </w:rPr>
        <w:t xml:space="preserve">: </w:t>
      </w:r>
      <w:r>
        <w:rPr>
          <w:rFonts w:hint="eastAsia" w:ascii="宋体" w:hAnsi="宋体"/>
          <w:sz w:val="28"/>
          <w:szCs w:val="28"/>
        </w:rPr>
        <w:t>杞县综合服务大厦</w:t>
      </w:r>
      <w:r>
        <w:rPr>
          <w:rFonts w:ascii="宋体" w:hAnsi="宋体"/>
          <w:sz w:val="28"/>
          <w:szCs w:val="28"/>
        </w:rPr>
        <w:t xml:space="preserve"> 11 </w:t>
      </w:r>
      <w:r>
        <w:rPr>
          <w:rFonts w:hint="eastAsia" w:ascii="宋体" w:hAnsi="宋体"/>
          <w:sz w:val="28"/>
          <w:szCs w:val="28"/>
        </w:rPr>
        <w:t>楼开标室（金城大道与经四路交叉口东北角处杞县便民服务中心）</w:t>
      </w:r>
    </w:p>
    <w:p w14:paraId="2AAA9C61">
      <w:pPr>
        <w:pStyle w:val="63"/>
        <w:spacing w:line="52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注：本项目采用“远程不见面”开标方式</w:t>
      </w:r>
      <w:r>
        <w:rPr>
          <w:rFonts w:ascii="宋体" w:hAnsi="宋体"/>
          <w:sz w:val="28"/>
          <w:szCs w:val="28"/>
        </w:rPr>
        <w:t>,</w:t>
      </w:r>
      <w:r>
        <w:rPr>
          <w:rFonts w:hint="eastAsia" w:ascii="宋体" w:hAnsi="宋体"/>
          <w:sz w:val="28"/>
          <w:szCs w:val="28"/>
        </w:rPr>
        <w:t>供应商无需到达现场提交原件资料、无需到杞县公共资源交易服务中心现场参加开标会议；供应商应当在开标时间前</w:t>
      </w:r>
      <w:r>
        <w:rPr>
          <w:rFonts w:ascii="宋体" w:hAnsi="宋体"/>
          <w:sz w:val="28"/>
          <w:szCs w:val="28"/>
        </w:rPr>
        <w:t>,</w:t>
      </w:r>
      <w:r>
        <w:rPr>
          <w:rFonts w:hint="eastAsia" w:ascii="宋体" w:hAnsi="宋体"/>
          <w:sz w:val="28"/>
          <w:szCs w:val="28"/>
        </w:rPr>
        <w:t>登录不见面开标大厅</w:t>
      </w:r>
      <w:r>
        <w:rPr>
          <w:rFonts w:ascii="宋体" w:hAnsi="宋体"/>
          <w:sz w:val="28"/>
          <w:szCs w:val="28"/>
        </w:rPr>
        <w:t>,</w:t>
      </w:r>
      <w:r>
        <w:rPr>
          <w:rFonts w:hint="eastAsia" w:ascii="宋体" w:hAnsi="宋体"/>
          <w:sz w:val="28"/>
          <w:szCs w:val="28"/>
        </w:rPr>
        <w:t>在线准时参加开标活动并进行投标文件解密、答疑澄清等。（系统解密时长默认为</w:t>
      </w:r>
      <w:r>
        <w:rPr>
          <w:rFonts w:ascii="宋体" w:hAnsi="宋体"/>
          <w:sz w:val="28"/>
          <w:szCs w:val="28"/>
        </w:rPr>
        <w:t xml:space="preserve"> 40 </w:t>
      </w:r>
      <w:r>
        <w:rPr>
          <w:rFonts w:hint="eastAsia" w:ascii="宋体" w:hAnsi="宋体"/>
          <w:sz w:val="28"/>
          <w:szCs w:val="28"/>
        </w:rPr>
        <w:t>分钟，错过解密时长者视为自动放弃本次投标）。</w:t>
      </w:r>
    </w:p>
    <w:p w14:paraId="013DEC08">
      <w:pPr>
        <w:pStyle w:val="63"/>
        <w:spacing w:line="520" w:lineRule="exact"/>
        <w:ind w:firstLine="560" w:firstLineChars="200"/>
        <w:rPr>
          <w:rFonts w:ascii="宋体" w:hAnsi="宋体"/>
          <w:sz w:val="28"/>
          <w:szCs w:val="28"/>
        </w:rPr>
      </w:pPr>
      <w:r>
        <w:rPr>
          <w:rFonts w:hint="eastAsia" w:ascii="宋体" w:hAnsi="宋体"/>
          <w:sz w:val="28"/>
          <w:szCs w:val="28"/>
        </w:rPr>
        <w:t>4. 本项目全程无需投标企业（供应商）另行提供纸质投标（采购）文件，任何单位要求提交纸质文件的行为，均为非必要行为。请予以拒绝，并向杞县公共资源交易服务中心业务管理科投诉。投诉电话：0371-28666651。</w:t>
      </w:r>
    </w:p>
    <w:p w14:paraId="03EEB6BF">
      <w:pPr>
        <w:spacing w:line="520" w:lineRule="exact"/>
        <w:ind w:firstLine="560" w:firstLineChars="200"/>
        <w:rPr>
          <w:rFonts w:ascii="宋体" w:hAnsi="宋体"/>
          <w:sz w:val="28"/>
          <w:szCs w:val="28"/>
        </w:rPr>
      </w:pPr>
      <w:r>
        <w:rPr>
          <w:rFonts w:hint="eastAsia" w:ascii="宋体" w:hAnsi="宋体"/>
          <w:sz w:val="28"/>
          <w:szCs w:val="28"/>
        </w:rPr>
        <w:t>七、公告发布媒体</w:t>
      </w:r>
    </w:p>
    <w:p w14:paraId="3AEB075B">
      <w:pPr>
        <w:spacing w:line="520" w:lineRule="exact"/>
        <w:ind w:firstLine="560" w:firstLineChars="200"/>
        <w:rPr>
          <w:rFonts w:ascii="宋体" w:hAnsi="宋体"/>
          <w:sz w:val="28"/>
          <w:szCs w:val="28"/>
        </w:rPr>
      </w:pPr>
      <w:r>
        <w:rPr>
          <w:rFonts w:hint="eastAsia" w:ascii="宋体" w:hAnsi="宋体"/>
          <w:sz w:val="28"/>
          <w:szCs w:val="28"/>
        </w:rPr>
        <w:t>本项目的采购公告同时在《河南省政府采购网》、《开封市公共资源交易信息网》上发布。</w:t>
      </w:r>
    </w:p>
    <w:p w14:paraId="78BBBF95">
      <w:pPr>
        <w:spacing w:line="520" w:lineRule="exact"/>
        <w:ind w:firstLine="560" w:firstLineChars="200"/>
        <w:rPr>
          <w:rFonts w:ascii="宋体" w:hAnsi="宋体"/>
          <w:sz w:val="28"/>
          <w:szCs w:val="28"/>
        </w:rPr>
      </w:pPr>
      <w:r>
        <w:rPr>
          <w:rFonts w:hint="eastAsia" w:ascii="宋体" w:hAnsi="宋体"/>
          <w:sz w:val="28"/>
          <w:szCs w:val="28"/>
        </w:rPr>
        <w:t>八、联系方式：</w:t>
      </w:r>
    </w:p>
    <w:p w14:paraId="6B1886EC">
      <w:pPr>
        <w:spacing w:line="520" w:lineRule="exact"/>
        <w:ind w:firstLine="560" w:firstLineChars="200"/>
        <w:rPr>
          <w:rFonts w:ascii="宋体" w:hAnsi="宋体"/>
          <w:sz w:val="28"/>
          <w:szCs w:val="28"/>
        </w:rPr>
      </w:pPr>
      <w:r>
        <w:rPr>
          <w:rFonts w:hint="eastAsia" w:ascii="宋体" w:hAnsi="宋体"/>
          <w:sz w:val="28"/>
          <w:szCs w:val="28"/>
        </w:rPr>
        <w:t>采 购 人：杞县教育体育局</w:t>
      </w:r>
    </w:p>
    <w:p w14:paraId="539EA385">
      <w:pPr>
        <w:spacing w:line="520" w:lineRule="exact"/>
        <w:ind w:firstLine="560" w:firstLineChars="200"/>
        <w:rPr>
          <w:rFonts w:ascii="宋体" w:hAnsi="宋体"/>
          <w:sz w:val="28"/>
          <w:szCs w:val="28"/>
        </w:rPr>
      </w:pPr>
      <w:r>
        <w:rPr>
          <w:rFonts w:hint="eastAsia" w:ascii="宋体" w:hAnsi="宋体"/>
          <w:sz w:val="28"/>
          <w:szCs w:val="28"/>
        </w:rPr>
        <w:t>联 系 人：邓先生</w:t>
      </w:r>
    </w:p>
    <w:p w14:paraId="3EACE8B0">
      <w:pPr>
        <w:spacing w:line="520" w:lineRule="exact"/>
        <w:ind w:firstLine="560" w:firstLineChars="200"/>
        <w:rPr>
          <w:rFonts w:ascii="宋体" w:hAnsi="宋体"/>
          <w:sz w:val="28"/>
          <w:szCs w:val="28"/>
        </w:rPr>
      </w:pPr>
      <w:r>
        <w:rPr>
          <w:rFonts w:hint="eastAsia" w:ascii="宋体" w:hAnsi="宋体"/>
          <w:sz w:val="28"/>
          <w:szCs w:val="28"/>
        </w:rPr>
        <w:t>联系电话：0371-28961628</w:t>
      </w:r>
    </w:p>
    <w:p w14:paraId="6275401A">
      <w:pPr>
        <w:spacing w:line="520" w:lineRule="exact"/>
        <w:ind w:firstLine="560" w:firstLineChars="200"/>
        <w:rPr>
          <w:rFonts w:ascii="宋体" w:hAnsi="宋体"/>
          <w:sz w:val="28"/>
          <w:szCs w:val="28"/>
        </w:rPr>
      </w:pPr>
      <w:r>
        <w:rPr>
          <w:rFonts w:hint="eastAsia" w:ascii="宋体" w:hAnsi="宋体"/>
          <w:sz w:val="28"/>
          <w:szCs w:val="28"/>
        </w:rPr>
        <w:t>联系地址：杞县建设路东段</w:t>
      </w:r>
    </w:p>
    <w:p w14:paraId="1AE06049">
      <w:pPr>
        <w:spacing w:line="520" w:lineRule="exact"/>
        <w:ind w:firstLine="560" w:firstLineChars="200"/>
        <w:rPr>
          <w:rFonts w:ascii="宋体" w:hAnsi="宋体"/>
          <w:sz w:val="28"/>
          <w:szCs w:val="28"/>
        </w:rPr>
      </w:pPr>
      <w:r>
        <w:rPr>
          <w:rFonts w:hint="eastAsia" w:ascii="宋体" w:hAnsi="宋体"/>
          <w:sz w:val="28"/>
          <w:szCs w:val="28"/>
        </w:rPr>
        <w:t>集采机构：杞县公共资源交易服务所</w:t>
      </w:r>
    </w:p>
    <w:p w14:paraId="653AF129">
      <w:pPr>
        <w:spacing w:line="520" w:lineRule="exact"/>
        <w:ind w:firstLine="560" w:firstLineChars="200"/>
        <w:rPr>
          <w:rFonts w:ascii="宋体" w:hAnsi="宋体"/>
          <w:sz w:val="28"/>
          <w:szCs w:val="28"/>
        </w:rPr>
      </w:pPr>
      <w:r>
        <w:rPr>
          <w:rFonts w:hint="eastAsia" w:ascii="宋体" w:hAnsi="宋体"/>
          <w:sz w:val="28"/>
          <w:szCs w:val="28"/>
        </w:rPr>
        <w:t>联 系 人：苏先生</w:t>
      </w:r>
    </w:p>
    <w:p w14:paraId="46844C62">
      <w:pPr>
        <w:spacing w:line="520" w:lineRule="exact"/>
        <w:ind w:firstLine="560" w:firstLineChars="200"/>
        <w:rPr>
          <w:rFonts w:ascii="宋体" w:hAnsi="宋体"/>
          <w:sz w:val="28"/>
          <w:szCs w:val="28"/>
        </w:rPr>
      </w:pPr>
      <w:r>
        <w:rPr>
          <w:rFonts w:hint="eastAsia" w:ascii="宋体" w:hAnsi="宋体"/>
          <w:sz w:val="28"/>
          <w:szCs w:val="28"/>
        </w:rPr>
        <w:t>联系电话：0371-28666996</w:t>
      </w:r>
    </w:p>
    <w:p w14:paraId="474199C5">
      <w:pPr>
        <w:spacing w:line="520" w:lineRule="exact"/>
        <w:ind w:firstLine="560" w:firstLineChars="200"/>
        <w:rPr>
          <w:rFonts w:ascii="宋体" w:hAnsi="宋体"/>
          <w:sz w:val="28"/>
          <w:szCs w:val="28"/>
        </w:rPr>
      </w:pPr>
      <w:r>
        <w:rPr>
          <w:rFonts w:hint="eastAsia" w:ascii="宋体" w:hAnsi="宋体"/>
          <w:sz w:val="28"/>
          <w:szCs w:val="28"/>
        </w:rPr>
        <w:t>联系地址：杞县金城大道与经四路交叉口东北角综合服务大厦</w:t>
      </w:r>
    </w:p>
    <w:p w14:paraId="2111B4C1">
      <w:pPr>
        <w:spacing w:line="520" w:lineRule="exact"/>
        <w:ind w:firstLine="560" w:firstLineChars="200"/>
        <w:rPr>
          <w:rFonts w:ascii="宋体" w:hAnsi="宋体"/>
          <w:sz w:val="28"/>
          <w:szCs w:val="28"/>
        </w:rPr>
      </w:pPr>
      <w:r>
        <w:rPr>
          <w:rFonts w:hint="eastAsia" w:ascii="宋体" w:hAnsi="宋体"/>
          <w:sz w:val="28"/>
          <w:szCs w:val="28"/>
        </w:rPr>
        <w:t>监督部门：杞县政府采购办公室</w:t>
      </w:r>
    </w:p>
    <w:p w14:paraId="6255B7EE">
      <w:pPr>
        <w:spacing w:line="520" w:lineRule="exact"/>
        <w:ind w:firstLine="560" w:firstLineChars="200"/>
        <w:rPr>
          <w:rFonts w:ascii="宋体" w:hAnsi="宋体"/>
          <w:color w:val="000000" w:themeColor="text1"/>
          <w:sz w:val="28"/>
          <w:szCs w:val="28"/>
        </w:rPr>
      </w:pPr>
      <w:r>
        <w:rPr>
          <w:rFonts w:hint="eastAsia" w:ascii="宋体" w:hAnsi="宋体"/>
          <w:sz w:val="28"/>
          <w:szCs w:val="28"/>
        </w:rPr>
        <w:t>联系电话：0371-286669</w:t>
      </w:r>
      <w:r>
        <w:rPr>
          <w:rFonts w:hint="eastAsia" w:ascii="宋体" w:hAnsi="宋体"/>
          <w:color w:val="000000" w:themeColor="text1"/>
          <w:sz w:val="28"/>
          <w:szCs w:val="28"/>
        </w:rPr>
        <w:t>79</w:t>
      </w:r>
    </w:p>
    <w:p w14:paraId="1FB15CC9">
      <w:pPr>
        <w:spacing w:line="520" w:lineRule="exact"/>
        <w:ind w:firstLine="5040" w:firstLineChars="1800"/>
        <w:rPr>
          <w:rFonts w:ascii="宋体" w:hAnsi="宋体"/>
          <w:color w:val="000000" w:themeColor="text1"/>
          <w:sz w:val="28"/>
          <w:szCs w:val="28"/>
        </w:rPr>
      </w:pPr>
      <w:r>
        <w:rPr>
          <w:rFonts w:ascii="宋体" w:hAnsi="宋体"/>
          <w:color w:val="000000" w:themeColor="text1"/>
          <w:sz w:val="28"/>
          <w:szCs w:val="28"/>
        </w:rPr>
        <w:t>20</w:t>
      </w:r>
      <w:r>
        <w:rPr>
          <w:rFonts w:hint="eastAsia" w:ascii="宋体" w:hAnsi="宋体"/>
          <w:color w:val="000000" w:themeColor="text1"/>
          <w:sz w:val="28"/>
          <w:szCs w:val="28"/>
        </w:rPr>
        <w:t>25年</w:t>
      </w:r>
      <w:r>
        <w:rPr>
          <w:rFonts w:hint="eastAsia" w:ascii="宋体" w:hAnsi="宋体"/>
          <w:color w:val="000000" w:themeColor="text1"/>
          <w:sz w:val="28"/>
          <w:szCs w:val="28"/>
          <w:lang w:val="en-US" w:eastAsia="zh-CN"/>
        </w:rPr>
        <w:t>6</w:t>
      </w:r>
      <w:r>
        <w:rPr>
          <w:rFonts w:hint="eastAsia" w:ascii="宋体" w:hAnsi="宋体"/>
          <w:color w:val="000000" w:themeColor="text1"/>
          <w:sz w:val="28"/>
          <w:szCs w:val="28"/>
        </w:rPr>
        <w:t>月1</w:t>
      </w:r>
      <w:r>
        <w:rPr>
          <w:rFonts w:hint="eastAsia" w:ascii="宋体" w:hAnsi="宋体"/>
          <w:color w:val="000000" w:themeColor="text1"/>
          <w:sz w:val="28"/>
          <w:szCs w:val="28"/>
          <w:lang w:val="en-US" w:eastAsia="zh-CN"/>
        </w:rPr>
        <w:t>9</w:t>
      </w:r>
      <w:r>
        <w:rPr>
          <w:rFonts w:hint="eastAsia" w:ascii="宋体" w:hAnsi="宋体"/>
          <w:color w:val="000000" w:themeColor="text1"/>
          <w:sz w:val="28"/>
          <w:szCs w:val="28"/>
        </w:rPr>
        <w:t>日</w:t>
      </w:r>
    </w:p>
    <w:p w14:paraId="58A4AD10">
      <w:pPr>
        <w:pStyle w:val="22"/>
        <w:ind w:firstLine="210"/>
      </w:pPr>
    </w:p>
    <w:p w14:paraId="09032250">
      <w:pPr>
        <w:pStyle w:val="23"/>
        <w:ind w:firstLine="560"/>
      </w:pPr>
    </w:p>
    <w:p w14:paraId="7EE687B4">
      <w:pPr>
        <w:pStyle w:val="23"/>
        <w:ind w:firstLine="560"/>
      </w:pPr>
    </w:p>
    <w:p w14:paraId="17D5F273">
      <w:pPr>
        <w:pStyle w:val="23"/>
        <w:ind w:firstLine="560"/>
      </w:pPr>
    </w:p>
    <w:p w14:paraId="1752E502">
      <w:pPr>
        <w:pStyle w:val="23"/>
        <w:ind w:firstLine="560"/>
      </w:pPr>
    </w:p>
    <w:p w14:paraId="23BC04AC">
      <w:pPr>
        <w:pStyle w:val="23"/>
        <w:ind w:firstLine="560"/>
      </w:pPr>
    </w:p>
    <w:p w14:paraId="7CF9E649">
      <w:pPr>
        <w:pStyle w:val="23"/>
        <w:ind w:firstLine="560"/>
      </w:pPr>
    </w:p>
    <w:p w14:paraId="1FC35E58">
      <w:pPr>
        <w:pStyle w:val="23"/>
        <w:ind w:firstLine="560"/>
      </w:pPr>
    </w:p>
    <w:p w14:paraId="64283F26">
      <w:pPr>
        <w:pStyle w:val="23"/>
        <w:ind w:firstLine="560"/>
      </w:pPr>
    </w:p>
    <w:p w14:paraId="1ADFF0B4">
      <w:pPr>
        <w:pStyle w:val="2"/>
        <w:jc w:val="center"/>
        <w:rPr>
          <w:rStyle w:val="58"/>
          <w:rFonts w:ascii="黑体" w:hAnsi="黑体" w:eastAsia="黑体"/>
          <w:b w:val="0"/>
          <w:bCs w:val="0"/>
        </w:rPr>
      </w:pPr>
      <w:bookmarkStart w:id="12" w:name="_Toc23483"/>
      <w:r>
        <w:rPr>
          <w:rStyle w:val="58"/>
          <w:rFonts w:hint="eastAsia" w:ascii="黑体" w:hAnsi="黑体" w:eastAsia="黑体"/>
          <w:b w:val="0"/>
          <w:bCs w:val="0"/>
        </w:rPr>
        <w:t>第二章 投标人须知</w:t>
      </w:r>
      <w:bookmarkEnd w:id="12"/>
    </w:p>
    <w:p w14:paraId="58D957B3">
      <w:pPr>
        <w:jc w:val="center"/>
        <w:rPr>
          <w:rFonts w:ascii="宋体" w:hAnsi="宋体"/>
          <w:b/>
          <w:bCs/>
          <w:color w:val="000000"/>
          <w:sz w:val="28"/>
          <w:szCs w:val="28"/>
        </w:rPr>
      </w:pPr>
      <w:r>
        <w:rPr>
          <w:rFonts w:hint="eastAsia" w:ascii="宋体" w:hAnsi="宋体"/>
          <w:b/>
          <w:bCs/>
          <w:color w:val="000000"/>
          <w:sz w:val="28"/>
          <w:szCs w:val="28"/>
        </w:rPr>
        <w:t>投标人须知前附表</w:t>
      </w:r>
    </w:p>
    <w:tbl>
      <w:tblPr>
        <w:tblStyle w:val="24"/>
        <w:tblW w:w="9523" w:type="dxa"/>
        <w:tblInd w:w="-28" w:type="dxa"/>
        <w:tblLayout w:type="fixed"/>
        <w:tblCellMar>
          <w:top w:w="0" w:type="dxa"/>
          <w:left w:w="108" w:type="dxa"/>
          <w:bottom w:w="0" w:type="dxa"/>
          <w:right w:w="108" w:type="dxa"/>
        </w:tblCellMar>
      </w:tblPr>
      <w:tblGrid>
        <w:gridCol w:w="906"/>
        <w:gridCol w:w="1942"/>
        <w:gridCol w:w="6675"/>
      </w:tblGrid>
      <w:tr w14:paraId="7250AFB3">
        <w:trPr>
          <w:trHeight w:val="678" w:hRule="atLeast"/>
        </w:trPr>
        <w:tc>
          <w:tcPr>
            <w:tcW w:w="906" w:type="dxa"/>
            <w:tcBorders>
              <w:top w:val="single" w:color="auto" w:sz="4" w:space="0"/>
              <w:left w:val="single" w:color="auto" w:sz="4" w:space="0"/>
              <w:bottom w:val="single" w:color="auto" w:sz="4" w:space="0"/>
              <w:right w:val="single" w:color="auto" w:sz="4" w:space="0"/>
            </w:tcBorders>
            <w:vAlign w:val="center"/>
          </w:tcPr>
          <w:p w14:paraId="6DFC035A">
            <w:pPr>
              <w:spacing w:line="340" w:lineRule="exact"/>
              <w:jc w:val="center"/>
              <w:rPr>
                <w:rFonts w:ascii="宋体" w:hAnsi="宋体" w:cs="宋体"/>
                <w:b/>
                <w:bCs/>
                <w:color w:val="000000"/>
              </w:rPr>
            </w:pPr>
            <w:bookmarkStart w:id="13" w:name="_Toc271554738"/>
            <w:r>
              <w:rPr>
                <w:rFonts w:hint="eastAsia" w:ascii="宋体" w:hAnsi="宋体" w:cs="宋体"/>
                <w:b/>
                <w:bCs/>
                <w:color w:val="000000"/>
              </w:rPr>
              <w:t>条款号</w:t>
            </w:r>
            <w:bookmarkEnd w:id="13"/>
          </w:p>
        </w:tc>
        <w:tc>
          <w:tcPr>
            <w:tcW w:w="1942" w:type="dxa"/>
            <w:tcBorders>
              <w:top w:val="single" w:color="auto" w:sz="4" w:space="0"/>
              <w:left w:val="nil"/>
              <w:bottom w:val="single" w:color="auto" w:sz="4" w:space="0"/>
              <w:right w:val="single" w:color="auto" w:sz="4" w:space="0"/>
            </w:tcBorders>
            <w:vAlign w:val="center"/>
          </w:tcPr>
          <w:p w14:paraId="291EC0D4">
            <w:pPr>
              <w:spacing w:line="340" w:lineRule="exact"/>
              <w:jc w:val="center"/>
              <w:rPr>
                <w:rFonts w:ascii="宋体" w:hAnsi="宋体" w:cs="宋体"/>
                <w:b/>
                <w:bCs/>
                <w:color w:val="000000"/>
              </w:rPr>
            </w:pPr>
            <w:r>
              <w:rPr>
                <w:rFonts w:hint="eastAsia" w:ascii="宋体" w:hAnsi="宋体" w:cs="宋体"/>
                <w:b/>
                <w:bCs/>
                <w:color w:val="000000"/>
              </w:rPr>
              <w:t>条  款  名  称</w:t>
            </w:r>
          </w:p>
        </w:tc>
        <w:tc>
          <w:tcPr>
            <w:tcW w:w="6675" w:type="dxa"/>
            <w:tcBorders>
              <w:top w:val="single" w:color="auto" w:sz="4" w:space="0"/>
              <w:left w:val="nil"/>
              <w:bottom w:val="single" w:color="auto" w:sz="4" w:space="0"/>
              <w:right w:val="single" w:color="auto" w:sz="4" w:space="0"/>
            </w:tcBorders>
            <w:vAlign w:val="center"/>
          </w:tcPr>
          <w:p w14:paraId="064C5CEC">
            <w:pPr>
              <w:spacing w:line="340" w:lineRule="exact"/>
              <w:jc w:val="center"/>
              <w:rPr>
                <w:rFonts w:ascii="宋体" w:hAnsi="宋体" w:cs="宋体"/>
                <w:b/>
                <w:bCs/>
                <w:color w:val="000000"/>
              </w:rPr>
            </w:pPr>
            <w:r>
              <w:rPr>
                <w:rFonts w:hint="eastAsia" w:ascii="宋体" w:hAnsi="宋体" w:cs="宋体"/>
                <w:b/>
                <w:bCs/>
                <w:color w:val="000000"/>
              </w:rPr>
              <w:t>编  列  内  容</w:t>
            </w:r>
          </w:p>
        </w:tc>
      </w:tr>
      <w:tr w14:paraId="7F235A07">
        <w:tblPrEx>
          <w:tblCellMar>
            <w:top w:w="0" w:type="dxa"/>
            <w:left w:w="108" w:type="dxa"/>
            <w:bottom w:w="0" w:type="dxa"/>
            <w:right w:w="108" w:type="dxa"/>
          </w:tblCellMar>
        </w:tblPrEx>
        <w:trPr>
          <w:trHeight w:val="90" w:hRule="atLeast"/>
        </w:trPr>
        <w:tc>
          <w:tcPr>
            <w:tcW w:w="906" w:type="dxa"/>
            <w:tcBorders>
              <w:top w:val="single" w:color="auto" w:sz="4" w:space="0"/>
              <w:left w:val="single" w:color="auto" w:sz="4" w:space="0"/>
              <w:bottom w:val="single" w:color="auto" w:sz="4" w:space="0"/>
              <w:right w:val="single" w:color="auto" w:sz="4" w:space="0"/>
            </w:tcBorders>
            <w:vAlign w:val="center"/>
          </w:tcPr>
          <w:p w14:paraId="40FC76C8">
            <w:pPr>
              <w:numPr>
                <w:ilvl w:val="0"/>
                <w:numId w:val="1"/>
              </w:numPr>
              <w:spacing w:line="340" w:lineRule="exact"/>
              <w:jc w:val="center"/>
              <w:rPr>
                <w:rFonts w:ascii="宋体" w:hAnsi="宋体" w:cs="宋体"/>
                <w:color w:val="000000"/>
              </w:rPr>
            </w:pPr>
          </w:p>
        </w:tc>
        <w:tc>
          <w:tcPr>
            <w:tcW w:w="1942" w:type="dxa"/>
            <w:tcBorders>
              <w:top w:val="single" w:color="auto" w:sz="4" w:space="0"/>
              <w:left w:val="nil"/>
              <w:bottom w:val="single" w:color="auto" w:sz="4" w:space="0"/>
              <w:right w:val="single" w:color="auto" w:sz="4" w:space="0"/>
            </w:tcBorders>
            <w:vAlign w:val="center"/>
          </w:tcPr>
          <w:p w14:paraId="6CF21328">
            <w:pPr>
              <w:spacing w:line="340" w:lineRule="exact"/>
              <w:jc w:val="center"/>
              <w:rPr>
                <w:rFonts w:ascii="宋体" w:hAnsi="宋体" w:cs="宋体"/>
                <w:color w:val="000000"/>
              </w:rPr>
            </w:pPr>
            <w:r>
              <w:rPr>
                <w:rFonts w:hint="eastAsia" w:ascii="宋体" w:hAnsi="宋体" w:cs="宋体"/>
                <w:color w:val="000000"/>
              </w:rPr>
              <w:t>招标人</w:t>
            </w:r>
          </w:p>
        </w:tc>
        <w:tc>
          <w:tcPr>
            <w:tcW w:w="6675" w:type="dxa"/>
            <w:tcBorders>
              <w:top w:val="single" w:color="auto" w:sz="4" w:space="0"/>
              <w:left w:val="nil"/>
              <w:bottom w:val="single" w:color="auto" w:sz="4" w:space="0"/>
              <w:right w:val="single" w:color="auto" w:sz="4" w:space="0"/>
            </w:tcBorders>
            <w:vAlign w:val="center"/>
          </w:tcPr>
          <w:p w14:paraId="7928F9C8">
            <w:pPr>
              <w:spacing w:line="340" w:lineRule="exact"/>
              <w:rPr>
                <w:rFonts w:ascii="宋体" w:hAnsi="宋体" w:cs="宋体"/>
                <w:lang w:val="zh-CN"/>
              </w:rPr>
            </w:pPr>
            <w:r>
              <w:rPr>
                <w:rFonts w:hint="eastAsia" w:ascii="宋体" w:hAnsi="宋体" w:cs="宋体"/>
              </w:rPr>
              <w:t>招标人：杞县教育体育局</w:t>
            </w:r>
          </w:p>
          <w:p w14:paraId="620FB65F">
            <w:pPr>
              <w:spacing w:line="340" w:lineRule="exact"/>
              <w:rPr>
                <w:rFonts w:ascii="宋体" w:hAnsi="宋体" w:cs="宋体"/>
                <w:lang w:val="zh-CN"/>
              </w:rPr>
            </w:pPr>
            <w:r>
              <w:rPr>
                <w:rFonts w:hint="eastAsia" w:ascii="宋体" w:hAnsi="宋体" w:cs="宋体"/>
              </w:rPr>
              <w:t>地  址：杞县建设路东段</w:t>
            </w:r>
          </w:p>
          <w:p w14:paraId="36840A18">
            <w:pPr>
              <w:spacing w:line="340" w:lineRule="exact"/>
              <w:rPr>
                <w:rFonts w:ascii="宋体" w:hAnsi="宋体" w:cs="宋体"/>
                <w:lang w:val="zh-CN"/>
              </w:rPr>
            </w:pPr>
            <w:r>
              <w:rPr>
                <w:rFonts w:hint="eastAsia" w:ascii="宋体" w:hAnsi="宋体" w:cs="宋体"/>
              </w:rPr>
              <w:t>联系人：邓先生</w:t>
            </w:r>
          </w:p>
          <w:p w14:paraId="7FF7A87E">
            <w:pPr>
              <w:spacing w:line="340" w:lineRule="exact"/>
              <w:rPr>
                <w:rFonts w:ascii="宋体" w:hAnsi="宋体" w:cs="宋体"/>
              </w:rPr>
            </w:pPr>
            <w:r>
              <w:rPr>
                <w:rFonts w:hint="eastAsia" w:ascii="宋体" w:hAnsi="宋体" w:cs="宋体"/>
              </w:rPr>
              <w:t>电  话：</w:t>
            </w:r>
            <w:r>
              <w:rPr>
                <w:rFonts w:ascii="宋体" w:hAnsi="宋体" w:cs="宋体"/>
              </w:rPr>
              <w:t>0371-28961628</w:t>
            </w:r>
          </w:p>
        </w:tc>
      </w:tr>
      <w:tr w14:paraId="51C98C61">
        <w:tblPrEx>
          <w:tblCellMar>
            <w:top w:w="0" w:type="dxa"/>
            <w:left w:w="108" w:type="dxa"/>
            <w:bottom w:w="0" w:type="dxa"/>
            <w:right w:w="108" w:type="dxa"/>
          </w:tblCellMar>
        </w:tblPrEx>
        <w:trPr>
          <w:trHeight w:val="684" w:hRule="atLeast"/>
        </w:trPr>
        <w:tc>
          <w:tcPr>
            <w:tcW w:w="906" w:type="dxa"/>
            <w:tcBorders>
              <w:top w:val="single" w:color="auto" w:sz="4" w:space="0"/>
              <w:left w:val="single" w:color="auto" w:sz="4" w:space="0"/>
              <w:bottom w:val="single" w:color="auto" w:sz="4" w:space="0"/>
              <w:right w:val="single" w:color="auto" w:sz="4" w:space="0"/>
            </w:tcBorders>
            <w:vAlign w:val="center"/>
          </w:tcPr>
          <w:p w14:paraId="55CACE55">
            <w:pPr>
              <w:numPr>
                <w:ilvl w:val="0"/>
                <w:numId w:val="1"/>
              </w:numPr>
              <w:spacing w:line="340" w:lineRule="exact"/>
              <w:jc w:val="center"/>
              <w:rPr>
                <w:rFonts w:ascii="宋体" w:hAnsi="宋体" w:cs="宋体"/>
                <w:color w:val="000000"/>
              </w:rPr>
            </w:pPr>
          </w:p>
        </w:tc>
        <w:tc>
          <w:tcPr>
            <w:tcW w:w="1942" w:type="dxa"/>
            <w:tcBorders>
              <w:top w:val="single" w:color="auto" w:sz="4" w:space="0"/>
              <w:left w:val="nil"/>
              <w:bottom w:val="single" w:color="auto" w:sz="4" w:space="0"/>
              <w:right w:val="single" w:color="auto" w:sz="4" w:space="0"/>
            </w:tcBorders>
            <w:vAlign w:val="center"/>
          </w:tcPr>
          <w:p w14:paraId="55FD88B0">
            <w:pPr>
              <w:spacing w:line="340" w:lineRule="exact"/>
              <w:jc w:val="center"/>
              <w:rPr>
                <w:rFonts w:ascii="宋体" w:hAnsi="宋体" w:cs="宋体"/>
                <w:color w:val="000000"/>
              </w:rPr>
            </w:pPr>
            <w:r>
              <w:rPr>
                <w:rFonts w:hint="eastAsia" w:ascii="宋体" w:hAnsi="宋体" w:cs="宋体"/>
                <w:color w:val="000000"/>
              </w:rPr>
              <w:t>招标代理机构</w:t>
            </w:r>
          </w:p>
        </w:tc>
        <w:tc>
          <w:tcPr>
            <w:tcW w:w="6675" w:type="dxa"/>
            <w:tcBorders>
              <w:top w:val="single" w:color="auto" w:sz="4" w:space="0"/>
              <w:left w:val="nil"/>
              <w:bottom w:val="single" w:color="auto" w:sz="4" w:space="0"/>
              <w:right w:val="single" w:color="auto" w:sz="4" w:space="0"/>
            </w:tcBorders>
            <w:vAlign w:val="center"/>
          </w:tcPr>
          <w:p w14:paraId="3EEB5872">
            <w:pPr>
              <w:snapToGrid w:val="0"/>
              <w:spacing w:line="400" w:lineRule="exact"/>
              <w:rPr>
                <w:rFonts w:ascii="宋体" w:hAnsi="宋体"/>
              </w:rPr>
            </w:pPr>
            <w:r>
              <w:rPr>
                <w:rFonts w:ascii="宋体" w:hAnsi="宋体"/>
              </w:rPr>
              <w:t>名  称：杞县公共资源交易服务所</w:t>
            </w:r>
          </w:p>
          <w:p w14:paraId="63197B71">
            <w:pPr>
              <w:snapToGrid w:val="0"/>
              <w:spacing w:line="400" w:lineRule="exact"/>
              <w:rPr>
                <w:rFonts w:ascii="宋体" w:hAnsi="宋体"/>
              </w:rPr>
            </w:pPr>
            <w:r>
              <w:rPr>
                <w:rFonts w:ascii="宋体" w:hAnsi="宋体"/>
              </w:rPr>
              <w:t>联系人：苏先生</w:t>
            </w:r>
            <w:r>
              <w:rPr>
                <w:rFonts w:hint="eastAsia" w:ascii="宋体" w:hAnsi="宋体"/>
              </w:rPr>
              <w:t xml:space="preserve">    </w:t>
            </w:r>
            <w:r>
              <w:rPr>
                <w:rFonts w:ascii="宋体" w:hAnsi="宋体"/>
              </w:rPr>
              <w:t>电  话：0371－2</w:t>
            </w:r>
            <w:r>
              <w:rPr>
                <w:rFonts w:hint="eastAsia" w:ascii="宋体" w:hAnsi="宋体"/>
              </w:rPr>
              <w:t>8666996</w:t>
            </w:r>
            <w:r>
              <w:rPr>
                <w:rFonts w:ascii="宋体" w:hAnsi="宋体"/>
              </w:rPr>
              <w:t xml:space="preserve"> </w:t>
            </w:r>
          </w:p>
          <w:p w14:paraId="17BB40E9">
            <w:pPr>
              <w:spacing w:line="340" w:lineRule="exact"/>
              <w:rPr>
                <w:rFonts w:ascii="宋体" w:hAnsi="宋体" w:cs="宋体"/>
              </w:rPr>
            </w:pPr>
            <w:r>
              <w:rPr>
                <w:rFonts w:hint="eastAsia" w:ascii="宋体" w:hAnsi="宋体"/>
              </w:rPr>
              <w:t>联系地址：杞县金城大道与经四路交叉口东北角综合服务大厦</w:t>
            </w:r>
          </w:p>
        </w:tc>
      </w:tr>
      <w:tr w14:paraId="68BF88F7">
        <w:tblPrEx>
          <w:tblCellMar>
            <w:top w:w="0" w:type="dxa"/>
            <w:left w:w="108" w:type="dxa"/>
            <w:bottom w:w="0" w:type="dxa"/>
            <w:right w:w="108" w:type="dxa"/>
          </w:tblCellMar>
        </w:tblPrEx>
        <w:trPr>
          <w:trHeight w:val="603" w:hRule="atLeast"/>
        </w:trPr>
        <w:tc>
          <w:tcPr>
            <w:tcW w:w="906" w:type="dxa"/>
            <w:tcBorders>
              <w:top w:val="single" w:color="auto" w:sz="4" w:space="0"/>
              <w:left w:val="single" w:color="auto" w:sz="4" w:space="0"/>
              <w:bottom w:val="single" w:color="auto" w:sz="4" w:space="0"/>
              <w:right w:val="single" w:color="auto" w:sz="4" w:space="0"/>
            </w:tcBorders>
            <w:vAlign w:val="center"/>
          </w:tcPr>
          <w:p w14:paraId="10EC9C4C">
            <w:pPr>
              <w:numPr>
                <w:ilvl w:val="0"/>
                <w:numId w:val="1"/>
              </w:numPr>
              <w:spacing w:line="340" w:lineRule="exact"/>
              <w:jc w:val="center"/>
              <w:rPr>
                <w:rFonts w:ascii="宋体" w:hAnsi="宋体" w:cs="宋体"/>
                <w:color w:val="000000"/>
              </w:rPr>
            </w:pPr>
          </w:p>
        </w:tc>
        <w:tc>
          <w:tcPr>
            <w:tcW w:w="1942" w:type="dxa"/>
            <w:tcBorders>
              <w:top w:val="single" w:color="auto" w:sz="4" w:space="0"/>
              <w:left w:val="nil"/>
              <w:bottom w:val="single" w:color="auto" w:sz="4" w:space="0"/>
              <w:right w:val="single" w:color="auto" w:sz="4" w:space="0"/>
            </w:tcBorders>
            <w:vAlign w:val="center"/>
          </w:tcPr>
          <w:p w14:paraId="0EA09106">
            <w:pPr>
              <w:spacing w:line="340" w:lineRule="exact"/>
              <w:jc w:val="center"/>
              <w:rPr>
                <w:rFonts w:ascii="宋体" w:hAnsi="宋体" w:cs="宋体"/>
                <w:color w:val="000000"/>
              </w:rPr>
            </w:pPr>
            <w:r>
              <w:rPr>
                <w:rFonts w:hint="eastAsia" w:ascii="宋体" w:hAnsi="宋体" w:cs="宋体"/>
                <w:color w:val="000000"/>
              </w:rPr>
              <w:t>项目名称</w:t>
            </w:r>
          </w:p>
        </w:tc>
        <w:tc>
          <w:tcPr>
            <w:tcW w:w="6675" w:type="dxa"/>
            <w:tcBorders>
              <w:top w:val="single" w:color="auto" w:sz="4" w:space="0"/>
              <w:left w:val="nil"/>
              <w:bottom w:val="single" w:color="auto" w:sz="4" w:space="0"/>
              <w:right w:val="single" w:color="auto" w:sz="4" w:space="0"/>
            </w:tcBorders>
            <w:vAlign w:val="center"/>
          </w:tcPr>
          <w:p w14:paraId="4046F0C6">
            <w:pPr>
              <w:spacing w:line="340" w:lineRule="exact"/>
              <w:rPr>
                <w:rFonts w:hint="default" w:ascii="宋体" w:hAnsi="宋体" w:eastAsia="宋体" w:cs="宋体"/>
                <w:color w:val="000000"/>
                <w:lang w:val="en-US" w:eastAsia="zh-CN"/>
              </w:rPr>
            </w:pPr>
            <w:r>
              <w:rPr>
                <w:rFonts w:hint="eastAsia" w:ascii="宋体" w:hAnsi="宋体" w:cs="宋体"/>
                <w:color w:val="000000"/>
              </w:rPr>
              <w:t>杞县</w:t>
            </w:r>
            <w:r>
              <w:rPr>
                <w:rFonts w:hint="eastAsia" w:ascii="宋体" w:hAnsi="宋体" w:cs="宋体"/>
                <w:color w:val="000000"/>
                <w:lang w:val="en-US" w:eastAsia="zh-CN"/>
              </w:rPr>
              <w:t>教育体育局设备采购项目</w:t>
            </w:r>
          </w:p>
        </w:tc>
      </w:tr>
      <w:tr w14:paraId="1FFB9139">
        <w:tblPrEx>
          <w:tblCellMar>
            <w:top w:w="0" w:type="dxa"/>
            <w:left w:w="108" w:type="dxa"/>
            <w:bottom w:w="0" w:type="dxa"/>
            <w:right w:w="108" w:type="dxa"/>
          </w:tblCellMar>
        </w:tblPrEx>
        <w:trPr>
          <w:trHeight w:val="603" w:hRule="atLeast"/>
        </w:trPr>
        <w:tc>
          <w:tcPr>
            <w:tcW w:w="906" w:type="dxa"/>
            <w:tcBorders>
              <w:top w:val="single" w:color="auto" w:sz="4" w:space="0"/>
              <w:left w:val="single" w:color="auto" w:sz="4" w:space="0"/>
              <w:bottom w:val="single" w:color="auto" w:sz="4" w:space="0"/>
              <w:right w:val="single" w:color="auto" w:sz="4" w:space="0"/>
            </w:tcBorders>
            <w:vAlign w:val="center"/>
          </w:tcPr>
          <w:p w14:paraId="20836A41">
            <w:pPr>
              <w:numPr>
                <w:ilvl w:val="0"/>
                <w:numId w:val="1"/>
              </w:numPr>
              <w:spacing w:line="340" w:lineRule="exact"/>
              <w:jc w:val="center"/>
              <w:rPr>
                <w:rFonts w:ascii="宋体" w:hAnsi="宋体" w:cs="宋体"/>
                <w:color w:val="000000"/>
              </w:rPr>
            </w:pPr>
          </w:p>
        </w:tc>
        <w:tc>
          <w:tcPr>
            <w:tcW w:w="1942" w:type="dxa"/>
            <w:tcBorders>
              <w:top w:val="single" w:color="auto" w:sz="4" w:space="0"/>
              <w:left w:val="nil"/>
              <w:bottom w:val="single" w:color="auto" w:sz="4" w:space="0"/>
              <w:right w:val="single" w:color="auto" w:sz="4" w:space="0"/>
            </w:tcBorders>
            <w:vAlign w:val="center"/>
          </w:tcPr>
          <w:p w14:paraId="42FCA4A1">
            <w:pPr>
              <w:spacing w:line="340" w:lineRule="exact"/>
              <w:jc w:val="center"/>
              <w:rPr>
                <w:rFonts w:ascii="宋体" w:hAnsi="宋体" w:cs="宋体"/>
                <w:color w:val="000000"/>
              </w:rPr>
            </w:pPr>
            <w:r>
              <w:rPr>
                <w:rFonts w:hint="eastAsia" w:ascii="宋体" w:hAnsi="宋体" w:cs="宋体"/>
                <w:color w:val="000000"/>
              </w:rPr>
              <w:t>标段</w:t>
            </w:r>
          </w:p>
        </w:tc>
        <w:tc>
          <w:tcPr>
            <w:tcW w:w="6675" w:type="dxa"/>
            <w:tcBorders>
              <w:top w:val="single" w:color="auto" w:sz="4" w:space="0"/>
              <w:left w:val="nil"/>
              <w:bottom w:val="single" w:color="auto" w:sz="4" w:space="0"/>
              <w:right w:val="single" w:color="auto" w:sz="4" w:space="0"/>
            </w:tcBorders>
            <w:vAlign w:val="center"/>
          </w:tcPr>
          <w:p w14:paraId="7C1CC5CE">
            <w:pPr>
              <w:spacing w:line="340" w:lineRule="exact"/>
              <w:rPr>
                <w:rFonts w:ascii="宋体" w:hAnsi="宋体" w:cs="宋体"/>
                <w:color w:val="000000"/>
              </w:rPr>
            </w:pPr>
            <w:r>
              <w:rPr>
                <w:rFonts w:hint="eastAsia" w:ascii="宋体" w:hAnsi="宋体" w:cs="宋体"/>
                <w:color w:val="000000"/>
                <w:lang w:val="en-US" w:eastAsia="zh-CN"/>
              </w:rPr>
              <w:t>四</w:t>
            </w:r>
            <w:r>
              <w:rPr>
                <w:rFonts w:hint="eastAsia" w:ascii="宋体" w:hAnsi="宋体" w:cs="宋体"/>
                <w:color w:val="000000"/>
              </w:rPr>
              <w:t>标段</w:t>
            </w:r>
          </w:p>
        </w:tc>
      </w:tr>
      <w:tr w14:paraId="18F5208E">
        <w:tblPrEx>
          <w:tblCellMar>
            <w:top w:w="0" w:type="dxa"/>
            <w:left w:w="108" w:type="dxa"/>
            <w:bottom w:w="0" w:type="dxa"/>
            <w:right w:w="108" w:type="dxa"/>
          </w:tblCellMar>
        </w:tblPrEx>
        <w:trPr>
          <w:trHeight w:val="565" w:hRule="atLeast"/>
        </w:trPr>
        <w:tc>
          <w:tcPr>
            <w:tcW w:w="906" w:type="dxa"/>
            <w:tcBorders>
              <w:top w:val="single" w:color="auto" w:sz="4" w:space="0"/>
              <w:left w:val="single" w:color="auto" w:sz="4" w:space="0"/>
              <w:bottom w:val="single" w:color="auto" w:sz="4" w:space="0"/>
              <w:right w:val="single" w:color="auto" w:sz="4" w:space="0"/>
            </w:tcBorders>
            <w:vAlign w:val="center"/>
          </w:tcPr>
          <w:p w14:paraId="7E8F2989">
            <w:pPr>
              <w:numPr>
                <w:ilvl w:val="0"/>
                <w:numId w:val="1"/>
              </w:numPr>
              <w:spacing w:line="340" w:lineRule="exact"/>
              <w:jc w:val="center"/>
              <w:rPr>
                <w:rFonts w:ascii="宋体" w:hAnsi="宋体" w:cs="宋体"/>
                <w:color w:val="000000"/>
              </w:rPr>
            </w:pPr>
          </w:p>
        </w:tc>
        <w:tc>
          <w:tcPr>
            <w:tcW w:w="1942" w:type="dxa"/>
            <w:tcBorders>
              <w:top w:val="single" w:color="auto" w:sz="4" w:space="0"/>
              <w:left w:val="nil"/>
              <w:bottom w:val="single" w:color="auto" w:sz="4" w:space="0"/>
              <w:right w:val="single" w:color="auto" w:sz="4" w:space="0"/>
            </w:tcBorders>
            <w:vAlign w:val="center"/>
          </w:tcPr>
          <w:p w14:paraId="4CF9477E">
            <w:pPr>
              <w:spacing w:line="340" w:lineRule="exact"/>
              <w:jc w:val="center"/>
              <w:rPr>
                <w:rFonts w:ascii="宋体" w:hAnsi="宋体" w:cs="宋体"/>
                <w:color w:val="000000"/>
              </w:rPr>
            </w:pPr>
            <w:r>
              <w:rPr>
                <w:rFonts w:hint="eastAsia" w:ascii="宋体" w:hAnsi="宋体" w:cs="宋体"/>
                <w:color w:val="000000"/>
              </w:rPr>
              <w:t>项目地点</w:t>
            </w:r>
          </w:p>
        </w:tc>
        <w:tc>
          <w:tcPr>
            <w:tcW w:w="6675" w:type="dxa"/>
            <w:tcBorders>
              <w:top w:val="single" w:color="auto" w:sz="4" w:space="0"/>
              <w:left w:val="nil"/>
              <w:bottom w:val="single" w:color="auto" w:sz="4" w:space="0"/>
              <w:right w:val="single" w:color="auto" w:sz="4" w:space="0"/>
            </w:tcBorders>
            <w:vAlign w:val="center"/>
          </w:tcPr>
          <w:p w14:paraId="03552455">
            <w:pPr>
              <w:spacing w:line="340" w:lineRule="exact"/>
              <w:rPr>
                <w:rFonts w:ascii="宋体" w:hAnsi="宋体" w:cs="宋体"/>
                <w:color w:val="000000"/>
              </w:rPr>
            </w:pPr>
            <w:r>
              <w:rPr>
                <w:rFonts w:hint="eastAsia" w:ascii="宋体" w:hAnsi="宋体" w:cs="宋体"/>
                <w:color w:val="000000"/>
              </w:rPr>
              <w:t>杞县境内</w:t>
            </w:r>
          </w:p>
        </w:tc>
      </w:tr>
      <w:tr w14:paraId="2AA82F4B">
        <w:tblPrEx>
          <w:tblCellMar>
            <w:top w:w="0" w:type="dxa"/>
            <w:left w:w="108" w:type="dxa"/>
            <w:bottom w:w="0" w:type="dxa"/>
            <w:right w:w="108" w:type="dxa"/>
          </w:tblCellMar>
        </w:tblPrEx>
        <w:trPr>
          <w:trHeight w:val="550" w:hRule="atLeast"/>
        </w:trPr>
        <w:tc>
          <w:tcPr>
            <w:tcW w:w="906" w:type="dxa"/>
            <w:tcBorders>
              <w:top w:val="single" w:color="auto" w:sz="4" w:space="0"/>
              <w:left w:val="single" w:color="auto" w:sz="4" w:space="0"/>
              <w:bottom w:val="single" w:color="auto" w:sz="4" w:space="0"/>
              <w:right w:val="single" w:color="auto" w:sz="4" w:space="0"/>
            </w:tcBorders>
            <w:vAlign w:val="center"/>
          </w:tcPr>
          <w:p w14:paraId="59F1FD98">
            <w:pPr>
              <w:numPr>
                <w:ilvl w:val="0"/>
                <w:numId w:val="1"/>
              </w:numPr>
              <w:spacing w:line="340" w:lineRule="exact"/>
              <w:jc w:val="center"/>
              <w:rPr>
                <w:rFonts w:ascii="宋体" w:hAnsi="宋体" w:cs="宋体"/>
                <w:color w:val="000000"/>
              </w:rPr>
            </w:pPr>
          </w:p>
        </w:tc>
        <w:tc>
          <w:tcPr>
            <w:tcW w:w="1942" w:type="dxa"/>
            <w:tcBorders>
              <w:top w:val="single" w:color="auto" w:sz="4" w:space="0"/>
              <w:left w:val="nil"/>
              <w:bottom w:val="single" w:color="auto" w:sz="4" w:space="0"/>
              <w:right w:val="single" w:color="auto" w:sz="4" w:space="0"/>
            </w:tcBorders>
            <w:vAlign w:val="center"/>
          </w:tcPr>
          <w:p w14:paraId="16592EB6">
            <w:pPr>
              <w:spacing w:line="340" w:lineRule="exact"/>
              <w:jc w:val="center"/>
              <w:rPr>
                <w:rFonts w:ascii="宋体" w:hAnsi="宋体" w:cs="宋体"/>
                <w:color w:val="000000"/>
              </w:rPr>
            </w:pPr>
            <w:r>
              <w:rPr>
                <w:rFonts w:hint="eastAsia" w:ascii="宋体" w:hAnsi="宋体" w:cs="宋体"/>
                <w:color w:val="000000"/>
              </w:rPr>
              <w:t>资金来源</w:t>
            </w:r>
          </w:p>
        </w:tc>
        <w:tc>
          <w:tcPr>
            <w:tcW w:w="6675" w:type="dxa"/>
            <w:tcBorders>
              <w:top w:val="single" w:color="auto" w:sz="4" w:space="0"/>
              <w:left w:val="nil"/>
              <w:bottom w:val="single" w:color="auto" w:sz="4" w:space="0"/>
              <w:right w:val="single" w:color="auto" w:sz="4" w:space="0"/>
            </w:tcBorders>
            <w:vAlign w:val="center"/>
          </w:tcPr>
          <w:p w14:paraId="101B8E8E">
            <w:pPr>
              <w:pStyle w:val="20"/>
              <w:shd w:val="clear" w:color="auto" w:fill="FFFFFF"/>
              <w:snapToGrid w:val="0"/>
              <w:spacing w:line="360" w:lineRule="auto"/>
              <w:jc w:val="both"/>
              <w:rPr>
                <w:color w:val="000000"/>
                <w:sz w:val="21"/>
                <w:szCs w:val="21"/>
              </w:rPr>
            </w:pPr>
            <w:r>
              <w:rPr>
                <w:rFonts w:hint="eastAsia"/>
                <w:sz w:val="21"/>
                <w:szCs w:val="21"/>
              </w:rPr>
              <w:t>财政资金</w:t>
            </w:r>
          </w:p>
        </w:tc>
      </w:tr>
      <w:tr w14:paraId="3A7D38A6">
        <w:tblPrEx>
          <w:tblCellMar>
            <w:top w:w="0" w:type="dxa"/>
            <w:left w:w="108" w:type="dxa"/>
            <w:bottom w:w="0" w:type="dxa"/>
            <w:right w:w="108" w:type="dxa"/>
          </w:tblCellMar>
        </w:tblPrEx>
        <w:trPr>
          <w:trHeight w:val="386" w:hRule="atLeast"/>
        </w:trPr>
        <w:tc>
          <w:tcPr>
            <w:tcW w:w="906" w:type="dxa"/>
            <w:tcBorders>
              <w:top w:val="single" w:color="auto" w:sz="4" w:space="0"/>
              <w:left w:val="single" w:color="auto" w:sz="4" w:space="0"/>
              <w:bottom w:val="single" w:color="auto" w:sz="4" w:space="0"/>
              <w:right w:val="single" w:color="auto" w:sz="4" w:space="0"/>
            </w:tcBorders>
            <w:vAlign w:val="center"/>
          </w:tcPr>
          <w:p w14:paraId="4D19164E">
            <w:pPr>
              <w:numPr>
                <w:ilvl w:val="0"/>
                <w:numId w:val="1"/>
              </w:numPr>
              <w:spacing w:line="340" w:lineRule="exact"/>
              <w:jc w:val="center"/>
              <w:rPr>
                <w:rFonts w:ascii="宋体" w:hAnsi="宋体" w:cs="宋体"/>
                <w:color w:val="000000"/>
              </w:rPr>
            </w:pPr>
          </w:p>
        </w:tc>
        <w:tc>
          <w:tcPr>
            <w:tcW w:w="1942" w:type="dxa"/>
            <w:tcBorders>
              <w:top w:val="single" w:color="auto" w:sz="4" w:space="0"/>
              <w:left w:val="nil"/>
              <w:bottom w:val="single" w:color="auto" w:sz="4" w:space="0"/>
              <w:right w:val="single" w:color="auto" w:sz="4" w:space="0"/>
            </w:tcBorders>
            <w:vAlign w:val="center"/>
          </w:tcPr>
          <w:p w14:paraId="5E152563">
            <w:pPr>
              <w:spacing w:line="340" w:lineRule="exact"/>
              <w:jc w:val="center"/>
              <w:rPr>
                <w:rFonts w:ascii="宋体" w:hAnsi="宋体" w:cs="宋体"/>
                <w:color w:val="000000"/>
              </w:rPr>
            </w:pPr>
            <w:r>
              <w:rPr>
                <w:rFonts w:hint="eastAsia" w:ascii="宋体" w:hAnsi="宋体" w:cs="宋体"/>
                <w:color w:val="000000"/>
              </w:rPr>
              <w:t>资金落实情况</w:t>
            </w:r>
          </w:p>
        </w:tc>
        <w:tc>
          <w:tcPr>
            <w:tcW w:w="6675" w:type="dxa"/>
            <w:tcBorders>
              <w:top w:val="single" w:color="auto" w:sz="4" w:space="0"/>
              <w:left w:val="nil"/>
              <w:bottom w:val="single" w:color="auto" w:sz="4" w:space="0"/>
              <w:right w:val="single" w:color="auto" w:sz="4" w:space="0"/>
            </w:tcBorders>
            <w:vAlign w:val="center"/>
          </w:tcPr>
          <w:p w14:paraId="3A3D93AB">
            <w:pPr>
              <w:spacing w:line="340" w:lineRule="exact"/>
              <w:rPr>
                <w:rFonts w:ascii="宋体" w:hAnsi="宋体" w:cs="宋体"/>
                <w:color w:val="000000"/>
              </w:rPr>
            </w:pPr>
            <w:r>
              <w:rPr>
                <w:rFonts w:hint="eastAsia" w:ascii="宋体" w:hAnsi="宋体" w:cs="宋体"/>
                <w:color w:val="000000"/>
              </w:rPr>
              <w:t>已落实</w:t>
            </w:r>
          </w:p>
        </w:tc>
      </w:tr>
      <w:tr w14:paraId="147D4549">
        <w:tblPrEx>
          <w:tblCellMar>
            <w:top w:w="0" w:type="dxa"/>
            <w:left w:w="108" w:type="dxa"/>
            <w:bottom w:w="0" w:type="dxa"/>
            <w:right w:w="108" w:type="dxa"/>
          </w:tblCellMar>
        </w:tblPrEx>
        <w:trPr>
          <w:trHeight w:val="551" w:hRule="atLeast"/>
        </w:trPr>
        <w:tc>
          <w:tcPr>
            <w:tcW w:w="906" w:type="dxa"/>
            <w:tcBorders>
              <w:top w:val="single" w:color="auto" w:sz="4" w:space="0"/>
              <w:left w:val="single" w:color="auto" w:sz="4" w:space="0"/>
              <w:bottom w:val="single" w:color="auto" w:sz="4" w:space="0"/>
              <w:right w:val="single" w:color="auto" w:sz="4" w:space="0"/>
            </w:tcBorders>
            <w:vAlign w:val="center"/>
          </w:tcPr>
          <w:p w14:paraId="05DE8E7E">
            <w:pPr>
              <w:numPr>
                <w:ilvl w:val="0"/>
                <w:numId w:val="1"/>
              </w:numPr>
              <w:spacing w:line="340" w:lineRule="exact"/>
              <w:jc w:val="center"/>
              <w:rPr>
                <w:rFonts w:ascii="宋体" w:hAnsi="宋体" w:cs="宋体"/>
                <w:color w:val="000000"/>
              </w:rPr>
            </w:pPr>
          </w:p>
        </w:tc>
        <w:tc>
          <w:tcPr>
            <w:tcW w:w="1942" w:type="dxa"/>
            <w:tcBorders>
              <w:top w:val="single" w:color="auto" w:sz="4" w:space="0"/>
              <w:left w:val="nil"/>
              <w:bottom w:val="single" w:color="auto" w:sz="4" w:space="0"/>
              <w:right w:val="single" w:color="auto" w:sz="4" w:space="0"/>
            </w:tcBorders>
            <w:vAlign w:val="center"/>
          </w:tcPr>
          <w:p w14:paraId="39BD23CF">
            <w:pPr>
              <w:spacing w:line="340" w:lineRule="exact"/>
              <w:jc w:val="center"/>
              <w:rPr>
                <w:rFonts w:ascii="宋体" w:hAnsi="宋体" w:cs="宋体"/>
                <w:color w:val="000000"/>
              </w:rPr>
            </w:pPr>
            <w:r>
              <w:rPr>
                <w:rFonts w:hint="eastAsia" w:ascii="宋体" w:hAnsi="宋体" w:cs="宋体"/>
                <w:color w:val="000000"/>
              </w:rPr>
              <w:t>招标内容</w:t>
            </w:r>
          </w:p>
        </w:tc>
        <w:tc>
          <w:tcPr>
            <w:tcW w:w="6675" w:type="dxa"/>
            <w:tcBorders>
              <w:top w:val="single" w:color="auto" w:sz="4" w:space="0"/>
              <w:left w:val="nil"/>
              <w:bottom w:val="single" w:color="auto" w:sz="4" w:space="0"/>
              <w:right w:val="single" w:color="auto" w:sz="4" w:space="0"/>
            </w:tcBorders>
            <w:vAlign w:val="center"/>
          </w:tcPr>
          <w:p w14:paraId="70DB365B">
            <w:pPr>
              <w:autoSpaceDE w:val="0"/>
              <w:spacing w:line="460" w:lineRule="exact"/>
              <w:rPr>
                <w:rFonts w:ascii="宋体" w:hAnsi="宋体" w:cs="宋体"/>
                <w:color w:val="000000"/>
              </w:rPr>
            </w:pPr>
            <w:r>
              <w:rPr>
                <w:rFonts w:hint="eastAsia" w:ascii="宋体" w:hAnsi="宋体" w:cs="宋体"/>
                <w:color w:val="000000"/>
              </w:rPr>
              <w:t>智慧互动黑板及打印机一批</w:t>
            </w:r>
          </w:p>
        </w:tc>
      </w:tr>
      <w:tr w14:paraId="10866EC0">
        <w:tblPrEx>
          <w:tblCellMar>
            <w:top w:w="0" w:type="dxa"/>
            <w:left w:w="108" w:type="dxa"/>
            <w:bottom w:w="0" w:type="dxa"/>
            <w:right w:w="108" w:type="dxa"/>
          </w:tblCellMar>
        </w:tblPrEx>
        <w:trPr>
          <w:trHeight w:val="635" w:hRule="atLeast"/>
        </w:trPr>
        <w:tc>
          <w:tcPr>
            <w:tcW w:w="906" w:type="dxa"/>
            <w:tcBorders>
              <w:top w:val="single" w:color="auto" w:sz="4" w:space="0"/>
              <w:left w:val="single" w:color="auto" w:sz="4" w:space="0"/>
              <w:bottom w:val="single" w:color="auto" w:sz="4" w:space="0"/>
              <w:right w:val="single" w:color="auto" w:sz="4" w:space="0"/>
            </w:tcBorders>
            <w:vAlign w:val="center"/>
          </w:tcPr>
          <w:p w14:paraId="6E1BE33F">
            <w:pPr>
              <w:numPr>
                <w:ilvl w:val="0"/>
                <w:numId w:val="1"/>
              </w:numPr>
              <w:spacing w:line="340" w:lineRule="exact"/>
              <w:jc w:val="center"/>
              <w:rPr>
                <w:rFonts w:ascii="宋体" w:hAnsi="宋体" w:cs="宋体"/>
              </w:rPr>
            </w:pPr>
          </w:p>
        </w:tc>
        <w:tc>
          <w:tcPr>
            <w:tcW w:w="1942" w:type="dxa"/>
            <w:tcBorders>
              <w:top w:val="single" w:color="auto" w:sz="4" w:space="0"/>
              <w:left w:val="nil"/>
              <w:bottom w:val="single" w:color="auto" w:sz="4" w:space="0"/>
              <w:right w:val="single" w:color="auto" w:sz="4" w:space="0"/>
            </w:tcBorders>
            <w:vAlign w:val="center"/>
          </w:tcPr>
          <w:p w14:paraId="03610DFD">
            <w:pPr>
              <w:spacing w:line="340" w:lineRule="exact"/>
              <w:jc w:val="center"/>
              <w:rPr>
                <w:rFonts w:ascii="宋体" w:hAnsi="宋体" w:cs="宋体"/>
              </w:rPr>
            </w:pPr>
            <w:r>
              <w:rPr>
                <w:rFonts w:hint="eastAsia" w:ascii="宋体" w:hAnsi="宋体" w:cs="宋体"/>
              </w:rPr>
              <w:t>交货及安装时间</w:t>
            </w:r>
          </w:p>
        </w:tc>
        <w:tc>
          <w:tcPr>
            <w:tcW w:w="6675" w:type="dxa"/>
            <w:tcBorders>
              <w:top w:val="single" w:color="auto" w:sz="4" w:space="0"/>
              <w:left w:val="nil"/>
              <w:bottom w:val="single" w:color="auto" w:sz="4" w:space="0"/>
              <w:right w:val="single" w:color="auto" w:sz="4" w:space="0"/>
            </w:tcBorders>
            <w:vAlign w:val="center"/>
          </w:tcPr>
          <w:p w14:paraId="1DDEBA80">
            <w:pPr>
              <w:spacing w:line="340" w:lineRule="exact"/>
              <w:rPr>
                <w:rFonts w:ascii="宋体" w:hAnsi="宋体" w:cs="宋体"/>
                <w:u w:val="single"/>
              </w:rPr>
            </w:pPr>
            <w:r>
              <w:rPr>
                <w:rFonts w:hint="eastAsia" w:ascii="宋体" w:hAnsi="宋体" w:cs="宋体"/>
              </w:rPr>
              <w:t>合同签订后10天</w:t>
            </w:r>
          </w:p>
        </w:tc>
      </w:tr>
      <w:tr w14:paraId="57307FE5">
        <w:tblPrEx>
          <w:tblCellMar>
            <w:top w:w="0" w:type="dxa"/>
            <w:left w:w="108" w:type="dxa"/>
            <w:bottom w:w="0" w:type="dxa"/>
            <w:right w:w="108" w:type="dxa"/>
          </w:tblCellMar>
        </w:tblPrEx>
        <w:trPr>
          <w:trHeight w:val="635" w:hRule="atLeast"/>
        </w:trPr>
        <w:tc>
          <w:tcPr>
            <w:tcW w:w="906" w:type="dxa"/>
            <w:tcBorders>
              <w:top w:val="single" w:color="auto" w:sz="4" w:space="0"/>
              <w:left w:val="single" w:color="auto" w:sz="4" w:space="0"/>
              <w:bottom w:val="single" w:color="auto" w:sz="4" w:space="0"/>
              <w:right w:val="single" w:color="auto" w:sz="4" w:space="0"/>
            </w:tcBorders>
            <w:vAlign w:val="center"/>
          </w:tcPr>
          <w:p w14:paraId="6B9721D3">
            <w:pPr>
              <w:numPr>
                <w:ilvl w:val="0"/>
                <w:numId w:val="1"/>
              </w:numPr>
              <w:spacing w:line="340" w:lineRule="exact"/>
              <w:jc w:val="center"/>
              <w:rPr>
                <w:rFonts w:ascii="宋体" w:hAnsi="宋体" w:cs="宋体"/>
              </w:rPr>
            </w:pPr>
          </w:p>
        </w:tc>
        <w:tc>
          <w:tcPr>
            <w:tcW w:w="1942" w:type="dxa"/>
            <w:tcBorders>
              <w:top w:val="single" w:color="auto" w:sz="4" w:space="0"/>
              <w:left w:val="nil"/>
              <w:bottom w:val="single" w:color="auto" w:sz="4" w:space="0"/>
              <w:right w:val="single" w:color="auto" w:sz="4" w:space="0"/>
            </w:tcBorders>
            <w:vAlign w:val="center"/>
          </w:tcPr>
          <w:p w14:paraId="5977C728">
            <w:pPr>
              <w:spacing w:line="340" w:lineRule="exact"/>
              <w:jc w:val="center"/>
              <w:rPr>
                <w:rFonts w:ascii="宋体" w:hAnsi="宋体" w:cs="宋体"/>
              </w:rPr>
            </w:pPr>
            <w:r>
              <w:rPr>
                <w:rFonts w:hint="eastAsia" w:ascii="宋体" w:hAnsi="宋体" w:cs="宋体"/>
              </w:rPr>
              <w:t>质量要求</w:t>
            </w:r>
          </w:p>
        </w:tc>
        <w:tc>
          <w:tcPr>
            <w:tcW w:w="6675" w:type="dxa"/>
            <w:tcBorders>
              <w:top w:val="single" w:color="auto" w:sz="4" w:space="0"/>
              <w:left w:val="nil"/>
              <w:bottom w:val="single" w:color="auto" w:sz="4" w:space="0"/>
              <w:right w:val="single" w:color="auto" w:sz="4" w:space="0"/>
            </w:tcBorders>
            <w:vAlign w:val="center"/>
          </w:tcPr>
          <w:p w14:paraId="61350210">
            <w:pPr>
              <w:spacing w:line="340" w:lineRule="exact"/>
              <w:rPr>
                <w:rFonts w:ascii="宋体" w:hAnsi="宋体" w:cs="宋体"/>
              </w:rPr>
            </w:pPr>
            <w:r>
              <w:rPr>
                <w:rFonts w:hint="eastAsia" w:ascii="宋体" w:hAnsi="宋体" w:cs="宋体"/>
              </w:rPr>
              <w:t>合格</w:t>
            </w:r>
          </w:p>
        </w:tc>
      </w:tr>
      <w:tr w14:paraId="1616BE4F">
        <w:tblPrEx>
          <w:tblCellMar>
            <w:top w:w="0" w:type="dxa"/>
            <w:left w:w="108" w:type="dxa"/>
            <w:bottom w:w="0" w:type="dxa"/>
            <w:right w:w="108" w:type="dxa"/>
          </w:tblCellMar>
        </w:tblPrEx>
        <w:trPr>
          <w:trHeight w:val="566" w:hRule="atLeast"/>
        </w:trPr>
        <w:tc>
          <w:tcPr>
            <w:tcW w:w="906" w:type="dxa"/>
            <w:tcBorders>
              <w:top w:val="single" w:color="auto" w:sz="4" w:space="0"/>
              <w:left w:val="single" w:color="auto" w:sz="4" w:space="0"/>
              <w:bottom w:val="single" w:color="auto" w:sz="4" w:space="0"/>
              <w:right w:val="single" w:color="auto" w:sz="4" w:space="0"/>
            </w:tcBorders>
            <w:vAlign w:val="center"/>
          </w:tcPr>
          <w:p w14:paraId="70F6392F">
            <w:pPr>
              <w:numPr>
                <w:ilvl w:val="0"/>
                <w:numId w:val="1"/>
              </w:numPr>
              <w:spacing w:line="340" w:lineRule="exact"/>
              <w:jc w:val="center"/>
              <w:rPr>
                <w:rFonts w:ascii="宋体" w:hAnsi="宋体" w:cs="宋体"/>
                <w:color w:val="000000"/>
              </w:rPr>
            </w:pPr>
          </w:p>
        </w:tc>
        <w:tc>
          <w:tcPr>
            <w:tcW w:w="1942" w:type="dxa"/>
            <w:tcBorders>
              <w:top w:val="single" w:color="auto" w:sz="4" w:space="0"/>
              <w:left w:val="nil"/>
              <w:bottom w:val="single" w:color="auto" w:sz="4" w:space="0"/>
              <w:right w:val="single" w:color="auto" w:sz="4" w:space="0"/>
            </w:tcBorders>
            <w:vAlign w:val="center"/>
          </w:tcPr>
          <w:p w14:paraId="1DB9211D">
            <w:pPr>
              <w:spacing w:line="340" w:lineRule="exact"/>
              <w:jc w:val="center"/>
              <w:rPr>
                <w:rFonts w:ascii="宋体" w:hAnsi="宋体" w:cs="宋体"/>
                <w:color w:val="000000"/>
              </w:rPr>
            </w:pPr>
            <w:r>
              <w:rPr>
                <w:rFonts w:hint="eastAsia" w:ascii="宋体" w:hAnsi="宋体" w:cs="宋体"/>
                <w:color w:val="000000"/>
              </w:rPr>
              <w:t>投标人资格要求</w:t>
            </w:r>
          </w:p>
        </w:tc>
        <w:tc>
          <w:tcPr>
            <w:tcW w:w="6675" w:type="dxa"/>
            <w:tcBorders>
              <w:top w:val="single" w:color="auto" w:sz="4" w:space="0"/>
              <w:left w:val="nil"/>
              <w:bottom w:val="single" w:color="auto" w:sz="4" w:space="0"/>
              <w:right w:val="single" w:color="auto" w:sz="4" w:space="0"/>
            </w:tcBorders>
            <w:vAlign w:val="center"/>
          </w:tcPr>
          <w:p w14:paraId="0EF4C3B7">
            <w:pPr>
              <w:spacing w:line="360" w:lineRule="auto"/>
              <w:rPr>
                <w:rFonts w:ascii="宋体" w:hAnsi="宋体" w:cs="宋体"/>
                <w:b/>
                <w:bCs/>
              </w:rPr>
            </w:pPr>
            <w:r>
              <w:rPr>
                <w:rFonts w:hint="eastAsia" w:ascii="宋体" w:hAnsi="宋体" w:cs="宋体"/>
                <w:b/>
                <w:bCs/>
              </w:rPr>
              <w:t>投标人资格：</w:t>
            </w:r>
          </w:p>
          <w:p w14:paraId="17C09EB8">
            <w:pPr>
              <w:pStyle w:val="20"/>
              <w:shd w:val="clear" w:color="auto" w:fill="FFFFFF"/>
              <w:snapToGrid w:val="0"/>
              <w:spacing w:line="360" w:lineRule="auto"/>
              <w:rPr>
                <w:sz w:val="21"/>
                <w:szCs w:val="21"/>
                <w:shd w:val="clear" w:color="auto" w:fill="FFFFFF"/>
              </w:rPr>
            </w:pPr>
            <w:r>
              <w:rPr>
                <w:rFonts w:hint="eastAsia"/>
                <w:sz w:val="21"/>
                <w:szCs w:val="21"/>
                <w:shd w:val="clear" w:color="auto" w:fill="FFFFFF"/>
              </w:rPr>
              <w:t>1、符合《中华人民共和国政府采购法》第二十二条规定。</w:t>
            </w:r>
          </w:p>
          <w:p w14:paraId="28401876">
            <w:pPr>
              <w:pStyle w:val="20"/>
              <w:shd w:val="clear" w:color="auto" w:fill="FFFFFF"/>
              <w:snapToGrid w:val="0"/>
              <w:spacing w:line="360" w:lineRule="auto"/>
              <w:rPr>
                <w:sz w:val="21"/>
                <w:szCs w:val="21"/>
                <w:shd w:val="clear" w:color="auto" w:fill="FFFFFF"/>
              </w:rPr>
            </w:pPr>
            <w:r>
              <w:rPr>
                <w:rFonts w:hint="eastAsia"/>
                <w:sz w:val="21"/>
                <w:szCs w:val="21"/>
                <w:shd w:val="clear" w:color="auto" w:fill="FFFFFF"/>
              </w:rPr>
              <w:t>（1）具有独立承担民事责任的能力, 提供有效的营业执照。</w:t>
            </w:r>
          </w:p>
          <w:p w14:paraId="2DAC870E">
            <w:pPr>
              <w:pStyle w:val="20"/>
              <w:shd w:val="clear" w:color="auto" w:fill="FFFFFF"/>
              <w:snapToGrid w:val="0"/>
              <w:spacing w:line="360" w:lineRule="auto"/>
              <w:rPr>
                <w:sz w:val="21"/>
                <w:szCs w:val="21"/>
                <w:shd w:val="clear" w:color="auto" w:fill="FFFFFF"/>
              </w:rPr>
            </w:pPr>
            <w:r>
              <w:rPr>
                <w:rFonts w:hint="eastAsia"/>
                <w:sz w:val="21"/>
                <w:szCs w:val="21"/>
                <w:shd w:val="clear" w:color="auto" w:fill="FFFFFF"/>
              </w:rPr>
              <w:t>（2）具有良好的商业信誉和健全的财务会计制度，提供近三年以来任意一年度的财务审计报告（新成立未满一年的公司可提供成立至今的财务报表）。</w:t>
            </w:r>
          </w:p>
          <w:p w14:paraId="38523ED6">
            <w:pPr>
              <w:pStyle w:val="20"/>
              <w:shd w:val="clear" w:color="auto" w:fill="FFFFFF"/>
              <w:snapToGrid w:val="0"/>
              <w:spacing w:line="360" w:lineRule="auto"/>
              <w:rPr>
                <w:sz w:val="21"/>
                <w:szCs w:val="21"/>
                <w:shd w:val="clear" w:color="auto" w:fill="FFFFFF"/>
              </w:rPr>
            </w:pPr>
            <w:r>
              <w:rPr>
                <w:rFonts w:hint="eastAsia"/>
                <w:sz w:val="21"/>
                <w:szCs w:val="21"/>
                <w:shd w:val="clear" w:color="auto" w:fill="FFFFFF"/>
              </w:rPr>
              <w:t>（3）有具依法缴纳税收和社会保障资金的良好记录，提供202</w:t>
            </w:r>
            <w:r>
              <w:rPr>
                <w:rFonts w:hint="eastAsia"/>
                <w:sz w:val="21"/>
                <w:szCs w:val="21"/>
                <w:shd w:val="clear" w:color="auto" w:fill="FFFFFF"/>
                <w:lang w:val="en-US" w:eastAsia="zh-CN"/>
              </w:rPr>
              <w:t>5</w:t>
            </w:r>
            <w:r>
              <w:rPr>
                <w:rFonts w:hint="eastAsia"/>
                <w:sz w:val="21"/>
                <w:szCs w:val="21"/>
                <w:shd w:val="clear" w:color="auto" w:fill="FFFFFF"/>
              </w:rPr>
              <w:t>年1月 1 日以来任意三个月依法缴纳社保和税收的证明材料。（依法免税或不需要缴纳社会保障资金的供应商，应提供相应证明文件）。</w:t>
            </w:r>
          </w:p>
          <w:p w14:paraId="79610D8E">
            <w:pPr>
              <w:pStyle w:val="20"/>
              <w:shd w:val="clear" w:color="auto" w:fill="FFFFFF"/>
              <w:snapToGrid w:val="0"/>
              <w:spacing w:line="360" w:lineRule="auto"/>
              <w:rPr>
                <w:sz w:val="21"/>
                <w:szCs w:val="21"/>
                <w:shd w:val="clear" w:color="auto" w:fill="FFFFFF"/>
              </w:rPr>
            </w:pPr>
            <w:r>
              <w:rPr>
                <w:rFonts w:hint="eastAsia"/>
                <w:sz w:val="21"/>
                <w:szCs w:val="21"/>
                <w:shd w:val="clear" w:color="auto" w:fill="FFFFFF"/>
              </w:rPr>
              <w:t>（4）具有履行合同所必需的设备和专业技术能力。提供相关证明材料或承诺书（格式自拟）。</w:t>
            </w:r>
          </w:p>
          <w:p w14:paraId="0879843B">
            <w:pPr>
              <w:pStyle w:val="20"/>
              <w:shd w:val="clear" w:color="auto" w:fill="FFFFFF"/>
              <w:snapToGrid w:val="0"/>
              <w:spacing w:line="360" w:lineRule="auto"/>
              <w:rPr>
                <w:sz w:val="21"/>
                <w:szCs w:val="21"/>
                <w:shd w:val="clear" w:color="auto" w:fill="FFFFFF"/>
              </w:rPr>
            </w:pPr>
            <w:r>
              <w:rPr>
                <w:rFonts w:hint="eastAsia"/>
                <w:sz w:val="21"/>
                <w:szCs w:val="21"/>
                <w:shd w:val="clear" w:color="auto" w:fill="FFFFFF"/>
              </w:rPr>
              <w:t>（5）参加政府采购活动前 3 年内在经营活动中没有重大违法记录，提供书面声明。</w:t>
            </w:r>
          </w:p>
          <w:p w14:paraId="156C950A">
            <w:pPr>
              <w:pStyle w:val="20"/>
              <w:shd w:val="clear" w:color="auto" w:fill="FFFFFF"/>
              <w:snapToGrid w:val="0"/>
              <w:spacing w:line="360" w:lineRule="auto"/>
              <w:rPr>
                <w:sz w:val="21"/>
                <w:szCs w:val="21"/>
                <w:shd w:val="clear" w:color="auto" w:fill="FFFFFF"/>
              </w:rPr>
            </w:pPr>
            <w:r>
              <w:rPr>
                <w:rFonts w:hint="eastAsia"/>
                <w:sz w:val="21"/>
                <w:szCs w:val="21"/>
                <w:shd w:val="clear" w:color="auto" w:fill="FFFFFF"/>
              </w:rPr>
              <w:t>（6）法律、行政法规规定的其他条件。</w:t>
            </w:r>
          </w:p>
          <w:p w14:paraId="0766BBEA">
            <w:pPr>
              <w:pStyle w:val="20"/>
              <w:shd w:val="clear" w:color="auto" w:fill="FFFFFF"/>
              <w:snapToGrid w:val="0"/>
              <w:spacing w:line="360" w:lineRule="auto"/>
              <w:rPr>
                <w:sz w:val="21"/>
                <w:szCs w:val="21"/>
                <w:shd w:val="clear" w:color="auto" w:fill="FFFFFF"/>
              </w:rPr>
            </w:pPr>
            <w:r>
              <w:rPr>
                <w:rFonts w:hint="eastAsia"/>
                <w:sz w:val="21"/>
                <w:szCs w:val="21"/>
                <w:shd w:val="clear" w:color="auto" w:fill="FFFFFF"/>
              </w:rPr>
              <w:t>2、投标人未列入失信被执行人和重大税收违法失信主体（查询渠道：“信用中国”网站（www.creditchina.gov.cn）、政府采购严重违法失信行为记录名单（查询渠道：中国政府采购网（www.ccgp.gov.cn）；否则，拒绝其投标（提供以上要求的查询网站截图）。</w:t>
            </w:r>
          </w:p>
          <w:p w14:paraId="46048461">
            <w:pPr>
              <w:pStyle w:val="20"/>
              <w:shd w:val="clear" w:color="auto" w:fill="FFFFFF"/>
              <w:snapToGrid w:val="0"/>
              <w:spacing w:line="360" w:lineRule="auto"/>
              <w:rPr>
                <w:sz w:val="21"/>
                <w:szCs w:val="21"/>
                <w:shd w:val="clear" w:color="auto" w:fill="FFFFFF"/>
              </w:rPr>
            </w:pPr>
            <w:r>
              <w:rPr>
                <w:rFonts w:hint="eastAsia"/>
                <w:sz w:val="21"/>
                <w:szCs w:val="21"/>
                <w:shd w:val="clear" w:color="auto" w:fill="FFFFFF"/>
              </w:rPr>
              <w:t>注：各投标人均可就本招标项目标段中任意标段投标，一个投标人只允许中标 1 个标段，中标顺序按标段顺序。</w:t>
            </w:r>
          </w:p>
        </w:tc>
      </w:tr>
      <w:tr w14:paraId="767EE1FB">
        <w:tblPrEx>
          <w:tblCellMar>
            <w:top w:w="0" w:type="dxa"/>
            <w:left w:w="108" w:type="dxa"/>
            <w:bottom w:w="0" w:type="dxa"/>
            <w:right w:w="108" w:type="dxa"/>
          </w:tblCellMar>
        </w:tblPrEx>
        <w:trPr>
          <w:trHeight w:val="680" w:hRule="atLeast"/>
        </w:trPr>
        <w:tc>
          <w:tcPr>
            <w:tcW w:w="906" w:type="dxa"/>
            <w:tcBorders>
              <w:top w:val="single" w:color="auto" w:sz="4" w:space="0"/>
              <w:left w:val="single" w:color="auto" w:sz="4" w:space="0"/>
              <w:bottom w:val="single" w:color="auto" w:sz="4" w:space="0"/>
              <w:right w:val="single" w:color="auto" w:sz="4" w:space="0"/>
            </w:tcBorders>
            <w:vAlign w:val="center"/>
          </w:tcPr>
          <w:p w14:paraId="120DAB5E">
            <w:pPr>
              <w:numPr>
                <w:ilvl w:val="0"/>
                <w:numId w:val="1"/>
              </w:numPr>
              <w:spacing w:line="340" w:lineRule="exact"/>
              <w:jc w:val="center"/>
              <w:rPr>
                <w:rFonts w:ascii="宋体" w:hAnsi="宋体" w:cs="宋体"/>
                <w:color w:val="000000"/>
              </w:rPr>
            </w:pPr>
          </w:p>
        </w:tc>
        <w:tc>
          <w:tcPr>
            <w:tcW w:w="1942" w:type="dxa"/>
            <w:tcBorders>
              <w:top w:val="single" w:color="auto" w:sz="4" w:space="0"/>
              <w:left w:val="nil"/>
              <w:bottom w:val="single" w:color="auto" w:sz="4" w:space="0"/>
              <w:right w:val="single" w:color="auto" w:sz="4" w:space="0"/>
            </w:tcBorders>
            <w:vAlign w:val="center"/>
          </w:tcPr>
          <w:p w14:paraId="608EFACF">
            <w:pPr>
              <w:spacing w:line="340" w:lineRule="exact"/>
              <w:jc w:val="center"/>
              <w:rPr>
                <w:rFonts w:ascii="宋体" w:hAnsi="宋体" w:cs="宋体"/>
                <w:color w:val="000000"/>
              </w:rPr>
            </w:pPr>
            <w:r>
              <w:rPr>
                <w:rFonts w:hint="eastAsia" w:ascii="宋体" w:hAnsi="宋体" w:cs="宋体"/>
                <w:color w:val="000000"/>
              </w:rPr>
              <w:t>是否接受联合体</w:t>
            </w:r>
          </w:p>
          <w:p w14:paraId="58570C36">
            <w:pPr>
              <w:spacing w:line="340" w:lineRule="exact"/>
              <w:jc w:val="center"/>
              <w:rPr>
                <w:rFonts w:ascii="宋体" w:hAnsi="宋体" w:cs="宋体"/>
                <w:color w:val="000000"/>
              </w:rPr>
            </w:pPr>
            <w:r>
              <w:rPr>
                <w:rFonts w:hint="eastAsia" w:ascii="宋体" w:hAnsi="宋体" w:cs="宋体"/>
                <w:color w:val="000000"/>
              </w:rPr>
              <w:t>投标</w:t>
            </w:r>
          </w:p>
        </w:tc>
        <w:tc>
          <w:tcPr>
            <w:tcW w:w="6675" w:type="dxa"/>
            <w:tcBorders>
              <w:top w:val="single" w:color="auto" w:sz="4" w:space="0"/>
              <w:left w:val="nil"/>
              <w:bottom w:val="single" w:color="auto" w:sz="4" w:space="0"/>
              <w:right w:val="single" w:color="auto" w:sz="4" w:space="0"/>
            </w:tcBorders>
            <w:vAlign w:val="center"/>
          </w:tcPr>
          <w:p w14:paraId="5C643588">
            <w:pPr>
              <w:spacing w:line="340" w:lineRule="exact"/>
              <w:rPr>
                <w:rFonts w:ascii="宋体" w:hAnsi="宋体" w:cs="宋体"/>
              </w:rPr>
            </w:pPr>
            <w:r>
              <w:rPr>
                <w:rFonts w:hint="eastAsia" w:ascii="宋体" w:hAnsi="宋体" w:cs="宋体"/>
              </w:rPr>
              <w:t>不接受</w:t>
            </w:r>
          </w:p>
        </w:tc>
      </w:tr>
      <w:tr w14:paraId="48517102">
        <w:tblPrEx>
          <w:tblCellMar>
            <w:top w:w="0" w:type="dxa"/>
            <w:left w:w="108" w:type="dxa"/>
            <w:bottom w:w="0" w:type="dxa"/>
            <w:right w:w="108" w:type="dxa"/>
          </w:tblCellMar>
        </w:tblPrEx>
        <w:trPr>
          <w:trHeight w:val="810" w:hRule="atLeast"/>
        </w:trPr>
        <w:tc>
          <w:tcPr>
            <w:tcW w:w="906" w:type="dxa"/>
            <w:tcBorders>
              <w:top w:val="single" w:color="auto" w:sz="4" w:space="0"/>
              <w:left w:val="single" w:color="auto" w:sz="4" w:space="0"/>
              <w:bottom w:val="single" w:color="auto" w:sz="4" w:space="0"/>
              <w:right w:val="single" w:color="auto" w:sz="4" w:space="0"/>
            </w:tcBorders>
            <w:vAlign w:val="center"/>
          </w:tcPr>
          <w:p w14:paraId="2BA4BB70">
            <w:pPr>
              <w:numPr>
                <w:ilvl w:val="0"/>
                <w:numId w:val="1"/>
              </w:numPr>
              <w:spacing w:line="340" w:lineRule="exact"/>
              <w:rPr>
                <w:rFonts w:ascii="宋体" w:hAnsi="宋体" w:cs="宋体"/>
                <w:color w:val="000000"/>
              </w:rPr>
            </w:pPr>
          </w:p>
        </w:tc>
        <w:tc>
          <w:tcPr>
            <w:tcW w:w="1942" w:type="dxa"/>
            <w:tcBorders>
              <w:top w:val="single" w:color="auto" w:sz="4" w:space="0"/>
              <w:left w:val="nil"/>
              <w:bottom w:val="single" w:color="auto" w:sz="4" w:space="0"/>
              <w:right w:val="single" w:color="auto" w:sz="4" w:space="0"/>
            </w:tcBorders>
            <w:vAlign w:val="center"/>
          </w:tcPr>
          <w:p w14:paraId="296D02D5">
            <w:pPr>
              <w:spacing w:line="340" w:lineRule="exact"/>
              <w:rPr>
                <w:rFonts w:ascii="宋体" w:hAnsi="宋体" w:cs="宋体"/>
              </w:rPr>
            </w:pPr>
            <w:r>
              <w:rPr>
                <w:rFonts w:hint="eastAsia" w:ascii="宋体" w:hAnsi="宋体" w:cs="宋体"/>
              </w:rPr>
              <w:t>踏勘现场</w:t>
            </w:r>
          </w:p>
        </w:tc>
        <w:tc>
          <w:tcPr>
            <w:tcW w:w="6675" w:type="dxa"/>
            <w:tcBorders>
              <w:top w:val="single" w:color="auto" w:sz="4" w:space="0"/>
              <w:left w:val="nil"/>
              <w:bottom w:val="single" w:color="auto" w:sz="4" w:space="0"/>
              <w:right w:val="single" w:color="auto" w:sz="4" w:space="0"/>
            </w:tcBorders>
            <w:vAlign w:val="center"/>
          </w:tcPr>
          <w:p w14:paraId="49B0E07E">
            <w:pPr>
              <w:spacing w:line="340" w:lineRule="exact"/>
              <w:rPr>
                <w:rFonts w:ascii="宋体" w:hAnsi="宋体" w:cs="宋体"/>
              </w:rPr>
            </w:pPr>
            <w:r>
              <w:rPr>
                <w:rFonts w:hint="eastAsia" w:ascii="宋体" w:hAnsi="宋体" w:cs="宋体"/>
              </w:rPr>
              <w:t>不组织</w:t>
            </w:r>
          </w:p>
        </w:tc>
      </w:tr>
      <w:tr w14:paraId="7AC0ECAF">
        <w:tblPrEx>
          <w:tblCellMar>
            <w:top w:w="0" w:type="dxa"/>
            <w:left w:w="108" w:type="dxa"/>
            <w:bottom w:w="0" w:type="dxa"/>
            <w:right w:w="108" w:type="dxa"/>
          </w:tblCellMar>
        </w:tblPrEx>
        <w:trPr>
          <w:trHeight w:val="680" w:hRule="atLeast"/>
        </w:trPr>
        <w:tc>
          <w:tcPr>
            <w:tcW w:w="906" w:type="dxa"/>
            <w:tcBorders>
              <w:top w:val="single" w:color="auto" w:sz="4" w:space="0"/>
              <w:left w:val="single" w:color="auto" w:sz="4" w:space="0"/>
              <w:bottom w:val="single" w:color="auto" w:sz="4" w:space="0"/>
              <w:right w:val="single" w:color="auto" w:sz="4" w:space="0"/>
            </w:tcBorders>
            <w:vAlign w:val="center"/>
          </w:tcPr>
          <w:p w14:paraId="0873B2CD">
            <w:pPr>
              <w:numPr>
                <w:ilvl w:val="0"/>
                <w:numId w:val="1"/>
              </w:numPr>
              <w:spacing w:line="340" w:lineRule="exact"/>
              <w:jc w:val="center"/>
              <w:rPr>
                <w:rFonts w:ascii="宋体" w:hAnsi="宋体" w:cs="宋体"/>
                <w:color w:val="000000"/>
              </w:rPr>
            </w:pPr>
          </w:p>
        </w:tc>
        <w:tc>
          <w:tcPr>
            <w:tcW w:w="1942" w:type="dxa"/>
            <w:tcBorders>
              <w:top w:val="single" w:color="auto" w:sz="4" w:space="0"/>
              <w:left w:val="nil"/>
              <w:bottom w:val="single" w:color="auto" w:sz="4" w:space="0"/>
              <w:right w:val="single" w:color="auto" w:sz="4" w:space="0"/>
            </w:tcBorders>
            <w:vAlign w:val="center"/>
          </w:tcPr>
          <w:p w14:paraId="59CBAC58">
            <w:pPr>
              <w:spacing w:line="340" w:lineRule="exact"/>
              <w:jc w:val="center"/>
              <w:rPr>
                <w:rFonts w:ascii="宋体" w:hAnsi="宋体" w:cs="宋体"/>
                <w:color w:val="000000"/>
              </w:rPr>
            </w:pPr>
            <w:r>
              <w:rPr>
                <w:rFonts w:hint="eastAsia" w:ascii="宋体" w:hAnsi="宋体" w:cs="宋体"/>
                <w:color w:val="000000"/>
              </w:rPr>
              <w:t>招标人书面澄清的时间</w:t>
            </w:r>
          </w:p>
        </w:tc>
        <w:tc>
          <w:tcPr>
            <w:tcW w:w="6675" w:type="dxa"/>
            <w:tcBorders>
              <w:top w:val="single" w:color="auto" w:sz="4" w:space="0"/>
              <w:left w:val="nil"/>
              <w:bottom w:val="single" w:color="auto" w:sz="4" w:space="0"/>
              <w:right w:val="single" w:color="auto" w:sz="4" w:space="0"/>
            </w:tcBorders>
            <w:vAlign w:val="center"/>
          </w:tcPr>
          <w:p w14:paraId="65138E3E">
            <w:pPr>
              <w:spacing w:line="340" w:lineRule="exact"/>
              <w:rPr>
                <w:rFonts w:ascii="宋体" w:hAnsi="宋体" w:cs="宋体"/>
                <w:color w:val="000000"/>
              </w:rPr>
            </w:pPr>
            <w:r>
              <w:rPr>
                <w:rFonts w:hint="eastAsia" w:ascii="宋体" w:hAnsi="宋体" w:cs="宋体"/>
                <w:color w:val="000000"/>
              </w:rPr>
              <w:t>投标截止时间15天前</w:t>
            </w:r>
          </w:p>
        </w:tc>
      </w:tr>
      <w:tr w14:paraId="4CB149C5">
        <w:tblPrEx>
          <w:tblCellMar>
            <w:top w:w="0" w:type="dxa"/>
            <w:left w:w="108" w:type="dxa"/>
            <w:bottom w:w="0" w:type="dxa"/>
            <w:right w:w="108" w:type="dxa"/>
          </w:tblCellMar>
        </w:tblPrEx>
        <w:trPr>
          <w:trHeight w:val="1014" w:hRule="atLeast"/>
        </w:trPr>
        <w:tc>
          <w:tcPr>
            <w:tcW w:w="906" w:type="dxa"/>
            <w:tcBorders>
              <w:top w:val="single" w:color="auto" w:sz="4" w:space="0"/>
              <w:left w:val="single" w:color="auto" w:sz="4" w:space="0"/>
              <w:bottom w:val="single" w:color="auto" w:sz="4" w:space="0"/>
              <w:right w:val="single" w:color="auto" w:sz="4" w:space="0"/>
            </w:tcBorders>
            <w:vAlign w:val="center"/>
          </w:tcPr>
          <w:p w14:paraId="2E25D282">
            <w:pPr>
              <w:numPr>
                <w:ilvl w:val="0"/>
                <w:numId w:val="1"/>
              </w:numPr>
              <w:spacing w:line="340" w:lineRule="exact"/>
              <w:jc w:val="center"/>
              <w:rPr>
                <w:rFonts w:ascii="宋体" w:hAnsi="宋体" w:cs="宋体"/>
                <w:color w:val="000000"/>
              </w:rPr>
            </w:pPr>
          </w:p>
        </w:tc>
        <w:tc>
          <w:tcPr>
            <w:tcW w:w="1942" w:type="dxa"/>
            <w:tcBorders>
              <w:top w:val="single" w:color="auto" w:sz="4" w:space="0"/>
              <w:left w:val="nil"/>
              <w:bottom w:val="single" w:color="auto" w:sz="4" w:space="0"/>
              <w:right w:val="single" w:color="auto" w:sz="4" w:space="0"/>
            </w:tcBorders>
            <w:vAlign w:val="center"/>
          </w:tcPr>
          <w:p w14:paraId="067E5E17">
            <w:pPr>
              <w:spacing w:line="340" w:lineRule="exact"/>
              <w:jc w:val="center"/>
              <w:rPr>
                <w:rFonts w:ascii="宋体" w:hAnsi="宋体" w:cs="宋体"/>
                <w:color w:val="000000"/>
              </w:rPr>
            </w:pPr>
            <w:r>
              <w:rPr>
                <w:rFonts w:hint="eastAsia" w:ascii="宋体" w:hAnsi="宋体" w:cs="宋体"/>
                <w:color w:val="000000"/>
              </w:rPr>
              <w:t>投标人提出质疑的截止时间</w:t>
            </w:r>
          </w:p>
        </w:tc>
        <w:tc>
          <w:tcPr>
            <w:tcW w:w="6675" w:type="dxa"/>
            <w:tcBorders>
              <w:top w:val="single" w:color="auto" w:sz="4" w:space="0"/>
              <w:left w:val="nil"/>
              <w:bottom w:val="single" w:color="auto" w:sz="4" w:space="0"/>
              <w:right w:val="single" w:color="auto" w:sz="4" w:space="0"/>
            </w:tcBorders>
            <w:vAlign w:val="center"/>
          </w:tcPr>
          <w:p w14:paraId="1B6EF886">
            <w:pPr>
              <w:spacing w:line="340" w:lineRule="exact"/>
              <w:rPr>
                <w:rFonts w:ascii="宋体" w:hAnsi="宋体" w:cs="宋体"/>
                <w:color w:val="000000"/>
              </w:rPr>
            </w:pPr>
            <w:r>
              <w:t>供应商认为本次招标活动的招标文件、采购过程、中标或者成交结果使自己的权益受到损害的，可以在知道或应知其权益受到损害之日起7 个工作日内，按照《中华人民共和国财政部令第 94 号--政府采购质疑和投诉办法》规定的程序针对同一采购程序环节一次性实名向采购人</w:t>
            </w:r>
            <w:r>
              <w:rPr>
                <w:rFonts w:hint="eastAsia"/>
              </w:rPr>
              <w:t>或</w:t>
            </w:r>
            <w:r>
              <w:t>采购代理机构提出质疑</w:t>
            </w:r>
            <w:r>
              <w:rPr>
                <w:rFonts w:hint="eastAsia"/>
              </w:rPr>
              <w:t>。</w:t>
            </w:r>
          </w:p>
        </w:tc>
      </w:tr>
      <w:tr w14:paraId="1403431F">
        <w:tblPrEx>
          <w:tblCellMar>
            <w:top w:w="0" w:type="dxa"/>
            <w:left w:w="108" w:type="dxa"/>
            <w:bottom w:w="0" w:type="dxa"/>
            <w:right w:w="108" w:type="dxa"/>
          </w:tblCellMar>
        </w:tblPrEx>
        <w:trPr>
          <w:trHeight w:val="680" w:hRule="atLeast"/>
        </w:trPr>
        <w:tc>
          <w:tcPr>
            <w:tcW w:w="906" w:type="dxa"/>
            <w:tcBorders>
              <w:top w:val="single" w:color="auto" w:sz="4" w:space="0"/>
              <w:left w:val="single" w:color="auto" w:sz="4" w:space="0"/>
              <w:bottom w:val="single" w:color="auto" w:sz="4" w:space="0"/>
              <w:right w:val="single" w:color="auto" w:sz="4" w:space="0"/>
            </w:tcBorders>
            <w:vAlign w:val="center"/>
          </w:tcPr>
          <w:p w14:paraId="667E8648">
            <w:pPr>
              <w:numPr>
                <w:ilvl w:val="0"/>
                <w:numId w:val="1"/>
              </w:numPr>
              <w:spacing w:line="340" w:lineRule="exact"/>
              <w:jc w:val="center"/>
              <w:rPr>
                <w:rFonts w:ascii="宋体" w:hAnsi="宋体" w:cs="宋体"/>
                <w:color w:val="000000"/>
              </w:rPr>
            </w:pPr>
          </w:p>
        </w:tc>
        <w:tc>
          <w:tcPr>
            <w:tcW w:w="1942" w:type="dxa"/>
            <w:tcBorders>
              <w:top w:val="single" w:color="auto" w:sz="4" w:space="0"/>
              <w:left w:val="nil"/>
              <w:bottom w:val="single" w:color="auto" w:sz="4" w:space="0"/>
              <w:right w:val="single" w:color="auto" w:sz="4" w:space="0"/>
            </w:tcBorders>
            <w:vAlign w:val="center"/>
          </w:tcPr>
          <w:p w14:paraId="48FA5DFD">
            <w:pPr>
              <w:spacing w:line="340" w:lineRule="exact"/>
              <w:jc w:val="center"/>
              <w:rPr>
                <w:rFonts w:ascii="宋体" w:hAnsi="宋体" w:cs="宋体"/>
                <w:color w:val="000000"/>
              </w:rPr>
            </w:pPr>
            <w:r>
              <w:rPr>
                <w:rFonts w:hint="eastAsia" w:ascii="宋体" w:hAnsi="宋体" w:cs="宋体"/>
                <w:color w:val="000000"/>
              </w:rPr>
              <w:t>偏离</w:t>
            </w:r>
          </w:p>
        </w:tc>
        <w:tc>
          <w:tcPr>
            <w:tcW w:w="6675" w:type="dxa"/>
            <w:tcBorders>
              <w:top w:val="single" w:color="auto" w:sz="4" w:space="0"/>
              <w:left w:val="nil"/>
              <w:bottom w:val="single" w:color="auto" w:sz="4" w:space="0"/>
              <w:right w:val="single" w:color="auto" w:sz="4" w:space="0"/>
            </w:tcBorders>
            <w:vAlign w:val="center"/>
          </w:tcPr>
          <w:p w14:paraId="7AEBC2E3">
            <w:pPr>
              <w:spacing w:line="340" w:lineRule="exact"/>
              <w:rPr>
                <w:rFonts w:ascii="宋体" w:hAnsi="宋体" w:cs="宋体"/>
                <w:color w:val="000000"/>
              </w:rPr>
            </w:pPr>
            <w:r>
              <w:rPr>
                <w:rFonts w:hint="eastAsia" w:ascii="宋体" w:hAnsi="宋体" w:cs="宋体"/>
                <w:color w:val="000000"/>
              </w:rPr>
              <w:t>不允许大的偏离</w:t>
            </w:r>
          </w:p>
        </w:tc>
      </w:tr>
      <w:tr w14:paraId="47F57A97">
        <w:tblPrEx>
          <w:tblCellMar>
            <w:top w:w="0" w:type="dxa"/>
            <w:left w:w="108" w:type="dxa"/>
            <w:bottom w:w="0" w:type="dxa"/>
            <w:right w:w="108" w:type="dxa"/>
          </w:tblCellMar>
        </w:tblPrEx>
        <w:trPr>
          <w:trHeight w:val="750" w:hRule="atLeast"/>
        </w:trPr>
        <w:tc>
          <w:tcPr>
            <w:tcW w:w="906" w:type="dxa"/>
            <w:tcBorders>
              <w:top w:val="single" w:color="auto" w:sz="4" w:space="0"/>
              <w:left w:val="single" w:color="auto" w:sz="4" w:space="0"/>
              <w:bottom w:val="single" w:color="auto" w:sz="4" w:space="0"/>
              <w:right w:val="single" w:color="auto" w:sz="4" w:space="0"/>
            </w:tcBorders>
            <w:vAlign w:val="center"/>
          </w:tcPr>
          <w:p w14:paraId="5F6C38FB">
            <w:pPr>
              <w:numPr>
                <w:ilvl w:val="0"/>
                <w:numId w:val="1"/>
              </w:numPr>
              <w:spacing w:line="340" w:lineRule="exact"/>
              <w:jc w:val="center"/>
              <w:rPr>
                <w:rFonts w:ascii="宋体" w:hAnsi="宋体" w:cs="宋体"/>
                <w:color w:val="000000"/>
              </w:rPr>
            </w:pPr>
          </w:p>
        </w:tc>
        <w:tc>
          <w:tcPr>
            <w:tcW w:w="1942" w:type="dxa"/>
            <w:tcBorders>
              <w:top w:val="single" w:color="auto" w:sz="4" w:space="0"/>
              <w:left w:val="nil"/>
              <w:bottom w:val="single" w:color="auto" w:sz="4" w:space="0"/>
              <w:right w:val="single" w:color="auto" w:sz="4" w:space="0"/>
            </w:tcBorders>
            <w:vAlign w:val="center"/>
          </w:tcPr>
          <w:p w14:paraId="17438F5F">
            <w:pPr>
              <w:spacing w:line="340" w:lineRule="exact"/>
              <w:jc w:val="center"/>
              <w:rPr>
                <w:rFonts w:ascii="宋体" w:hAnsi="宋体" w:cs="宋体"/>
                <w:color w:val="000000"/>
              </w:rPr>
            </w:pPr>
            <w:r>
              <w:rPr>
                <w:rFonts w:hint="eastAsia" w:ascii="宋体" w:hAnsi="宋体" w:cs="宋体"/>
                <w:color w:val="000000"/>
              </w:rPr>
              <w:t>构成招标文件</w:t>
            </w:r>
          </w:p>
          <w:p w14:paraId="34CE2D4F">
            <w:pPr>
              <w:spacing w:line="340" w:lineRule="exact"/>
              <w:jc w:val="center"/>
              <w:rPr>
                <w:rFonts w:ascii="宋体" w:hAnsi="宋体" w:cs="宋体"/>
                <w:color w:val="000000"/>
              </w:rPr>
            </w:pPr>
            <w:r>
              <w:rPr>
                <w:rFonts w:hint="eastAsia" w:ascii="宋体" w:hAnsi="宋体" w:cs="宋体"/>
                <w:color w:val="000000"/>
              </w:rPr>
              <w:t>的其他材料</w:t>
            </w:r>
          </w:p>
        </w:tc>
        <w:tc>
          <w:tcPr>
            <w:tcW w:w="6675" w:type="dxa"/>
            <w:tcBorders>
              <w:top w:val="single" w:color="auto" w:sz="4" w:space="0"/>
              <w:left w:val="nil"/>
              <w:bottom w:val="single" w:color="auto" w:sz="4" w:space="0"/>
              <w:right w:val="single" w:color="auto" w:sz="4" w:space="0"/>
            </w:tcBorders>
            <w:vAlign w:val="center"/>
          </w:tcPr>
          <w:p w14:paraId="2B460356">
            <w:pPr>
              <w:spacing w:line="340" w:lineRule="exact"/>
              <w:rPr>
                <w:rFonts w:ascii="宋体" w:hAnsi="宋体" w:cs="宋体"/>
                <w:color w:val="000000"/>
              </w:rPr>
            </w:pPr>
            <w:r>
              <w:rPr>
                <w:rFonts w:hint="eastAsia" w:ascii="宋体" w:hAnsi="宋体" w:cs="宋体"/>
                <w:color w:val="000000"/>
              </w:rPr>
              <w:t>补遗通知（如有）</w:t>
            </w:r>
          </w:p>
        </w:tc>
      </w:tr>
      <w:tr w14:paraId="47AF508E">
        <w:tblPrEx>
          <w:tblCellMar>
            <w:top w:w="0" w:type="dxa"/>
            <w:left w:w="108" w:type="dxa"/>
            <w:bottom w:w="0" w:type="dxa"/>
            <w:right w:w="108" w:type="dxa"/>
          </w:tblCellMar>
        </w:tblPrEx>
        <w:trPr>
          <w:trHeight w:val="750" w:hRule="atLeast"/>
        </w:trPr>
        <w:tc>
          <w:tcPr>
            <w:tcW w:w="906" w:type="dxa"/>
            <w:tcBorders>
              <w:top w:val="single" w:color="auto" w:sz="4" w:space="0"/>
              <w:left w:val="single" w:color="auto" w:sz="4" w:space="0"/>
              <w:bottom w:val="single" w:color="auto" w:sz="4" w:space="0"/>
              <w:right w:val="single" w:color="auto" w:sz="4" w:space="0"/>
            </w:tcBorders>
            <w:vAlign w:val="center"/>
          </w:tcPr>
          <w:p w14:paraId="347EF4DC">
            <w:pPr>
              <w:numPr>
                <w:ilvl w:val="0"/>
                <w:numId w:val="1"/>
              </w:numPr>
              <w:spacing w:line="340" w:lineRule="exact"/>
              <w:jc w:val="center"/>
              <w:rPr>
                <w:rFonts w:ascii="宋体" w:hAnsi="宋体" w:cs="宋体"/>
                <w:color w:val="000000"/>
              </w:rPr>
            </w:pPr>
          </w:p>
        </w:tc>
        <w:tc>
          <w:tcPr>
            <w:tcW w:w="1942" w:type="dxa"/>
            <w:tcBorders>
              <w:top w:val="single" w:color="auto" w:sz="4" w:space="0"/>
              <w:left w:val="nil"/>
              <w:bottom w:val="single" w:color="auto" w:sz="4" w:space="0"/>
              <w:right w:val="single" w:color="auto" w:sz="4" w:space="0"/>
            </w:tcBorders>
            <w:vAlign w:val="center"/>
          </w:tcPr>
          <w:p w14:paraId="5DA52D2C">
            <w:pPr>
              <w:spacing w:line="340" w:lineRule="exact"/>
              <w:rPr>
                <w:rFonts w:ascii="宋体" w:hAnsi="宋体" w:cs="宋体"/>
                <w:color w:val="000000"/>
              </w:rPr>
            </w:pPr>
            <w:r>
              <w:rPr>
                <w:rFonts w:hint="eastAsia" w:ascii="宋体" w:hAnsi="宋体" w:cs="宋体"/>
                <w:color w:val="000000"/>
              </w:rPr>
              <w:t>投标人要求澄清招标文件的截止时间</w:t>
            </w:r>
          </w:p>
        </w:tc>
        <w:tc>
          <w:tcPr>
            <w:tcW w:w="6675" w:type="dxa"/>
            <w:tcBorders>
              <w:top w:val="single" w:color="auto" w:sz="4" w:space="0"/>
              <w:left w:val="nil"/>
              <w:bottom w:val="single" w:color="auto" w:sz="4" w:space="0"/>
              <w:right w:val="single" w:color="auto" w:sz="4" w:space="0"/>
            </w:tcBorders>
            <w:vAlign w:val="center"/>
          </w:tcPr>
          <w:p w14:paraId="27A6C6A9">
            <w:pPr>
              <w:spacing w:line="340" w:lineRule="exact"/>
              <w:rPr>
                <w:rFonts w:ascii="宋体" w:hAnsi="宋体" w:cs="宋体"/>
                <w:color w:val="000000"/>
              </w:rPr>
            </w:pPr>
            <w:r>
              <w:rPr>
                <w:rFonts w:hint="eastAsia" w:ascii="宋体" w:hAnsi="宋体" w:cs="宋体"/>
                <w:color w:val="000000"/>
              </w:rPr>
              <w:t>自收到异议起3日内</w:t>
            </w:r>
          </w:p>
        </w:tc>
      </w:tr>
      <w:tr w14:paraId="03B7EEA3">
        <w:tblPrEx>
          <w:tblCellMar>
            <w:top w:w="0" w:type="dxa"/>
            <w:left w:w="108" w:type="dxa"/>
            <w:bottom w:w="0" w:type="dxa"/>
            <w:right w:w="108" w:type="dxa"/>
          </w:tblCellMar>
        </w:tblPrEx>
        <w:trPr>
          <w:trHeight w:val="680" w:hRule="atLeast"/>
        </w:trPr>
        <w:tc>
          <w:tcPr>
            <w:tcW w:w="906" w:type="dxa"/>
            <w:tcBorders>
              <w:top w:val="single" w:color="auto" w:sz="4" w:space="0"/>
              <w:left w:val="single" w:color="auto" w:sz="4" w:space="0"/>
              <w:bottom w:val="single" w:color="auto" w:sz="4" w:space="0"/>
              <w:right w:val="single" w:color="auto" w:sz="4" w:space="0"/>
            </w:tcBorders>
            <w:vAlign w:val="center"/>
          </w:tcPr>
          <w:p w14:paraId="02C0C785">
            <w:pPr>
              <w:numPr>
                <w:ilvl w:val="0"/>
                <w:numId w:val="1"/>
              </w:numPr>
              <w:spacing w:line="340" w:lineRule="exact"/>
              <w:jc w:val="center"/>
              <w:rPr>
                <w:rFonts w:ascii="宋体" w:hAnsi="宋体" w:cs="宋体"/>
                <w:b/>
                <w:bCs/>
              </w:rPr>
            </w:pPr>
          </w:p>
        </w:tc>
        <w:tc>
          <w:tcPr>
            <w:tcW w:w="1942" w:type="dxa"/>
            <w:tcBorders>
              <w:top w:val="single" w:color="auto" w:sz="4" w:space="0"/>
              <w:left w:val="nil"/>
              <w:bottom w:val="single" w:color="auto" w:sz="4" w:space="0"/>
              <w:right w:val="single" w:color="auto" w:sz="4" w:space="0"/>
            </w:tcBorders>
            <w:vAlign w:val="center"/>
          </w:tcPr>
          <w:p w14:paraId="7C67DE2E">
            <w:pPr>
              <w:spacing w:line="340" w:lineRule="exact"/>
              <w:jc w:val="center"/>
              <w:rPr>
                <w:rFonts w:ascii="宋体" w:hAnsi="宋体" w:cs="宋体"/>
                <w:b/>
                <w:bCs/>
                <w:color w:val="000000" w:themeColor="text1"/>
              </w:rPr>
            </w:pPr>
            <w:r>
              <w:rPr>
                <w:rFonts w:hint="eastAsia" w:ascii="宋体" w:hAnsi="宋体" w:cs="宋体"/>
                <w:b/>
                <w:bCs/>
                <w:color w:val="000000" w:themeColor="text1"/>
              </w:rPr>
              <w:t>投标截止时间</w:t>
            </w:r>
          </w:p>
        </w:tc>
        <w:tc>
          <w:tcPr>
            <w:tcW w:w="6675" w:type="dxa"/>
            <w:tcBorders>
              <w:top w:val="single" w:color="auto" w:sz="4" w:space="0"/>
              <w:left w:val="nil"/>
              <w:bottom w:val="single" w:color="auto" w:sz="4" w:space="0"/>
              <w:right w:val="single" w:color="auto" w:sz="4" w:space="0"/>
            </w:tcBorders>
            <w:vAlign w:val="center"/>
          </w:tcPr>
          <w:p w14:paraId="0AEB64B5">
            <w:pPr>
              <w:spacing w:line="340" w:lineRule="exact"/>
              <w:rPr>
                <w:rFonts w:ascii="宋体" w:hAnsi="宋体" w:cs="宋体"/>
                <w:b/>
                <w:bCs/>
                <w:color w:val="000000" w:themeColor="text1"/>
              </w:rPr>
            </w:pPr>
            <w:r>
              <w:rPr>
                <w:rFonts w:hint="eastAsia" w:ascii="宋体" w:hAnsi="宋体" w:cs="宋体"/>
                <w:b/>
                <w:bCs/>
                <w:color w:val="000000" w:themeColor="text1"/>
              </w:rPr>
              <w:t>2025年</w:t>
            </w:r>
            <w:r>
              <w:rPr>
                <w:rFonts w:hint="eastAsia" w:ascii="宋体" w:hAnsi="宋体" w:cs="宋体"/>
                <w:b/>
                <w:bCs/>
                <w:color w:val="000000" w:themeColor="text1"/>
                <w:lang w:val="en-US" w:eastAsia="zh-CN"/>
              </w:rPr>
              <w:t>7</w:t>
            </w:r>
            <w:r>
              <w:rPr>
                <w:rFonts w:hint="eastAsia" w:ascii="宋体" w:hAnsi="宋体" w:cs="宋体"/>
                <w:b/>
                <w:bCs/>
                <w:color w:val="000000" w:themeColor="text1"/>
                <w:u w:val="single"/>
              </w:rPr>
              <w:t>月</w:t>
            </w:r>
            <w:r>
              <w:rPr>
                <w:rFonts w:hint="eastAsia" w:ascii="宋体" w:hAnsi="宋体" w:cs="宋体"/>
                <w:b/>
                <w:bCs/>
                <w:color w:val="000000" w:themeColor="text1"/>
                <w:u w:val="single"/>
                <w:lang w:val="en-US" w:eastAsia="zh-CN"/>
              </w:rPr>
              <w:t>10</w:t>
            </w:r>
            <w:r>
              <w:rPr>
                <w:rFonts w:hint="eastAsia" w:ascii="宋体" w:hAnsi="宋体" w:cs="宋体"/>
                <w:b/>
                <w:bCs/>
                <w:color w:val="000000" w:themeColor="text1"/>
                <w:u w:val="single"/>
              </w:rPr>
              <w:t>日 9时 30 分</w:t>
            </w:r>
            <w:r>
              <w:rPr>
                <w:rFonts w:hint="eastAsia" w:ascii="宋体" w:hAnsi="宋体" w:cs="宋体"/>
                <w:b/>
                <w:bCs/>
                <w:color w:val="000000" w:themeColor="text1"/>
              </w:rPr>
              <w:t>（北京时间）</w:t>
            </w:r>
          </w:p>
        </w:tc>
      </w:tr>
      <w:tr w14:paraId="1EFF259E">
        <w:tblPrEx>
          <w:tblCellMar>
            <w:top w:w="0" w:type="dxa"/>
            <w:left w:w="108" w:type="dxa"/>
            <w:bottom w:w="0" w:type="dxa"/>
            <w:right w:w="108" w:type="dxa"/>
          </w:tblCellMar>
        </w:tblPrEx>
        <w:trPr>
          <w:trHeight w:val="90" w:hRule="atLeast"/>
        </w:trPr>
        <w:tc>
          <w:tcPr>
            <w:tcW w:w="906" w:type="dxa"/>
            <w:tcBorders>
              <w:top w:val="single" w:color="auto" w:sz="4" w:space="0"/>
              <w:left w:val="single" w:color="auto" w:sz="4" w:space="0"/>
              <w:bottom w:val="single" w:color="auto" w:sz="4" w:space="0"/>
              <w:right w:val="single" w:color="auto" w:sz="4" w:space="0"/>
            </w:tcBorders>
            <w:vAlign w:val="center"/>
          </w:tcPr>
          <w:p w14:paraId="46A6B6D4">
            <w:pPr>
              <w:numPr>
                <w:ilvl w:val="0"/>
                <w:numId w:val="1"/>
              </w:numPr>
              <w:spacing w:line="340" w:lineRule="exact"/>
              <w:jc w:val="center"/>
              <w:rPr>
                <w:rFonts w:ascii="宋体" w:hAnsi="宋体" w:cs="宋体"/>
                <w:color w:val="000000"/>
              </w:rPr>
            </w:pPr>
          </w:p>
        </w:tc>
        <w:tc>
          <w:tcPr>
            <w:tcW w:w="1942" w:type="dxa"/>
            <w:tcBorders>
              <w:top w:val="single" w:color="auto" w:sz="4" w:space="0"/>
              <w:left w:val="nil"/>
              <w:bottom w:val="single" w:color="auto" w:sz="4" w:space="0"/>
              <w:right w:val="single" w:color="auto" w:sz="4" w:space="0"/>
            </w:tcBorders>
            <w:vAlign w:val="center"/>
          </w:tcPr>
          <w:p w14:paraId="6EAFCFC6">
            <w:pPr>
              <w:spacing w:line="340" w:lineRule="exact"/>
              <w:jc w:val="center"/>
              <w:rPr>
                <w:rFonts w:ascii="宋体" w:hAnsi="宋体" w:cs="宋体"/>
                <w:color w:val="000000"/>
              </w:rPr>
            </w:pPr>
            <w:r>
              <w:rPr>
                <w:rFonts w:hint="eastAsia" w:ascii="宋体" w:hAnsi="宋体" w:cs="宋体"/>
                <w:color w:val="000000"/>
              </w:rPr>
              <w:t>投标人确认收到招标文件澄清的时间</w:t>
            </w:r>
          </w:p>
        </w:tc>
        <w:tc>
          <w:tcPr>
            <w:tcW w:w="6675" w:type="dxa"/>
            <w:tcBorders>
              <w:top w:val="single" w:color="auto" w:sz="4" w:space="0"/>
              <w:left w:val="nil"/>
              <w:bottom w:val="single" w:color="auto" w:sz="4" w:space="0"/>
              <w:right w:val="single" w:color="auto" w:sz="4" w:space="0"/>
            </w:tcBorders>
            <w:vAlign w:val="center"/>
          </w:tcPr>
          <w:p w14:paraId="7AF67868">
            <w:pPr>
              <w:spacing w:line="340" w:lineRule="exact"/>
              <w:rPr>
                <w:rFonts w:ascii="宋体" w:hAnsi="宋体" w:cs="宋体"/>
                <w:u w:val="single"/>
              </w:rPr>
            </w:pPr>
            <w:r>
              <w:rPr>
                <w:rFonts w:hint="eastAsia" w:ascii="宋体" w:hAnsi="宋体" w:cs="宋体"/>
              </w:rPr>
              <w:t>在收到相应澄清文件后</w:t>
            </w:r>
            <w:r>
              <w:rPr>
                <w:rFonts w:hint="eastAsia" w:ascii="宋体" w:hAnsi="宋体" w:cs="宋体"/>
                <w:u w:val="single"/>
              </w:rPr>
              <w:t xml:space="preserve"> 24 </w:t>
            </w:r>
            <w:r>
              <w:rPr>
                <w:rFonts w:hint="eastAsia" w:ascii="宋体" w:hAnsi="宋体" w:cs="宋体"/>
              </w:rPr>
              <w:t>小时内（以系统内发布时间为准）</w:t>
            </w:r>
          </w:p>
        </w:tc>
      </w:tr>
      <w:tr w14:paraId="03AACA6A">
        <w:tblPrEx>
          <w:tblCellMar>
            <w:top w:w="0" w:type="dxa"/>
            <w:left w:w="108" w:type="dxa"/>
            <w:bottom w:w="0" w:type="dxa"/>
            <w:right w:w="108" w:type="dxa"/>
          </w:tblCellMar>
        </w:tblPrEx>
        <w:trPr>
          <w:trHeight w:val="1217" w:hRule="atLeast"/>
        </w:trPr>
        <w:tc>
          <w:tcPr>
            <w:tcW w:w="906" w:type="dxa"/>
            <w:tcBorders>
              <w:top w:val="single" w:color="auto" w:sz="4" w:space="0"/>
              <w:left w:val="single" w:color="auto" w:sz="4" w:space="0"/>
              <w:bottom w:val="single" w:color="auto" w:sz="4" w:space="0"/>
              <w:right w:val="single" w:color="auto" w:sz="4" w:space="0"/>
            </w:tcBorders>
            <w:vAlign w:val="center"/>
          </w:tcPr>
          <w:p w14:paraId="4D145FB4">
            <w:pPr>
              <w:numPr>
                <w:ilvl w:val="0"/>
                <w:numId w:val="1"/>
              </w:numPr>
              <w:spacing w:line="340" w:lineRule="exact"/>
              <w:jc w:val="center"/>
              <w:rPr>
                <w:rFonts w:ascii="宋体" w:hAnsi="宋体" w:cs="宋体"/>
                <w:color w:val="000000"/>
              </w:rPr>
            </w:pPr>
          </w:p>
        </w:tc>
        <w:tc>
          <w:tcPr>
            <w:tcW w:w="1942" w:type="dxa"/>
            <w:tcBorders>
              <w:top w:val="single" w:color="auto" w:sz="4" w:space="0"/>
              <w:left w:val="nil"/>
              <w:bottom w:val="single" w:color="auto" w:sz="4" w:space="0"/>
              <w:right w:val="single" w:color="auto" w:sz="4" w:space="0"/>
            </w:tcBorders>
            <w:vAlign w:val="center"/>
          </w:tcPr>
          <w:p w14:paraId="263F64D7">
            <w:pPr>
              <w:spacing w:line="340" w:lineRule="exact"/>
              <w:jc w:val="center"/>
              <w:rPr>
                <w:rFonts w:ascii="宋体" w:hAnsi="宋体" w:cs="宋体"/>
                <w:color w:val="000000"/>
              </w:rPr>
            </w:pPr>
            <w:r>
              <w:rPr>
                <w:rFonts w:hint="eastAsia" w:ascii="宋体" w:hAnsi="宋体" w:cs="宋体"/>
                <w:color w:val="000000"/>
              </w:rPr>
              <w:t>投标人确认收到招标文件修改的时间</w:t>
            </w:r>
          </w:p>
        </w:tc>
        <w:tc>
          <w:tcPr>
            <w:tcW w:w="6675" w:type="dxa"/>
            <w:tcBorders>
              <w:top w:val="single" w:color="auto" w:sz="4" w:space="0"/>
              <w:left w:val="nil"/>
              <w:bottom w:val="single" w:color="auto" w:sz="4" w:space="0"/>
              <w:right w:val="single" w:color="auto" w:sz="4" w:space="0"/>
            </w:tcBorders>
            <w:vAlign w:val="center"/>
          </w:tcPr>
          <w:p w14:paraId="7EA0B87B">
            <w:pPr>
              <w:spacing w:line="340" w:lineRule="exact"/>
              <w:rPr>
                <w:rFonts w:ascii="宋体" w:hAnsi="宋体" w:cs="宋体"/>
                <w:color w:val="000000"/>
              </w:rPr>
            </w:pPr>
            <w:r>
              <w:rPr>
                <w:rFonts w:hint="eastAsia" w:ascii="宋体" w:hAnsi="宋体" w:cs="宋体"/>
                <w:color w:val="000000"/>
              </w:rPr>
              <w:t>在收到相应修改文件后</w:t>
            </w:r>
            <w:r>
              <w:rPr>
                <w:rFonts w:hint="eastAsia" w:ascii="宋体" w:hAnsi="宋体" w:cs="宋体"/>
                <w:color w:val="000000"/>
                <w:u w:val="single"/>
              </w:rPr>
              <w:t xml:space="preserve"> 24 </w:t>
            </w:r>
            <w:r>
              <w:rPr>
                <w:rFonts w:hint="eastAsia" w:ascii="宋体" w:hAnsi="宋体" w:cs="宋体"/>
                <w:color w:val="000000"/>
              </w:rPr>
              <w:t xml:space="preserve">小时内（以系统内发布时间为准）                                                         </w:t>
            </w:r>
          </w:p>
        </w:tc>
      </w:tr>
      <w:tr w14:paraId="2F38537A">
        <w:tblPrEx>
          <w:tblCellMar>
            <w:top w:w="0" w:type="dxa"/>
            <w:left w:w="108" w:type="dxa"/>
            <w:bottom w:w="0" w:type="dxa"/>
            <w:right w:w="108" w:type="dxa"/>
          </w:tblCellMar>
        </w:tblPrEx>
        <w:trPr>
          <w:trHeight w:val="680" w:hRule="atLeast"/>
        </w:trPr>
        <w:tc>
          <w:tcPr>
            <w:tcW w:w="906" w:type="dxa"/>
            <w:tcBorders>
              <w:top w:val="single" w:color="auto" w:sz="4" w:space="0"/>
              <w:left w:val="single" w:color="auto" w:sz="4" w:space="0"/>
              <w:bottom w:val="single" w:color="auto" w:sz="4" w:space="0"/>
              <w:right w:val="single" w:color="auto" w:sz="4" w:space="0"/>
            </w:tcBorders>
            <w:vAlign w:val="center"/>
          </w:tcPr>
          <w:p w14:paraId="02E6E4BF">
            <w:pPr>
              <w:numPr>
                <w:ilvl w:val="0"/>
                <w:numId w:val="1"/>
              </w:numPr>
              <w:spacing w:line="340" w:lineRule="exact"/>
              <w:jc w:val="center"/>
              <w:rPr>
                <w:rFonts w:ascii="宋体" w:hAnsi="宋体" w:cs="宋体"/>
                <w:color w:val="000000"/>
              </w:rPr>
            </w:pPr>
          </w:p>
        </w:tc>
        <w:tc>
          <w:tcPr>
            <w:tcW w:w="1942" w:type="dxa"/>
            <w:tcBorders>
              <w:top w:val="single" w:color="auto" w:sz="4" w:space="0"/>
              <w:left w:val="nil"/>
              <w:bottom w:val="single" w:color="auto" w:sz="4" w:space="0"/>
              <w:right w:val="single" w:color="auto" w:sz="4" w:space="0"/>
            </w:tcBorders>
            <w:vAlign w:val="center"/>
          </w:tcPr>
          <w:p w14:paraId="39436F51">
            <w:pPr>
              <w:spacing w:line="340" w:lineRule="exact"/>
              <w:jc w:val="center"/>
              <w:rPr>
                <w:rFonts w:ascii="宋体" w:hAnsi="宋体" w:cs="宋体"/>
                <w:color w:val="000000"/>
              </w:rPr>
            </w:pPr>
            <w:r>
              <w:rPr>
                <w:rFonts w:hint="eastAsia" w:ascii="宋体" w:hAnsi="宋体" w:cs="宋体"/>
                <w:color w:val="000000"/>
              </w:rPr>
              <w:t>构成投标文件的其他材料</w:t>
            </w:r>
          </w:p>
        </w:tc>
        <w:tc>
          <w:tcPr>
            <w:tcW w:w="6675" w:type="dxa"/>
            <w:tcBorders>
              <w:top w:val="single" w:color="auto" w:sz="4" w:space="0"/>
              <w:left w:val="nil"/>
              <w:bottom w:val="single" w:color="auto" w:sz="4" w:space="0"/>
              <w:right w:val="single" w:color="auto" w:sz="4" w:space="0"/>
            </w:tcBorders>
            <w:vAlign w:val="center"/>
          </w:tcPr>
          <w:p w14:paraId="73C6731B">
            <w:pPr>
              <w:spacing w:line="340" w:lineRule="exact"/>
              <w:rPr>
                <w:rFonts w:ascii="宋体" w:hAnsi="宋体" w:cs="宋体"/>
                <w:color w:val="000000"/>
              </w:rPr>
            </w:pPr>
            <w:r>
              <w:rPr>
                <w:rFonts w:hint="eastAsia" w:ascii="宋体" w:hAnsi="宋体" w:cs="宋体"/>
                <w:color w:val="000000"/>
              </w:rPr>
              <w:t>/</w:t>
            </w:r>
          </w:p>
        </w:tc>
      </w:tr>
      <w:tr w14:paraId="6714CBA7">
        <w:tblPrEx>
          <w:tblCellMar>
            <w:top w:w="0" w:type="dxa"/>
            <w:left w:w="108" w:type="dxa"/>
            <w:bottom w:w="0" w:type="dxa"/>
            <w:right w:w="108" w:type="dxa"/>
          </w:tblCellMar>
        </w:tblPrEx>
        <w:trPr>
          <w:trHeight w:val="567" w:hRule="atLeast"/>
        </w:trPr>
        <w:tc>
          <w:tcPr>
            <w:tcW w:w="906" w:type="dxa"/>
            <w:tcBorders>
              <w:top w:val="single" w:color="auto" w:sz="4" w:space="0"/>
              <w:left w:val="single" w:color="auto" w:sz="4" w:space="0"/>
              <w:bottom w:val="single" w:color="auto" w:sz="4" w:space="0"/>
              <w:right w:val="single" w:color="auto" w:sz="4" w:space="0"/>
            </w:tcBorders>
            <w:vAlign w:val="center"/>
          </w:tcPr>
          <w:p w14:paraId="56CF4A1A">
            <w:pPr>
              <w:numPr>
                <w:ilvl w:val="0"/>
                <w:numId w:val="1"/>
              </w:numPr>
              <w:spacing w:line="360" w:lineRule="auto"/>
              <w:jc w:val="center"/>
              <w:rPr>
                <w:rFonts w:ascii="宋体" w:hAnsi="宋体" w:cs="宋体"/>
                <w:color w:val="000000"/>
              </w:rPr>
            </w:pPr>
          </w:p>
        </w:tc>
        <w:tc>
          <w:tcPr>
            <w:tcW w:w="1942" w:type="dxa"/>
            <w:tcBorders>
              <w:top w:val="single" w:color="auto" w:sz="4" w:space="0"/>
              <w:left w:val="nil"/>
              <w:bottom w:val="single" w:color="auto" w:sz="4" w:space="0"/>
              <w:right w:val="single" w:color="auto" w:sz="4" w:space="0"/>
            </w:tcBorders>
            <w:vAlign w:val="center"/>
          </w:tcPr>
          <w:p w14:paraId="74318BA1">
            <w:pPr>
              <w:spacing w:line="360" w:lineRule="auto"/>
              <w:jc w:val="center"/>
              <w:rPr>
                <w:rFonts w:ascii="宋体" w:hAnsi="宋体" w:cs="宋体"/>
                <w:color w:val="000000"/>
              </w:rPr>
            </w:pPr>
            <w:r>
              <w:rPr>
                <w:rFonts w:hint="eastAsia" w:ascii="宋体" w:hAnsi="宋体" w:cs="宋体"/>
                <w:color w:val="000000"/>
              </w:rPr>
              <w:t>投标有效期</w:t>
            </w:r>
          </w:p>
        </w:tc>
        <w:tc>
          <w:tcPr>
            <w:tcW w:w="6675" w:type="dxa"/>
            <w:tcBorders>
              <w:top w:val="single" w:color="auto" w:sz="4" w:space="0"/>
              <w:left w:val="nil"/>
              <w:bottom w:val="single" w:color="auto" w:sz="4" w:space="0"/>
              <w:right w:val="single" w:color="auto" w:sz="4" w:space="0"/>
            </w:tcBorders>
            <w:vAlign w:val="center"/>
          </w:tcPr>
          <w:p w14:paraId="5A8CD3F3">
            <w:pPr>
              <w:spacing w:line="360" w:lineRule="auto"/>
              <w:rPr>
                <w:rFonts w:ascii="宋体" w:hAnsi="宋体" w:cs="宋体"/>
                <w:color w:val="000000"/>
              </w:rPr>
            </w:pPr>
            <w:r>
              <w:rPr>
                <w:rFonts w:hint="eastAsia" w:ascii="宋体" w:hAnsi="宋体" w:cs="宋体"/>
                <w:color w:val="000000"/>
              </w:rPr>
              <w:t>自投标文件递交截止之日起60日历天</w:t>
            </w:r>
          </w:p>
        </w:tc>
      </w:tr>
      <w:tr w14:paraId="11CE323A">
        <w:tblPrEx>
          <w:tblCellMar>
            <w:top w:w="0" w:type="dxa"/>
            <w:left w:w="108" w:type="dxa"/>
            <w:bottom w:w="0" w:type="dxa"/>
            <w:right w:w="108" w:type="dxa"/>
          </w:tblCellMar>
        </w:tblPrEx>
        <w:trPr>
          <w:trHeight w:val="90" w:hRule="atLeast"/>
        </w:trPr>
        <w:tc>
          <w:tcPr>
            <w:tcW w:w="906" w:type="dxa"/>
            <w:tcBorders>
              <w:top w:val="single" w:color="auto" w:sz="4" w:space="0"/>
              <w:left w:val="single" w:color="auto" w:sz="4" w:space="0"/>
              <w:bottom w:val="single" w:color="auto" w:sz="4" w:space="0"/>
              <w:right w:val="single" w:color="auto" w:sz="4" w:space="0"/>
            </w:tcBorders>
            <w:vAlign w:val="center"/>
          </w:tcPr>
          <w:p w14:paraId="432EBA2E">
            <w:pPr>
              <w:numPr>
                <w:ilvl w:val="0"/>
                <w:numId w:val="1"/>
              </w:numPr>
              <w:spacing w:line="360" w:lineRule="auto"/>
              <w:jc w:val="center"/>
              <w:rPr>
                <w:rFonts w:ascii="宋体" w:hAnsi="宋体" w:cs="宋体"/>
              </w:rPr>
            </w:pPr>
          </w:p>
        </w:tc>
        <w:tc>
          <w:tcPr>
            <w:tcW w:w="1942" w:type="dxa"/>
            <w:tcBorders>
              <w:top w:val="single" w:color="auto" w:sz="4" w:space="0"/>
              <w:left w:val="nil"/>
              <w:bottom w:val="single" w:color="auto" w:sz="4" w:space="0"/>
              <w:right w:val="single" w:color="auto" w:sz="4" w:space="0"/>
            </w:tcBorders>
            <w:vAlign w:val="center"/>
          </w:tcPr>
          <w:p w14:paraId="2C5C1EAD">
            <w:pPr>
              <w:spacing w:line="360" w:lineRule="auto"/>
              <w:jc w:val="center"/>
              <w:rPr>
                <w:rFonts w:ascii="宋体" w:hAnsi="宋体" w:cs="宋体"/>
              </w:rPr>
            </w:pPr>
            <w:r>
              <w:rPr>
                <w:rFonts w:hint="eastAsia" w:ascii="宋体" w:hAnsi="宋体" w:cs="宋体"/>
              </w:rPr>
              <w:t>投标保证金</w:t>
            </w:r>
          </w:p>
        </w:tc>
        <w:tc>
          <w:tcPr>
            <w:tcW w:w="6675" w:type="dxa"/>
            <w:tcBorders>
              <w:top w:val="single" w:color="auto" w:sz="4" w:space="0"/>
              <w:left w:val="nil"/>
              <w:bottom w:val="single" w:color="auto" w:sz="4" w:space="0"/>
              <w:right w:val="single" w:color="auto" w:sz="4" w:space="0"/>
            </w:tcBorders>
            <w:vAlign w:val="center"/>
          </w:tcPr>
          <w:p w14:paraId="50BA5BA8">
            <w:pPr>
              <w:autoSpaceDE w:val="0"/>
              <w:spacing w:line="360" w:lineRule="auto"/>
              <w:rPr>
                <w:rFonts w:ascii="宋体" w:hAnsi="宋体" w:cs="宋体"/>
              </w:rPr>
            </w:pPr>
            <w:r>
              <w:rPr>
                <w:rFonts w:hint="eastAsia" w:ascii="宋体" w:hAnsi="宋体" w:cs="宋体"/>
                <w:b/>
                <w:bCs/>
                <w:kern w:val="0"/>
              </w:rPr>
              <w:t xml:space="preserve">   本项目不收取投标保证金。</w:t>
            </w:r>
          </w:p>
        </w:tc>
      </w:tr>
      <w:tr w14:paraId="0EEF90C7">
        <w:tblPrEx>
          <w:tblCellMar>
            <w:top w:w="0" w:type="dxa"/>
            <w:left w:w="108" w:type="dxa"/>
            <w:bottom w:w="0" w:type="dxa"/>
            <w:right w:w="108" w:type="dxa"/>
          </w:tblCellMar>
        </w:tblPrEx>
        <w:trPr>
          <w:trHeight w:val="638" w:hRule="atLeast"/>
        </w:trPr>
        <w:tc>
          <w:tcPr>
            <w:tcW w:w="906" w:type="dxa"/>
            <w:tcBorders>
              <w:top w:val="single" w:color="auto" w:sz="4" w:space="0"/>
              <w:left w:val="single" w:color="auto" w:sz="4" w:space="0"/>
              <w:bottom w:val="single" w:color="auto" w:sz="4" w:space="0"/>
              <w:right w:val="single" w:color="auto" w:sz="4" w:space="0"/>
            </w:tcBorders>
            <w:vAlign w:val="center"/>
          </w:tcPr>
          <w:p w14:paraId="79120222">
            <w:pPr>
              <w:numPr>
                <w:ilvl w:val="0"/>
                <w:numId w:val="1"/>
              </w:numPr>
              <w:spacing w:line="340" w:lineRule="exact"/>
              <w:jc w:val="center"/>
              <w:rPr>
                <w:rFonts w:ascii="宋体" w:hAnsi="宋体" w:cs="宋体"/>
                <w:color w:val="000000"/>
              </w:rPr>
            </w:pPr>
          </w:p>
        </w:tc>
        <w:tc>
          <w:tcPr>
            <w:tcW w:w="1942" w:type="dxa"/>
            <w:tcBorders>
              <w:top w:val="single" w:color="auto" w:sz="4" w:space="0"/>
              <w:left w:val="nil"/>
              <w:bottom w:val="single" w:color="auto" w:sz="4" w:space="0"/>
              <w:right w:val="single" w:color="auto" w:sz="4" w:space="0"/>
            </w:tcBorders>
            <w:vAlign w:val="center"/>
          </w:tcPr>
          <w:p w14:paraId="6B9A3F56">
            <w:pPr>
              <w:spacing w:line="340" w:lineRule="exact"/>
              <w:jc w:val="center"/>
              <w:rPr>
                <w:rFonts w:ascii="宋体" w:hAnsi="宋体" w:cs="宋体"/>
                <w:color w:val="000000"/>
              </w:rPr>
            </w:pPr>
            <w:r>
              <w:rPr>
                <w:rFonts w:hint="eastAsia" w:ascii="宋体" w:hAnsi="宋体" w:cs="宋体"/>
                <w:color w:val="000000"/>
              </w:rPr>
              <w:t>是否允许递交备</w:t>
            </w:r>
          </w:p>
          <w:p w14:paraId="2EE2CFD3">
            <w:pPr>
              <w:spacing w:line="340" w:lineRule="exact"/>
              <w:jc w:val="center"/>
              <w:rPr>
                <w:rFonts w:ascii="宋体" w:hAnsi="宋体" w:cs="宋体"/>
                <w:color w:val="000000"/>
              </w:rPr>
            </w:pPr>
            <w:r>
              <w:rPr>
                <w:rFonts w:hint="eastAsia" w:ascii="宋体" w:hAnsi="宋体" w:cs="宋体"/>
                <w:color w:val="000000"/>
              </w:rPr>
              <w:t>选投标方案</w:t>
            </w:r>
          </w:p>
        </w:tc>
        <w:tc>
          <w:tcPr>
            <w:tcW w:w="6675" w:type="dxa"/>
            <w:tcBorders>
              <w:top w:val="single" w:color="auto" w:sz="4" w:space="0"/>
              <w:left w:val="nil"/>
              <w:bottom w:val="single" w:color="auto" w:sz="4" w:space="0"/>
              <w:right w:val="single" w:color="auto" w:sz="4" w:space="0"/>
            </w:tcBorders>
            <w:vAlign w:val="center"/>
          </w:tcPr>
          <w:p w14:paraId="41F9B40F">
            <w:pPr>
              <w:spacing w:line="340" w:lineRule="exact"/>
              <w:rPr>
                <w:rFonts w:ascii="宋体" w:hAnsi="宋体" w:cs="宋体"/>
                <w:color w:val="000000"/>
                <w:u w:val="single"/>
              </w:rPr>
            </w:pPr>
            <w:r>
              <w:rPr>
                <w:rFonts w:hint="eastAsia" w:ascii="宋体" w:hAnsi="宋体" w:cs="宋体"/>
                <w:color w:val="000000"/>
              </w:rPr>
              <w:t>不允许</w:t>
            </w:r>
          </w:p>
        </w:tc>
      </w:tr>
      <w:tr w14:paraId="6E884E80">
        <w:tblPrEx>
          <w:tblCellMar>
            <w:top w:w="0" w:type="dxa"/>
            <w:left w:w="108" w:type="dxa"/>
            <w:bottom w:w="0" w:type="dxa"/>
            <w:right w:w="108" w:type="dxa"/>
          </w:tblCellMar>
        </w:tblPrEx>
        <w:trPr>
          <w:trHeight w:val="586" w:hRule="atLeast"/>
        </w:trPr>
        <w:tc>
          <w:tcPr>
            <w:tcW w:w="906" w:type="dxa"/>
            <w:tcBorders>
              <w:top w:val="single" w:color="auto" w:sz="4" w:space="0"/>
              <w:left w:val="single" w:color="auto" w:sz="4" w:space="0"/>
              <w:bottom w:val="single" w:color="auto" w:sz="4" w:space="0"/>
              <w:right w:val="single" w:color="auto" w:sz="4" w:space="0"/>
            </w:tcBorders>
            <w:vAlign w:val="center"/>
          </w:tcPr>
          <w:p w14:paraId="47A6DCC1">
            <w:pPr>
              <w:numPr>
                <w:ilvl w:val="0"/>
                <w:numId w:val="1"/>
              </w:numPr>
              <w:spacing w:line="340" w:lineRule="exact"/>
              <w:jc w:val="center"/>
              <w:rPr>
                <w:rFonts w:ascii="宋体" w:hAnsi="宋体" w:cs="宋体"/>
                <w:color w:val="000000"/>
              </w:rPr>
            </w:pPr>
          </w:p>
        </w:tc>
        <w:tc>
          <w:tcPr>
            <w:tcW w:w="1942" w:type="dxa"/>
            <w:tcBorders>
              <w:top w:val="single" w:color="auto" w:sz="4" w:space="0"/>
              <w:left w:val="nil"/>
              <w:bottom w:val="single" w:color="auto" w:sz="4" w:space="0"/>
              <w:right w:val="single" w:color="auto" w:sz="4" w:space="0"/>
            </w:tcBorders>
            <w:vAlign w:val="center"/>
          </w:tcPr>
          <w:p w14:paraId="1EB453DE">
            <w:pPr>
              <w:jc w:val="center"/>
              <w:rPr>
                <w:rFonts w:ascii="宋体" w:hAnsi="宋体"/>
              </w:rPr>
            </w:pPr>
            <w:r>
              <w:rPr>
                <w:rFonts w:ascii="宋体" w:hAnsi="宋体"/>
              </w:rPr>
              <w:t>签字或盖章要求</w:t>
            </w:r>
          </w:p>
        </w:tc>
        <w:tc>
          <w:tcPr>
            <w:tcW w:w="6675" w:type="dxa"/>
            <w:tcBorders>
              <w:top w:val="single" w:color="auto" w:sz="4" w:space="0"/>
              <w:left w:val="nil"/>
              <w:bottom w:val="single" w:color="auto" w:sz="4" w:space="0"/>
              <w:right w:val="single" w:color="auto" w:sz="4" w:space="0"/>
            </w:tcBorders>
            <w:vAlign w:val="center"/>
          </w:tcPr>
          <w:p w14:paraId="5787C21E">
            <w:pPr>
              <w:jc w:val="left"/>
              <w:rPr>
                <w:rFonts w:ascii="宋体" w:hAnsi="宋体"/>
              </w:rPr>
            </w:pPr>
            <w:r>
              <w:rPr>
                <w:rFonts w:hint="eastAsia" w:ascii="宋体" w:hAnsi="宋体"/>
              </w:rPr>
              <w:t>电子投标文件应按投标文件格式要求签字、盖章。</w:t>
            </w:r>
          </w:p>
        </w:tc>
      </w:tr>
      <w:tr w14:paraId="73AF2FCD">
        <w:tblPrEx>
          <w:tblCellMar>
            <w:top w:w="0" w:type="dxa"/>
            <w:left w:w="108" w:type="dxa"/>
            <w:bottom w:w="0" w:type="dxa"/>
            <w:right w:w="108" w:type="dxa"/>
          </w:tblCellMar>
        </w:tblPrEx>
        <w:trPr>
          <w:trHeight w:val="808" w:hRule="atLeast"/>
        </w:trPr>
        <w:tc>
          <w:tcPr>
            <w:tcW w:w="906" w:type="dxa"/>
            <w:tcBorders>
              <w:top w:val="single" w:color="auto" w:sz="4" w:space="0"/>
              <w:left w:val="single" w:color="auto" w:sz="4" w:space="0"/>
              <w:bottom w:val="single" w:color="auto" w:sz="4" w:space="0"/>
              <w:right w:val="single" w:color="auto" w:sz="4" w:space="0"/>
            </w:tcBorders>
            <w:vAlign w:val="center"/>
          </w:tcPr>
          <w:p w14:paraId="3FE87C4C">
            <w:pPr>
              <w:numPr>
                <w:ilvl w:val="0"/>
                <w:numId w:val="1"/>
              </w:numPr>
              <w:spacing w:line="340" w:lineRule="exact"/>
              <w:jc w:val="center"/>
              <w:rPr>
                <w:rFonts w:ascii="宋体" w:hAnsi="宋体" w:cs="宋体"/>
                <w:color w:val="000000"/>
              </w:rPr>
            </w:pPr>
          </w:p>
        </w:tc>
        <w:tc>
          <w:tcPr>
            <w:tcW w:w="1942" w:type="dxa"/>
            <w:tcBorders>
              <w:top w:val="single" w:color="auto" w:sz="4" w:space="0"/>
              <w:left w:val="nil"/>
              <w:bottom w:val="single" w:color="auto" w:sz="4" w:space="0"/>
              <w:right w:val="single" w:color="auto" w:sz="4" w:space="0"/>
            </w:tcBorders>
            <w:vAlign w:val="center"/>
          </w:tcPr>
          <w:p w14:paraId="737698C6">
            <w:pPr>
              <w:spacing w:line="340" w:lineRule="exact"/>
              <w:jc w:val="center"/>
              <w:rPr>
                <w:rFonts w:ascii="宋体" w:hAnsi="宋体" w:cs="宋体"/>
                <w:color w:val="000000" w:themeColor="text1"/>
              </w:rPr>
            </w:pPr>
            <w:r>
              <w:rPr>
                <w:rFonts w:hint="eastAsia" w:ascii="宋体" w:hAnsi="宋体" w:cs="宋体"/>
                <w:color w:val="000000" w:themeColor="text1"/>
              </w:rPr>
              <w:t>投标文件上传截止时间</w:t>
            </w:r>
          </w:p>
        </w:tc>
        <w:tc>
          <w:tcPr>
            <w:tcW w:w="6675" w:type="dxa"/>
            <w:tcBorders>
              <w:top w:val="single" w:color="auto" w:sz="4" w:space="0"/>
              <w:left w:val="nil"/>
              <w:bottom w:val="single" w:color="auto" w:sz="4" w:space="0"/>
              <w:right w:val="single" w:color="auto" w:sz="4" w:space="0"/>
            </w:tcBorders>
            <w:vAlign w:val="center"/>
          </w:tcPr>
          <w:p w14:paraId="300E94D5">
            <w:pPr>
              <w:spacing w:line="340" w:lineRule="exact"/>
              <w:rPr>
                <w:rFonts w:ascii="宋体" w:hAnsi="宋体" w:cs="宋体"/>
                <w:b/>
                <w:bCs/>
                <w:color w:val="000000" w:themeColor="text1"/>
                <w:u w:val="single"/>
              </w:rPr>
            </w:pPr>
            <w:r>
              <w:rPr>
                <w:rFonts w:hint="eastAsia" w:ascii="宋体" w:hAnsi="宋体" w:cs="宋体"/>
                <w:color w:val="000000" w:themeColor="text1"/>
              </w:rPr>
              <w:t>2025年</w:t>
            </w:r>
            <w:r>
              <w:rPr>
                <w:rFonts w:hint="eastAsia" w:ascii="宋体" w:hAnsi="宋体" w:cs="宋体"/>
                <w:color w:val="000000" w:themeColor="text1"/>
                <w:lang w:val="en-US" w:eastAsia="zh-CN"/>
              </w:rPr>
              <w:t>7</w:t>
            </w:r>
            <w:r>
              <w:rPr>
                <w:rFonts w:hint="eastAsia" w:ascii="宋体" w:hAnsi="宋体" w:cs="宋体"/>
                <w:color w:val="000000" w:themeColor="text1"/>
              </w:rPr>
              <w:t>月</w:t>
            </w:r>
            <w:r>
              <w:rPr>
                <w:rFonts w:hint="eastAsia" w:ascii="宋体" w:hAnsi="宋体" w:cs="宋体"/>
                <w:color w:val="000000" w:themeColor="text1"/>
                <w:lang w:val="en-US" w:eastAsia="zh-CN"/>
              </w:rPr>
              <w:t>10</w:t>
            </w:r>
            <w:r>
              <w:rPr>
                <w:rFonts w:hint="eastAsia" w:ascii="宋体" w:hAnsi="宋体" w:cs="宋体"/>
                <w:color w:val="000000" w:themeColor="text1"/>
              </w:rPr>
              <w:t>日上午9点30分。</w:t>
            </w:r>
          </w:p>
        </w:tc>
      </w:tr>
      <w:tr w14:paraId="4BF7184F">
        <w:tblPrEx>
          <w:tblCellMar>
            <w:top w:w="0" w:type="dxa"/>
            <w:left w:w="108" w:type="dxa"/>
            <w:bottom w:w="0" w:type="dxa"/>
            <w:right w:w="108" w:type="dxa"/>
          </w:tblCellMar>
        </w:tblPrEx>
        <w:trPr>
          <w:trHeight w:val="808" w:hRule="atLeast"/>
        </w:trPr>
        <w:tc>
          <w:tcPr>
            <w:tcW w:w="906" w:type="dxa"/>
            <w:tcBorders>
              <w:top w:val="single" w:color="auto" w:sz="4" w:space="0"/>
              <w:left w:val="single" w:color="auto" w:sz="4" w:space="0"/>
              <w:bottom w:val="single" w:color="auto" w:sz="4" w:space="0"/>
              <w:right w:val="single" w:color="auto" w:sz="4" w:space="0"/>
            </w:tcBorders>
            <w:vAlign w:val="center"/>
          </w:tcPr>
          <w:p w14:paraId="0F5E2703">
            <w:pPr>
              <w:numPr>
                <w:ilvl w:val="0"/>
                <w:numId w:val="1"/>
              </w:numPr>
              <w:spacing w:line="340" w:lineRule="exact"/>
              <w:jc w:val="center"/>
              <w:rPr>
                <w:rFonts w:ascii="宋体" w:hAnsi="宋体" w:cs="宋体"/>
                <w:color w:val="000000"/>
              </w:rPr>
            </w:pPr>
          </w:p>
        </w:tc>
        <w:tc>
          <w:tcPr>
            <w:tcW w:w="1942" w:type="dxa"/>
            <w:tcBorders>
              <w:top w:val="single" w:color="auto" w:sz="4" w:space="0"/>
              <w:left w:val="nil"/>
              <w:bottom w:val="single" w:color="auto" w:sz="4" w:space="0"/>
              <w:right w:val="single" w:color="auto" w:sz="4" w:space="0"/>
            </w:tcBorders>
            <w:vAlign w:val="center"/>
          </w:tcPr>
          <w:p w14:paraId="52FCB7A6">
            <w:pPr>
              <w:spacing w:line="340" w:lineRule="exact"/>
              <w:jc w:val="center"/>
              <w:rPr>
                <w:rFonts w:ascii="宋体" w:hAnsi="宋体" w:cs="宋体"/>
              </w:rPr>
            </w:pPr>
            <w:r>
              <w:rPr>
                <w:rFonts w:hint="eastAsia" w:ascii="宋体" w:hAnsi="宋体" w:cs="宋体"/>
              </w:rPr>
              <w:t>开标地点</w:t>
            </w:r>
          </w:p>
        </w:tc>
        <w:tc>
          <w:tcPr>
            <w:tcW w:w="6675" w:type="dxa"/>
            <w:tcBorders>
              <w:top w:val="single" w:color="auto" w:sz="4" w:space="0"/>
              <w:left w:val="nil"/>
              <w:bottom w:val="single" w:color="auto" w:sz="4" w:space="0"/>
              <w:right w:val="single" w:color="auto" w:sz="4" w:space="0"/>
            </w:tcBorders>
            <w:vAlign w:val="center"/>
          </w:tcPr>
          <w:p w14:paraId="495D87D3">
            <w:pPr>
              <w:spacing w:line="340" w:lineRule="exact"/>
              <w:rPr>
                <w:rFonts w:ascii="宋体" w:hAnsi="宋体" w:cs="宋体"/>
              </w:rPr>
            </w:pPr>
            <w:r>
              <w:rPr>
                <w:rFonts w:hint="eastAsia" w:ascii="宋体" w:hAnsi="宋体" w:cs="宋体"/>
                <w:b/>
                <w:bCs/>
                <w:u w:val="single"/>
              </w:rPr>
              <w:t>杞县综合服务大厦十一楼开标室（地址：金城大道与经四路交叉口东北角处杞县便民服务中心）</w:t>
            </w:r>
            <w:r>
              <w:rPr>
                <w:rFonts w:hint="eastAsia" w:ascii="宋体" w:hAnsi="宋体" w:cs="宋体"/>
                <w:b/>
                <w:bCs/>
              </w:rPr>
              <w:t>。</w:t>
            </w:r>
          </w:p>
        </w:tc>
      </w:tr>
      <w:tr w14:paraId="6A3E1AFA">
        <w:tblPrEx>
          <w:tblCellMar>
            <w:top w:w="0" w:type="dxa"/>
            <w:left w:w="108" w:type="dxa"/>
            <w:bottom w:w="0" w:type="dxa"/>
            <w:right w:w="108" w:type="dxa"/>
          </w:tblCellMar>
        </w:tblPrEx>
        <w:trPr>
          <w:trHeight w:val="856" w:hRule="atLeast"/>
        </w:trPr>
        <w:tc>
          <w:tcPr>
            <w:tcW w:w="906" w:type="dxa"/>
            <w:tcBorders>
              <w:top w:val="single" w:color="auto" w:sz="4" w:space="0"/>
              <w:left w:val="single" w:color="auto" w:sz="4" w:space="0"/>
              <w:bottom w:val="single" w:color="auto" w:sz="4" w:space="0"/>
              <w:right w:val="single" w:color="auto" w:sz="4" w:space="0"/>
            </w:tcBorders>
            <w:vAlign w:val="center"/>
          </w:tcPr>
          <w:p w14:paraId="441E13C2">
            <w:pPr>
              <w:numPr>
                <w:ilvl w:val="0"/>
                <w:numId w:val="1"/>
              </w:numPr>
              <w:spacing w:line="340" w:lineRule="exact"/>
              <w:jc w:val="center"/>
              <w:rPr>
                <w:rFonts w:ascii="宋体" w:hAnsi="宋体" w:cs="宋体"/>
                <w:color w:val="000000"/>
              </w:rPr>
            </w:pPr>
          </w:p>
        </w:tc>
        <w:tc>
          <w:tcPr>
            <w:tcW w:w="1942" w:type="dxa"/>
            <w:tcBorders>
              <w:top w:val="single" w:color="auto" w:sz="4" w:space="0"/>
              <w:left w:val="nil"/>
              <w:bottom w:val="single" w:color="auto" w:sz="4" w:space="0"/>
              <w:right w:val="single" w:color="auto" w:sz="4" w:space="0"/>
            </w:tcBorders>
            <w:vAlign w:val="center"/>
          </w:tcPr>
          <w:p w14:paraId="1B9CEA8F">
            <w:pPr>
              <w:spacing w:line="340" w:lineRule="exact"/>
              <w:jc w:val="center"/>
              <w:rPr>
                <w:rFonts w:ascii="宋体" w:hAnsi="宋体" w:cs="宋体"/>
                <w:color w:val="000000"/>
              </w:rPr>
            </w:pPr>
            <w:r>
              <w:rPr>
                <w:rFonts w:hint="eastAsia" w:ascii="宋体" w:hAnsi="宋体" w:cs="宋体"/>
                <w:color w:val="000000"/>
              </w:rPr>
              <w:t>电子投标文件上传</w:t>
            </w:r>
          </w:p>
        </w:tc>
        <w:tc>
          <w:tcPr>
            <w:tcW w:w="6675" w:type="dxa"/>
            <w:tcBorders>
              <w:top w:val="single" w:color="auto" w:sz="4" w:space="0"/>
              <w:left w:val="nil"/>
              <w:bottom w:val="single" w:color="auto" w:sz="4" w:space="0"/>
              <w:right w:val="single" w:color="auto" w:sz="4" w:space="0"/>
            </w:tcBorders>
            <w:vAlign w:val="center"/>
          </w:tcPr>
          <w:p w14:paraId="32EDC8DE">
            <w:pPr>
              <w:spacing w:line="340" w:lineRule="exact"/>
              <w:rPr>
                <w:rFonts w:ascii="宋体" w:hAnsi="宋体" w:cs="宋体"/>
                <w:color w:val="000000"/>
              </w:rPr>
            </w:pPr>
            <w:r>
              <w:rPr>
                <w:rFonts w:hint="eastAsia" w:ascii="宋体" w:hAnsi="宋体"/>
              </w:rPr>
              <w:t>供应商必须在响应截止时间前将加密的电子响应文件在开封市公共资源交易网会员系统指定位置加密上传。（</w:t>
            </w:r>
            <w:r>
              <w:rPr>
                <w:rFonts w:ascii="宋体" w:hAnsi="宋体"/>
              </w:rPr>
              <w:t>http://www.kfsggzyjyw.cn/</w:t>
            </w:r>
            <w:r>
              <w:rPr>
                <w:rFonts w:hint="eastAsia" w:ascii="宋体" w:hAnsi="宋体"/>
              </w:rPr>
              <w:t>）</w:t>
            </w:r>
          </w:p>
        </w:tc>
      </w:tr>
      <w:tr w14:paraId="7C269F59">
        <w:tblPrEx>
          <w:tblCellMar>
            <w:top w:w="0" w:type="dxa"/>
            <w:left w:w="108" w:type="dxa"/>
            <w:bottom w:w="0" w:type="dxa"/>
            <w:right w:w="108" w:type="dxa"/>
          </w:tblCellMar>
        </w:tblPrEx>
        <w:trPr>
          <w:trHeight w:val="901" w:hRule="atLeast"/>
        </w:trPr>
        <w:tc>
          <w:tcPr>
            <w:tcW w:w="906" w:type="dxa"/>
            <w:tcBorders>
              <w:top w:val="single" w:color="auto" w:sz="4" w:space="0"/>
              <w:left w:val="single" w:color="auto" w:sz="4" w:space="0"/>
              <w:bottom w:val="single" w:color="auto" w:sz="4" w:space="0"/>
              <w:right w:val="single" w:color="auto" w:sz="4" w:space="0"/>
            </w:tcBorders>
            <w:vAlign w:val="center"/>
          </w:tcPr>
          <w:p w14:paraId="4C2D7D6E">
            <w:pPr>
              <w:numPr>
                <w:ilvl w:val="0"/>
                <w:numId w:val="1"/>
              </w:numPr>
              <w:spacing w:line="340" w:lineRule="exact"/>
              <w:jc w:val="center"/>
              <w:rPr>
                <w:rFonts w:ascii="宋体" w:hAnsi="宋体" w:cs="宋体"/>
                <w:color w:val="000000"/>
              </w:rPr>
            </w:pPr>
          </w:p>
        </w:tc>
        <w:tc>
          <w:tcPr>
            <w:tcW w:w="1942" w:type="dxa"/>
            <w:tcBorders>
              <w:top w:val="single" w:color="auto" w:sz="4" w:space="0"/>
              <w:left w:val="nil"/>
              <w:bottom w:val="single" w:color="auto" w:sz="4" w:space="0"/>
              <w:right w:val="single" w:color="auto" w:sz="4" w:space="0"/>
            </w:tcBorders>
            <w:vAlign w:val="center"/>
          </w:tcPr>
          <w:p w14:paraId="5961520E">
            <w:pPr>
              <w:spacing w:line="340" w:lineRule="exact"/>
              <w:jc w:val="center"/>
              <w:rPr>
                <w:rFonts w:ascii="宋体" w:hAnsi="宋体" w:cs="宋体"/>
                <w:color w:val="000000"/>
              </w:rPr>
            </w:pPr>
            <w:r>
              <w:rPr>
                <w:rFonts w:hint="eastAsia" w:ascii="宋体" w:hAnsi="宋体" w:cs="宋体"/>
                <w:color w:val="000000"/>
              </w:rPr>
              <w:t>注意事项</w:t>
            </w:r>
          </w:p>
        </w:tc>
        <w:tc>
          <w:tcPr>
            <w:tcW w:w="6675" w:type="dxa"/>
            <w:tcBorders>
              <w:top w:val="single" w:color="auto" w:sz="4" w:space="0"/>
              <w:left w:val="nil"/>
              <w:bottom w:val="single" w:color="auto" w:sz="4" w:space="0"/>
              <w:right w:val="single" w:color="auto" w:sz="4" w:space="0"/>
            </w:tcBorders>
            <w:vAlign w:val="center"/>
          </w:tcPr>
          <w:p w14:paraId="2CB63FFB">
            <w:pPr>
              <w:rPr>
                <w:rFonts w:ascii="宋体" w:hAnsi="宋体" w:cs="宋体"/>
              </w:rPr>
            </w:pPr>
            <w:r>
              <w:rPr>
                <w:rFonts w:hint="eastAsia" w:ascii="宋体" w:hAnsi="宋体" w:cs="宋体"/>
              </w:rPr>
              <w:t>1、投标人应在投标文件递交的截止时间之前通过开封市公共资源交易信息网上传投标文件，并按照招标文件的格式要求加盖投标人的法定代表人电子签章和企业电子签章、签字。</w:t>
            </w:r>
          </w:p>
          <w:p w14:paraId="1BB06CDA">
            <w:pPr>
              <w:rPr>
                <w:rFonts w:ascii="宋体" w:hAnsi="宋体" w:cs="宋体"/>
                <w:color w:val="000000"/>
              </w:rPr>
            </w:pPr>
            <w:r>
              <w:rPr>
                <w:rFonts w:hint="eastAsia" w:ascii="宋体" w:hAnsi="宋体" w:cs="宋体"/>
                <w:color w:val="000000"/>
              </w:rPr>
              <w:t>2、请投标人在上传电子投标文件时认真检查上传投标文件是否完整、正确。</w:t>
            </w:r>
          </w:p>
          <w:p w14:paraId="578478C4">
            <w:pPr>
              <w:rPr>
                <w:rFonts w:ascii="宋体" w:hAnsi="宋体" w:cs="宋体"/>
                <w:color w:val="000000"/>
              </w:rPr>
            </w:pPr>
            <w:r>
              <w:rPr>
                <w:rFonts w:hint="eastAsia" w:ascii="宋体" w:hAnsi="宋体" w:cs="宋体"/>
                <w:color w:val="000000"/>
              </w:rPr>
              <w:t>3、请投标人时刻关注开封市公共资源交易中心网站和公司CA 密钥推送消息。</w:t>
            </w:r>
          </w:p>
          <w:p w14:paraId="1B215CF0">
            <w:pPr>
              <w:rPr>
                <w:rFonts w:ascii="宋体" w:hAnsi="宋体" w:cs="宋体"/>
                <w:color w:val="000000"/>
              </w:rPr>
            </w:pPr>
            <w:r>
              <w:rPr>
                <w:rFonts w:hint="eastAsia" w:ascii="宋体" w:hAnsi="宋体" w:cs="宋体"/>
                <w:color w:val="000000"/>
              </w:rPr>
              <w:t>4、加密电子投标文件逾期上传的，招标人不予受理。</w:t>
            </w:r>
          </w:p>
          <w:p w14:paraId="0282BF4D">
            <w:pPr>
              <w:rPr>
                <w:rFonts w:ascii="宋体" w:hAnsi="宋体" w:cs="宋体"/>
                <w:color w:val="000000"/>
              </w:rPr>
            </w:pPr>
            <w:r>
              <w:rPr>
                <w:rFonts w:hint="eastAsia" w:ascii="宋体" w:hAnsi="宋体" w:cs="宋体"/>
                <w:color w:val="000000"/>
              </w:rPr>
              <w:t>5、投标人应按开标程序解密电子投标文件。</w:t>
            </w:r>
          </w:p>
          <w:p w14:paraId="7EE59256">
            <w:pPr>
              <w:rPr>
                <w:rFonts w:ascii="宋体" w:hAnsi="宋体" w:cs="宋体"/>
                <w:color w:val="000000"/>
              </w:rPr>
            </w:pPr>
            <w:r>
              <w:rPr>
                <w:rFonts w:hint="eastAsia" w:ascii="宋体" w:hAnsi="宋体" w:cs="宋体"/>
                <w:color w:val="000000"/>
              </w:rPr>
              <w:t>6、各投标（响应）人从参与项目交易开始至项目交易活动结束止，应时刻关注电子交易系统中的项目进度和状态，特别是项目评审期间。由于自身原因错过变更通知、文件澄清、报价响应（自系统发起30 分钟内做出）等重要信息的，后果由投标（响应）人自行承担。</w:t>
            </w:r>
          </w:p>
          <w:p w14:paraId="683A01C3">
            <w:r>
              <w:rPr>
                <w:rFonts w:hint="eastAsia"/>
              </w:rPr>
              <w:t>7、</w:t>
            </w:r>
            <w:r>
              <w:rPr>
                <w:rFonts w:hint="eastAsia" w:ascii="宋体" w:hAnsi="宋体"/>
              </w:rPr>
              <w:t>投标人必须承诺独立制作、修改和上传投标文件，因“硬件特征码一致”所造成的不良后果由投标人自行承担。</w:t>
            </w:r>
          </w:p>
        </w:tc>
      </w:tr>
      <w:tr w14:paraId="6A626962">
        <w:tblPrEx>
          <w:tblCellMar>
            <w:top w:w="0" w:type="dxa"/>
            <w:left w:w="108" w:type="dxa"/>
            <w:bottom w:w="0" w:type="dxa"/>
            <w:right w:w="108" w:type="dxa"/>
          </w:tblCellMar>
        </w:tblPrEx>
        <w:trPr>
          <w:trHeight w:val="425" w:hRule="atLeast"/>
        </w:trPr>
        <w:tc>
          <w:tcPr>
            <w:tcW w:w="906" w:type="dxa"/>
            <w:tcBorders>
              <w:top w:val="single" w:color="auto" w:sz="4" w:space="0"/>
              <w:left w:val="single" w:color="auto" w:sz="4" w:space="0"/>
              <w:bottom w:val="single" w:color="auto" w:sz="4" w:space="0"/>
              <w:right w:val="single" w:color="auto" w:sz="4" w:space="0"/>
            </w:tcBorders>
            <w:vAlign w:val="center"/>
          </w:tcPr>
          <w:p w14:paraId="17282A94">
            <w:pPr>
              <w:numPr>
                <w:ilvl w:val="0"/>
                <w:numId w:val="1"/>
              </w:numPr>
              <w:spacing w:line="340" w:lineRule="exact"/>
              <w:jc w:val="center"/>
              <w:rPr>
                <w:rFonts w:ascii="宋体" w:hAnsi="宋体" w:cs="宋体"/>
                <w:color w:val="000000"/>
              </w:rPr>
            </w:pPr>
          </w:p>
        </w:tc>
        <w:tc>
          <w:tcPr>
            <w:tcW w:w="1942" w:type="dxa"/>
            <w:tcBorders>
              <w:top w:val="single" w:color="auto" w:sz="4" w:space="0"/>
              <w:left w:val="nil"/>
              <w:bottom w:val="single" w:color="auto" w:sz="4" w:space="0"/>
              <w:right w:val="single" w:color="auto" w:sz="4" w:space="0"/>
            </w:tcBorders>
            <w:vAlign w:val="center"/>
          </w:tcPr>
          <w:p w14:paraId="7B6D0331">
            <w:pPr>
              <w:spacing w:line="340" w:lineRule="exact"/>
              <w:jc w:val="center"/>
              <w:rPr>
                <w:rFonts w:ascii="宋体" w:hAnsi="宋体" w:cs="宋体"/>
                <w:color w:val="000000"/>
              </w:rPr>
            </w:pPr>
            <w:r>
              <w:rPr>
                <w:rFonts w:hint="eastAsia" w:ascii="宋体" w:hAnsi="宋体" w:cs="宋体"/>
                <w:color w:val="000000"/>
              </w:rPr>
              <w:t>开标程序</w:t>
            </w:r>
          </w:p>
        </w:tc>
        <w:tc>
          <w:tcPr>
            <w:tcW w:w="6675" w:type="dxa"/>
            <w:tcBorders>
              <w:top w:val="single" w:color="auto" w:sz="4" w:space="0"/>
              <w:left w:val="nil"/>
              <w:bottom w:val="single" w:color="auto" w:sz="4" w:space="0"/>
              <w:right w:val="single" w:color="auto" w:sz="4" w:space="0"/>
            </w:tcBorders>
            <w:vAlign w:val="center"/>
          </w:tcPr>
          <w:p w14:paraId="41536E96">
            <w:pPr>
              <w:spacing w:line="340" w:lineRule="exact"/>
              <w:rPr>
                <w:rFonts w:ascii="宋体" w:hAnsi="宋体" w:cs="宋体"/>
                <w:color w:val="000000"/>
              </w:rPr>
            </w:pPr>
            <w:r>
              <w:rPr>
                <w:rFonts w:hint="eastAsia" w:ascii="宋体" w:hAnsi="宋体" w:cs="宋体"/>
                <w:color w:val="000000"/>
              </w:rPr>
              <w:t>本项目采用电子开标。到投标截止时间以后，各投标人对电子投标文件自行解密。解密完成后各投标人的电子投标文件的实质性内容将自动显示在网页中。投标人在投标截止时间前未上传电子投标文件的将视为放弃投标。</w:t>
            </w:r>
          </w:p>
          <w:p w14:paraId="2BA9196F">
            <w:pPr>
              <w:spacing w:line="340" w:lineRule="exact"/>
              <w:ind w:right="185" w:rightChars="88"/>
              <w:jc w:val="left"/>
              <w:rPr>
                <w:rFonts w:ascii="宋体"/>
              </w:rPr>
            </w:pPr>
            <w:r>
              <w:rPr>
                <w:rFonts w:hint="eastAsia"/>
                <w:color w:val="000000"/>
              </w:rPr>
              <w:t>注：因投标人原因造成投标文件未解密的，视为其撤销投标文件。因投标人之外的原因造成投标文件未解密的，视为撤回其投标文件。部分投标文件未解密的，其他投标文件的开标可以继续进行。</w:t>
            </w:r>
          </w:p>
        </w:tc>
      </w:tr>
      <w:tr w14:paraId="5F53DC6E">
        <w:tblPrEx>
          <w:tblCellMar>
            <w:top w:w="0" w:type="dxa"/>
            <w:left w:w="108" w:type="dxa"/>
            <w:bottom w:w="0" w:type="dxa"/>
            <w:right w:w="108" w:type="dxa"/>
          </w:tblCellMar>
        </w:tblPrEx>
        <w:trPr>
          <w:trHeight w:val="810" w:hRule="atLeast"/>
        </w:trPr>
        <w:tc>
          <w:tcPr>
            <w:tcW w:w="906" w:type="dxa"/>
            <w:tcBorders>
              <w:top w:val="single" w:color="auto" w:sz="4" w:space="0"/>
              <w:left w:val="single" w:color="auto" w:sz="4" w:space="0"/>
              <w:bottom w:val="single" w:color="auto" w:sz="4" w:space="0"/>
              <w:right w:val="single" w:color="auto" w:sz="4" w:space="0"/>
            </w:tcBorders>
            <w:vAlign w:val="center"/>
          </w:tcPr>
          <w:p w14:paraId="66A83696">
            <w:pPr>
              <w:spacing w:line="340" w:lineRule="exact"/>
              <w:jc w:val="center"/>
              <w:rPr>
                <w:rFonts w:ascii="宋体" w:hAnsi="宋体" w:cs="宋体"/>
                <w:color w:val="000000"/>
              </w:rPr>
            </w:pPr>
            <w:r>
              <w:rPr>
                <w:rFonts w:hint="eastAsia" w:ascii="宋体" w:hAnsi="宋体" w:cs="宋体"/>
                <w:color w:val="000000"/>
              </w:rPr>
              <w:t>32</w:t>
            </w:r>
          </w:p>
        </w:tc>
        <w:tc>
          <w:tcPr>
            <w:tcW w:w="1942" w:type="dxa"/>
            <w:tcBorders>
              <w:top w:val="single" w:color="auto" w:sz="4" w:space="0"/>
              <w:left w:val="nil"/>
              <w:bottom w:val="single" w:color="auto" w:sz="4" w:space="0"/>
              <w:right w:val="single" w:color="auto" w:sz="4" w:space="0"/>
            </w:tcBorders>
            <w:vAlign w:val="center"/>
          </w:tcPr>
          <w:p w14:paraId="2F4E706C">
            <w:pPr>
              <w:spacing w:line="340" w:lineRule="exact"/>
              <w:jc w:val="center"/>
              <w:rPr>
                <w:rFonts w:ascii="宋体" w:hAnsi="宋体" w:cs="宋体"/>
                <w:color w:val="000000"/>
              </w:rPr>
            </w:pPr>
            <w:r>
              <w:rPr>
                <w:rFonts w:hint="eastAsia" w:ascii="宋体" w:hAnsi="宋体" w:cs="宋体"/>
                <w:color w:val="000000"/>
              </w:rPr>
              <w:t>评标委员会的组建</w:t>
            </w:r>
          </w:p>
        </w:tc>
        <w:tc>
          <w:tcPr>
            <w:tcW w:w="6675" w:type="dxa"/>
            <w:tcBorders>
              <w:top w:val="single" w:color="auto" w:sz="4" w:space="0"/>
              <w:left w:val="nil"/>
              <w:bottom w:val="single" w:color="auto" w:sz="4" w:space="0"/>
              <w:right w:val="single" w:color="auto" w:sz="4" w:space="0"/>
            </w:tcBorders>
            <w:vAlign w:val="center"/>
          </w:tcPr>
          <w:p w14:paraId="7C949F84">
            <w:pPr>
              <w:spacing w:line="340" w:lineRule="exact"/>
              <w:rPr>
                <w:rFonts w:ascii="宋体" w:hAnsi="宋体" w:cs="宋体"/>
                <w:color w:val="000000"/>
              </w:rPr>
            </w:pPr>
            <w:r>
              <w:rPr>
                <w:rFonts w:hint="eastAsia" w:ascii="宋体" w:hAnsi="宋体" w:cs="宋体"/>
                <w:color w:val="000000"/>
              </w:rPr>
              <w:t>评标委员会构成：由招标人代表和有关技术、经济等方面的专家5人组成，其中招标人代表1人，技术、经济等方面的专家4人。</w:t>
            </w:r>
          </w:p>
          <w:p w14:paraId="0BFEA536">
            <w:pPr>
              <w:spacing w:line="340" w:lineRule="exact"/>
              <w:rPr>
                <w:rFonts w:ascii="宋体" w:hAnsi="宋体" w:cs="宋体"/>
                <w:color w:val="000000"/>
              </w:rPr>
            </w:pPr>
            <w:r>
              <w:rPr>
                <w:rFonts w:hint="eastAsia" w:ascii="宋体" w:hAnsi="宋体" w:cs="宋体"/>
              </w:rPr>
              <w:t>业主评委需有本单位正式工作人员担任，本单位若没有符合条件的评委，将从专家库随机抽取。</w:t>
            </w:r>
          </w:p>
          <w:p w14:paraId="38EE4250">
            <w:pPr>
              <w:spacing w:line="340" w:lineRule="exact"/>
              <w:rPr>
                <w:rFonts w:ascii="宋体" w:hAnsi="宋体" w:cs="宋体"/>
                <w:color w:val="000000"/>
              </w:rPr>
            </w:pPr>
            <w:r>
              <w:rPr>
                <w:rFonts w:hint="eastAsia" w:ascii="宋体" w:hAnsi="宋体" w:cs="宋体"/>
                <w:color w:val="000000"/>
              </w:rPr>
              <w:t>评标专家抽取:开标后从省级财政部门组建的政府采购专家库中随机抽取。</w:t>
            </w:r>
          </w:p>
        </w:tc>
      </w:tr>
      <w:tr w14:paraId="69C7D440">
        <w:tblPrEx>
          <w:tblCellMar>
            <w:top w:w="0" w:type="dxa"/>
            <w:left w:w="108" w:type="dxa"/>
            <w:bottom w:w="0" w:type="dxa"/>
            <w:right w:w="108" w:type="dxa"/>
          </w:tblCellMar>
        </w:tblPrEx>
        <w:trPr>
          <w:trHeight w:val="90" w:hRule="atLeast"/>
        </w:trPr>
        <w:tc>
          <w:tcPr>
            <w:tcW w:w="906" w:type="dxa"/>
            <w:tcBorders>
              <w:top w:val="single" w:color="auto" w:sz="4" w:space="0"/>
              <w:left w:val="single" w:color="auto" w:sz="4" w:space="0"/>
              <w:bottom w:val="single" w:color="auto" w:sz="4" w:space="0"/>
              <w:right w:val="single" w:color="auto" w:sz="4" w:space="0"/>
            </w:tcBorders>
            <w:vAlign w:val="center"/>
          </w:tcPr>
          <w:p w14:paraId="02351058">
            <w:pPr>
              <w:spacing w:line="340" w:lineRule="exact"/>
              <w:jc w:val="center"/>
              <w:rPr>
                <w:rFonts w:ascii="宋体" w:hAnsi="宋体" w:cs="宋体"/>
                <w:color w:val="000000"/>
              </w:rPr>
            </w:pPr>
            <w:r>
              <w:rPr>
                <w:rFonts w:hint="eastAsia" w:ascii="宋体" w:hAnsi="宋体" w:cs="宋体"/>
                <w:color w:val="000000"/>
              </w:rPr>
              <w:t>33</w:t>
            </w:r>
          </w:p>
        </w:tc>
        <w:tc>
          <w:tcPr>
            <w:tcW w:w="1942" w:type="dxa"/>
            <w:tcBorders>
              <w:top w:val="single" w:color="auto" w:sz="4" w:space="0"/>
              <w:left w:val="nil"/>
              <w:bottom w:val="single" w:color="auto" w:sz="4" w:space="0"/>
              <w:right w:val="single" w:color="auto" w:sz="4" w:space="0"/>
            </w:tcBorders>
            <w:vAlign w:val="center"/>
          </w:tcPr>
          <w:p w14:paraId="5766C3DC">
            <w:pPr>
              <w:spacing w:line="340" w:lineRule="exact"/>
              <w:jc w:val="center"/>
              <w:rPr>
                <w:rFonts w:ascii="宋体" w:hAnsi="宋体" w:cs="宋体"/>
                <w:color w:val="000000"/>
              </w:rPr>
            </w:pPr>
            <w:r>
              <w:rPr>
                <w:rFonts w:hint="eastAsia" w:ascii="宋体" w:hAnsi="宋体" w:cs="宋体"/>
                <w:color w:val="000000"/>
              </w:rPr>
              <w:t>是否授权评标委员会确定中标人</w:t>
            </w:r>
          </w:p>
        </w:tc>
        <w:tc>
          <w:tcPr>
            <w:tcW w:w="6675" w:type="dxa"/>
            <w:tcBorders>
              <w:top w:val="single" w:color="auto" w:sz="4" w:space="0"/>
              <w:left w:val="nil"/>
              <w:bottom w:val="single" w:color="auto" w:sz="4" w:space="0"/>
              <w:right w:val="single" w:color="auto" w:sz="4" w:space="0"/>
            </w:tcBorders>
            <w:vAlign w:val="center"/>
          </w:tcPr>
          <w:p w14:paraId="13EE4DB0">
            <w:pPr>
              <w:spacing w:line="380" w:lineRule="exact"/>
              <w:rPr>
                <w:rFonts w:ascii="宋体" w:hAnsi="宋体" w:cs="宋体"/>
              </w:rPr>
            </w:pPr>
            <w:r>
              <w:rPr>
                <w:rFonts w:hint="eastAsia" w:ascii="宋体" w:hAnsi="宋体" w:cs="宋体"/>
              </w:rPr>
              <w:t>否，由</w:t>
            </w:r>
            <w:r>
              <w:rPr>
                <w:rFonts w:hint="eastAsia" w:ascii="宋体" w:hAnsi="宋体" w:cs="宋体"/>
                <w:lang w:val="en-US" w:eastAsia="zh-CN"/>
              </w:rPr>
              <w:t>评标委员会</w:t>
            </w:r>
            <w:r>
              <w:rPr>
                <w:rFonts w:hint="eastAsia" w:ascii="宋体" w:hAnsi="宋体" w:cs="宋体"/>
              </w:rPr>
              <w:t>推荐3名中标候选人。</w:t>
            </w:r>
          </w:p>
          <w:p w14:paraId="58A3319F">
            <w:pPr>
              <w:spacing w:line="380" w:lineRule="exact"/>
              <w:rPr>
                <w:rFonts w:ascii="宋体" w:hAnsi="宋体" w:cs="宋体"/>
              </w:rPr>
            </w:pPr>
            <w:r>
              <w:rPr>
                <w:rFonts w:hint="eastAsia" w:ascii="宋体" w:hAnsi="宋体" w:cs="宋体"/>
              </w:rPr>
              <w:t>依法必须采购的项目，采购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tc>
      </w:tr>
      <w:tr w14:paraId="79E7B3FC">
        <w:tblPrEx>
          <w:tblCellMar>
            <w:top w:w="0" w:type="dxa"/>
            <w:left w:w="108" w:type="dxa"/>
            <w:bottom w:w="0" w:type="dxa"/>
            <w:right w:w="108" w:type="dxa"/>
          </w:tblCellMar>
        </w:tblPrEx>
        <w:trPr>
          <w:trHeight w:val="485" w:hRule="atLeast"/>
        </w:trPr>
        <w:tc>
          <w:tcPr>
            <w:tcW w:w="9523" w:type="dxa"/>
            <w:gridSpan w:val="3"/>
            <w:tcBorders>
              <w:top w:val="single" w:color="auto" w:sz="4" w:space="0"/>
              <w:left w:val="single" w:color="auto" w:sz="4" w:space="0"/>
              <w:bottom w:val="single" w:color="auto" w:sz="4" w:space="0"/>
              <w:right w:val="single" w:color="auto" w:sz="4" w:space="0"/>
            </w:tcBorders>
            <w:vAlign w:val="center"/>
          </w:tcPr>
          <w:p w14:paraId="2ABB674C">
            <w:pPr>
              <w:spacing w:line="340" w:lineRule="exact"/>
              <w:rPr>
                <w:rFonts w:ascii="宋体" w:hAnsi="宋体" w:cs="宋体"/>
                <w:color w:val="000000"/>
              </w:rPr>
            </w:pPr>
            <w:r>
              <w:rPr>
                <w:rFonts w:hint="eastAsia" w:ascii="宋体" w:hAnsi="宋体" w:cs="宋体"/>
                <w:color w:val="000000"/>
              </w:rPr>
              <w:t>34                          需要补充的其他内容</w:t>
            </w:r>
          </w:p>
        </w:tc>
      </w:tr>
      <w:tr w14:paraId="0124E78D">
        <w:tblPrEx>
          <w:tblCellMar>
            <w:top w:w="0" w:type="dxa"/>
            <w:left w:w="108" w:type="dxa"/>
            <w:bottom w:w="0" w:type="dxa"/>
            <w:right w:w="108" w:type="dxa"/>
          </w:tblCellMar>
        </w:tblPrEx>
        <w:trPr>
          <w:trHeight w:val="833" w:hRule="atLeast"/>
        </w:trPr>
        <w:tc>
          <w:tcPr>
            <w:tcW w:w="906" w:type="dxa"/>
            <w:tcBorders>
              <w:top w:val="single" w:color="auto" w:sz="4" w:space="0"/>
              <w:left w:val="single" w:color="auto" w:sz="4" w:space="0"/>
              <w:bottom w:val="single" w:color="auto" w:sz="4" w:space="0"/>
              <w:right w:val="single" w:color="auto" w:sz="4" w:space="0"/>
            </w:tcBorders>
            <w:vAlign w:val="center"/>
          </w:tcPr>
          <w:p w14:paraId="0F1647A5">
            <w:pPr>
              <w:spacing w:line="340" w:lineRule="exact"/>
              <w:jc w:val="center"/>
              <w:rPr>
                <w:rFonts w:ascii="宋体" w:hAnsi="宋体" w:cs="宋体"/>
                <w:color w:val="000000"/>
              </w:rPr>
            </w:pPr>
            <w:r>
              <w:rPr>
                <w:rFonts w:hint="eastAsia" w:ascii="宋体" w:hAnsi="宋体" w:cs="宋体"/>
                <w:color w:val="000000"/>
              </w:rPr>
              <w:t>1</w:t>
            </w:r>
          </w:p>
        </w:tc>
        <w:tc>
          <w:tcPr>
            <w:tcW w:w="1942" w:type="dxa"/>
            <w:tcBorders>
              <w:top w:val="single" w:color="auto" w:sz="4" w:space="0"/>
              <w:left w:val="nil"/>
              <w:bottom w:val="single" w:color="auto" w:sz="4" w:space="0"/>
              <w:right w:val="single" w:color="auto" w:sz="4" w:space="0"/>
            </w:tcBorders>
            <w:vAlign w:val="center"/>
          </w:tcPr>
          <w:p w14:paraId="35AED31D">
            <w:pPr>
              <w:spacing w:line="340" w:lineRule="exact"/>
              <w:jc w:val="center"/>
              <w:rPr>
                <w:rFonts w:ascii="宋体" w:hAnsi="宋体" w:cs="宋体"/>
                <w:b/>
              </w:rPr>
            </w:pPr>
            <w:r>
              <w:rPr>
                <w:rFonts w:hint="eastAsia" w:ascii="宋体" w:hAnsi="宋体" w:cs="宋体"/>
                <w:b/>
              </w:rPr>
              <w:t>招标控制价</w:t>
            </w:r>
          </w:p>
        </w:tc>
        <w:tc>
          <w:tcPr>
            <w:tcW w:w="6675" w:type="dxa"/>
            <w:tcBorders>
              <w:top w:val="single" w:color="auto" w:sz="4" w:space="0"/>
              <w:left w:val="nil"/>
              <w:bottom w:val="single" w:color="auto" w:sz="4" w:space="0"/>
              <w:right w:val="single" w:color="auto" w:sz="4" w:space="0"/>
            </w:tcBorders>
            <w:vAlign w:val="center"/>
          </w:tcPr>
          <w:p w14:paraId="2522F591">
            <w:pPr>
              <w:spacing w:line="340" w:lineRule="exact"/>
              <w:jc w:val="left"/>
              <w:rPr>
                <w:rFonts w:ascii="宋体" w:hAnsi="宋体" w:cs="宋体"/>
                <w:b/>
                <w:bCs/>
              </w:rPr>
            </w:pPr>
            <w:r>
              <w:rPr>
                <w:rFonts w:hint="eastAsia" w:ascii="宋体" w:hAnsi="宋体" w:cs="宋体"/>
                <w:b/>
                <w:lang w:val="en-US" w:eastAsia="zh-CN"/>
              </w:rPr>
              <w:t>760750.00</w:t>
            </w:r>
            <w:r>
              <w:rPr>
                <w:rFonts w:hint="eastAsia" w:ascii="宋体" w:hAnsi="宋体" w:cs="宋体"/>
                <w:b/>
              </w:rPr>
              <w:t>元（注：报价超过招标控制价的投标文件无效）</w:t>
            </w:r>
          </w:p>
        </w:tc>
      </w:tr>
      <w:tr w14:paraId="03DED7D1">
        <w:tblPrEx>
          <w:tblCellMar>
            <w:top w:w="0" w:type="dxa"/>
            <w:left w:w="108" w:type="dxa"/>
            <w:bottom w:w="0" w:type="dxa"/>
            <w:right w:w="108" w:type="dxa"/>
          </w:tblCellMar>
        </w:tblPrEx>
        <w:trPr>
          <w:trHeight w:val="687" w:hRule="atLeast"/>
        </w:trPr>
        <w:tc>
          <w:tcPr>
            <w:tcW w:w="906" w:type="dxa"/>
            <w:tcBorders>
              <w:top w:val="single" w:color="auto" w:sz="4" w:space="0"/>
              <w:left w:val="single" w:color="auto" w:sz="4" w:space="0"/>
              <w:bottom w:val="single" w:color="auto" w:sz="4" w:space="0"/>
              <w:right w:val="single" w:color="auto" w:sz="4" w:space="0"/>
            </w:tcBorders>
            <w:vAlign w:val="center"/>
          </w:tcPr>
          <w:p w14:paraId="39651F8C">
            <w:pPr>
              <w:spacing w:line="340" w:lineRule="exact"/>
              <w:jc w:val="center"/>
              <w:rPr>
                <w:rFonts w:ascii="宋体" w:hAnsi="宋体" w:cs="宋体"/>
                <w:color w:val="000000"/>
              </w:rPr>
            </w:pPr>
            <w:r>
              <w:rPr>
                <w:rFonts w:hint="eastAsia" w:ascii="宋体" w:hAnsi="宋体" w:cs="宋体"/>
                <w:color w:val="000000"/>
              </w:rPr>
              <w:t>2</w:t>
            </w:r>
          </w:p>
        </w:tc>
        <w:tc>
          <w:tcPr>
            <w:tcW w:w="1942" w:type="dxa"/>
            <w:tcBorders>
              <w:top w:val="single" w:color="auto" w:sz="4" w:space="0"/>
              <w:left w:val="nil"/>
              <w:bottom w:val="single" w:color="auto" w:sz="4" w:space="0"/>
              <w:right w:val="single" w:color="auto" w:sz="4" w:space="0"/>
            </w:tcBorders>
            <w:vAlign w:val="center"/>
          </w:tcPr>
          <w:p w14:paraId="61714DBB">
            <w:pPr>
              <w:spacing w:line="340" w:lineRule="exact"/>
              <w:jc w:val="center"/>
              <w:rPr>
                <w:rFonts w:ascii="宋体" w:hAnsi="宋体" w:cs="宋体"/>
                <w:color w:val="000000"/>
              </w:rPr>
            </w:pPr>
            <w:r>
              <w:rPr>
                <w:rFonts w:hint="eastAsia" w:ascii="宋体" w:hAnsi="宋体" w:cs="宋体"/>
                <w:color w:val="000000"/>
              </w:rPr>
              <w:t>付款方式、时间、条件</w:t>
            </w:r>
          </w:p>
        </w:tc>
        <w:tc>
          <w:tcPr>
            <w:tcW w:w="6675" w:type="dxa"/>
            <w:tcBorders>
              <w:top w:val="single" w:color="auto" w:sz="4" w:space="0"/>
              <w:left w:val="nil"/>
              <w:bottom w:val="single" w:color="auto" w:sz="4" w:space="0"/>
              <w:right w:val="single" w:color="auto" w:sz="4" w:space="0"/>
            </w:tcBorders>
            <w:vAlign w:val="center"/>
          </w:tcPr>
          <w:p w14:paraId="2E8002D9">
            <w:pPr>
              <w:spacing w:line="440" w:lineRule="exact"/>
              <w:rPr>
                <w:rFonts w:ascii="宋体" w:hAnsi="宋体" w:cs="宋体"/>
                <w:color w:val="000000"/>
              </w:rPr>
            </w:pPr>
            <w:r>
              <w:rPr>
                <w:rFonts w:hint="eastAsia" w:ascii="宋体" w:hAnsi="宋体" w:cs="宋体"/>
                <w:color w:val="000000"/>
              </w:rPr>
              <w:t>供货完成后，经第三方质检部门验收合格支付合同金额的97%，质保期结束后付余额。</w:t>
            </w:r>
          </w:p>
        </w:tc>
      </w:tr>
      <w:tr w14:paraId="36C4F265">
        <w:tblPrEx>
          <w:tblCellMar>
            <w:top w:w="0" w:type="dxa"/>
            <w:left w:w="108" w:type="dxa"/>
            <w:bottom w:w="0" w:type="dxa"/>
            <w:right w:w="108" w:type="dxa"/>
          </w:tblCellMar>
        </w:tblPrEx>
        <w:trPr>
          <w:trHeight w:val="889" w:hRule="atLeast"/>
        </w:trPr>
        <w:tc>
          <w:tcPr>
            <w:tcW w:w="906" w:type="dxa"/>
            <w:tcBorders>
              <w:top w:val="single" w:color="auto" w:sz="4" w:space="0"/>
              <w:left w:val="single" w:color="auto" w:sz="4" w:space="0"/>
              <w:bottom w:val="single" w:color="auto" w:sz="4" w:space="0"/>
              <w:right w:val="single" w:color="auto" w:sz="4" w:space="0"/>
            </w:tcBorders>
            <w:vAlign w:val="center"/>
          </w:tcPr>
          <w:p w14:paraId="386DAB6D">
            <w:pPr>
              <w:spacing w:line="340" w:lineRule="exact"/>
              <w:jc w:val="center"/>
              <w:rPr>
                <w:rFonts w:ascii="宋体" w:hAnsi="宋体" w:cs="宋体"/>
                <w:color w:val="000000"/>
              </w:rPr>
            </w:pPr>
            <w:r>
              <w:rPr>
                <w:rFonts w:hint="eastAsia" w:ascii="宋体" w:hAnsi="宋体" w:cs="宋体"/>
                <w:color w:val="000000"/>
              </w:rPr>
              <w:t>3</w:t>
            </w:r>
          </w:p>
        </w:tc>
        <w:tc>
          <w:tcPr>
            <w:tcW w:w="1942" w:type="dxa"/>
            <w:tcBorders>
              <w:top w:val="single" w:color="auto" w:sz="4" w:space="0"/>
              <w:left w:val="nil"/>
              <w:bottom w:val="single" w:color="auto" w:sz="4" w:space="0"/>
              <w:right w:val="single" w:color="auto" w:sz="4" w:space="0"/>
            </w:tcBorders>
            <w:vAlign w:val="center"/>
          </w:tcPr>
          <w:p w14:paraId="1AE30DE2">
            <w:pPr>
              <w:spacing w:line="340" w:lineRule="exact"/>
              <w:jc w:val="center"/>
              <w:rPr>
                <w:rFonts w:ascii="宋体" w:hAnsi="宋体" w:cs="宋体"/>
                <w:color w:val="000000"/>
              </w:rPr>
            </w:pPr>
            <w:r>
              <w:rPr>
                <w:rFonts w:hint="eastAsia" w:ascii="宋体" w:hAnsi="宋体" w:cs="宋体"/>
                <w:color w:val="000000"/>
              </w:rPr>
              <w:t>招标代理服务费</w:t>
            </w:r>
          </w:p>
        </w:tc>
        <w:tc>
          <w:tcPr>
            <w:tcW w:w="6675" w:type="dxa"/>
            <w:tcBorders>
              <w:top w:val="single" w:color="auto" w:sz="4" w:space="0"/>
              <w:left w:val="nil"/>
              <w:bottom w:val="single" w:color="auto" w:sz="4" w:space="0"/>
              <w:right w:val="single" w:color="auto" w:sz="4" w:space="0"/>
            </w:tcBorders>
          </w:tcPr>
          <w:p w14:paraId="16CC3C9C">
            <w:r>
              <w:rPr>
                <w:rFonts w:hint="eastAsia"/>
              </w:rPr>
              <w:t>中标的供应商应按国家计委价格［2002］1980号文和和国家发改办价格【2003】857号文件的规定（货物招标）向招标代理机构一次性支付本次招标代理服务费。</w:t>
            </w:r>
          </w:p>
          <w:p w14:paraId="0B34F861">
            <w:r>
              <w:rPr>
                <w:rFonts w:hint="eastAsia"/>
              </w:rPr>
              <w:t>详表如下：</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1"/>
              <w:gridCol w:w="2951"/>
            </w:tblGrid>
            <w:tr w14:paraId="3F481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1" w:type="dxa"/>
                </w:tcPr>
                <w:p w14:paraId="77A883F8">
                  <w:r>
                    <w:rPr>
                      <w:rFonts w:hint="eastAsia"/>
                    </w:rPr>
                    <w:t>成交金额（万元）</w:t>
                  </w:r>
                </w:p>
              </w:tc>
              <w:tc>
                <w:tcPr>
                  <w:tcW w:w="2951" w:type="dxa"/>
                </w:tcPr>
                <w:p w14:paraId="10346B04">
                  <w:r>
                    <w:rPr>
                      <w:rFonts w:hint="eastAsia"/>
                    </w:rPr>
                    <w:t>费率</w:t>
                  </w:r>
                </w:p>
              </w:tc>
            </w:tr>
            <w:tr w14:paraId="745ED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1" w:type="dxa"/>
                </w:tcPr>
                <w:p w14:paraId="592B3D3B">
                  <w:r>
                    <w:rPr>
                      <w:rFonts w:hint="eastAsia"/>
                    </w:rPr>
                    <w:t>100 以下</w:t>
                  </w:r>
                </w:p>
              </w:tc>
              <w:tc>
                <w:tcPr>
                  <w:tcW w:w="2951" w:type="dxa"/>
                </w:tcPr>
                <w:p w14:paraId="4FA62AD0">
                  <w:r>
                    <w:t>1.5%</w:t>
                  </w:r>
                </w:p>
              </w:tc>
            </w:tr>
            <w:tr w14:paraId="15438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1" w:type="dxa"/>
                </w:tcPr>
                <w:p w14:paraId="42D5480E">
                  <w:r>
                    <w:t>100-500</w:t>
                  </w:r>
                </w:p>
              </w:tc>
              <w:tc>
                <w:tcPr>
                  <w:tcW w:w="2951" w:type="dxa"/>
                </w:tcPr>
                <w:p w14:paraId="4201D7E7">
                  <w:r>
                    <w:t>1.1%</w:t>
                  </w:r>
                </w:p>
              </w:tc>
            </w:tr>
          </w:tbl>
          <w:p w14:paraId="312ABD51">
            <w:r>
              <w:rPr>
                <w:rFonts w:hint="eastAsia"/>
              </w:rPr>
              <w:t>例如：某分包中标金额为 500 万元，计算招标代理服务费额如下：100 万元×1.5%=1.5 万元，(500－100)×1.1%=4.4 万元</w:t>
            </w:r>
          </w:p>
          <w:p w14:paraId="16C0DAF6">
            <w:r>
              <w:rPr>
                <w:rFonts w:hint="eastAsia"/>
              </w:rPr>
              <w:t>合计收费=1.5+4.4=5.9 万元。</w:t>
            </w:r>
          </w:p>
        </w:tc>
      </w:tr>
      <w:tr w14:paraId="52C2AEB6">
        <w:tblPrEx>
          <w:tblCellMar>
            <w:top w:w="0" w:type="dxa"/>
            <w:left w:w="108" w:type="dxa"/>
            <w:bottom w:w="0" w:type="dxa"/>
            <w:right w:w="108" w:type="dxa"/>
          </w:tblCellMar>
        </w:tblPrEx>
        <w:trPr>
          <w:trHeight w:val="1984" w:hRule="atLeast"/>
        </w:trPr>
        <w:tc>
          <w:tcPr>
            <w:tcW w:w="906" w:type="dxa"/>
            <w:tcBorders>
              <w:top w:val="single" w:color="auto" w:sz="4" w:space="0"/>
              <w:left w:val="single" w:color="auto" w:sz="4" w:space="0"/>
              <w:bottom w:val="single" w:color="auto" w:sz="4" w:space="0"/>
              <w:right w:val="single" w:color="auto" w:sz="4" w:space="0"/>
            </w:tcBorders>
            <w:vAlign w:val="center"/>
          </w:tcPr>
          <w:p w14:paraId="5BCA2902">
            <w:pPr>
              <w:spacing w:line="340" w:lineRule="exact"/>
              <w:jc w:val="center"/>
              <w:rPr>
                <w:rFonts w:ascii="宋体" w:hAnsi="宋体" w:cs="宋体"/>
                <w:color w:val="000000"/>
              </w:rPr>
            </w:pPr>
            <w:r>
              <w:rPr>
                <w:rFonts w:hint="eastAsia" w:ascii="宋体" w:hAnsi="宋体" w:cs="宋体"/>
                <w:color w:val="000000"/>
              </w:rPr>
              <w:t>4支持中小企业及监狱企业发展：</w:t>
            </w:r>
          </w:p>
        </w:tc>
        <w:tc>
          <w:tcPr>
            <w:tcW w:w="8617" w:type="dxa"/>
            <w:gridSpan w:val="2"/>
            <w:tcBorders>
              <w:top w:val="single" w:color="auto" w:sz="4" w:space="0"/>
              <w:left w:val="nil"/>
              <w:bottom w:val="single" w:color="auto" w:sz="4" w:space="0"/>
              <w:right w:val="single" w:color="auto" w:sz="4" w:space="0"/>
            </w:tcBorders>
            <w:vAlign w:val="center"/>
          </w:tcPr>
          <w:p w14:paraId="1F1A7F0B">
            <w:pPr>
              <w:spacing w:line="360" w:lineRule="auto"/>
              <w:rPr>
                <w:rFonts w:ascii="宋体" w:hAnsi="宋体" w:cs="宋体"/>
              </w:rPr>
            </w:pPr>
            <w:r>
              <w:rPr>
                <w:rFonts w:hint="eastAsia" w:ascii="宋体" w:hAnsi="宋体" w:cs="宋体"/>
              </w:rPr>
              <w:t>为了政府采购促进中小企业发展,根据财政部《关于进一步加大政府采购支持中小企业力度的通知》（财库[2022]19号）规定。采购人对符合本办法规定的小微企业报价给予20%的扣除，用扣除后的价格参加评审。监狱企业、残疾人福利性单位视同小型、微型企业，享受小型、微型企业评审中价格扣除的政府采购政策，不重复享受。</w:t>
            </w:r>
          </w:p>
        </w:tc>
      </w:tr>
      <w:tr w14:paraId="5D46FB69">
        <w:tblPrEx>
          <w:tblCellMar>
            <w:top w:w="0" w:type="dxa"/>
            <w:left w:w="108" w:type="dxa"/>
            <w:bottom w:w="0" w:type="dxa"/>
            <w:right w:w="108" w:type="dxa"/>
          </w:tblCellMar>
        </w:tblPrEx>
        <w:trPr>
          <w:trHeight w:val="566" w:hRule="atLeast"/>
        </w:trPr>
        <w:tc>
          <w:tcPr>
            <w:tcW w:w="906" w:type="dxa"/>
            <w:tcBorders>
              <w:top w:val="single" w:color="auto" w:sz="4" w:space="0"/>
              <w:left w:val="single" w:color="auto" w:sz="4" w:space="0"/>
              <w:bottom w:val="single" w:color="auto" w:sz="4" w:space="0"/>
              <w:right w:val="single" w:color="auto" w:sz="4" w:space="0"/>
            </w:tcBorders>
            <w:vAlign w:val="center"/>
          </w:tcPr>
          <w:p w14:paraId="2F0F7693">
            <w:pPr>
              <w:spacing w:line="420" w:lineRule="exact"/>
              <w:jc w:val="center"/>
              <w:rPr>
                <w:rFonts w:ascii="宋体" w:hAnsi="宋体" w:cs="宋体"/>
              </w:rPr>
            </w:pPr>
            <w:r>
              <w:rPr>
                <w:rFonts w:hint="eastAsia" w:ascii="宋体" w:hAnsi="宋体" w:cs="宋体"/>
              </w:rPr>
              <w:t>5所属行业</w:t>
            </w:r>
          </w:p>
        </w:tc>
        <w:tc>
          <w:tcPr>
            <w:tcW w:w="8617" w:type="dxa"/>
            <w:gridSpan w:val="2"/>
            <w:tcBorders>
              <w:top w:val="single" w:color="auto" w:sz="4" w:space="0"/>
              <w:left w:val="nil"/>
              <w:bottom w:val="single" w:color="auto" w:sz="4" w:space="0"/>
              <w:right w:val="single" w:color="auto" w:sz="4" w:space="0"/>
            </w:tcBorders>
            <w:vAlign w:val="center"/>
          </w:tcPr>
          <w:p w14:paraId="2C937894">
            <w:pPr>
              <w:spacing w:line="420" w:lineRule="exact"/>
              <w:jc w:val="left"/>
              <w:rPr>
                <w:rFonts w:ascii="宋体" w:hAnsi="宋体" w:cs="宋体"/>
              </w:rPr>
            </w:pPr>
            <w:r>
              <w:rPr>
                <w:rFonts w:hint="eastAsia" w:ascii="宋体" w:hAnsi="宋体" w:cs="宋体"/>
              </w:rPr>
              <w:t>制造业</w:t>
            </w:r>
          </w:p>
        </w:tc>
      </w:tr>
      <w:tr w14:paraId="535C6906">
        <w:tblPrEx>
          <w:tblCellMar>
            <w:top w:w="0" w:type="dxa"/>
            <w:left w:w="108" w:type="dxa"/>
            <w:bottom w:w="0" w:type="dxa"/>
            <w:right w:w="108" w:type="dxa"/>
          </w:tblCellMar>
        </w:tblPrEx>
        <w:trPr>
          <w:trHeight w:val="566" w:hRule="atLeast"/>
        </w:trPr>
        <w:tc>
          <w:tcPr>
            <w:tcW w:w="906" w:type="dxa"/>
            <w:tcBorders>
              <w:top w:val="single" w:color="auto" w:sz="4" w:space="0"/>
              <w:left w:val="single" w:color="auto" w:sz="4" w:space="0"/>
              <w:bottom w:val="single" w:color="auto" w:sz="4" w:space="0"/>
              <w:right w:val="single" w:color="auto" w:sz="4" w:space="0"/>
            </w:tcBorders>
            <w:vAlign w:val="center"/>
          </w:tcPr>
          <w:p w14:paraId="37B12318">
            <w:pPr>
              <w:spacing w:line="420" w:lineRule="exact"/>
              <w:jc w:val="center"/>
              <w:rPr>
                <w:rFonts w:ascii="宋体" w:hAnsi="宋体" w:cs="宋体"/>
              </w:rPr>
            </w:pPr>
            <w:r>
              <w:rPr>
                <w:rFonts w:hint="eastAsia" w:ascii="宋体" w:hAnsi="宋体" w:cs="宋体"/>
              </w:rPr>
              <w:t>6验收</w:t>
            </w:r>
          </w:p>
        </w:tc>
        <w:tc>
          <w:tcPr>
            <w:tcW w:w="8617" w:type="dxa"/>
            <w:gridSpan w:val="2"/>
            <w:tcBorders>
              <w:top w:val="single" w:color="auto" w:sz="4" w:space="0"/>
              <w:left w:val="nil"/>
              <w:bottom w:val="single" w:color="auto" w:sz="4" w:space="0"/>
              <w:right w:val="single" w:color="auto" w:sz="4" w:space="0"/>
            </w:tcBorders>
            <w:vAlign w:val="center"/>
          </w:tcPr>
          <w:p w14:paraId="569D9204">
            <w:pPr>
              <w:spacing w:line="420" w:lineRule="exact"/>
              <w:jc w:val="left"/>
              <w:rPr>
                <w:rFonts w:ascii="宋体" w:hAnsi="宋体" w:cs="宋体"/>
              </w:rPr>
            </w:pPr>
            <w:r>
              <w:rPr>
                <w:rFonts w:hint="eastAsia" w:ascii="宋体" w:hAnsi="宋体" w:cs="宋体"/>
              </w:rPr>
              <w:t>采购人验收需第三方质检部门介入，第三方质检验收所需费用由中标人承担。</w:t>
            </w:r>
          </w:p>
        </w:tc>
      </w:tr>
      <w:tr w14:paraId="25736674">
        <w:tblPrEx>
          <w:tblCellMar>
            <w:top w:w="0" w:type="dxa"/>
            <w:left w:w="108" w:type="dxa"/>
            <w:bottom w:w="0" w:type="dxa"/>
            <w:right w:w="108" w:type="dxa"/>
          </w:tblCellMar>
        </w:tblPrEx>
        <w:trPr>
          <w:trHeight w:val="283" w:hRule="atLeast"/>
        </w:trPr>
        <w:tc>
          <w:tcPr>
            <w:tcW w:w="906" w:type="dxa"/>
            <w:tcBorders>
              <w:top w:val="single" w:color="auto" w:sz="4" w:space="0"/>
              <w:left w:val="single" w:color="auto" w:sz="4" w:space="0"/>
              <w:bottom w:val="single" w:color="auto" w:sz="4" w:space="0"/>
              <w:right w:val="single" w:color="auto" w:sz="4" w:space="0"/>
            </w:tcBorders>
            <w:vAlign w:val="center"/>
          </w:tcPr>
          <w:p w14:paraId="2AF24B9C">
            <w:pPr>
              <w:jc w:val="center"/>
              <w:rPr>
                <w:rFonts w:ascii="宋体" w:hAnsi="宋体"/>
              </w:rPr>
            </w:pPr>
            <w:r>
              <w:rPr>
                <w:rFonts w:hint="eastAsia" w:ascii="宋体" w:hAnsi="宋体"/>
              </w:rPr>
              <w:t>7质疑</w:t>
            </w:r>
          </w:p>
        </w:tc>
        <w:tc>
          <w:tcPr>
            <w:tcW w:w="8617" w:type="dxa"/>
            <w:gridSpan w:val="2"/>
            <w:tcBorders>
              <w:top w:val="single" w:color="auto" w:sz="4" w:space="0"/>
              <w:left w:val="nil"/>
              <w:bottom w:val="single" w:color="auto" w:sz="4" w:space="0"/>
              <w:right w:val="single" w:color="auto" w:sz="4" w:space="0"/>
            </w:tcBorders>
          </w:tcPr>
          <w:p w14:paraId="2E6455E5">
            <w:pPr>
              <w:rPr>
                <w:rFonts w:ascii="宋体" w:hAnsi="宋体"/>
              </w:rPr>
            </w:pPr>
            <w:r>
              <w:rPr>
                <w:rFonts w:hint="eastAsia" w:ascii="宋体" w:hAnsi="宋体"/>
              </w:rPr>
              <w:t>根据开封市公共资源交易管理委员会办公室文件（汴公管办【2020】13号文件要求）的规定：供应商（投标人）向采购人、采购代理机构提出质疑（异议）的方式为线上提起。</w:t>
            </w:r>
          </w:p>
        </w:tc>
      </w:tr>
      <w:tr w14:paraId="382F3C8E">
        <w:tblPrEx>
          <w:tblCellMar>
            <w:top w:w="0" w:type="dxa"/>
            <w:left w:w="108" w:type="dxa"/>
            <w:bottom w:w="0" w:type="dxa"/>
            <w:right w:w="108" w:type="dxa"/>
          </w:tblCellMar>
        </w:tblPrEx>
        <w:trPr>
          <w:trHeight w:val="283" w:hRule="atLeast"/>
        </w:trPr>
        <w:tc>
          <w:tcPr>
            <w:tcW w:w="906" w:type="dxa"/>
            <w:tcBorders>
              <w:top w:val="single" w:color="auto" w:sz="4" w:space="0"/>
              <w:left w:val="single" w:color="auto" w:sz="4" w:space="0"/>
              <w:bottom w:val="single" w:color="auto" w:sz="4" w:space="0"/>
              <w:right w:val="single" w:color="auto" w:sz="4" w:space="0"/>
            </w:tcBorders>
            <w:vAlign w:val="center"/>
          </w:tcPr>
          <w:p w14:paraId="3A003583">
            <w:pPr>
              <w:jc w:val="center"/>
              <w:rPr>
                <w:rFonts w:ascii="宋体" w:hAnsi="宋体"/>
              </w:rPr>
            </w:pPr>
            <w:r>
              <w:rPr>
                <w:rFonts w:hint="eastAsia" w:ascii="宋体" w:hAnsi="宋体"/>
              </w:rPr>
              <w:t>8</w:t>
            </w:r>
          </w:p>
        </w:tc>
        <w:tc>
          <w:tcPr>
            <w:tcW w:w="8617" w:type="dxa"/>
            <w:gridSpan w:val="2"/>
            <w:tcBorders>
              <w:top w:val="single" w:color="auto" w:sz="4" w:space="0"/>
              <w:left w:val="nil"/>
              <w:bottom w:val="single" w:color="auto" w:sz="4" w:space="0"/>
              <w:right w:val="single" w:color="auto" w:sz="4" w:space="0"/>
            </w:tcBorders>
            <w:vAlign w:val="center"/>
          </w:tcPr>
          <w:p w14:paraId="43D92A53">
            <w:pPr>
              <w:jc w:val="left"/>
              <w:rPr>
                <w:rFonts w:ascii="宋体" w:hAnsi="宋体"/>
              </w:rPr>
            </w:pPr>
            <w:r>
              <w:rPr>
                <w:rFonts w:ascii="宋体" w:hAnsi="宋体"/>
              </w:rPr>
              <w:t>其他未尽事宜，按国家有关法律、法规执行</w:t>
            </w:r>
          </w:p>
        </w:tc>
      </w:tr>
      <w:tr w14:paraId="0488A8CF">
        <w:tblPrEx>
          <w:tblCellMar>
            <w:top w:w="0" w:type="dxa"/>
            <w:left w:w="108" w:type="dxa"/>
            <w:bottom w:w="0" w:type="dxa"/>
            <w:right w:w="108" w:type="dxa"/>
          </w:tblCellMar>
        </w:tblPrEx>
        <w:trPr>
          <w:trHeight w:val="283" w:hRule="atLeast"/>
        </w:trPr>
        <w:tc>
          <w:tcPr>
            <w:tcW w:w="906" w:type="dxa"/>
            <w:tcBorders>
              <w:top w:val="single" w:color="auto" w:sz="4" w:space="0"/>
              <w:left w:val="single" w:color="auto" w:sz="4" w:space="0"/>
              <w:bottom w:val="single" w:color="auto" w:sz="4" w:space="0"/>
              <w:right w:val="single" w:color="auto" w:sz="4" w:space="0"/>
            </w:tcBorders>
            <w:vAlign w:val="center"/>
          </w:tcPr>
          <w:p w14:paraId="253BD375">
            <w:pPr>
              <w:jc w:val="center"/>
              <w:rPr>
                <w:rFonts w:ascii="宋体" w:hAnsi="宋体"/>
              </w:rPr>
            </w:pPr>
            <w:r>
              <w:rPr>
                <w:rFonts w:hint="eastAsia" w:ascii="宋体" w:hAnsi="宋体"/>
              </w:rPr>
              <w:t>9</w:t>
            </w:r>
          </w:p>
        </w:tc>
        <w:tc>
          <w:tcPr>
            <w:tcW w:w="8617" w:type="dxa"/>
            <w:gridSpan w:val="2"/>
            <w:tcBorders>
              <w:top w:val="single" w:color="auto" w:sz="4" w:space="0"/>
              <w:left w:val="nil"/>
              <w:bottom w:val="single" w:color="auto" w:sz="4" w:space="0"/>
              <w:right w:val="single" w:color="auto" w:sz="4" w:space="0"/>
            </w:tcBorders>
            <w:vAlign w:val="center"/>
          </w:tcPr>
          <w:p w14:paraId="180BA7C2">
            <w:pPr>
              <w:rPr>
                <w:rFonts w:ascii="宋体" w:hAnsi="宋体" w:cs="??_GB2312"/>
                <w:b/>
                <w:spacing w:val="-8"/>
                <w:kern w:val="0"/>
              </w:rPr>
            </w:pPr>
            <w:r>
              <w:rPr>
                <w:rFonts w:hint="eastAsia" w:ascii="宋体" w:hAnsi="宋体"/>
                <w:b/>
              </w:rPr>
              <w:t>注：</w:t>
            </w:r>
            <w:r>
              <w:rPr>
                <w:rFonts w:ascii="宋体" w:hAnsi="宋体"/>
                <w:b/>
              </w:rPr>
              <w:t>1</w:t>
            </w:r>
            <w:r>
              <w:rPr>
                <w:rFonts w:hint="eastAsia" w:ascii="宋体" w:hAnsi="宋体"/>
                <w:b/>
              </w:rPr>
              <w:t>、</w:t>
            </w:r>
            <w:r>
              <w:rPr>
                <w:rFonts w:hint="eastAsia" w:ascii="宋体" w:hAnsi="宋体" w:cs="??_GB2312"/>
                <w:b/>
                <w:spacing w:val="-8"/>
                <w:kern w:val="0"/>
              </w:rPr>
              <w:t>当投标人须知前附表与投标人须知正文内容不一致时，以投标人须知前附表为准。</w:t>
            </w:r>
          </w:p>
          <w:p w14:paraId="23FE4454">
            <w:pPr>
              <w:jc w:val="left"/>
              <w:rPr>
                <w:rFonts w:ascii="宋体" w:hAnsi="宋体"/>
              </w:rPr>
            </w:pPr>
            <w:r>
              <w:rPr>
                <w:rFonts w:ascii="宋体" w:hAnsi="宋体" w:cs="??_GB2312"/>
                <w:b/>
                <w:spacing w:val="-8"/>
                <w:kern w:val="0"/>
              </w:rPr>
              <w:t xml:space="preserve">     2</w:t>
            </w:r>
            <w:r>
              <w:rPr>
                <w:rFonts w:hint="eastAsia" w:ascii="宋体" w:hAnsi="宋体" w:cs="??_GB2312"/>
                <w:b/>
                <w:spacing w:val="-8"/>
                <w:kern w:val="0"/>
              </w:rPr>
              <w:t>、本招标文件的解释权归招标人。</w:t>
            </w:r>
          </w:p>
        </w:tc>
      </w:tr>
    </w:tbl>
    <w:p w14:paraId="25AA012A">
      <w:pPr>
        <w:rPr>
          <w:rFonts w:ascii="宋体" w:hAnsi="宋体"/>
          <w:sz w:val="28"/>
          <w:szCs w:val="28"/>
        </w:rPr>
      </w:pPr>
      <w:bookmarkStart w:id="14" w:name="_Toc28523"/>
      <w:bookmarkEnd w:id="14"/>
      <w:bookmarkStart w:id="15" w:name="_Toc9421"/>
      <w:bookmarkEnd w:id="15"/>
      <w:bookmarkStart w:id="16" w:name="_Toc152042305"/>
      <w:bookmarkEnd w:id="16"/>
      <w:bookmarkStart w:id="17" w:name="_Toc179632546"/>
      <w:bookmarkEnd w:id="17"/>
      <w:bookmarkStart w:id="18" w:name="_Toc152045529"/>
      <w:bookmarkEnd w:id="18"/>
      <w:bookmarkStart w:id="19" w:name="_Toc144974497"/>
      <w:bookmarkEnd w:id="19"/>
      <w:bookmarkStart w:id="20" w:name="_Toc28975"/>
      <w:bookmarkEnd w:id="20"/>
      <w:bookmarkStart w:id="21" w:name="_Toc17965"/>
      <w:bookmarkEnd w:id="21"/>
      <w:bookmarkStart w:id="22" w:name="_Toc14278"/>
    </w:p>
    <w:p w14:paraId="02A20EF4">
      <w:pPr>
        <w:rPr>
          <w:rFonts w:ascii="宋体" w:hAnsi="宋体"/>
          <w:sz w:val="28"/>
          <w:szCs w:val="28"/>
        </w:rPr>
      </w:pPr>
      <w:r>
        <w:rPr>
          <w:rFonts w:hint="eastAsia" w:ascii="宋体" w:hAnsi="宋体"/>
          <w:sz w:val="28"/>
          <w:szCs w:val="28"/>
        </w:rPr>
        <w:t>1. 总则</w:t>
      </w:r>
      <w:bookmarkEnd w:id="22"/>
    </w:p>
    <w:p w14:paraId="4F99DC08">
      <w:pPr>
        <w:rPr>
          <w:rFonts w:ascii="宋体" w:hAnsi="宋体"/>
          <w:sz w:val="28"/>
          <w:szCs w:val="28"/>
        </w:rPr>
      </w:pPr>
      <w:bookmarkStart w:id="23" w:name="_Toc144974498"/>
      <w:bookmarkEnd w:id="23"/>
      <w:bookmarkStart w:id="24" w:name="_Toc179632547"/>
      <w:bookmarkEnd w:id="24"/>
      <w:bookmarkStart w:id="25" w:name="_Toc152042306"/>
      <w:bookmarkEnd w:id="25"/>
      <w:bookmarkStart w:id="26" w:name="_Toc152045530"/>
      <w:bookmarkEnd w:id="26"/>
      <w:bookmarkStart w:id="27" w:name="_Toc24241"/>
      <w:r>
        <w:rPr>
          <w:rFonts w:hint="eastAsia" w:ascii="宋体" w:hAnsi="宋体"/>
          <w:sz w:val="28"/>
          <w:szCs w:val="28"/>
        </w:rPr>
        <w:t>1.1 项目概况</w:t>
      </w:r>
      <w:bookmarkEnd w:id="27"/>
    </w:p>
    <w:p w14:paraId="66FA71EF">
      <w:pPr>
        <w:rPr>
          <w:rFonts w:ascii="宋体" w:hAnsi="宋体"/>
          <w:sz w:val="28"/>
          <w:szCs w:val="28"/>
        </w:rPr>
      </w:pPr>
      <w:r>
        <w:rPr>
          <w:rFonts w:hint="eastAsia" w:ascii="宋体" w:hAnsi="宋体"/>
          <w:sz w:val="28"/>
          <w:szCs w:val="28"/>
        </w:rPr>
        <w:t>1.1.1根据《中华人民共和国政府采购法》等有关法律、法规和规章的规定，本招标项目已具备招标条件，现对本项目进行公开招标。</w:t>
      </w:r>
    </w:p>
    <w:p w14:paraId="39C48268">
      <w:pPr>
        <w:rPr>
          <w:rFonts w:ascii="宋体" w:hAnsi="宋体"/>
          <w:sz w:val="28"/>
          <w:szCs w:val="28"/>
        </w:rPr>
      </w:pPr>
      <w:r>
        <w:rPr>
          <w:rFonts w:hint="eastAsia" w:ascii="宋体" w:hAnsi="宋体"/>
          <w:sz w:val="28"/>
          <w:szCs w:val="28"/>
        </w:rPr>
        <w:t>1.1.2 本招标项目招标人：见投标人须知前附表。</w:t>
      </w:r>
    </w:p>
    <w:p w14:paraId="04D1D224">
      <w:pPr>
        <w:rPr>
          <w:rFonts w:ascii="宋体" w:hAnsi="宋体"/>
          <w:sz w:val="28"/>
          <w:szCs w:val="28"/>
        </w:rPr>
      </w:pPr>
      <w:r>
        <w:rPr>
          <w:rFonts w:hint="eastAsia" w:ascii="宋体" w:hAnsi="宋体"/>
          <w:sz w:val="28"/>
          <w:szCs w:val="28"/>
        </w:rPr>
        <w:t>1.1.3 本项目招标代理机构：见投标人须知前附表。</w:t>
      </w:r>
    </w:p>
    <w:p w14:paraId="347508B3">
      <w:pPr>
        <w:rPr>
          <w:rFonts w:ascii="宋体" w:hAnsi="宋体"/>
          <w:sz w:val="28"/>
          <w:szCs w:val="28"/>
        </w:rPr>
      </w:pPr>
      <w:r>
        <w:rPr>
          <w:rFonts w:hint="eastAsia" w:ascii="宋体" w:hAnsi="宋体"/>
          <w:sz w:val="28"/>
          <w:szCs w:val="28"/>
        </w:rPr>
        <w:t>1.1.4 本招标项目名称：见投标人须知前附表。</w:t>
      </w:r>
    </w:p>
    <w:p w14:paraId="4ADFBC0A">
      <w:pPr>
        <w:rPr>
          <w:rFonts w:ascii="宋体" w:hAnsi="宋体"/>
          <w:sz w:val="28"/>
          <w:szCs w:val="28"/>
        </w:rPr>
      </w:pPr>
      <w:r>
        <w:rPr>
          <w:rFonts w:hint="eastAsia" w:ascii="宋体" w:hAnsi="宋体"/>
          <w:sz w:val="28"/>
          <w:szCs w:val="28"/>
        </w:rPr>
        <w:t>1.1.5 本项目项目地点：见投标人须知前附表。</w:t>
      </w:r>
    </w:p>
    <w:p w14:paraId="69E889FF">
      <w:pPr>
        <w:rPr>
          <w:rFonts w:ascii="宋体" w:hAnsi="宋体"/>
          <w:sz w:val="28"/>
          <w:szCs w:val="28"/>
        </w:rPr>
      </w:pPr>
      <w:bookmarkStart w:id="28" w:name="_Toc152042307"/>
      <w:bookmarkEnd w:id="28"/>
      <w:bookmarkStart w:id="29" w:name="_Toc152045531"/>
      <w:bookmarkEnd w:id="29"/>
      <w:bookmarkStart w:id="30" w:name="_Toc144974499"/>
      <w:bookmarkEnd w:id="30"/>
      <w:bookmarkStart w:id="31" w:name="_Toc179632548"/>
      <w:bookmarkEnd w:id="31"/>
      <w:bookmarkStart w:id="32" w:name="_Toc26905"/>
      <w:r>
        <w:rPr>
          <w:rFonts w:hint="eastAsia" w:ascii="宋体" w:hAnsi="宋体"/>
          <w:sz w:val="28"/>
          <w:szCs w:val="28"/>
        </w:rPr>
        <w:t>1.2 资金来源和落实情况</w:t>
      </w:r>
      <w:bookmarkEnd w:id="32"/>
    </w:p>
    <w:p w14:paraId="0E8ECE9A">
      <w:pPr>
        <w:rPr>
          <w:rFonts w:ascii="宋体" w:hAnsi="宋体"/>
          <w:sz w:val="28"/>
          <w:szCs w:val="28"/>
        </w:rPr>
      </w:pPr>
      <w:r>
        <w:rPr>
          <w:rFonts w:hint="eastAsia" w:ascii="宋体" w:hAnsi="宋体"/>
          <w:sz w:val="28"/>
          <w:szCs w:val="28"/>
        </w:rPr>
        <w:t>1.2.1 本招标项目的资金来源：见投标人须知前附表。</w:t>
      </w:r>
    </w:p>
    <w:p w14:paraId="360BD37B">
      <w:pPr>
        <w:rPr>
          <w:rFonts w:ascii="宋体" w:hAnsi="宋体"/>
          <w:sz w:val="28"/>
          <w:szCs w:val="28"/>
        </w:rPr>
      </w:pPr>
      <w:r>
        <w:rPr>
          <w:rFonts w:hint="eastAsia" w:ascii="宋体" w:hAnsi="宋体"/>
          <w:sz w:val="28"/>
          <w:szCs w:val="28"/>
        </w:rPr>
        <w:t>1.2.2 本招标项目的资金落实情况：见投标人须知前附表。</w:t>
      </w:r>
    </w:p>
    <w:p w14:paraId="52AD9C20">
      <w:pPr>
        <w:rPr>
          <w:rFonts w:ascii="宋体" w:hAnsi="宋体"/>
          <w:sz w:val="28"/>
          <w:szCs w:val="28"/>
        </w:rPr>
      </w:pPr>
      <w:bookmarkStart w:id="33" w:name="_Toc152045532"/>
      <w:bookmarkEnd w:id="33"/>
      <w:bookmarkStart w:id="34" w:name="_Toc152042308"/>
      <w:bookmarkEnd w:id="34"/>
      <w:bookmarkStart w:id="35" w:name="_Toc144974500"/>
      <w:bookmarkEnd w:id="35"/>
      <w:bookmarkStart w:id="36" w:name="_Toc179632549"/>
      <w:bookmarkEnd w:id="36"/>
      <w:bookmarkStart w:id="37" w:name="_Toc4342"/>
      <w:r>
        <w:rPr>
          <w:rFonts w:hint="eastAsia" w:ascii="宋体" w:hAnsi="宋体"/>
          <w:sz w:val="28"/>
          <w:szCs w:val="28"/>
        </w:rPr>
        <w:t>1.3 招标范围、合同履行期限、</w:t>
      </w:r>
      <w:bookmarkEnd w:id="37"/>
      <w:r>
        <w:rPr>
          <w:rFonts w:hint="eastAsia" w:ascii="宋体" w:hAnsi="宋体"/>
          <w:sz w:val="28"/>
          <w:szCs w:val="28"/>
        </w:rPr>
        <w:t>投标质量</w:t>
      </w:r>
    </w:p>
    <w:p w14:paraId="695155A8">
      <w:pPr>
        <w:rPr>
          <w:rFonts w:ascii="宋体" w:hAnsi="宋体"/>
          <w:sz w:val="28"/>
          <w:szCs w:val="28"/>
        </w:rPr>
      </w:pPr>
      <w:r>
        <w:rPr>
          <w:rFonts w:hint="eastAsia" w:ascii="宋体" w:hAnsi="宋体"/>
          <w:sz w:val="28"/>
          <w:szCs w:val="28"/>
        </w:rPr>
        <w:t>1.3.1 本次招标范围：见投标人须知前附表。</w:t>
      </w:r>
    </w:p>
    <w:p w14:paraId="33CF3C7C">
      <w:pPr>
        <w:rPr>
          <w:rFonts w:ascii="宋体" w:hAnsi="宋体"/>
          <w:sz w:val="28"/>
          <w:szCs w:val="28"/>
        </w:rPr>
      </w:pPr>
      <w:r>
        <w:rPr>
          <w:rFonts w:hint="eastAsia" w:ascii="宋体" w:hAnsi="宋体"/>
          <w:sz w:val="28"/>
          <w:szCs w:val="28"/>
        </w:rPr>
        <w:t>1.3.2 本项目合同履行期限：见投标人须知前附表。</w:t>
      </w:r>
    </w:p>
    <w:p w14:paraId="07B26F05">
      <w:pPr>
        <w:rPr>
          <w:rFonts w:ascii="宋体" w:hAnsi="宋体"/>
          <w:sz w:val="28"/>
          <w:szCs w:val="28"/>
        </w:rPr>
      </w:pPr>
      <w:r>
        <w:rPr>
          <w:rFonts w:hint="eastAsia" w:ascii="宋体" w:hAnsi="宋体"/>
          <w:sz w:val="28"/>
          <w:szCs w:val="28"/>
        </w:rPr>
        <w:t>1.3.3 本项目投标质量：见投标人须知前附表。</w:t>
      </w:r>
    </w:p>
    <w:p w14:paraId="3A0D3039">
      <w:pPr>
        <w:rPr>
          <w:rFonts w:ascii="宋体" w:hAnsi="宋体"/>
          <w:sz w:val="28"/>
          <w:szCs w:val="28"/>
        </w:rPr>
      </w:pPr>
      <w:bookmarkStart w:id="38" w:name="_Toc179632551"/>
      <w:bookmarkEnd w:id="38"/>
      <w:bookmarkStart w:id="39" w:name="_Toc152045534"/>
      <w:bookmarkEnd w:id="39"/>
      <w:bookmarkStart w:id="40" w:name="_Toc152042310"/>
      <w:bookmarkEnd w:id="40"/>
      <w:bookmarkStart w:id="41" w:name="_Toc144974502"/>
      <w:bookmarkEnd w:id="41"/>
      <w:bookmarkStart w:id="42" w:name="_Toc15187"/>
      <w:r>
        <w:rPr>
          <w:rFonts w:hint="eastAsia" w:ascii="宋体" w:hAnsi="宋体"/>
          <w:sz w:val="28"/>
          <w:szCs w:val="28"/>
        </w:rPr>
        <w:t xml:space="preserve">1.4 </w:t>
      </w:r>
      <w:bookmarkEnd w:id="42"/>
      <w:r>
        <w:rPr>
          <w:rFonts w:hint="eastAsia" w:ascii="宋体" w:hAnsi="宋体"/>
          <w:sz w:val="28"/>
          <w:szCs w:val="28"/>
        </w:rPr>
        <w:t>投标人资格要求</w:t>
      </w:r>
    </w:p>
    <w:p w14:paraId="2B4F967F">
      <w:pPr>
        <w:rPr>
          <w:rFonts w:ascii="宋体" w:hAnsi="宋体"/>
          <w:sz w:val="28"/>
          <w:szCs w:val="28"/>
        </w:rPr>
      </w:pPr>
      <w:r>
        <w:rPr>
          <w:rFonts w:hint="eastAsia" w:ascii="宋体" w:hAnsi="宋体"/>
          <w:sz w:val="28"/>
          <w:szCs w:val="28"/>
        </w:rPr>
        <w:t>1.4.1投标人应具备承担本项目的资格条件。</w:t>
      </w:r>
    </w:p>
    <w:p w14:paraId="2E3F00CC">
      <w:pPr>
        <w:rPr>
          <w:rFonts w:ascii="宋体" w:hAnsi="宋体"/>
          <w:sz w:val="28"/>
          <w:szCs w:val="28"/>
        </w:rPr>
      </w:pPr>
      <w:r>
        <w:rPr>
          <w:rFonts w:hint="eastAsia" w:ascii="宋体" w:hAnsi="宋体"/>
          <w:sz w:val="28"/>
          <w:szCs w:val="28"/>
        </w:rPr>
        <w:t>（1）资格条件：见投标人须知前附表；</w:t>
      </w:r>
    </w:p>
    <w:p w14:paraId="3390A4C5">
      <w:pPr>
        <w:spacing w:line="440" w:lineRule="exact"/>
        <w:rPr>
          <w:rFonts w:ascii="宋体" w:hAnsi="宋体"/>
          <w:color w:val="000000"/>
          <w:sz w:val="28"/>
          <w:szCs w:val="28"/>
        </w:rPr>
      </w:pPr>
      <w:r>
        <w:rPr>
          <w:rFonts w:hint="eastAsia" w:ascii="宋体" w:hAnsi="宋体"/>
          <w:color w:val="000000"/>
          <w:sz w:val="28"/>
          <w:szCs w:val="28"/>
        </w:rPr>
        <w:t>（2）其他要求：见招标文件要求。</w:t>
      </w:r>
    </w:p>
    <w:p w14:paraId="752251BB">
      <w:pPr>
        <w:spacing w:line="440" w:lineRule="exact"/>
        <w:rPr>
          <w:rFonts w:ascii="宋体" w:hAnsi="宋体"/>
          <w:color w:val="000000"/>
          <w:sz w:val="28"/>
          <w:szCs w:val="28"/>
        </w:rPr>
      </w:pPr>
      <w:r>
        <w:rPr>
          <w:rFonts w:hint="eastAsia" w:ascii="宋体" w:hAnsi="宋体"/>
          <w:color w:val="000000"/>
          <w:sz w:val="28"/>
          <w:szCs w:val="28"/>
        </w:rPr>
        <w:t>1.4.2 本项目不接受联合体投标。</w:t>
      </w:r>
    </w:p>
    <w:p w14:paraId="59C8F2E2">
      <w:pPr>
        <w:spacing w:line="440" w:lineRule="exact"/>
        <w:rPr>
          <w:rFonts w:ascii="宋体" w:hAnsi="宋体"/>
          <w:color w:val="000000"/>
          <w:sz w:val="28"/>
          <w:szCs w:val="28"/>
        </w:rPr>
      </w:pPr>
      <w:r>
        <w:rPr>
          <w:rFonts w:hint="eastAsia" w:ascii="宋体" w:hAnsi="宋体"/>
          <w:color w:val="000000"/>
          <w:sz w:val="28"/>
          <w:szCs w:val="28"/>
        </w:rPr>
        <w:t>1.4.3 投标人不得存在下列情形之一：</w:t>
      </w:r>
    </w:p>
    <w:p w14:paraId="16D0BC6A">
      <w:pPr>
        <w:spacing w:line="440" w:lineRule="exact"/>
        <w:rPr>
          <w:rFonts w:ascii="宋体" w:hAnsi="宋体"/>
          <w:color w:val="000000"/>
          <w:sz w:val="28"/>
          <w:szCs w:val="28"/>
        </w:rPr>
      </w:pPr>
      <w:r>
        <w:rPr>
          <w:rFonts w:hint="eastAsia" w:ascii="宋体" w:hAnsi="宋体"/>
          <w:color w:val="000000"/>
          <w:sz w:val="28"/>
          <w:szCs w:val="28"/>
        </w:rPr>
        <w:t xml:space="preserve">（1）为招标人不具有独立法人资格的附属机构（单位）；  </w:t>
      </w:r>
    </w:p>
    <w:p w14:paraId="5A07D8E5">
      <w:pPr>
        <w:spacing w:line="440" w:lineRule="exact"/>
        <w:rPr>
          <w:rFonts w:ascii="宋体" w:hAnsi="宋体"/>
          <w:color w:val="000000"/>
          <w:sz w:val="28"/>
          <w:szCs w:val="28"/>
        </w:rPr>
      </w:pPr>
      <w:r>
        <w:rPr>
          <w:rFonts w:hint="eastAsia" w:ascii="宋体" w:hAnsi="宋体"/>
          <w:color w:val="000000"/>
          <w:sz w:val="28"/>
          <w:szCs w:val="28"/>
        </w:rPr>
        <w:t xml:space="preserve">（2）为本项目提供招标代理服务的； </w:t>
      </w:r>
    </w:p>
    <w:p w14:paraId="69106BA5">
      <w:pPr>
        <w:spacing w:line="440" w:lineRule="exact"/>
        <w:rPr>
          <w:rFonts w:ascii="宋体" w:hAnsi="宋体"/>
          <w:color w:val="000000"/>
          <w:sz w:val="28"/>
          <w:szCs w:val="28"/>
        </w:rPr>
      </w:pPr>
      <w:r>
        <w:rPr>
          <w:rFonts w:hint="eastAsia" w:ascii="宋体" w:hAnsi="宋体"/>
          <w:color w:val="000000"/>
          <w:sz w:val="28"/>
          <w:szCs w:val="28"/>
        </w:rPr>
        <w:t>（3）与本项目的招标代理机构同为一个法定代表人的；</w:t>
      </w:r>
    </w:p>
    <w:p w14:paraId="643265A4">
      <w:pPr>
        <w:spacing w:line="440" w:lineRule="exact"/>
        <w:rPr>
          <w:rFonts w:ascii="宋体" w:hAnsi="宋体"/>
          <w:color w:val="000000"/>
          <w:sz w:val="28"/>
          <w:szCs w:val="28"/>
        </w:rPr>
      </w:pPr>
      <w:r>
        <w:rPr>
          <w:rFonts w:hint="eastAsia" w:ascii="宋体" w:hAnsi="宋体"/>
          <w:color w:val="000000"/>
          <w:sz w:val="28"/>
          <w:szCs w:val="28"/>
        </w:rPr>
        <w:t>（4）与本项目的招标代理机构相互控股或参股的；</w:t>
      </w:r>
    </w:p>
    <w:p w14:paraId="08DE470E">
      <w:pPr>
        <w:spacing w:line="440" w:lineRule="exact"/>
        <w:rPr>
          <w:rFonts w:ascii="宋体" w:hAnsi="宋体"/>
          <w:color w:val="000000"/>
          <w:sz w:val="28"/>
          <w:szCs w:val="28"/>
        </w:rPr>
      </w:pPr>
      <w:r>
        <w:rPr>
          <w:rFonts w:hint="eastAsia" w:ascii="宋体" w:hAnsi="宋体"/>
          <w:color w:val="000000"/>
          <w:sz w:val="28"/>
          <w:szCs w:val="28"/>
        </w:rPr>
        <w:t>（5）与本项目的招标代理机构相互任职或工作的；</w:t>
      </w:r>
    </w:p>
    <w:p w14:paraId="783E29C6">
      <w:pPr>
        <w:spacing w:line="440" w:lineRule="exact"/>
        <w:rPr>
          <w:rFonts w:ascii="宋体" w:hAnsi="宋体"/>
          <w:color w:val="000000"/>
          <w:sz w:val="28"/>
          <w:szCs w:val="28"/>
        </w:rPr>
      </w:pPr>
      <w:r>
        <w:rPr>
          <w:rFonts w:hint="eastAsia" w:ascii="宋体" w:hAnsi="宋体"/>
          <w:color w:val="000000"/>
          <w:sz w:val="28"/>
          <w:szCs w:val="28"/>
        </w:rPr>
        <w:t xml:space="preserve">（6）被责令停业的； </w:t>
      </w:r>
    </w:p>
    <w:p w14:paraId="07F7C860">
      <w:pPr>
        <w:spacing w:line="500" w:lineRule="exact"/>
        <w:rPr>
          <w:rFonts w:ascii="宋体" w:hAnsi="宋体"/>
          <w:color w:val="000000"/>
          <w:sz w:val="28"/>
          <w:szCs w:val="28"/>
        </w:rPr>
      </w:pPr>
      <w:r>
        <w:rPr>
          <w:rFonts w:hint="eastAsia" w:ascii="宋体" w:hAnsi="宋体"/>
          <w:color w:val="000000"/>
          <w:sz w:val="28"/>
          <w:szCs w:val="28"/>
        </w:rPr>
        <w:t xml:space="preserve">（7）被暂停或取消投标资格的； </w:t>
      </w:r>
    </w:p>
    <w:p w14:paraId="5575EB75">
      <w:pPr>
        <w:spacing w:line="500" w:lineRule="exact"/>
        <w:rPr>
          <w:rFonts w:ascii="宋体" w:hAnsi="宋体"/>
          <w:color w:val="000000"/>
          <w:sz w:val="28"/>
          <w:szCs w:val="28"/>
        </w:rPr>
      </w:pPr>
      <w:r>
        <w:rPr>
          <w:rFonts w:hint="eastAsia" w:ascii="宋体" w:hAnsi="宋体"/>
          <w:color w:val="000000"/>
          <w:sz w:val="28"/>
          <w:szCs w:val="28"/>
        </w:rPr>
        <w:t>（8）财产被接管或冻结的；</w:t>
      </w:r>
    </w:p>
    <w:p w14:paraId="6E770415">
      <w:pPr>
        <w:spacing w:line="500" w:lineRule="exact"/>
        <w:rPr>
          <w:rFonts w:ascii="宋体" w:hAnsi="宋体"/>
          <w:color w:val="000000"/>
          <w:sz w:val="28"/>
          <w:szCs w:val="28"/>
        </w:rPr>
      </w:pPr>
      <w:r>
        <w:rPr>
          <w:rFonts w:hint="eastAsia" w:ascii="宋体" w:hAnsi="宋体"/>
          <w:color w:val="000000"/>
          <w:sz w:val="28"/>
          <w:szCs w:val="28"/>
        </w:rPr>
        <w:t>（9）在最近三年内有骗取中标的</w:t>
      </w:r>
      <w:r>
        <w:rPr>
          <w:rFonts w:hint="eastAsia"/>
          <w:sz w:val="28"/>
          <w:szCs w:val="28"/>
        </w:rPr>
        <w:t>。</w:t>
      </w:r>
    </w:p>
    <w:p w14:paraId="4C857BE2">
      <w:pPr>
        <w:spacing w:line="440" w:lineRule="exact"/>
        <w:rPr>
          <w:rFonts w:ascii="宋体" w:hAnsi="宋体"/>
          <w:color w:val="FF0000"/>
          <w:sz w:val="28"/>
          <w:szCs w:val="28"/>
        </w:rPr>
      </w:pPr>
      <w:r>
        <w:rPr>
          <w:rFonts w:hint="eastAsia" w:ascii="宋体" w:hAnsi="宋体"/>
          <w:color w:val="000000"/>
          <w:sz w:val="28"/>
          <w:szCs w:val="28"/>
        </w:rPr>
        <w:t>1.4.4投标人应仔细阅读招标文件的所有内容，按招标文件的要求提供投标文件，保证所提供的全部资料的真实性。</w:t>
      </w:r>
    </w:p>
    <w:p w14:paraId="110F5B05">
      <w:pPr>
        <w:rPr>
          <w:sz w:val="28"/>
          <w:szCs w:val="28"/>
        </w:rPr>
      </w:pPr>
      <w:bookmarkStart w:id="43" w:name="_Toc144974503"/>
      <w:bookmarkEnd w:id="43"/>
      <w:bookmarkStart w:id="44" w:name="_Toc152042311"/>
      <w:bookmarkEnd w:id="44"/>
      <w:bookmarkStart w:id="45" w:name="_Toc179632552"/>
      <w:bookmarkEnd w:id="45"/>
      <w:bookmarkStart w:id="46" w:name="_Toc152045535"/>
      <w:bookmarkEnd w:id="46"/>
      <w:bookmarkStart w:id="47" w:name="_Toc12495"/>
      <w:r>
        <w:rPr>
          <w:rFonts w:hint="eastAsia"/>
          <w:sz w:val="28"/>
          <w:szCs w:val="28"/>
        </w:rPr>
        <w:t>1.5 费用承担</w:t>
      </w:r>
      <w:bookmarkEnd w:id="47"/>
    </w:p>
    <w:p w14:paraId="042A933D">
      <w:pPr>
        <w:rPr>
          <w:sz w:val="28"/>
          <w:szCs w:val="28"/>
        </w:rPr>
      </w:pPr>
      <w:r>
        <w:rPr>
          <w:rFonts w:hint="eastAsia"/>
          <w:sz w:val="28"/>
          <w:szCs w:val="28"/>
        </w:rPr>
        <w:t>投标人准备和参加投标活动发生的费用自理。</w:t>
      </w:r>
    </w:p>
    <w:p w14:paraId="16B72A37">
      <w:pPr>
        <w:rPr>
          <w:sz w:val="28"/>
          <w:szCs w:val="28"/>
        </w:rPr>
      </w:pPr>
      <w:bookmarkStart w:id="48" w:name="_Toc152042312"/>
      <w:bookmarkEnd w:id="48"/>
      <w:bookmarkStart w:id="49" w:name="_Toc144974504"/>
      <w:bookmarkEnd w:id="49"/>
      <w:bookmarkStart w:id="50" w:name="_Toc179632553"/>
      <w:bookmarkEnd w:id="50"/>
      <w:bookmarkStart w:id="51" w:name="_Toc152045536"/>
      <w:bookmarkEnd w:id="51"/>
      <w:bookmarkStart w:id="52" w:name="_Toc9037"/>
      <w:r>
        <w:rPr>
          <w:rFonts w:hint="eastAsia"/>
          <w:sz w:val="28"/>
          <w:szCs w:val="28"/>
        </w:rPr>
        <w:t>1.6 保密</w:t>
      </w:r>
      <w:bookmarkEnd w:id="52"/>
    </w:p>
    <w:p w14:paraId="136E5050">
      <w:pPr>
        <w:rPr>
          <w:sz w:val="28"/>
          <w:szCs w:val="28"/>
        </w:rPr>
      </w:pPr>
      <w:r>
        <w:rPr>
          <w:rFonts w:hint="eastAsia"/>
          <w:sz w:val="28"/>
          <w:szCs w:val="28"/>
        </w:rPr>
        <w:t xml:space="preserve">参与招标投标活动的各方应对招标文件和投标文件中的商业和技术等秘密保密，违者应对由此造成的后果承担法律责任。 </w:t>
      </w:r>
    </w:p>
    <w:p w14:paraId="04391D5E">
      <w:pPr>
        <w:rPr>
          <w:sz w:val="28"/>
          <w:szCs w:val="28"/>
        </w:rPr>
      </w:pPr>
      <w:bookmarkStart w:id="53" w:name="_Toc152045537"/>
      <w:bookmarkEnd w:id="53"/>
      <w:bookmarkStart w:id="54" w:name="_Toc144974505"/>
      <w:bookmarkEnd w:id="54"/>
      <w:bookmarkStart w:id="55" w:name="_Toc152042313"/>
      <w:bookmarkEnd w:id="55"/>
      <w:bookmarkStart w:id="56" w:name="_Toc179632554"/>
      <w:bookmarkEnd w:id="56"/>
      <w:bookmarkStart w:id="57" w:name="_Toc235"/>
      <w:r>
        <w:rPr>
          <w:rFonts w:hint="eastAsia"/>
          <w:sz w:val="28"/>
          <w:szCs w:val="28"/>
        </w:rPr>
        <w:t>1.7 语言</w:t>
      </w:r>
      <w:bookmarkEnd w:id="57"/>
      <w:r>
        <w:rPr>
          <w:rFonts w:hint="eastAsia"/>
          <w:sz w:val="28"/>
          <w:szCs w:val="28"/>
        </w:rPr>
        <w:t>文字</w:t>
      </w:r>
    </w:p>
    <w:p w14:paraId="18D1F569">
      <w:pPr>
        <w:rPr>
          <w:sz w:val="28"/>
          <w:szCs w:val="28"/>
        </w:rPr>
      </w:pPr>
      <w:r>
        <w:rPr>
          <w:rFonts w:hint="eastAsia"/>
          <w:sz w:val="28"/>
          <w:szCs w:val="28"/>
        </w:rPr>
        <w:t>除专用术语外，与招标投标有关的语言均使用中文。必要时专用术语应附有中文注释。</w:t>
      </w:r>
    </w:p>
    <w:p w14:paraId="526C5022">
      <w:pPr>
        <w:rPr>
          <w:sz w:val="28"/>
          <w:szCs w:val="28"/>
        </w:rPr>
      </w:pPr>
      <w:bookmarkStart w:id="58" w:name="_Toc152045538"/>
      <w:bookmarkEnd w:id="58"/>
      <w:bookmarkStart w:id="59" w:name="_Toc152042314"/>
      <w:bookmarkEnd w:id="59"/>
      <w:bookmarkStart w:id="60" w:name="_Toc179632555"/>
      <w:bookmarkEnd w:id="60"/>
      <w:bookmarkStart w:id="61" w:name="_Toc144974506"/>
      <w:bookmarkEnd w:id="61"/>
      <w:bookmarkStart w:id="62" w:name="_Toc32506"/>
      <w:r>
        <w:rPr>
          <w:rFonts w:hint="eastAsia"/>
          <w:sz w:val="28"/>
          <w:szCs w:val="28"/>
        </w:rPr>
        <w:t>1.8 计量单位</w:t>
      </w:r>
      <w:bookmarkEnd w:id="62"/>
    </w:p>
    <w:p w14:paraId="6F241DF5">
      <w:pPr>
        <w:rPr>
          <w:sz w:val="28"/>
          <w:szCs w:val="28"/>
        </w:rPr>
      </w:pPr>
      <w:r>
        <w:rPr>
          <w:rFonts w:hint="eastAsia"/>
          <w:sz w:val="28"/>
          <w:szCs w:val="28"/>
        </w:rPr>
        <w:t>所有计量均采用中华人民共和国法定计量单位。</w:t>
      </w:r>
    </w:p>
    <w:p w14:paraId="691975C7">
      <w:pPr>
        <w:rPr>
          <w:sz w:val="28"/>
          <w:szCs w:val="28"/>
        </w:rPr>
      </w:pPr>
      <w:bookmarkStart w:id="63" w:name="_Toc144974507"/>
      <w:bookmarkEnd w:id="63"/>
      <w:bookmarkStart w:id="64" w:name="_Toc152042315"/>
      <w:bookmarkEnd w:id="64"/>
      <w:bookmarkStart w:id="65" w:name="_Toc16310"/>
      <w:bookmarkEnd w:id="65"/>
      <w:bookmarkStart w:id="66" w:name="_Toc359689514"/>
      <w:bookmarkEnd w:id="66"/>
      <w:bookmarkStart w:id="67" w:name="_Toc22106"/>
      <w:bookmarkEnd w:id="67"/>
      <w:bookmarkStart w:id="68" w:name="_Toc152045539"/>
      <w:bookmarkEnd w:id="68"/>
      <w:bookmarkStart w:id="69" w:name="_Toc23442"/>
      <w:r>
        <w:rPr>
          <w:rFonts w:hint="eastAsia"/>
          <w:sz w:val="28"/>
          <w:szCs w:val="28"/>
        </w:rPr>
        <w:t>1.9 踏勘现场</w:t>
      </w:r>
      <w:bookmarkEnd w:id="69"/>
    </w:p>
    <w:p w14:paraId="51FB304A">
      <w:pPr>
        <w:rPr>
          <w:sz w:val="28"/>
          <w:szCs w:val="28"/>
        </w:rPr>
      </w:pPr>
      <w:r>
        <w:rPr>
          <w:rFonts w:hint="eastAsia"/>
          <w:sz w:val="28"/>
          <w:szCs w:val="28"/>
        </w:rPr>
        <w:t xml:space="preserve">1.9.1 投标人须知前附表规定组织踏勘现场的，投标人按须知前附表13规定的时间、地点进行踏勘项目现场。 </w:t>
      </w:r>
    </w:p>
    <w:p w14:paraId="68769350">
      <w:pPr>
        <w:rPr>
          <w:sz w:val="28"/>
          <w:szCs w:val="28"/>
        </w:rPr>
      </w:pPr>
      <w:r>
        <w:rPr>
          <w:rFonts w:hint="eastAsia"/>
          <w:sz w:val="28"/>
          <w:szCs w:val="28"/>
        </w:rPr>
        <w:t>1.9.2 投标人踏勘现场发生的费用自理。</w:t>
      </w:r>
    </w:p>
    <w:p w14:paraId="008326CA">
      <w:pPr>
        <w:rPr>
          <w:sz w:val="28"/>
          <w:szCs w:val="28"/>
        </w:rPr>
      </w:pPr>
      <w:bookmarkStart w:id="70" w:name="_Toc144974508"/>
      <w:bookmarkEnd w:id="70"/>
      <w:bookmarkStart w:id="71" w:name="_Toc179632557"/>
      <w:bookmarkEnd w:id="71"/>
      <w:bookmarkStart w:id="72" w:name="_Toc152045540"/>
      <w:bookmarkEnd w:id="72"/>
      <w:bookmarkStart w:id="73" w:name="_Toc152042316"/>
      <w:bookmarkEnd w:id="73"/>
      <w:bookmarkStart w:id="74" w:name="_Toc23941"/>
      <w:r>
        <w:rPr>
          <w:rFonts w:hint="eastAsia"/>
          <w:sz w:val="28"/>
          <w:szCs w:val="28"/>
        </w:rPr>
        <w:t>1.</w:t>
      </w:r>
      <w:bookmarkEnd w:id="74"/>
      <w:r>
        <w:rPr>
          <w:rFonts w:hint="eastAsia"/>
          <w:sz w:val="28"/>
          <w:szCs w:val="28"/>
        </w:rPr>
        <w:t>10投标预备会</w:t>
      </w:r>
    </w:p>
    <w:p w14:paraId="0D04CA4B">
      <w:pPr>
        <w:rPr>
          <w:sz w:val="28"/>
          <w:szCs w:val="28"/>
        </w:rPr>
      </w:pPr>
      <w:r>
        <w:rPr>
          <w:rFonts w:hint="eastAsia"/>
          <w:sz w:val="28"/>
          <w:szCs w:val="28"/>
        </w:rPr>
        <w:t>1.10.1 投标人须知前附表规定召开投标预备会的，招标人按投标人须知前附表规定的时间和地点召开投标预备会，澄清投标人提出的问题。</w:t>
      </w:r>
    </w:p>
    <w:p w14:paraId="496F657C">
      <w:pPr>
        <w:rPr>
          <w:sz w:val="28"/>
          <w:szCs w:val="28"/>
        </w:rPr>
      </w:pPr>
      <w:r>
        <w:rPr>
          <w:rFonts w:hint="eastAsia"/>
          <w:sz w:val="28"/>
          <w:szCs w:val="28"/>
        </w:rPr>
        <w:t>1.10.2 投标人应在投标人须知前附表规定的时间前，以书面形式将提出的问题送达招标人，以便招标人在会议期间澄清。</w:t>
      </w:r>
    </w:p>
    <w:p w14:paraId="313CA8E7">
      <w:pPr>
        <w:rPr>
          <w:sz w:val="28"/>
          <w:szCs w:val="28"/>
        </w:rPr>
      </w:pPr>
      <w:r>
        <w:rPr>
          <w:rFonts w:hint="eastAsia"/>
          <w:sz w:val="28"/>
          <w:szCs w:val="28"/>
        </w:rPr>
        <w:t>1.10.3 投标预备会后（如召开），招标人在投标人须知前附表规定的时间内，将对投标人所提问题的澄清，以网上公告方式通知所有下载招标文件的投标人。该澄清内容为招标文件的组成部分。</w:t>
      </w:r>
    </w:p>
    <w:p w14:paraId="325AEEF2">
      <w:pPr>
        <w:rPr>
          <w:sz w:val="28"/>
          <w:szCs w:val="28"/>
        </w:rPr>
      </w:pPr>
      <w:bookmarkStart w:id="75" w:name="_Toc179632559"/>
      <w:bookmarkEnd w:id="75"/>
      <w:bookmarkStart w:id="76" w:name="_Toc8050"/>
      <w:r>
        <w:rPr>
          <w:rFonts w:hint="eastAsia"/>
          <w:sz w:val="28"/>
          <w:szCs w:val="28"/>
        </w:rPr>
        <w:t>1.1</w:t>
      </w:r>
      <w:bookmarkEnd w:id="76"/>
      <w:r>
        <w:rPr>
          <w:rFonts w:hint="eastAsia"/>
          <w:sz w:val="28"/>
          <w:szCs w:val="28"/>
        </w:rPr>
        <w:t>1偏离</w:t>
      </w:r>
    </w:p>
    <w:p w14:paraId="33993921">
      <w:pPr>
        <w:ind w:firstLine="280" w:firstLineChars="100"/>
        <w:rPr>
          <w:sz w:val="28"/>
          <w:szCs w:val="28"/>
        </w:rPr>
      </w:pPr>
      <w:r>
        <w:rPr>
          <w:rFonts w:hint="eastAsia"/>
          <w:sz w:val="28"/>
          <w:szCs w:val="28"/>
        </w:rPr>
        <w:t>投标人须知前附表允许投标文件偏离招标文件某些要求的，偏离应当符合招标文件规定的偏离范围和幅度。</w:t>
      </w:r>
    </w:p>
    <w:p w14:paraId="717C3DD1">
      <w:pPr>
        <w:rPr>
          <w:rFonts w:cs="宋体"/>
          <w:sz w:val="28"/>
          <w:szCs w:val="28"/>
        </w:rPr>
      </w:pPr>
      <w:r>
        <w:rPr>
          <w:rFonts w:hint="eastAsia" w:cs="宋体"/>
          <w:sz w:val="28"/>
          <w:szCs w:val="28"/>
        </w:rPr>
        <w:t>1.12有关定义</w:t>
      </w:r>
    </w:p>
    <w:p w14:paraId="54213379">
      <w:pPr>
        <w:rPr>
          <w:color w:val="FF0000"/>
          <w:sz w:val="28"/>
          <w:szCs w:val="28"/>
        </w:rPr>
      </w:pPr>
      <w:r>
        <w:rPr>
          <w:rFonts w:hint="eastAsia"/>
          <w:sz w:val="28"/>
          <w:szCs w:val="28"/>
        </w:rPr>
        <w:t xml:space="preserve">   1.12.1“招标人”系指依法进行政府采购的国家机关、事业单位、团体组织。本次招标的招标人是</w:t>
      </w:r>
      <w:r>
        <w:rPr>
          <w:rFonts w:hint="eastAsia"/>
          <w:b/>
          <w:sz w:val="28"/>
          <w:szCs w:val="28"/>
        </w:rPr>
        <w:t>杞县教育体育局</w:t>
      </w:r>
      <w:r>
        <w:rPr>
          <w:rFonts w:hint="eastAsia"/>
          <w:sz w:val="28"/>
          <w:szCs w:val="28"/>
        </w:rPr>
        <w:t>。</w:t>
      </w:r>
    </w:p>
    <w:p w14:paraId="3892120B">
      <w:pPr>
        <w:rPr>
          <w:sz w:val="28"/>
          <w:szCs w:val="28"/>
        </w:rPr>
      </w:pPr>
      <w:r>
        <w:rPr>
          <w:rFonts w:hint="eastAsia"/>
          <w:sz w:val="28"/>
          <w:szCs w:val="28"/>
        </w:rPr>
        <w:t xml:space="preserve">   1.12.2“招标代理机构” 系指根据招标人的委托依法办理采购事宜的采购机构。本次招标的招标代理机构是杞县公共资源交易服务所</w:t>
      </w:r>
      <w:r>
        <w:rPr>
          <w:rFonts w:hint="eastAsia"/>
          <w:color w:val="000000"/>
          <w:sz w:val="28"/>
          <w:szCs w:val="28"/>
        </w:rPr>
        <w:t>。</w:t>
      </w:r>
    </w:p>
    <w:p w14:paraId="02F83A93">
      <w:pPr>
        <w:rPr>
          <w:sz w:val="28"/>
          <w:szCs w:val="28"/>
        </w:rPr>
      </w:pPr>
      <w:r>
        <w:rPr>
          <w:rFonts w:hint="eastAsia"/>
          <w:sz w:val="28"/>
          <w:szCs w:val="28"/>
        </w:rPr>
        <w:t xml:space="preserve">   1.12.3“招标单位”系指“招标人”和“采购人”的统称。</w:t>
      </w:r>
    </w:p>
    <w:p w14:paraId="6743B465">
      <w:pPr>
        <w:rPr>
          <w:sz w:val="28"/>
          <w:szCs w:val="28"/>
        </w:rPr>
      </w:pPr>
      <w:r>
        <w:rPr>
          <w:rFonts w:hint="eastAsia"/>
          <w:sz w:val="28"/>
          <w:szCs w:val="28"/>
        </w:rPr>
        <w:t xml:space="preserve">   1.12.4“投标人”、“供应商”皆指</w:t>
      </w:r>
      <w:r>
        <w:rPr>
          <w:rFonts w:hint="eastAsia"/>
          <w:color w:val="000000"/>
          <w:sz w:val="28"/>
          <w:szCs w:val="28"/>
        </w:rPr>
        <w:t>下载了招标文件</w:t>
      </w:r>
      <w:r>
        <w:rPr>
          <w:rFonts w:hint="eastAsia"/>
          <w:sz w:val="28"/>
          <w:szCs w:val="28"/>
        </w:rPr>
        <w:t>拟参加投标和向招标人提供货物及相应服务的投标人。</w:t>
      </w:r>
    </w:p>
    <w:p w14:paraId="3C5E10C8">
      <w:pPr>
        <w:rPr>
          <w:sz w:val="28"/>
          <w:szCs w:val="28"/>
        </w:rPr>
      </w:pPr>
      <w:r>
        <w:rPr>
          <w:rFonts w:hint="eastAsia"/>
          <w:sz w:val="28"/>
          <w:szCs w:val="28"/>
        </w:rPr>
        <w:t xml:space="preserve">   1.12.5“货物”系指投标方按招标文件规定向招标方提供的货物。</w:t>
      </w:r>
    </w:p>
    <w:p w14:paraId="2FDB17A3">
      <w:pPr>
        <w:ind w:firstLine="420" w:firstLineChars="150"/>
        <w:rPr>
          <w:color w:val="FF0000"/>
          <w:sz w:val="28"/>
          <w:szCs w:val="28"/>
        </w:rPr>
      </w:pPr>
      <w:r>
        <w:rPr>
          <w:rFonts w:hint="eastAsia"/>
          <w:sz w:val="28"/>
          <w:szCs w:val="28"/>
        </w:rPr>
        <w:t>1.12.6“服务”系指招标文件规定投标方须承担的运输、配送、调试以及其他类似的义务。</w:t>
      </w:r>
    </w:p>
    <w:p w14:paraId="72D31146">
      <w:pPr>
        <w:rPr>
          <w:sz w:val="28"/>
          <w:szCs w:val="28"/>
        </w:rPr>
      </w:pPr>
      <w:r>
        <w:rPr>
          <w:rFonts w:hint="eastAsia"/>
          <w:sz w:val="28"/>
          <w:szCs w:val="28"/>
        </w:rPr>
        <w:t>1.12.7“签章”系指招标文件规定法定代表人或其委托代理人签字盖章。</w:t>
      </w:r>
    </w:p>
    <w:p w14:paraId="2387602A">
      <w:pPr>
        <w:rPr>
          <w:rFonts w:cs="宋体"/>
          <w:sz w:val="28"/>
          <w:szCs w:val="28"/>
        </w:rPr>
      </w:pPr>
      <w:r>
        <w:rPr>
          <w:rFonts w:hint="eastAsia"/>
          <w:sz w:val="28"/>
          <w:szCs w:val="28"/>
        </w:rPr>
        <w:t>1.12.8“工作日”系指日历天数减去其间法定公休日的天数；没有明确说明的“日”、“天”，均指“日历天”。</w:t>
      </w:r>
    </w:p>
    <w:p w14:paraId="47A8B9BF">
      <w:pPr>
        <w:rPr>
          <w:sz w:val="28"/>
          <w:szCs w:val="28"/>
        </w:rPr>
      </w:pPr>
      <w:bookmarkStart w:id="77" w:name="_Toc10009"/>
      <w:bookmarkEnd w:id="77"/>
      <w:bookmarkStart w:id="78" w:name="_Toc144974510"/>
      <w:bookmarkEnd w:id="78"/>
      <w:bookmarkStart w:id="79" w:name="_Toc2439"/>
      <w:bookmarkEnd w:id="79"/>
      <w:bookmarkStart w:id="80" w:name="_Toc152045542"/>
      <w:bookmarkEnd w:id="80"/>
      <w:bookmarkStart w:id="81" w:name="_Toc22714"/>
      <w:bookmarkEnd w:id="81"/>
      <w:bookmarkStart w:id="82" w:name="_Toc5358"/>
      <w:bookmarkEnd w:id="82"/>
      <w:bookmarkStart w:id="83" w:name="_Toc18929"/>
      <w:bookmarkEnd w:id="83"/>
      <w:bookmarkStart w:id="84" w:name="_Toc18034"/>
      <w:bookmarkEnd w:id="84"/>
      <w:bookmarkStart w:id="85" w:name="_Toc32447"/>
      <w:bookmarkEnd w:id="85"/>
      <w:bookmarkStart w:id="86" w:name="_Toc179632560"/>
      <w:bookmarkEnd w:id="86"/>
      <w:bookmarkStart w:id="87" w:name="_Toc1628"/>
      <w:bookmarkEnd w:id="87"/>
      <w:bookmarkStart w:id="88" w:name="_Toc152042318"/>
      <w:bookmarkEnd w:id="88"/>
      <w:bookmarkStart w:id="89" w:name="_Toc29255"/>
      <w:bookmarkStart w:id="90" w:name="_Toc21624"/>
      <w:r>
        <w:rPr>
          <w:rFonts w:hint="eastAsia"/>
          <w:sz w:val="28"/>
          <w:szCs w:val="28"/>
        </w:rPr>
        <w:t xml:space="preserve">2. </w:t>
      </w:r>
      <w:bookmarkEnd w:id="89"/>
      <w:r>
        <w:rPr>
          <w:rFonts w:hint="eastAsia"/>
          <w:sz w:val="28"/>
          <w:szCs w:val="28"/>
        </w:rPr>
        <w:t>招标文件</w:t>
      </w:r>
      <w:bookmarkEnd w:id="90"/>
      <w:r>
        <w:rPr>
          <w:rFonts w:hint="eastAsia"/>
          <w:sz w:val="28"/>
          <w:szCs w:val="28"/>
        </w:rPr>
        <w:t xml:space="preserve"> </w:t>
      </w:r>
    </w:p>
    <w:p w14:paraId="2226D11C">
      <w:pPr>
        <w:rPr>
          <w:sz w:val="28"/>
          <w:szCs w:val="28"/>
        </w:rPr>
      </w:pPr>
      <w:bookmarkStart w:id="91" w:name="_Toc152042319"/>
      <w:bookmarkEnd w:id="91"/>
      <w:bookmarkStart w:id="92" w:name="_Toc179632561"/>
      <w:bookmarkEnd w:id="92"/>
      <w:bookmarkStart w:id="93" w:name="_Toc144974511"/>
      <w:bookmarkEnd w:id="93"/>
      <w:bookmarkStart w:id="94" w:name="_Toc152045543"/>
      <w:bookmarkEnd w:id="94"/>
      <w:bookmarkStart w:id="95" w:name="_Toc7885"/>
      <w:r>
        <w:rPr>
          <w:rFonts w:hint="eastAsia"/>
          <w:sz w:val="28"/>
          <w:szCs w:val="28"/>
        </w:rPr>
        <w:t>2.1 招标文件的组成</w:t>
      </w:r>
      <w:bookmarkEnd w:id="95"/>
    </w:p>
    <w:p w14:paraId="14331F1A">
      <w:pPr>
        <w:rPr>
          <w:sz w:val="28"/>
          <w:szCs w:val="28"/>
        </w:rPr>
      </w:pPr>
      <w:r>
        <w:rPr>
          <w:rFonts w:hint="eastAsia"/>
          <w:sz w:val="28"/>
          <w:szCs w:val="28"/>
        </w:rPr>
        <w:t xml:space="preserve">  本招标文件包括：</w:t>
      </w:r>
    </w:p>
    <w:p w14:paraId="1FA4DD17">
      <w:pPr>
        <w:rPr>
          <w:sz w:val="28"/>
          <w:szCs w:val="28"/>
        </w:rPr>
      </w:pPr>
      <w:r>
        <w:rPr>
          <w:rFonts w:hint="eastAsia"/>
          <w:sz w:val="28"/>
          <w:szCs w:val="28"/>
        </w:rPr>
        <w:t>（1）招标公告；</w:t>
      </w:r>
    </w:p>
    <w:p w14:paraId="1A8B0D80">
      <w:pPr>
        <w:rPr>
          <w:sz w:val="28"/>
          <w:szCs w:val="28"/>
        </w:rPr>
      </w:pPr>
      <w:r>
        <w:rPr>
          <w:rFonts w:hint="eastAsia"/>
          <w:sz w:val="28"/>
          <w:szCs w:val="28"/>
        </w:rPr>
        <w:t>（2）投标人须知；</w:t>
      </w:r>
    </w:p>
    <w:p w14:paraId="4421BE95">
      <w:pPr>
        <w:rPr>
          <w:sz w:val="28"/>
          <w:szCs w:val="28"/>
        </w:rPr>
      </w:pPr>
      <w:r>
        <w:rPr>
          <w:rFonts w:hint="eastAsia"/>
          <w:sz w:val="28"/>
          <w:szCs w:val="28"/>
        </w:rPr>
        <w:t>（3）评标办法；</w:t>
      </w:r>
    </w:p>
    <w:p w14:paraId="5850EF8B">
      <w:pPr>
        <w:rPr>
          <w:sz w:val="28"/>
          <w:szCs w:val="28"/>
        </w:rPr>
      </w:pPr>
      <w:r>
        <w:rPr>
          <w:rFonts w:hint="eastAsia"/>
          <w:sz w:val="28"/>
          <w:szCs w:val="28"/>
        </w:rPr>
        <w:t xml:space="preserve">（4）合同条款及格式； </w:t>
      </w:r>
    </w:p>
    <w:p w14:paraId="029C190E">
      <w:pPr>
        <w:rPr>
          <w:sz w:val="28"/>
          <w:szCs w:val="28"/>
        </w:rPr>
      </w:pPr>
      <w:r>
        <w:rPr>
          <w:rFonts w:hint="eastAsia"/>
          <w:sz w:val="28"/>
          <w:szCs w:val="28"/>
        </w:rPr>
        <w:t>（5）招标项目需求；</w:t>
      </w:r>
    </w:p>
    <w:p w14:paraId="4A3958D7">
      <w:pPr>
        <w:rPr>
          <w:sz w:val="28"/>
          <w:szCs w:val="28"/>
        </w:rPr>
      </w:pPr>
      <w:r>
        <w:rPr>
          <w:rFonts w:hint="eastAsia"/>
          <w:sz w:val="28"/>
          <w:szCs w:val="28"/>
        </w:rPr>
        <w:t>（6）投标文件格式；</w:t>
      </w:r>
    </w:p>
    <w:p w14:paraId="2EC7B5DF">
      <w:pPr>
        <w:ind w:firstLine="560" w:firstLineChars="200"/>
        <w:rPr>
          <w:sz w:val="28"/>
          <w:szCs w:val="28"/>
        </w:rPr>
      </w:pPr>
      <w:r>
        <w:rPr>
          <w:rFonts w:hint="eastAsia"/>
          <w:sz w:val="28"/>
          <w:szCs w:val="28"/>
        </w:rPr>
        <w:t>根据本章第2.2款对招标文件所作的澄清、修改，构成招标文件的组成部分。</w:t>
      </w:r>
    </w:p>
    <w:p w14:paraId="228AC914">
      <w:pPr>
        <w:rPr>
          <w:sz w:val="28"/>
          <w:szCs w:val="28"/>
        </w:rPr>
      </w:pPr>
      <w:bookmarkStart w:id="96" w:name="_Toc144974512"/>
      <w:bookmarkEnd w:id="96"/>
      <w:bookmarkStart w:id="97" w:name="_Toc152042320"/>
      <w:bookmarkEnd w:id="97"/>
      <w:bookmarkStart w:id="98" w:name="_Toc179632562"/>
      <w:bookmarkEnd w:id="98"/>
      <w:bookmarkStart w:id="99" w:name="_Toc152045544"/>
      <w:bookmarkEnd w:id="99"/>
      <w:bookmarkStart w:id="100" w:name="_Toc29598"/>
      <w:r>
        <w:rPr>
          <w:rFonts w:hint="eastAsia"/>
          <w:sz w:val="28"/>
          <w:szCs w:val="28"/>
        </w:rPr>
        <w:t>2.2 招标文件的澄清</w:t>
      </w:r>
      <w:bookmarkEnd w:id="100"/>
      <w:r>
        <w:rPr>
          <w:rFonts w:hint="eastAsia"/>
          <w:sz w:val="28"/>
          <w:szCs w:val="28"/>
        </w:rPr>
        <w:t>与修改</w:t>
      </w:r>
    </w:p>
    <w:p w14:paraId="7613F96F">
      <w:pPr>
        <w:rPr>
          <w:sz w:val="28"/>
          <w:szCs w:val="28"/>
        </w:rPr>
      </w:pPr>
      <w:bookmarkStart w:id="101" w:name="_Toc11530"/>
      <w:bookmarkEnd w:id="101"/>
      <w:bookmarkStart w:id="102" w:name="_Toc179632564"/>
      <w:bookmarkEnd w:id="102"/>
      <w:bookmarkStart w:id="103" w:name="_Toc152042322"/>
      <w:bookmarkEnd w:id="103"/>
      <w:bookmarkStart w:id="104" w:name="_Toc152045546"/>
      <w:bookmarkEnd w:id="104"/>
      <w:bookmarkStart w:id="105" w:name="_Toc144974514"/>
      <w:bookmarkEnd w:id="105"/>
      <w:bookmarkStart w:id="106" w:name="_Toc152045545"/>
      <w:bookmarkEnd w:id="106"/>
      <w:bookmarkStart w:id="107" w:name="_Toc179632563"/>
      <w:bookmarkEnd w:id="107"/>
      <w:bookmarkStart w:id="108" w:name="_Toc18549"/>
      <w:bookmarkEnd w:id="108"/>
      <w:bookmarkStart w:id="109" w:name="_Toc21490"/>
      <w:bookmarkEnd w:id="109"/>
      <w:bookmarkStart w:id="110" w:name="_Toc152042321"/>
      <w:bookmarkEnd w:id="110"/>
      <w:bookmarkStart w:id="111" w:name="_Toc12317"/>
      <w:bookmarkEnd w:id="111"/>
      <w:bookmarkStart w:id="112" w:name="_Toc15830"/>
      <w:bookmarkEnd w:id="112"/>
      <w:bookmarkStart w:id="113" w:name="_Toc20158"/>
      <w:bookmarkEnd w:id="113"/>
      <w:bookmarkStart w:id="114" w:name="_Toc7643"/>
      <w:bookmarkEnd w:id="114"/>
      <w:bookmarkStart w:id="115" w:name="_Toc144974513"/>
      <w:bookmarkEnd w:id="115"/>
      <w:bookmarkStart w:id="116" w:name="_Toc21831"/>
      <w:bookmarkEnd w:id="116"/>
      <w:bookmarkStart w:id="117" w:name="_Toc8438"/>
      <w:r>
        <w:rPr>
          <w:rFonts w:hint="eastAsia"/>
          <w:sz w:val="28"/>
          <w:szCs w:val="28"/>
        </w:rPr>
        <w:t>2.2.1招标人或者代理机构对已发出的招标文件、资格预审文件、投标邀请书进行必要澄清或者修改，但不得改变采购标的和资格条件。澄清或者修改应当在原公告发布媒体上发布澄清公告。澄清或者修改的内容为招标文件、资格预审文件、投标邀请书的组成部分。澄清或者修改的内容可能影响相应文件编制的，招标人或者代理机构应当在投标文件截止时间至少15 日前通知所有获取招标文件的潜在投标人；不足15 日的，招标人或者代理机构应当顺延提交投标文件的截止时间。招标文件公示期间对招标文件进行的澄清或者修改不受上述限制。</w:t>
      </w:r>
    </w:p>
    <w:p w14:paraId="1BCECC2E">
      <w:pPr>
        <w:rPr>
          <w:sz w:val="28"/>
          <w:szCs w:val="28"/>
        </w:rPr>
      </w:pPr>
      <w:r>
        <w:rPr>
          <w:rFonts w:hint="eastAsia"/>
          <w:sz w:val="28"/>
          <w:szCs w:val="28"/>
        </w:rPr>
        <w:t>2.2.2招标文件澄清或者修改的内容为招标文件的组成部分,对所有供应商均具有约束力。</w:t>
      </w:r>
    </w:p>
    <w:p w14:paraId="693B4E73">
      <w:pPr>
        <w:rPr>
          <w:sz w:val="28"/>
          <w:szCs w:val="28"/>
        </w:rPr>
      </w:pPr>
      <w:r>
        <w:rPr>
          <w:rFonts w:hint="eastAsia"/>
          <w:sz w:val="28"/>
          <w:szCs w:val="28"/>
        </w:rPr>
        <w:t>2.2.3 招标文件的澄清或者修改都应通过代理机构以法定形式发布。招标人未通过代理机构对招标文件进行的澄清或者修改无效，评标时不予认可。</w:t>
      </w:r>
    </w:p>
    <w:p w14:paraId="176784FC">
      <w:pPr>
        <w:rPr>
          <w:sz w:val="28"/>
          <w:szCs w:val="28"/>
        </w:rPr>
      </w:pPr>
      <w:r>
        <w:rPr>
          <w:rFonts w:hint="eastAsia"/>
          <w:sz w:val="28"/>
          <w:szCs w:val="28"/>
        </w:rPr>
        <w:t>2.2.4代理机构可视采购具体情况，在招标文件要求提交投标文件的截止时间3个工作日前延长投标截止时间和开标时间（特殊情况除外），并在河南省政府采购网、开封市公共资源交易网等相关媒体上（或以更正、变更公告的方式）通知所有招标文件的收受人，同时视为送达。</w:t>
      </w:r>
    </w:p>
    <w:p w14:paraId="5AFDC644">
      <w:pPr>
        <w:rPr>
          <w:sz w:val="28"/>
          <w:szCs w:val="28"/>
        </w:rPr>
      </w:pPr>
      <w:r>
        <w:rPr>
          <w:rFonts w:hint="eastAsia"/>
          <w:sz w:val="28"/>
          <w:szCs w:val="28"/>
        </w:rPr>
        <w:t>2.2.5投标人下载招标文件后，应仔细检查招标文件是否齐全、是否有表述不明确或缺（错、重）字等问题。投标人发现任何页数和附件数量的遗缺，任何数字或词汇模糊不清，任何词义含混不清的情形，应立即与招标人联系解决。如果投标人因未按上述提出要求而造成不良后果的，招标人不承担任何责任。</w:t>
      </w:r>
    </w:p>
    <w:p w14:paraId="7FAC52BE">
      <w:pPr>
        <w:rPr>
          <w:sz w:val="28"/>
          <w:szCs w:val="28"/>
        </w:rPr>
      </w:pPr>
      <w:r>
        <w:rPr>
          <w:rFonts w:hint="eastAsia"/>
          <w:sz w:val="28"/>
          <w:szCs w:val="28"/>
        </w:rPr>
        <w:t>2.2.6当招标文件、补充文件、答疑纪要内容要求不一致时，以最后发出的通知（或纪要）为准。</w:t>
      </w:r>
    </w:p>
    <w:p w14:paraId="582FC587">
      <w:pPr>
        <w:rPr>
          <w:sz w:val="28"/>
          <w:szCs w:val="28"/>
        </w:rPr>
      </w:pPr>
      <w:bookmarkStart w:id="118" w:name="_Toc1271"/>
      <w:r>
        <w:rPr>
          <w:rFonts w:hint="eastAsia"/>
          <w:sz w:val="28"/>
          <w:szCs w:val="28"/>
        </w:rPr>
        <w:t>3. 投标文件</w:t>
      </w:r>
      <w:bookmarkEnd w:id="117"/>
      <w:bookmarkEnd w:id="118"/>
    </w:p>
    <w:p w14:paraId="32801868">
      <w:pPr>
        <w:rPr>
          <w:sz w:val="28"/>
          <w:szCs w:val="28"/>
        </w:rPr>
      </w:pPr>
      <w:bookmarkStart w:id="119" w:name="_Toc152042323"/>
      <w:bookmarkEnd w:id="119"/>
      <w:bookmarkStart w:id="120" w:name="_Toc144974515"/>
      <w:bookmarkEnd w:id="120"/>
      <w:bookmarkStart w:id="121" w:name="_Toc152045547"/>
      <w:bookmarkEnd w:id="121"/>
      <w:bookmarkStart w:id="122" w:name="_Toc179632565"/>
      <w:bookmarkEnd w:id="122"/>
      <w:bookmarkStart w:id="123" w:name="_Toc25185"/>
      <w:r>
        <w:rPr>
          <w:rFonts w:hint="eastAsia"/>
          <w:sz w:val="28"/>
          <w:szCs w:val="28"/>
        </w:rPr>
        <w:t>3.1 投标文件的组成</w:t>
      </w:r>
      <w:bookmarkEnd w:id="123"/>
    </w:p>
    <w:p w14:paraId="20258CBF">
      <w:pPr>
        <w:rPr>
          <w:sz w:val="28"/>
          <w:szCs w:val="28"/>
        </w:rPr>
      </w:pPr>
      <w:r>
        <w:rPr>
          <w:rFonts w:hint="eastAsia"/>
          <w:sz w:val="28"/>
          <w:szCs w:val="28"/>
        </w:rPr>
        <w:t>一、投标函及投标函附录</w:t>
      </w:r>
    </w:p>
    <w:p w14:paraId="6A485358">
      <w:pPr>
        <w:rPr>
          <w:sz w:val="28"/>
          <w:szCs w:val="28"/>
        </w:rPr>
      </w:pPr>
      <w:r>
        <w:rPr>
          <w:rFonts w:hint="eastAsia"/>
          <w:sz w:val="28"/>
          <w:szCs w:val="28"/>
        </w:rPr>
        <w:t>二、法定代表人身份证明</w:t>
      </w:r>
    </w:p>
    <w:p w14:paraId="09A692F0">
      <w:pPr>
        <w:rPr>
          <w:sz w:val="28"/>
          <w:szCs w:val="28"/>
        </w:rPr>
      </w:pPr>
      <w:r>
        <w:rPr>
          <w:rFonts w:hint="eastAsia"/>
          <w:sz w:val="28"/>
          <w:szCs w:val="28"/>
        </w:rPr>
        <w:t>三、法定代表人授权委托书</w:t>
      </w:r>
    </w:p>
    <w:p w14:paraId="3F4E2859">
      <w:pPr>
        <w:rPr>
          <w:sz w:val="28"/>
          <w:szCs w:val="28"/>
        </w:rPr>
      </w:pPr>
      <w:r>
        <w:rPr>
          <w:rFonts w:hint="eastAsia"/>
          <w:sz w:val="28"/>
          <w:szCs w:val="28"/>
        </w:rPr>
        <w:t>四、资格审查资料</w:t>
      </w:r>
    </w:p>
    <w:p w14:paraId="68CBC19C">
      <w:pPr>
        <w:rPr>
          <w:sz w:val="28"/>
          <w:szCs w:val="28"/>
        </w:rPr>
      </w:pPr>
      <w:r>
        <w:rPr>
          <w:rFonts w:hint="eastAsia"/>
          <w:sz w:val="28"/>
          <w:szCs w:val="28"/>
        </w:rPr>
        <w:t>五、技术部分</w:t>
      </w:r>
    </w:p>
    <w:p w14:paraId="57BE6153">
      <w:pPr>
        <w:rPr>
          <w:sz w:val="28"/>
          <w:szCs w:val="28"/>
        </w:rPr>
      </w:pPr>
      <w:r>
        <w:rPr>
          <w:rFonts w:hint="eastAsia"/>
          <w:sz w:val="28"/>
          <w:szCs w:val="28"/>
        </w:rPr>
        <w:t>六、商务部分</w:t>
      </w:r>
    </w:p>
    <w:p w14:paraId="5B03E4E8">
      <w:pPr>
        <w:rPr>
          <w:sz w:val="28"/>
          <w:szCs w:val="28"/>
        </w:rPr>
      </w:pPr>
      <w:r>
        <w:rPr>
          <w:rFonts w:hint="eastAsia"/>
          <w:sz w:val="28"/>
          <w:szCs w:val="28"/>
        </w:rPr>
        <w:t>七、其他资料</w:t>
      </w:r>
    </w:p>
    <w:p w14:paraId="2652A25E">
      <w:pPr>
        <w:rPr>
          <w:sz w:val="28"/>
          <w:szCs w:val="28"/>
        </w:rPr>
      </w:pPr>
      <w:r>
        <w:rPr>
          <w:rFonts w:hint="eastAsia"/>
          <w:sz w:val="28"/>
          <w:szCs w:val="28"/>
        </w:rPr>
        <w:t>3.2 投标报价</w:t>
      </w:r>
    </w:p>
    <w:p w14:paraId="05C5E90C">
      <w:pPr>
        <w:rPr>
          <w:sz w:val="28"/>
          <w:szCs w:val="28"/>
        </w:rPr>
      </w:pPr>
      <w:r>
        <w:rPr>
          <w:rFonts w:hint="eastAsia"/>
          <w:sz w:val="28"/>
          <w:szCs w:val="28"/>
        </w:rPr>
        <w:t xml:space="preserve"> 3.2.1 投标人应按“投标文件格式”的要求在投标函中进行报价。</w:t>
      </w:r>
    </w:p>
    <w:p w14:paraId="57EF8D54">
      <w:pPr>
        <w:rPr>
          <w:sz w:val="28"/>
          <w:szCs w:val="28"/>
        </w:rPr>
      </w:pPr>
      <w:r>
        <w:rPr>
          <w:rFonts w:hint="eastAsia"/>
          <w:sz w:val="28"/>
          <w:szCs w:val="28"/>
        </w:rPr>
        <w:t>3.2.2投标人在投标截止时间前修改投标函中的投标报价，应同时修改“投标函附录”中的相应报价。</w:t>
      </w:r>
    </w:p>
    <w:p w14:paraId="316FC309">
      <w:pPr>
        <w:rPr>
          <w:sz w:val="28"/>
          <w:szCs w:val="28"/>
        </w:rPr>
      </w:pPr>
      <w:r>
        <w:rPr>
          <w:rFonts w:hint="eastAsia"/>
          <w:sz w:val="28"/>
          <w:szCs w:val="28"/>
        </w:rPr>
        <w:t>3.2.3 招标人设有最高投标限价的，投标人的投标报价不得超过最高投标限价，最高投标限价在投标人须知前附表中载明。</w:t>
      </w:r>
    </w:p>
    <w:p w14:paraId="0F7C1983">
      <w:pPr>
        <w:rPr>
          <w:sz w:val="28"/>
          <w:szCs w:val="28"/>
        </w:rPr>
      </w:pPr>
      <w:bookmarkStart w:id="124" w:name="_Toc179632567"/>
      <w:bookmarkEnd w:id="124"/>
      <w:bookmarkStart w:id="125" w:name="_Toc144974517"/>
      <w:bookmarkEnd w:id="125"/>
      <w:bookmarkStart w:id="126" w:name="_Toc152042325"/>
      <w:bookmarkEnd w:id="126"/>
      <w:bookmarkStart w:id="127" w:name="_Toc152045549"/>
      <w:bookmarkEnd w:id="127"/>
      <w:bookmarkStart w:id="128" w:name="_Toc29020"/>
      <w:r>
        <w:rPr>
          <w:rFonts w:hint="eastAsia"/>
          <w:sz w:val="28"/>
          <w:szCs w:val="28"/>
        </w:rPr>
        <w:t>3.3 投标有效期</w:t>
      </w:r>
      <w:bookmarkEnd w:id="128"/>
    </w:p>
    <w:p w14:paraId="2D84AAD0">
      <w:pPr>
        <w:rPr>
          <w:sz w:val="28"/>
          <w:szCs w:val="28"/>
        </w:rPr>
      </w:pPr>
      <w:r>
        <w:rPr>
          <w:rFonts w:hint="eastAsia"/>
          <w:sz w:val="28"/>
          <w:szCs w:val="28"/>
        </w:rPr>
        <w:t>3.3.1 在投标人须知前附表规定的投标有效期内，投标人不得要求撤销或修改其投标文件。</w:t>
      </w:r>
    </w:p>
    <w:p w14:paraId="73303E4C">
      <w:pPr>
        <w:rPr>
          <w:sz w:val="28"/>
          <w:szCs w:val="28"/>
        </w:rPr>
      </w:pPr>
      <w:r>
        <w:rPr>
          <w:rFonts w:hint="eastAsia"/>
          <w:sz w:val="28"/>
          <w:szCs w:val="28"/>
        </w:rPr>
        <w:t xml:space="preserve">3.3.2出现特殊情况需要延长投标有效期的，招标人以公告形式通知所有投标人延长投标有效期。投标人同意延长的，应相应延长其投标保证金的有效期，但不得要求或被允许修改或撤销其投标文件；投标人拒绝延长的，其投标失效。 </w:t>
      </w:r>
    </w:p>
    <w:p w14:paraId="7711CCEF">
      <w:pPr>
        <w:rPr>
          <w:sz w:val="28"/>
          <w:szCs w:val="28"/>
        </w:rPr>
      </w:pPr>
      <w:bookmarkStart w:id="129" w:name="_Toc152042326"/>
      <w:bookmarkEnd w:id="129"/>
      <w:bookmarkStart w:id="130" w:name="_Toc179632568"/>
      <w:bookmarkEnd w:id="130"/>
      <w:bookmarkStart w:id="131" w:name="_Toc144974518"/>
      <w:bookmarkEnd w:id="131"/>
      <w:bookmarkStart w:id="132" w:name="_Toc152045550"/>
      <w:bookmarkEnd w:id="132"/>
      <w:bookmarkStart w:id="133" w:name="_Toc32255"/>
      <w:r>
        <w:rPr>
          <w:rFonts w:hint="eastAsia"/>
          <w:sz w:val="28"/>
          <w:szCs w:val="28"/>
        </w:rPr>
        <w:t>3.4 投标保证金</w:t>
      </w:r>
      <w:bookmarkEnd w:id="133"/>
      <w:r>
        <w:rPr>
          <w:rFonts w:hint="eastAsia"/>
          <w:sz w:val="28"/>
          <w:szCs w:val="28"/>
        </w:rPr>
        <w:t>：本项目不收取投标保证金。</w:t>
      </w:r>
    </w:p>
    <w:p w14:paraId="179B19F7">
      <w:pPr>
        <w:rPr>
          <w:sz w:val="28"/>
          <w:szCs w:val="28"/>
        </w:rPr>
      </w:pPr>
      <w:bookmarkStart w:id="134" w:name="_Toc152042328"/>
      <w:bookmarkEnd w:id="134"/>
      <w:bookmarkStart w:id="135" w:name="_Toc179632570"/>
      <w:bookmarkEnd w:id="135"/>
      <w:bookmarkStart w:id="136" w:name="_Toc144974520"/>
      <w:bookmarkEnd w:id="136"/>
      <w:bookmarkStart w:id="137" w:name="_Toc152045552"/>
      <w:bookmarkEnd w:id="137"/>
      <w:bookmarkStart w:id="138" w:name="_Toc14277"/>
      <w:r>
        <w:rPr>
          <w:rFonts w:hint="eastAsia"/>
          <w:sz w:val="28"/>
          <w:szCs w:val="28"/>
        </w:rPr>
        <w:t>3.5 资格审查资料</w:t>
      </w:r>
      <w:bookmarkEnd w:id="138"/>
    </w:p>
    <w:p w14:paraId="67DEBA3E">
      <w:pPr>
        <w:rPr>
          <w:sz w:val="28"/>
          <w:szCs w:val="28"/>
        </w:rPr>
      </w:pPr>
      <w:r>
        <w:rPr>
          <w:rFonts w:hint="eastAsia"/>
          <w:sz w:val="28"/>
          <w:szCs w:val="28"/>
        </w:rPr>
        <w:t xml:space="preserve">      详见须知前附表11项要求</w:t>
      </w:r>
    </w:p>
    <w:p w14:paraId="441F7698">
      <w:pPr>
        <w:rPr>
          <w:sz w:val="28"/>
          <w:szCs w:val="28"/>
        </w:rPr>
      </w:pPr>
      <w:bookmarkStart w:id="139" w:name="_Toc152042329"/>
      <w:bookmarkEnd w:id="139"/>
      <w:bookmarkStart w:id="140" w:name="_Toc144974521"/>
      <w:bookmarkEnd w:id="140"/>
      <w:bookmarkStart w:id="141" w:name="_Toc152045553"/>
      <w:bookmarkEnd w:id="141"/>
      <w:bookmarkStart w:id="142" w:name="_Toc179632571"/>
      <w:bookmarkEnd w:id="142"/>
      <w:bookmarkStart w:id="143" w:name="_Toc29143"/>
      <w:r>
        <w:rPr>
          <w:rFonts w:hint="eastAsia"/>
          <w:sz w:val="28"/>
          <w:szCs w:val="28"/>
        </w:rPr>
        <w:t>3.6 备选投标方案</w:t>
      </w:r>
      <w:bookmarkEnd w:id="143"/>
    </w:p>
    <w:p w14:paraId="48D7EC7A">
      <w:pPr>
        <w:ind w:firstLine="280" w:firstLineChars="100"/>
        <w:rPr>
          <w:sz w:val="28"/>
          <w:szCs w:val="28"/>
        </w:rPr>
      </w:pPr>
      <w:r>
        <w:rPr>
          <w:rFonts w:hint="eastAsia"/>
          <w:sz w:val="28"/>
          <w:szCs w:val="28"/>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14:paraId="300D2F98">
      <w:pPr>
        <w:rPr>
          <w:sz w:val="28"/>
          <w:szCs w:val="28"/>
        </w:rPr>
      </w:pPr>
      <w:bookmarkStart w:id="144" w:name="_Toc152045554"/>
      <w:bookmarkEnd w:id="144"/>
      <w:bookmarkStart w:id="145" w:name="_Toc144974522"/>
      <w:bookmarkEnd w:id="145"/>
      <w:bookmarkStart w:id="146" w:name="_Toc152042330"/>
      <w:bookmarkEnd w:id="146"/>
      <w:bookmarkStart w:id="147" w:name="_Toc179632572"/>
      <w:bookmarkEnd w:id="147"/>
      <w:r>
        <w:rPr>
          <w:rFonts w:hint="eastAsia"/>
          <w:sz w:val="28"/>
          <w:szCs w:val="28"/>
        </w:rPr>
        <w:t>3.7 投标文件的编制</w:t>
      </w:r>
    </w:p>
    <w:p w14:paraId="417AA8AD">
      <w:pPr>
        <w:rPr>
          <w:sz w:val="28"/>
          <w:szCs w:val="28"/>
        </w:rPr>
      </w:pPr>
      <w:bookmarkStart w:id="148" w:name="_Toc14230"/>
      <w:bookmarkEnd w:id="148"/>
      <w:bookmarkStart w:id="149" w:name="_Toc20334"/>
      <w:bookmarkEnd w:id="149"/>
      <w:bookmarkStart w:id="150" w:name="_Toc179632573"/>
      <w:bookmarkEnd w:id="150"/>
      <w:bookmarkStart w:id="151" w:name="_Toc22690"/>
      <w:bookmarkEnd w:id="151"/>
      <w:bookmarkStart w:id="152" w:name="_Toc1760"/>
      <w:bookmarkEnd w:id="152"/>
      <w:bookmarkStart w:id="153" w:name="_Toc152042331"/>
      <w:bookmarkEnd w:id="153"/>
      <w:bookmarkStart w:id="154" w:name="_Toc21014"/>
      <w:bookmarkEnd w:id="154"/>
      <w:bookmarkStart w:id="155" w:name="_Toc26625"/>
      <w:bookmarkEnd w:id="155"/>
      <w:bookmarkStart w:id="156" w:name="_Toc152045555"/>
      <w:bookmarkEnd w:id="156"/>
      <w:bookmarkStart w:id="157" w:name="_Toc14775"/>
      <w:bookmarkEnd w:id="157"/>
      <w:bookmarkStart w:id="158" w:name="_Toc3446"/>
      <w:bookmarkEnd w:id="158"/>
      <w:bookmarkStart w:id="159" w:name="_Toc144974523"/>
      <w:bookmarkEnd w:id="159"/>
      <w:bookmarkStart w:id="160" w:name="_Toc31216"/>
      <w:r>
        <w:rPr>
          <w:rFonts w:hint="eastAsia"/>
          <w:sz w:val="28"/>
          <w:szCs w:val="28"/>
        </w:rPr>
        <w:t>3.7.1 投标文件应按第六章“投标文件格式”进行编写，如有必要，可以增加附页，作为投标文件的组成部分。因本项目招标产品种类较多，投标人需要提供的证书及各种证明材料较多，投标文件中投标人附的证书及各种证明需编制目录对应证书所在页码，便于评审专家查看。</w:t>
      </w:r>
    </w:p>
    <w:p w14:paraId="14EA8F6A">
      <w:pPr>
        <w:rPr>
          <w:sz w:val="28"/>
          <w:szCs w:val="28"/>
        </w:rPr>
      </w:pPr>
      <w:r>
        <w:rPr>
          <w:rFonts w:hint="eastAsia"/>
          <w:sz w:val="28"/>
          <w:szCs w:val="28"/>
        </w:rPr>
        <w:t>3.7.2 投标文件应当对招标文件重要内容有关投标有效期、质量要求、技术标准和要求、招标范围等实质性内容作出明确响应。</w:t>
      </w:r>
    </w:p>
    <w:p w14:paraId="4D38242F">
      <w:pPr>
        <w:rPr>
          <w:sz w:val="28"/>
          <w:szCs w:val="28"/>
        </w:rPr>
      </w:pPr>
      <w:bookmarkStart w:id="161" w:name="_Toc7568"/>
      <w:r>
        <w:rPr>
          <w:rFonts w:hint="eastAsia"/>
          <w:sz w:val="28"/>
          <w:szCs w:val="28"/>
        </w:rPr>
        <w:t>4. 投标</w:t>
      </w:r>
      <w:bookmarkEnd w:id="160"/>
      <w:bookmarkEnd w:id="161"/>
    </w:p>
    <w:p w14:paraId="3785E0A1">
      <w:pPr>
        <w:rPr>
          <w:sz w:val="28"/>
          <w:szCs w:val="28"/>
        </w:rPr>
      </w:pPr>
      <w:bookmarkStart w:id="162" w:name="_Toc152042333"/>
      <w:bookmarkEnd w:id="162"/>
      <w:bookmarkStart w:id="163" w:name="_Toc144974525"/>
      <w:bookmarkEnd w:id="163"/>
      <w:bookmarkStart w:id="164" w:name="_Toc179632574"/>
      <w:bookmarkEnd w:id="164"/>
      <w:bookmarkStart w:id="165" w:name="_Toc152045557"/>
      <w:bookmarkEnd w:id="165"/>
      <w:bookmarkStart w:id="166" w:name="_Toc152042332"/>
      <w:bookmarkEnd w:id="166"/>
      <w:bookmarkStart w:id="167" w:name="_Toc179632575"/>
      <w:bookmarkEnd w:id="167"/>
      <w:bookmarkStart w:id="168" w:name="_Toc144974524"/>
      <w:bookmarkEnd w:id="168"/>
      <w:bookmarkStart w:id="169" w:name="_Toc152045556"/>
      <w:bookmarkEnd w:id="169"/>
      <w:bookmarkStart w:id="170" w:name="_Toc26181"/>
      <w:r>
        <w:rPr>
          <w:rFonts w:hint="eastAsia"/>
          <w:sz w:val="28"/>
          <w:szCs w:val="28"/>
        </w:rPr>
        <w:t>4.1</w:t>
      </w:r>
      <w:bookmarkEnd w:id="170"/>
      <w:bookmarkStart w:id="171" w:name="_Toc179632576"/>
      <w:bookmarkEnd w:id="171"/>
      <w:bookmarkStart w:id="172" w:name="_Toc152045558"/>
      <w:bookmarkEnd w:id="172"/>
      <w:bookmarkStart w:id="173" w:name="_Toc152042334"/>
      <w:bookmarkEnd w:id="173"/>
      <w:bookmarkStart w:id="174" w:name="_Toc144974526"/>
      <w:bookmarkEnd w:id="174"/>
      <w:bookmarkStart w:id="175" w:name="_Toc11668"/>
      <w:r>
        <w:rPr>
          <w:rFonts w:hint="eastAsia"/>
          <w:sz w:val="28"/>
          <w:szCs w:val="28"/>
        </w:rPr>
        <w:t>加密电子投标文件的上传</w:t>
      </w:r>
    </w:p>
    <w:p w14:paraId="3E94E142">
      <w:pPr>
        <w:rPr>
          <w:sz w:val="28"/>
          <w:szCs w:val="28"/>
        </w:rPr>
      </w:pPr>
      <w:r>
        <w:rPr>
          <w:rFonts w:hint="eastAsia"/>
          <w:sz w:val="28"/>
          <w:szCs w:val="28"/>
        </w:rPr>
        <w:t>4.1.1投标人应在招标公告中规定的投标文件上传截止日期和时间前，将加密电子投标文件上传到开封市公共资源交易信息网。</w:t>
      </w:r>
    </w:p>
    <w:p w14:paraId="73BECD02">
      <w:pPr>
        <w:rPr>
          <w:sz w:val="28"/>
          <w:szCs w:val="28"/>
        </w:rPr>
      </w:pPr>
      <w:r>
        <w:rPr>
          <w:rFonts w:hint="eastAsia"/>
          <w:sz w:val="28"/>
          <w:szCs w:val="28"/>
        </w:rPr>
        <w:t>4.1.2加密电子投标文件逾期上传的，招标人不予受理。</w:t>
      </w:r>
    </w:p>
    <w:p w14:paraId="410351A1">
      <w:pPr>
        <w:rPr>
          <w:sz w:val="28"/>
          <w:szCs w:val="28"/>
        </w:rPr>
      </w:pPr>
      <w:r>
        <w:rPr>
          <w:rFonts w:hint="eastAsia"/>
          <w:sz w:val="28"/>
          <w:szCs w:val="28"/>
        </w:rPr>
        <w:t>4.1.3若招标人推迟了投标文件上传截止时间，代理机构和投标人应接受投标文件上传截止时间制约的所有权利和义务均应以新的截止时间为准。</w:t>
      </w:r>
    </w:p>
    <w:p w14:paraId="504DD9F9">
      <w:pPr>
        <w:rPr>
          <w:sz w:val="28"/>
          <w:szCs w:val="28"/>
        </w:rPr>
      </w:pPr>
      <w:r>
        <w:rPr>
          <w:rFonts w:hint="eastAsia"/>
          <w:sz w:val="28"/>
          <w:szCs w:val="28"/>
        </w:rPr>
        <w:t>4.1.4投标人应根据招标文件包（标段）制作投标文件，投报多个包（标段）的应分包（标段）制作投标文件。</w:t>
      </w:r>
    </w:p>
    <w:p w14:paraId="624ABC8F">
      <w:pPr>
        <w:rPr>
          <w:sz w:val="28"/>
          <w:szCs w:val="28"/>
        </w:rPr>
      </w:pPr>
      <w:r>
        <w:rPr>
          <w:rFonts w:hint="eastAsia"/>
          <w:sz w:val="28"/>
          <w:szCs w:val="28"/>
        </w:rPr>
        <w:t>4.1.5供应商应清楚招标文件必须直接从代理机构(交易中心系统内)获得，依据从其他地方获得的招标文件而编制的投标文件将被视为无效。</w:t>
      </w:r>
    </w:p>
    <w:p w14:paraId="168D34D3">
      <w:pPr>
        <w:pStyle w:val="22"/>
        <w:ind w:firstLine="280"/>
        <w:rPr>
          <w:sz w:val="28"/>
          <w:szCs w:val="28"/>
        </w:rPr>
      </w:pPr>
      <w:r>
        <w:rPr>
          <w:rFonts w:hint="eastAsia"/>
          <w:sz w:val="28"/>
          <w:szCs w:val="28"/>
        </w:rPr>
        <w:t>4.1.6电子响应文件全部采用电子文档，除供应商须知前附表另有规定外，</w:t>
      </w:r>
      <w:r>
        <w:rPr>
          <w:rFonts w:hint="eastAsia"/>
          <w:b/>
          <w:sz w:val="28"/>
          <w:szCs w:val="28"/>
        </w:rPr>
        <w:t>响应文件所附证书证件均为原件扫描件，</w:t>
      </w:r>
      <w:r>
        <w:rPr>
          <w:rFonts w:hint="eastAsia"/>
          <w:sz w:val="28"/>
          <w:szCs w:val="28"/>
        </w:rPr>
        <w:t>并采用单位和个人数字证书，按采购文件要求在相应位置加盖电子印章。</w:t>
      </w:r>
    </w:p>
    <w:p w14:paraId="3EA0CC34">
      <w:pPr>
        <w:rPr>
          <w:sz w:val="28"/>
          <w:szCs w:val="28"/>
        </w:rPr>
      </w:pPr>
      <w:r>
        <w:rPr>
          <w:rFonts w:hint="eastAsia"/>
          <w:sz w:val="28"/>
          <w:szCs w:val="28"/>
        </w:rPr>
        <w:t>4.2投标文件的修改与撤回</w:t>
      </w:r>
      <w:bookmarkEnd w:id="175"/>
    </w:p>
    <w:p w14:paraId="0338EE32">
      <w:pPr>
        <w:rPr>
          <w:sz w:val="28"/>
          <w:szCs w:val="28"/>
        </w:rPr>
      </w:pPr>
      <w:r>
        <w:rPr>
          <w:rFonts w:hint="eastAsia"/>
          <w:sz w:val="28"/>
          <w:szCs w:val="28"/>
        </w:rPr>
        <w:t>4.2.1 投标人在投标文件上传截止时间前，可以对所上传的投标文件进行补充、修改或者撤回，并通知招标人和代理机构。补充、修改的内容作为投标文件的组成部分。补充、修改的内容与投标文件不一致的，以补充、修改的内容为准。</w:t>
      </w:r>
    </w:p>
    <w:p w14:paraId="407403AC">
      <w:pPr>
        <w:rPr>
          <w:sz w:val="28"/>
          <w:szCs w:val="28"/>
        </w:rPr>
      </w:pPr>
      <w:r>
        <w:rPr>
          <w:rFonts w:hint="eastAsia"/>
          <w:sz w:val="28"/>
          <w:szCs w:val="28"/>
        </w:rPr>
        <w:t>4.2.2投标文件的补充、修改文件应按照本招标文件有关规定进行签署，并注明“修改投标文件”字样。补充、修改文件须在投标文件上传截止时间前上传到开封市公共资源交易网。</w:t>
      </w:r>
    </w:p>
    <w:p w14:paraId="53236D1A">
      <w:pPr>
        <w:rPr>
          <w:sz w:val="28"/>
          <w:szCs w:val="28"/>
        </w:rPr>
      </w:pPr>
      <w:r>
        <w:rPr>
          <w:rFonts w:hint="eastAsia"/>
          <w:sz w:val="28"/>
          <w:szCs w:val="28"/>
        </w:rPr>
        <w:t>4.2.3投标人在投标文件上传截止时间后（即从开标之时起）不得补充、修改或撤回投标文件。投标人在投标文件上传截止时间后补充、修改投标文件的，其投标将被拒绝。</w:t>
      </w:r>
    </w:p>
    <w:p w14:paraId="6EB1514C">
      <w:pPr>
        <w:rPr>
          <w:sz w:val="28"/>
          <w:szCs w:val="28"/>
        </w:rPr>
      </w:pPr>
      <w:r>
        <w:rPr>
          <w:rFonts w:hint="eastAsia"/>
          <w:sz w:val="28"/>
          <w:szCs w:val="28"/>
        </w:rPr>
        <w:t>4.2.4 投标人不得在投标截止时间起（即从开标之时起）至投标有效期满前撤回投标文件，投标人之间恶意串通而撤回投标的，将承担一切不利于投标人的后果。</w:t>
      </w:r>
      <w:bookmarkStart w:id="176" w:name="_Toc144974527"/>
      <w:bookmarkEnd w:id="176"/>
      <w:bookmarkStart w:id="177" w:name="_Toc23080"/>
      <w:bookmarkEnd w:id="177"/>
      <w:bookmarkStart w:id="178" w:name="_Toc28551"/>
      <w:bookmarkEnd w:id="178"/>
      <w:bookmarkStart w:id="179" w:name="_Toc28079"/>
      <w:bookmarkEnd w:id="179"/>
      <w:bookmarkStart w:id="180" w:name="_Toc179632577"/>
      <w:bookmarkEnd w:id="180"/>
      <w:bookmarkStart w:id="181" w:name="_Toc152045559"/>
      <w:bookmarkEnd w:id="181"/>
      <w:bookmarkStart w:id="182" w:name="_Toc152042335"/>
      <w:bookmarkEnd w:id="182"/>
      <w:bookmarkStart w:id="183" w:name="_Toc27316"/>
      <w:bookmarkEnd w:id="183"/>
      <w:bookmarkStart w:id="184" w:name="_Toc32654"/>
      <w:bookmarkEnd w:id="184"/>
      <w:bookmarkStart w:id="185" w:name="_Toc29259"/>
      <w:bookmarkEnd w:id="185"/>
      <w:bookmarkStart w:id="186" w:name="_Toc32614"/>
      <w:bookmarkEnd w:id="186"/>
      <w:bookmarkStart w:id="187" w:name="_Toc5608"/>
      <w:bookmarkEnd w:id="187"/>
      <w:bookmarkStart w:id="188" w:name="_Toc21855"/>
    </w:p>
    <w:p w14:paraId="69F777C5">
      <w:pPr>
        <w:rPr>
          <w:sz w:val="28"/>
          <w:szCs w:val="28"/>
        </w:rPr>
      </w:pPr>
      <w:bookmarkStart w:id="189" w:name="_Toc11637"/>
      <w:r>
        <w:rPr>
          <w:rFonts w:hint="eastAsia"/>
          <w:sz w:val="28"/>
          <w:szCs w:val="28"/>
        </w:rPr>
        <w:t>5. 开标</w:t>
      </w:r>
      <w:bookmarkEnd w:id="188"/>
      <w:bookmarkEnd w:id="189"/>
    </w:p>
    <w:p w14:paraId="70A57DF5">
      <w:pPr>
        <w:rPr>
          <w:sz w:val="28"/>
          <w:szCs w:val="28"/>
        </w:rPr>
      </w:pPr>
      <w:bookmarkStart w:id="190" w:name="_Toc152045560"/>
      <w:bookmarkEnd w:id="190"/>
      <w:bookmarkStart w:id="191" w:name="_Toc152042336"/>
      <w:bookmarkEnd w:id="191"/>
      <w:bookmarkStart w:id="192" w:name="_Toc144974528"/>
      <w:bookmarkEnd w:id="192"/>
      <w:bookmarkStart w:id="193" w:name="_Toc179632578"/>
      <w:bookmarkEnd w:id="193"/>
      <w:bookmarkStart w:id="194" w:name="_Toc21476"/>
      <w:r>
        <w:rPr>
          <w:rFonts w:hint="eastAsia"/>
          <w:sz w:val="28"/>
          <w:szCs w:val="28"/>
        </w:rPr>
        <w:t>5.1 开标时间和地点</w:t>
      </w:r>
      <w:bookmarkEnd w:id="194"/>
    </w:p>
    <w:p w14:paraId="75362A6B">
      <w:pPr>
        <w:rPr>
          <w:sz w:val="28"/>
          <w:szCs w:val="28"/>
        </w:rPr>
      </w:pPr>
      <w:r>
        <w:rPr>
          <w:rFonts w:hint="eastAsia"/>
          <w:sz w:val="28"/>
          <w:szCs w:val="28"/>
        </w:rPr>
        <w:t>招标人在招标文件规定的投标截止时间（开标时间）和投标人须知前附表规定的地点公开开标。</w:t>
      </w:r>
    </w:p>
    <w:p w14:paraId="3D9ACB6C">
      <w:pPr>
        <w:rPr>
          <w:sz w:val="28"/>
          <w:szCs w:val="28"/>
        </w:rPr>
      </w:pPr>
      <w:bookmarkStart w:id="195" w:name="_Toc152042337"/>
      <w:bookmarkEnd w:id="195"/>
      <w:bookmarkStart w:id="196" w:name="_Toc144974529"/>
      <w:bookmarkEnd w:id="196"/>
      <w:bookmarkStart w:id="197" w:name="_Toc152045561"/>
      <w:bookmarkEnd w:id="197"/>
      <w:bookmarkStart w:id="198" w:name="_Toc179632579"/>
      <w:bookmarkEnd w:id="198"/>
      <w:bookmarkStart w:id="199" w:name="_Toc29947"/>
      <w:r>
        <w:rPr>
          <w:rFonts w:hint="eastAsia"/>
          <w:sz w:val="28"/>
          <w:szCs w:val="28"/>
        </w:rPr>
        <w:t>5.2 开标程序</w:t>
      </w:r>
      <w:bookmarkEnd w:id="199"/>
    </w:p>
    <w:p w14:paraId="704DAECF">
      <w:pPr>
        <w:ind w:firstLine="560" w:firstLineChars="200"/>
        <w:rPr>
          <w:sz w:val="28"/>
          <w:szCs w:val="28"/>
        </w:rPr>
      </w:pPr>
      <w:bookmarkStart w:id="200" w:name="_Toc4013"/>
      <w:bookmarkStart w:id="201" w:name="_Toc10470"/>
      <w:r>
        <w:rPr>
          <w:rFonts w:hint="eastAsia"/>
          <w:sz w:val="28"/>
          <w:szCs w:val="28"/>
        </w:rPr>
        <w:t>本项目采用“远程不见面”开标方式,供应商无需到达现场提交原件资料、无需到杞县公共资源交易服务中心现场参加开标会议；供应商应当在开标时间前,登录不见面开标大厅,在线准时参加开标活动并进行响应文件解密、答疑澄清等 。（系统解密时长默认为40钟，错过解密时长者视为自动放弃本次响应）。</w:t>
      </w:r>
    </w:p>
    <w:p w14:paraId="57FB9A0D">
      <w:pPr>
        <w:ind w:firstLine="560" w:firstLineChars="200"/>
        <w:rPr>
          <w:sz w:val="28"/>
          <w:szCs w:val="28"/>
        </w:rPr>
      </w:pPr>
      <w:r>
        <w:rPr>
          <w:rFonts w:hint="eastAsia"/>
          <w:sz w:val="28"/>
          <w:szCs w:val="28"/>
        </w:rPr>
        <w:t>注：因投标人原因造成投标文件未解密的，视为其撤销投标文件。因投标人之外的原因造成投标文件未解密的，视为撤回其投标文件。部分投标文件未解密的，其他投标文件的开标可以继续进行。</w:t>
      </w:r>
    </w:p>
    <w:p w14:paraId="47DFC26A">
      <w:pPr>
        <w:rPr>
          <w:sz w:val="28"/>
          <w:szCs w:val="28"/>
        </w:rPr>
      </w:pPr>
      <w:r>
        <w:rPr>
          <w:rFonts w:hint="eastAsia"/>
          <w:sz w:val="28"/>
          <w:szCs w:val="28"/>
        </w:rPr>
        <w:t>6. 评标</w:t>
      </w:r>
      <w:bookmarkEnd w:id="200"/>
      <w:bookmarkEnd w:id="201"/>
    </w:p>
    <w:p w14:paraId="620DDCF1">
      <w:pPr>
        <w:rPr>
          <w:sz w:val="28"/>
          <w:szCs w:val="28"/>
        </w:rPr>
      </w:pPr>
      <w:bookmarkStart w:id="202" w:name="_Toc152045563"/>
      <w:bookmarkEnd w:id="202"/>
      <w:bookmarkStart w:id="203" w:name="_Toc144974531"/>
      <w:bookmarkEnd w:id="203"/>
      <w:bookmarkStart w:id="204" w:name="_Toc179632581"/>
      <w:bookmarkEnd w:id="204"/>
      <w:bookmarkStart w:id="205" w:name="_Toc152042339"/>
      <w:bookmarkEnd w:id="205"/>
      <w:bookmarkStart w:id="206" w:name="_Toc28830"/>
      <w:r>
        <w:rPr>
          <w:rFonts w:hint="eastAsia"/>
          <w:sz w:val="28"/>
          <w:szCs w:val="28"/>
        </w:rPr>
        <w:t>6.1 评标委员会</w:t>
      </w:r>
      <w:bookmarkEnd w:id="206"/>
    </w:p>
    <w:p w14:paraId="122A149A">
      <w:pPr>
        <w:rPr>
          <w:sz w:val="28"/>
          <w:szCs w:val="28"/>
        </w:rPr>
      </w:pPr>
      <w:r>
        <w:rPr>
          <w:rFonts w:hint="eastAsia"/>
          <w:sz w:val="28"/>
          <w:szCs w:val="28"/>
        </w:rPr>
        <w:t>6.1.1 评标由招标人依法组建的评标委员会负责。评标委员会由招标人代表及有关技术、经济等方面的专家组成。评标委员会成员人数以及技术、经济等方面专家的确定方式见投标人须知前附表。</w:t>
      </w:r>
    </w:p>
    <w:p w14:paraId="087C5C3D">
      <w:pPr>
        <w:rPr>
          <w:sz w:val="28"/>
          <w:szCs w:val="28"/>
        </w:rPr>
      </w:pPr>
      <w:r>
        <w:rPr>
          <w:rFonts w:hint="eastAsia"/>
          <w:sz w:val="28"/>
          <w:szCs w:val="28"/>
        </w:rPr>
        <w:t>6.1.2 评标委员会成员有下列情形之一的，应当回避：</w:t>
      </w:r>
    </w:p>
    <w:p w14:paraId="77193D6E">
      <w:pPr>
        <w:rPr>
          <w:sz w:val="28"/>
          <w:szCs w:val="28"/>
        </w:rPr>
      </w:pPr>
      <w:r>
        <w:rPr>
          <w:rFonts w:hint="eastAsia"/>
          <w:sz w:val="28"/>
          <w:szCs w:val="28"/>
        </w:rPr>
        <w:t>（1）招标人或投标人的主要负责人的近亲属；</w:t>
      </w:r>
    </w:p>
    <w:p w14:paraId="363B06FD">
      <w:pPr>
        <w:rPr>
          <w:sz w:val="28"/>
          <w:szCs w:val="28"/>
        </w:rPr>
      </w:pPr>
      <w:r>
        <w:rPr>
          <w:rFonts w:hint="eastAsia"/>
          <w:sz w:val="28"/>
          <w:szCs w:val="28"/>
        </w:rPr>
        <w:t>（2）项目主管部门或者行政监督部门的人员；</w:t>
      </w:r>
    </w:p>
    <w:p w14:paraId="0605BA21">
      <w:pPr>
        <w:rPr>
          <w:sz w:val="28"/>
          <w:szCs w:val="28"/>
        </w:rPr>
      </w:pPr>
      <w:r>
        <w:rPr>
          <w:rFonts w:hint="eastAsia"/>
          <w:sz w:val="28"/>
          <w:szCs w:val="28"/>
        </w:rPr>
        <w:t>（3）与投标人有经济利益关系，可能影响对投标公正评审的；</w:t>
      </w:r>
    </w:p>
    <w:p w14:paraId="580D83E2">
      <w:pPr>
        <w:rPr>
          <w:sz w:val="28"/>
          <w:szCs w:val="28"/>
        </w:rPr>
      </w:pPr>
      <w:r>
        <w:rPr>
          <w:rFonts w:hint="eastAsia"/>
          <w:sz w:val="28"/>
          <w:szCs w:val="28"/>
        </w:rPr>
        <w:t xml:space="preserve"> （4）曾因在招标、评标以及其他与招标投标有关活动中从事违法行为而受过行政处罚或刑事处罚的。</w:t>
      </w:r>
    </w:p>
    <w:p w14:paraId="7EAF1E6B">
      <w:pPr>
        <w:rPr>
          <w:sz w:val="28"/>
          <w:szCs w:val="28"/>
        </w:rPr>
      </w:pPr>
      <w:bookmarkStart w:id="207" w:name="_Toc144974532"/>
      <w:bookmarkEnd w:id="207"/>
      <w:bookmarkStart w:id="208" w:name="_Toc152045564"/>
      <w:bookmarkEnd w:id="208"/>
      <w:bookmarkStart w:id="209" w:name="_Toc179632582"/>
      <w:bookmarkEnd w:id="209"/>
      <w:bookmarkStart w:id="210" w:name="_Toc152042340"/>
      <w:bookmarkEnd w:id="210"/>
      <w:bookmarkStart w:id="211" w:name="_Toc2018"/>
      <w:r>
        <w:rPr>
          <w:rFonts w:hint="eastAsia"/>
          <w:sz w:val="28"/>
          <w:szCs w:val="28"/>
        </w:rPr>
        <w:t>6.2 评标原则</w:t>
      </w:r>
      <w:bookmarkEnd w:id="211"/>
      <w:r>
        <w:rPr>
          <w:rFonts w:hint="eastAsia"/>
          <w:sz w:val="28"/>
          <w:szCs w:val="28"/>
        </w:rPr>
        <w:tab/>
      </w:r>
    </w:p>
    <w:p w14:paraId="47D1383B">
      <w:pPr>
        <w:rPr>
          <w:sz w:val="28"/>
          <w:szCs w:val="28"/>
        </w:rPr>
      </w:pPr>
      <w:r>
        <w:rPr>
          <w:rFonts w:hint="eastAsia"/>
          <w:sz w:val="28"/>
          <w:szCs w:val="28"/>
        </w:rPr>
        <w:t>评标活动遵循公平、公正、科学和择优的原则。</w:t>
      </w:r>
    </w:p>
    <w:p w14:paraId="22296CBB">
      <w:pPr>
        <w:rPr>
          <w:sz w:val="28"/>
          <w:szCs w:val="28"/>
        </w:rPr>
      </w:pPr>
      <w:bookmarkStart w:id="212" w:name="_Toc152045565"/>
      <w:bookmarkEnd w:id="212"/>
      <w:bookmarkStart w:id="213" w:name="_Toc144974533"/>
      <w:bookmarkEnd w:id="213"/>
      <w:bookmarkStart w:id="214" w:name="_Toc179632583"/>
      <w:bookmarkEnd w:id="214"/>
      <w:bookmarkStart w:id="215" w:name="_Toc152042341"/>
      <w:bookmarkEnd w:id="215"/>
      <w:bookmarkStart w:id="216" w:name="_Toc27730"/>
      <w:r>
        <w:rPr>
          <w:rFonts w:hint="eastAsia"/>
          <w:sz w:val="28"/>
          <w:szCs w:val="28"/>
        </w:rPr>
        <w:t>6.3 评标</w:t>
      </w:r>
      <w:bookmarkEnd w:id="216"/>
    </w:p>
    <w:p w14:paraId="15B63986">
      <w:pPr>
        <w:rPr>
          <w:sz w:val="28"/>
          <w:szCs w:val="28"/>
        </w:rPr>
      </w:pPr>
      <w:r>
        <w:rPr>
          <w:rFonts w:hint="eastAsia"/>
          <w:sz w:val="28"/>
          <w:szCs w:val="28"/>
        </w:rPr>
        <w:t>评标委员会按照第三章“评标办法”规定的方法、评审因素、标准和程序对投标文件进行评审。第三章“评标办法”没有规定的方法、评审因素和标准，不作为评标依据。</w:t>
      </w:r>
    </w:p>
    <w:p w14:paraId="64E1A2F1">
      <w:pPr>
        <w:rPr>
          <w:sz w:val="28"/>
          <w:szCs w:val="28"/>
        </w:rPr>
      </w:pPr>
      <w:bookmarkStart w:id="217" w:name="_Toc25084"/>
      <w:bookmarkEnd w:id="217"/>
      <w:bookmarkStart w:id="218" w:name="_Toc12919"/>
      <w:bookmarkEnd w:id="218"/>
      <w:bookmarkStart w:id="219" w:name="_Toc144974534"/>
      <w:bookmarkEnd w:id="219"/>
      <w:bookmarkStart w:id="220" w:name="_Toc12244"/>
      <w:bookmarkEnd w:id="220"/>
      <w:bookmarkStart w:id="221" w:name="_Toc25002"/>
      <w:bookmarkEnd w:id="221"/>
      <w:bookmarkStart w:id="222" w:name="_Toc179632584"/>
      <w:bookmarkEnd w:id="222"/>
      <w:bookmarkStart w:id="223" w:name="_Toc3021"/>
      <w:bookmarkEnd w:id="223"/>
      <w:bookmarkStart w:id="224" w:name="_Toc152042342"/>
      <w:bookmarkEnd w:id="224"/>
      <w:bookmarkStart w:id="225" w:name="_Toc11544"/>
      <w:bookmarkEnd w:id="225"/>
      <w:bookmarkStart w:id="226" w:name="_Toc20136"/>
      <w:bookmarkEnd w:id="226"/>
      <w:bookmarkStart w:id="227" w:name="_Toc152045566"/>
      <w:bookmarkEnd w:id="227"/>
      <w:bookmarkStart w:id="228" w:name="_Toc22383"/>
      <w:bookmarkEnd w:id="228"/>
      <w:bookmarkStart w:id="229" w:name="_Toc19621"/>
      <w:bookmarkStart w:id="230" w:name="_Toc15328"/>
      <w:r>
        <w:rPr>
          <w:rFonts w:hint="eastAsia"/>
          <w:sz w:val="28"/>
          <w:szCs w:val="28"/>
        </w:rPr>
        <w:t>7. 合同授予</w:t>
      </w:r>
      <w:bookmarkEnd w:id="229"/>
      <w:bookmarkEnd w:id="230"/>
    </w:p>
    <w:p w14:paraId="224E98FB">
      <w:pPr>
        <w:rPr>
          <w:sz w:val="28"/>
          <w:szCs w:val="28"/>
        </w:rPr>
      </w:pPr>
      <w:bookmarkStart w:id="231" w:name="_Toc152042343"/>
      <w:bookmarkEnd w:id="231"/>
      <w:bookmarkStart w:id="232" w:name="_Toc152045567"/>
      <w:bookmarkEnd w:id="232"/>
      <w:bookmarkStart w:id="233" w:name="_Toc144974535"/>
      <w:bookmarkEnd w:id="233"/>
      <w:bookmarkStart w:id="234" w:name="_Toc179632585"/>
      <w:bookmarkEnd w:id="234"/>
      <w:bookmarkStart w:id="235" w:name="_Toc29441"/>
      <w:r>
        <w:rPr>
          <w:rFonts w:hint="eastAsia"/>
          <w:sz w:val="28"/>
          <w:szCs w:val="28"/>
        </w:rPr>
        <w:t>7.1 定标方式</w:t>
      </w:r>
      <w:bookmarkEnd w:id="235"/>
    </w:p>
    <w:p w14:paraId="21D56083">
      <w:pPr>
        <w:rPr>
          <w:sz w:val="28"/>
          <w:szCs w:val="28"/>
        </w:rPr>
      </w:pPr>
      <w:r>
        <w:rPr>
          <w:rFonts w:hint="eastAsia"/>
          <w:sz w:val="28"/>
          <w:szCs w:val="28"/>
        </w:rPr>
        <w:t>除投标人须知前附表规定评标委员会直接确定中标人外，招标人依据评标委员会推荐的中标候选人确定中标人，评标委员会推荐中标候选人的人数见投标人须知前附表。</w:t>
      </w:r>
    </w:p>
    <w:p w14:paraId="1B23D651">
      <w:pPr>
        <w:rPr>
          <w:sz w:val="28"/>
          <w:szCs w:val="28"/>
        </w:rPr>
      </w:pPr>
      <w:bookmarkStart w:id="236" w:name="_Toc179632586"/>
      <w:bookmarkEnd w:id="236"/>
      <w:bookmarkStart w:id="237" w:name="_Toc152045568"/>
      <w:bookmarkEnd w:id="237"/>
      <w:bookmarkStart w:id="238" w:name="_Toc144974536"/>
      <w:bookmarkEnd w:id="238"/>
      <w:bookmarkStart w:id="239" w:name="_Toc152042344"/>
      <w:bookmarkEnd w:id="239"/>
      <w:bookmarkStart w:id="240" w:name="_Toc6427"/>
      <w:r>
        <w:rPr>
          <w:rFonts w:hint="eastAsia"/>
          <w:sz w:val="28"/>
          <w:szCs w:val="28"/>
        </w:rPr>
        <w:t>7.2 中标通知</w:t>
      </w:r>
      <w:bookmarkEnd w:id="240"/>
    </w:p>
    <w:p w14:paraId="2FCE8BF4">
      <w:pPr>
        <w:rPr>
          <w:sz w:val="28"/>
          <w:szCs w:val="28"/>
        </w:rPr>
      </w:pPr>
      <w:r>
        <w:rPr>
          <w:rFonts w:hint="eastAsia"/>
          <w:sz w:val="28"/>
          <w:szCs w:val="28"/>
        </w:rPr>
        <w:t>在本章第3.3款规定的投标有效期内，招标人以书面形式向中标人发出中标通知书。</w:t>
      </w:r>
    </w:p>
    <w:p w14:paraId="784C68FA">
      <w:pPr>
        <w:rPr>
          <w:sz w:val="28"/>
          <w:szCs w:val="28"/>
        </w:rPr>
      </w:pPr>
      <w:bookmarkStart w:id="241" w:name="_Toc179632588"/>
      <w:bookmarkEnd w:id="241"/>
      <w:bookmarkStart w:id="242" w:name="_Toc152042345"/>
      <w:bookmarkEnd w:id="242"/>
      <w:bookmarkStart w:id="243" w:name="_Toc144974537"/>
      <w:bookmarkEnd w:id="243"/>
      <w:bookmarkStart w:id="244" w:name="_Toc152045570"/>
      <w:bookmarkEnd w:id="244"/>
      <w:bookmarkStart w:id="245" w:name="_Toc152045569"/>
      <w:bookmarkEnd w:id="245"/>
      <w:bookmarkStart w:id="246" w:name="_Toc152042346"/>
      <w:bookmarkEnd w:id="246"/>
      <w:bookmarkStart w:id="247" w:name="_Toc144974538"/>
      <w:bookmarkEnd w:id="247"/>
      <w:bookmarkStart w:id="248" w:name="_Toc179632587"/>
      <w:bookmarkEnd w:id="248"/>
      <w:bookmarkStart w:id="249" w:name="_Toc25517"/>
      <w:r>
        <w:rPr>
          <w:rFonts w:hint="eastAsia"/>
          <w:sz w:val="28"/>
          <w:szCs w:val="28"/>
        </w:rPr>
        <w:t>7.3签订合同</w:t>
      </w:r>
      <w:bookmarkEnd w:id="249"/>
    </w:p>
    <w:p w14:paraId="63396672">
      <w:pPr>
        <w:rPr>
          <w:sz w:val="28"/>
          <w:szCs w:val="28"/>
        </w:rPr>
      </w:pPr>
      <w:r>
        <w:rPr>
          <w:rFonts w:hint="eastAsia"/>
          <w:sz w:val="28"/>
          <w:szCs w:val="28"/>
        </w:rPr>
        <w:t>7.4.1招标人和中标人应当自中标通知书发出之日起30天内，根据招标文件和中标人的投标文件订立书面合同。中标人无正当理由拒签合同的，招标人取消其中标资格.</w:t>
      </w:r>
      <w:r>
        <w:rPr>
          <w:rFonts w:hint="eastAsia"/>
          <w:color w:val="FF0000"/>
          <w:sz w:val="28"/>
          <w:szCs w:val="28"/>
        </w:rPr>
        <w:t xml:space="preserve"> </w:t>
      </w:r>
      <w:r>
        <w:rPr>
          <w:rFonts w:hint="eastAsia"/>
          <w:sz w:val="28"/>
          <w:szCs w:val="28"/>
        </w:rPr>
        <w:t>给招标人造成损失的，应当赔偿损失。</w:t>
      </w:r>
    </w:p>
    <w:p w14:paraId="776175C8">
      <w:pPr>
        <w:rPr>
          <w:sz w:val="28"/>
          <w:szCs w:val="28"/>
        </w:rPr>
      </w:pPr>
      <w:r>
        <w:rPr>
          <w:rFonts w:hint="eastAsia"/>
          <w:sz w:val="28"/>
          <w:szCs w:val="28"/>
        </w:rPr>
        <w:t xml:space="preserve"> 7.4.2 发出中标通知书后，招标人无正当理由拒签合同并给中标人造成损失的，应当赔偿损失。 </w:t>
      </w:r>
    </w:p>
    <w:p w14:paraId="4118340E">
      <w:pPr>
        <w:rPr>
          <w:sz w:val="28"/>
          <w:szCs w:val="28"/>
        </w:rPr>
      </w:pPr>
      <w:bookmarkStart w:id="250" w:name="_Toc152042347"/>
      <w:bookmarkEnd w:id="250"/>
      <w:bookmarkStart w:id="251" w:name="_Toc2297"/>
      <w:bookmarkEnd w:id="251"/>
      <w:bookmarkStart w:id="252" w:name="_Toc152045571"/>
      <w:bookmarkEnd w:id="252"/>
      <w:bookmarkStart w:id="253" w:name="_Toc31910"/>
      <w:bookmarkEnd w:id="253"/>
      <w:bookmarkStart w:id="254" w:name="_Toc31317"/>
      <w:bookmarkEnd w:id="254"/>
      <w:bookmarkStart w:id="255" w:name="_Toc19526"/>
      <w:bookmarkEnd w:id="255"/>
      <w:bookmarkStart w:id="256" w:name="_Toc3328"/>
      <w:bookmarkEnd w:id="256"/>
      <w:bookmarkStart w:id="257" w:name="_Toc15993"/>
      <w:bookmarkEnd w:id="257"/>
      <w:bookmarkStart w:id="258" w:name="_Toc9252"/>
      <w:bookmarkEnd w:id="258"/>
      <w:bookmarkStart w:id="259" w:name="_Toc179632589"/>
      <w:bookmarkEnd w:id="259"/>
      <w:bookmarkStart w:id="260" w:name="_Toc31124"/>
      <w:bookmarkEnd w:id="260"/>
      <w:bookmarkStart w:id="261" w:name="_Toc144974539"/>
      <w:bookmarkEnd w:id="261"/>
      <w:bookmarkStart w:id="262" w:name="_Toc8991"/>
      <w:bookmarkStart w:id="263" w:name="_Toc6368"/>
      <w:r>
        <w:rPr>
          <w:rFonts w:hint="eastAsia"/>
          <w:sz w:val="28"/>
          <w:szCs w:val="28"/>
        </w:rPr>
        <w:t>8. 重新招标</w:t>
      </w:r>
      <w:bookmarkEnd w:id="262"/>
      <w:bookmarkEnd w:id="263"/>
    </w:p>
    <w:p w14:paraId="1CE2CE7A">
      <w:pPr>
        <w:rPr>
          <w:sz w:val="28"/>
          <w:szCs w:val="28"/>
        </w:rPr>
      </w:pPr>
      <w:r>
        <w:rPr>
          <w:rFonts w:hint="eastAsia"/>
          <w:sz w:val="28"/>
          <w:szCs w:val="28"/>
        </w:rPr>
        <w:t>有下列情形之一的，招标人将重新招标：</w:t>
      </w:r>
    </w:p>
    <w:p w14:paraId="69FCECC9">
      <w:pPr>
        <w:rPr>
          <w:sz w:val="28"/>
          <w:szCs w:val="28"/>
        </w:rPr>
      </w:pPr>
      <w:r>
        <w:rPr>
          <w:rFonts w:hint="eastAsia"/>
          <w:sz w:val="28"/>
          <w:szCs w:val="28"/>
        </w:rPr>
        <w:t>（1）投标截止时间止，投标人少于3个的；</w:t>
      </w:r>
    </w:p>
    <w:p w14:paraId="1B6A6557">
      <w:pPr>
        <w:rPr>
          <w:sz w:val="28"/>
          <w:szCs w:val="28"/>
        </w:rPr>
      </w:pPr>
      <w:r>
        <w:rPr>
          <w:rFonts w:hint="eastAsia"/>
          <w:sz w:val="28"/>
          <w:szCs w:val="28"/>
        </w:rPr>
        <w:t>（2）经评标委员会评审有效投标人不足3个的。</w:t>
      </w:r>
      <w:bookmarkStart w:id="264" w:name="_Toc22041"/>
      <w:bookmarkEnd w:id="264"/>
      <w:bookmarkStart w:id="265" w:name="_Toc179632592"/>
      <w:bookmarkEnd w:id="265"/>
      <w:bookmarkStart w:id="266" w:name="_Toc21356"/>
      <w:bookmarkEnd w:id="266"/>
      <w:bookmarkStart w:id="267" w:name="_Toc152042350"/>
      <w:bookmarkEnd w:id="267"/>
      <w:bookmarkStart w:id="268" w:name="_Toc152045574"/>
      <w:bookmarkEnd w:id="268"/>
      <w:bookmarkStart w:id="269" w:name="_Toc144974542"/>
      <w:bookmarkEnd w:id="269"/>
    </w:p>
    <w:p w14:paraId="65FF0225">
      <w:pPr>
        <w:rPr>
          <w:sz w:val="28"/>
          <w:szCs w:val="28"/>
        </w:rPr>
      </w:pPr>
      <w:r>
        <w:rPr>
          <w:rFonts w:hint="eastAsia"/>
          <w:sz w:val="28"/>
          <w:szCs w:val="28"/>
        </w:rPr>
        <w:t>9. 纪律和监督</w:t>
      </w:r>
      <w:bookmarkStart w:id="270" w:name="_Toc152042351"/>
      <w:bookmarkEnd w:id="270"/>
      <w:bookmarkStart w:id="271" w:name="_Toc179632593"/>
      <w:bookmarkEnd w:id="271"/>
      <w:bookmarkStart w:id="272" w:name="_Toc144974543"/>
      <w:bookmarkEnd w:id="272"/>
      <w:bookmarkStart w:id="273" w:name="_Toc152045575"/>
      <w:bookmarkEnd w:id="273"/>
      <w:bookmarkStart w:id="274" w:name="_Toc24767"/>
      <w:bookmarkEnd w:id="274"/>
    </w:p>
    <w:p w14:paraId="2A1F3412">
      <w:pPr>
        <w:rPr>
          <w:sz w:val="28"/>
          <w:szCs w:val="28"/>
        </w:rPr>
      </w:pPr>
      <w:r>
        <w:rPr>
          <w:rFonts w:hint="eastAsia"/>
          <w:sz w:val="28"/>
          <w:szCs w:val="28"/>
        </w:rPr>
        <w:t>9.1 对招标人的纪律要求</w:t>
      </w:r>
    </w:p>
    <w:p w14:paraId="4DFC1B01">
      <w:pPr>
        <w:rPr>
          <w:sz w:val="28"/>
          <w:szCs w:val="28"/>
        </w:rPr>
      </w:pPr>
      <w:r>
        <w:rPr>
          <w:rFonts w:hint="eastAsia"/>
          <w:sz w:val="28"/>
          <w:szCs w:val="28"/>
        </w:rPr>
        <w:t>招标人不得泄漏招标投标活动中应当保密的情况和资料，不得与投标人串通损害国家利益、社会公共利益或者他人合法权益。</w:t>
      </w:r>
    </w:p>
    <w:p w14:paraId="7C4D954C">
      <w:pPr>
        <w:rPr>
          <w:sz w:val="28"/>
          <w:szCs w:val="28"/>
        </w:rPr>
      </w:pPr>
      <w:bookmarkStart w:id="275" w:name="_Toc152042352"/>
      <w:bookmarkEnd w:id="275"/>
      <w:bookmarkStart w:id="276" w:name="_Toc144974544"/>
      <w:bookmarkEnd w:id="276"/>
      <w:bookmarkStart w:id="277" w:name="_Toc152045576"/>
      <w:bookmarkEnd w:id="277"/>
      <w:bookmarkStart w:id="278" w:name="_Toc179632594"/>
      <w:bookmarkEnd w:id="278"/>
      <w:bookmarkStart w:id="279" w:name="_Toc21531"/>
      <w:r>
        <w:rPr>
          <w:rFonts w:hint="eastAsia"/>
          <w:sz w:val="28"/>
          <w:szCs w:val="28"/>
        </w:rPr>
        <w:t>9.2 对</w:t>
      </w:r>
      <w:bookmarkEnd w:id="279"/>
      <w:r>
        <w:rPr>
          <w:rFonts w:hint="eastAsia"/>
          <w:sz w:val="28"/>
          <w:szCs w:val="28"/>
        </w:rPr>
        <w:t>投标人的纪律要求</w:t>
      </w:r>
    </w:p>
    <w:p w14:paraId="77664E45">
      <w:pPr>
        <w:rPr>
          <w:sz w:val="28"/>
          <w:szCs w:val="28"/>
        </w:rPr>
      </w:pPr>
      <w:r>
        <w:rPr>
          <w:rFonts w:hint="eastAsia"/>
          <w:sz w:val="28"/>
          <w:szCs w:val="28"/>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48D6713F">
      <w:pPr>
        <w:rPr>
          <w:sz w:val="28"/>
          <w:szCs w:val="28"/>
        </w:rPr>
      </w:pPr>
      <w:bookmarkStart w:id="280" w:name="_Toc152045577"/>
      <w:bookmarkEnd w:id="280"/>
      <w:bookmarkStart w:id="281" w:name="_Toc152042353"/>
      <w:bookmarkEnd w:id="281"/>
      <w:bookmarkStart w:id="282" w:name="_Toc144974545"/>
      <w:bookmarkEnd w:id="282"/>
      <w:bookmarkStart w:id="283" w:name="_Toc179632595"/>
      <w:bookmarkEnd w:id="283"/>
      <w:bookmarkStart w:id="284" w:name="_Toc26761"/>
      <w:r>
        <w:rPr>
          <w:rFonts w:hint="eastAsia"/>
          <w:sz w:val="28"/>
          <w:szCs w:val="28"/>
        </w:rPr>
        <w:t>9.3 对评标委员会成员的纪律要求</w:t>
      </w:r>
      <w:bookmarkEnd w:id="284"/>
    </w:p>
    <w:p w14:paraId="2144B555">
      <w:pPr>
        <w:rPr>
          <w:sz w:val="28"/>
          <w:szCs w:val="28"/>
        </w:rPr>
      </w:pPr>
      <w:r>
        <w:rPr>
          <w:rFonts w:hint="eastAsia"/>
          <w:sz w:val="28"/>
          <w:szCs w:val="28"/>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5E36075C">
      <w:pPr>
        <w:rPr>
          <w:sz w:val="28"/>
          <w:szCs w:val="28"/>
        </w:rPr>
      </w:pPr>
      <w:bookmarkStart w:id="285" w:name="_Toc152045578"/>
      <w:bookmarkEnd w:id="285"/>
      <w:bookmarkStart w:id="286" w:name="_Toc179632596"/>
      <w:bookmarkEnd w:id="286"/>
      <w:bookmarkStart w:id="287" w:name="_Toc9834"/>
      <w:bookmarkEnd w:id="287"/>
      <w:bookmarkStart w:id="288" w:name="_Toc152042354"/>
      <w:bookmarkEnd w:id="288"/>
      <w:bookmarkStart w:id="289" w:name="_Toc144974546"/>
      <w:r>
        <w:rPr>
          <w:rFonts w:hint="eastAsia"/>
          <w:sz w:val="28"/>
          <w:szCs w:val="28"/>
        </w:rPr>
        <w:t>9.4 对与评标活动有关的工作人员的纪律要求</w:t>
      </w:r>
      <w:bookmarkEnd w:id="289"/>
    </w:p>
    <w:p w14:paraId="0D2E6E83">
      <w:pPr>
        <w:rPr>
          <w:sz w:val="28"/>
          <w:szCs w:val="28"/>
        </w:rPr>
      </w:pPr>
      <w:bookmarkStart w:id="290" w:name="_Toc152042355"/>
      <w:bookmarkEnd w:id="290"/>
      <w:r>
        <w:rPr>
          <w:rFonts w:hint="eastAsia"/>
          <w:sz w:val="28"/>
          <w:szCs w:val="28"/>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3F7EF746">
      <w:pPr>
        <w:rPr>
          <w:sz w:val="28"/>
          <w:szCs w:val="28"/>
        </w:rPr>
      </w:pPr>
      <w:bookmarkStart w:id="291" w:name="_Toc25751"/>
      <w:bookmarkEnd w:id="291"/>
      <w:bookmarkStart w:id="292" w:name="_Toc464035553"/>
      <w:bookmarkEnd w:id="292"/>
      <w:bookmarkStart w:id="293" w:name="_Toc3303"/>
      <w:bookmarkEnd w:id="293"/>
      <w:bookmarkStart w:id="294" w:name="_Toc8074"/>
      <w:bookmarkEnd w:id="294"/>
      <w:bookmarkStart w:id="295" w:name="_Toc2401"/>
      <w:bookmarkEnd w:id="295"/>
      <w:bookmarkStart w:id="296" w:name="_Toc455080152"/>
      <w:bookmarkEnd w:id="296"/>
      <w:bookmarkStart w:id="297" w:name="_Toc318450718"/>
      <w:bookmarkEnd w:id="297"/>
      <w:bookmarkStart w:id="298" w:name="_Toc1820"/>
      <w:bookmarkEnd w:id="298"/>
      <w:bookmarkStart w:id="299" w:name="_Toc17735"/>
      <w:bookmarkEnd w:id="299"/>
      <w:bookmarkStart w:id="300" w:name="_Toc152042356"/>
      <w:bookmarkEnd w:id="300"/>
      <w:bookmarkStart w:id="301" w:name="_Toc32415"/>
      <w:bookmarkEnd w:id="301"/>
      <w:bookmarkStart w:id="302" w:name="_Toc179632597"/>
      <w:bookmarkEnd w:id="302"/>
      <w:bookmarkStart w:id="303" w:name="_Toc12710"/>
      <w:bookmarkEnd w:id="303"/>
      <w:bookmarkStart w:id="304" w:name="_Toc3617"/>
      <w:bookmarkEnd w:id="304"/>
      <w:bookmarkStart w:id="305" w:name="_Toc23644"/>
      <w:bookmarkEnd w:id="305"/>
      <w:bookmarkStart w:id="306" w:name="_Toc179632598"/>
      <w:bookmarkEnd w:id="306"/>
      <w:bookmarkStart w:id="307" w:name="_Toc152042357"/>
      <w:bookmarkEnd w:id="307"/>
      <w:bookmarkStart w:id="308" w:name="_Toc13423"/>
      <w:bookmarkEnd w:id="308"/>
      <w:bookmarkStart w:id="309" w:name="_Toc152045579"/>
      <w:bookmarkEnd w:id="309"/>
      <w:bookmarkStart w:id="310" w:name="_Toc144974547"/>
      <w:bookmarkEnd w:id="310"/>
      <w:bookmarkStart w:id="311" w:name="_Toc463701074"/>
      <w:bookmarkEnd w:id="311"/>
      <w:bookmarkStart w:id="312" w:name="_Toc152045580"/>
      <w:bookmarkEnd w:id="312"/>
      <w:bookmarkStart w:id="313" w:name="_Toc15113"/>
      <w:r>
        <w:rPr>
          <w:rFonts w:hint="eastAsia"/>
          <w:sz w:val="28"/>
          <w:szCs w:val="28"/>
        </w:rPr>
        <w:t>9.5 质疑和投诉</w:t>
      </w:r>
      <w:bookmarkEnd w:id="313"/>
    </w:p>
    <w:p w14:paraId="29213436">
      <w:pPr>
        <w:rPr>
          <w:sz w:val="28"/>
          <w:szCs w:val="28"/>
        </w:rPr>
      </w:pPr>
      <w:r>
        <w:rPr>
          <w:rFonts w:hint="eastAsia"/>
          <w:sz w:val="28"/>
          <w:szCs w:val="28"/>
        </w:rPr>
        <w:t>（1）投标人和其他利害关系人认为本次采购活动违反法律、法规和规章规定的，有权向有关行政监督部门投诉。</w:t>
      </w:r>
    </w:p>
    <w:p w14:paraId="3592706B">
      <w:pPr>
        <w:rPr>
          <w:sz w:val="28"/>
          <w:szCs w:val="28"/>
        </w:rPr>
      </w:pPr>
      <w:r>
        <w:rPr>
          <w:rFonts w:hint="eastAsia"/>
          <w:sz w:val="28"/>
          <w:szCs w:val="28"/>
        </w:rPr>
        <w:t>（2）招标人受理质疑联系人：邓先生</w:t>
      </w:r>
    </w:p>
    <w:p w14:paraId="55D483C9">
      <w:pPr>
        <w:rPr>
          <w:sz w:val="28"/>
          <w:szCs w:val="28"/>
          <w:lang w:val="zh-CN"/>
        </w:rPr>
      </w:pPr>
      <w:r>
        <w:rPr>
          <w:rFonts w:hint="eastAsia"/>
          <w:sz w:val="28"/>
          <w:szCs w:val="28"/>
        </w:rPr>
        <w:t xml:space="preserve">     地  址：杞县建设路东段</w:t>
      </w:r>
    </w:p>
    <w:p w14:paraId="6D578779">
      <w:pPr>
        <w:rPr>
          <w:sz w:val="28"/>
          <w:szCs w:val="28"/>
        </w:rPr>
      </w:pPr>
      <w:r>
        <w:rPr>
          <w:rFonts w:hint="eastAsia"/>
          <w:sz w:val="28"/>
          <w:szCs w:val="28"/>
        </w:rPr>
        <w:t xml:space="preserve">     电  话：</w:t>
      </w:r>
      <w:r>
        <w:rPr>
          <w:rFonts w:hint="eastAsia" w:ascii="宋体" w:hAnsi="宋体"/>
          <w:sz w:val="28"/>
          <w:szCs w:val="28"/>
        </w:rPr>
        <w:t>0371-28961628</w:t>
      </w:r>
    </w:p>
    <w:p w14:paraId="16136018">
      <w:pPr>
        <w:rPr>
          <w:sz w:val="28"/>
          <w:szCs w:val="28"/>
        </w:rPr>
      </w:pPr>
      <w:r>
        <w:rPr>
          <w:rFonts w:hint="eastAsia"/>
          <w:sz w:val="28"/>
          <w:szCs w:val="28"/>
        </w:rPr>
        <w:t xml:space="preserve"> （3）代理机构受理质疑联系人：苏先生</w:t>
      </w:r>
    </w:p>
    <w:p w14:paraId="202AFE89">
      <w:pPr>
        <w:rPr>
          <w:sz w:val="28"/>
          <w:szCs w:val="28"/>
        </w:rPr>
      </w:pPr>
      <w:r>
        <w:rPr>
          <w:rFonts w:hint="eastAsia"/>
          <w:sz w:val="28"/>
          <w:szCs w:val="28"/>
        </w:rPr>
        <w:t xml:space="preserve">      联系电话：0371-28666996</w:t>
      </w:r>
    </w:p>
    <w:p w14:paraId="55D87A1B">
      <w:pPr>
        <w:rPr>
          <w:sz w:val="28"/>
          <w:szCs w:val="28"/>
        </w:rPr>
      </w:pPr>
      <w:r>
        <w:rPr>
          <w:rFonts w:hint="eastAsia"/>
          <w:sz w:val="28"/>
          <w:szCs w:val="28"/>
        </w:rPr>
        <w:t xml:space="preserve">      地址：杞县经四路与金城大道交叉口杞县综合服务大厦十二楼</w:t>
      </w:r>
    </w:p>
    <w:p w14:paraId="14102979">
      <w:pPr>
        <w:rPr>
          <w:rFonts w:ascii="宋体" w:hAnsi="宋体"/>
          <w:sz w:val="28"/>
          <w:szCs w:val="28"/>
        </w:rPr>
      </w:pPr>
      <w:r>
        <w:rPr>
          <w:rFonts w:hint="eastAsia"/>
          <w:sz w:val="28"/>
          <w:szCs w:val="28"/>
        </w:rPr>
        <w:t>（4）投诉接收登记部门</w:t>
      </w:r>
      <w:r>
        <w:rPr>
          <w:rFonts w:hint="eastAsia"/>
          <w:color w:val="000000"/>
          <w:sz w:val="28"/>
          <w:szCs w:val="28"/>
        </w:rPr>
        <w:t>：</w:t>
      </w:r>
      <w:r>
        <w:rPr>
          <w:rFonts w:hint="eastAsia" w:ascii="宋体" w:hAnsi="宋体"/>
          <w:sz w:val="28"/>
          <w:szCs w:val="28"/>
        </w:rPr>
        <w:t>杞县公共资源交易服务中心业务管理科。</w:t>
      </w:r>
    </w:p>
    <w:p w14:paraId="318F6A6C">
      <w:pPr>
        <w:rPr>
          <w:sz w:val="28"/>
          <w:szCs w:val="28"/>
        </w:rPr>
      </w:pPr>
      <w:r>
        <w:rPr>
          <w:rFonts w:hint="eastAsia" w:ascii="宋体" w:hAnsi="宋体"/>
          <w:sz w:val="28"/>
          <w:szCs w:val="28"/>
        </w:rPr>
        <w:t>投诉电话：0371-28666651。</w:t>
      </w:r>
    </w:p>
    <w:p w14:paraId="5218A10E">
      <w:pPr>
        <w:rPr>
          <w:sz w:val="28"/>
          <w:szCs w:val="28"/>
        </w:rPr>
      </w:pPr>
      <w:r>
        <w:rPr>
          <w:rFonts w:hint="eastAsia"/>
          <w:sz w:val="28"/>
          <w:szCs w:val="28"/>
        </w:rPr>
        <w:t>地址：杞县经四路与金城大道交叉口杞县综合服务大厦十二楼</w:t>
      </w:r>
    </w:p>
    <w:p w14:paraId="491A5615">
      <w:pPr>
        <w:rPr>
          <w:sz w:val="28"/>
          <w:szCs w:val="28"/>
        </w:rPr>
      </w:pPr>
      <w:r>
        <w:rPr>
          <w:rFonts w:hint="eastAsia"/>
          <w:sz w:val="28"/>
          <w:szCs w:val="28"/>
        </w:rPr>
        <w:t>（5）行政监督部门：杞县政府采购办公室</w:t>
      </w:r>
    </w:p>
    <w:p w14:paraId="15B0544B">
      <w:pPr>
        <w:rPr>
          <w:sz w:val="28"/>
          <w:szCs w:val="28"/>
        </w:rPr>
      </w:pPr>
      <w:r>
        <w:rPr>
          <w:rFonts w:hint="eastAsia"/>
          <w:sz w:val="28"/>
          <w:szCs w:val="28"/>
        </w:rPr>
        <w:t>联系电话：0371-28666979</w:t>
      </w:r>
    </w:p>
    <w:p w14:paraId="2B09EAFA">
      <w:pPr>
        <w:rPr>
          <w:sz w:val="28"/>
          <w:szCs w:val="28"/>
        </w:rPr>
      </w:pPr>
      <w:r>
        <w:rPr>
          <w:rFonts w:hint="eastAsia"/>
          <w:sz w:val="28"/>
          <w:szCs w:val="28"/>
        </w:rPr>
        <w:t>地址：杞县经四路与金城大道交叉口杞县综合服务大厦十二楼</w:t>
      </w:r>
    </w:p>
    <w:p w14:paraId="000196AE">
      <w:pPr>
        <w:rPr>
          <w:sz w:val="28"/>
          <w:szCs w:val="28"/>
        </w:rPr>
      </w:pPr>
      <w:r>
        <w:rPr>
          <w:rFonts w:hint="eastAsia"/>
          <w:sz w:val="28"/>
          <w:szCs w:val="28"/>
        </w:rPr>
        <w:t>（5）质疑函和投诉书需按照开封市公共资源信息网重要文件栏目中的政府采购项目质疑注意事项和政府采购项目投诉注意事项中的要求及格式，依据《政府采购质疑和投诉办法》的有关规定，递交到以上部门。</w:t>
      </w:r>
    </w:p>
    <w:p w14:paraId="0A68FAB1">
      <w:pPr>
        <w:rPr>
          <w:sz w:val="28"/>
          <w:szCs w:val="28"/>
        </w:rPr>
      </w:pPr>
      <w:r>
        <w:rPr>
          <w:rFonts w:hint="eastAsia"/>
          <w:sz w:val="28"/>
          <w:szCs w:val="28"/>
        </w:rPr>
        <w:t>（6）投标人须在法定质疑期内一次性提出针对同一采购程序环节的质疑。质疑和投诉的受理、回复、更正、补充等均以系统内上传的方式进行。</w:t>
      </w:r>
    </w:p>
    <w:p w14:paraId="604AC6AB">
      <w:pPr>
        <w:rPr>
          <w:sz w:val="28"/>
          <w:szCs w:val="28"/>
        </w:rPr>
      </w:pPr>
      <w:bookmarkStart w:id="314" w:name="_Toc11478"/>
      <w:bookmarkEnd w:id="314"/>
      <w:bookmarkStart w:id="315" w:name="_Toc29549"/>
      <w:bookmarkEnd w:id="315"/>
      <w:bookmarkStart w:id="316" w:name="_Toc29261"/>
      <w:bookmarkStart w:id="317" w:name="_Toc24760"/>
      <w:r>
        <w:rPr>
          <w:rFonts w:hint="eastAsia"/>
          <w:sz w:val="28"/>
          <w:szCs w:val="28"/>
        </w:rPr>
        <w:t>10. 需要补充的其他内容</w:t>
      </w:r>
      <w:bookmarkEnd w:id="316"/>
      <w:bookmarkEnd w:id="317"/>
    </w:p>
    <w:p w14:paraId="21B8C668">
      <w:pPr>
        <w:rPr>
          <w:sz w:val="28"/>
          <w:szCs w:val="28"/>
        </w:rPr>
      </w:pPr>
      <w:r>
        <w:rPr>
          <w:rFonts w:hint="eastAsia"/>
          <w:sz w:val="28"/>
          <w:szCs w:val="28"/>
        </w:rPr>
        <w:t>需要补充的其他内容：见投标人须知前附表。</w:t>
      </w:r>
    </w:p>
    <w:p w14:paraId="771514CB">
      <w:pPr>
        <w:pStyle w:val="21"/>
        <w:jc w:val="both"/>
        <w:rPr>
          <w:rStyle w:val="58"/>
          <w:rFonts w:ascii="宋体" w:hAnsi="宋体"/>
          <w:b w:val="0"/>
          <w:bCs w:val="0"/>
          <w:color w:val="000000"/>
        </w:rPr>
      </w:pPr>
      <w:bookmarkStart w:id="318" w:name="_Toc23732"/>
      <w:bookmarkEnd w:id="318"/>
      <w:bookmarkStart w:id="319" w:name="_Toc7949"/>
      <w:bookmarkEnd w:id="319"/>
      <w:bookmarkStart w:id="320" w:name="_Toc271554772"/>
      <w:bookmarkEnd w:id="320"/>
      <w:bookmarkStart w:id="321" w:name="_Toc12874"/>
      <w:bookmarkEnd w:id="321"/>
      <w:bookmarkStart w:id="322" w:name="_Toc19383"/>
      <w:bookmarkEnd w:id="322"/>
    </w:p>
    <w:p w14:paraId="78D9E3D1"/>
    <w:p w14:paraId="37C7D5E7">
      <w:pPr>
        <w:pStyle w:val="22"/>
        <w:ind w:firstLine="210"/>
      </w:pPr>
    </w:p>
    <w:p w14:paraId="7AAB26AA">
      <w:pPr>
        <w:pStyle w:val="23"/>
        <w:ind w:firstLine="560"/>
      </w:pPr>
    </w:p>
    <w:p w14:paraId="0B23909D">
      <w:pPr>
        <w:pStyle w:val="23"/>
        <w:ind w:firstLine="560"/>
      </w:pPr>
    </w:p>
    <w:p w14:paraId="6B8B0C1E">
      <w:pPr>
        <w:pStyle w:val="23"/>
        <w:ind w:firstLine="560"/>
      </w:pPr>
    </w:p>
    <w:p w14:paraId="61540461">
      <w:pPr>
        <w:pStyle w:val="23"/>
        <w:ind w:firstLine="560"/>
      </w:pPr>
    </w:p>
    <w:p w14:paraId="47ACEAB4">
      <w:pPr>
        <w:pStyle w:val="23"/>
        <w:ind w:firstLine="560"/>
      </w:pPr>
    </w:p>
    <w:p w14:paraId="014D874F">
      <w:pPr>
        <w:pStyle w:val="23"/>
        <w:ind w:firstLine="560"/>
      </w:pPr>
    </w:p>
    <w:p w14:paraId="6D3F58FA">
      <w:pPr>
        <w:pStyle w:val="23"/>
        <w:ind w:firstLine="0" w:firstLineChars="0"/>
      </w:pPr>
      <w:r>
        <w:rPr>
          <w:rFonts w:hint="eastAsia"/>
        </w:rPr>
        <w:t>附表 一 ：问题澄清通知</w:t>
      </w:r>
    </w:p>
    <w:p w14:paraId="67BB9A7D">
      <w:pPr>
        <w:pStyle w:val="23"/>
        <w:ind w:firstLine="0" w:firstLineChars="0"/>
        <w:jc w:val="center"/>
      </w:pPr>
      <w:r>
        <w:rPr>
          <w:rFonts w:hint="eastAsia"/>
        </w:rPr>
        <w:t>问题澄清通知</w:t>
      </w:r>
    </w:p>
    <w:p w14:paraId="5A8B47A2">
      <w:pPr>
        <w:pStyle w:val="23"/>
        <w:ind w:firstLine="560"/>
      </w:pPr>
      <w:r>
        <w:rPr>
          <w:rFonts w:hint="eastAsia"/>
        </w:rPr>
        <w:t>编号：</w:t>
      </w:r>
    </w:p>
    <w:p w14:paraId="10B3FD69">
      <w:pPr>
        <w:pStyle w:val="23"/>
        <w:ind w:firstLine="0" w:firstLineChars="0"/>
      </w:pPr>
      <w:r>
        <w:rPr>
          <w:rFonts w:hint="eastAsia"/>
        </w:rPr>
        <w:t>（投标人名称）：</w:t>
      </w:r>
    </w:p>
    <w:p w14:paraId="45AA29C6">
      <w:pPr>
        <w:pStyle w:val="23"/>
        <w:ind w:firstLine="0" w:firstLineChars="0"/>
      </w:pPr>
      <w:r>
        <w:rPr>
          <w:rFonts w:hint="eastAsia"/>
          <w:u w:val="single"/>
        </w:rPr>
        <w:t xml:space="preserve">             </w:t>
      </w:r>
      <w:r>
        <w:rPr>
          <w:rFonts w:hint="eastAsia"/>
        </w:rPr>
        <w:t>（项目名称）招标的评标委员会，对你方的投标文件进行了仔细的审查，现需你方对下列问题以书面形式予以澄清：</w:t>
      </w:r>
    </w:p>
    <w:p w14:paraId="7342D4FE">
      <w:pPr>
        <w:pStyle w:val="23"/>
        <w:ind w:firstLine="560"/>
      </w:pPr>
      <w:r>
        <w:t>1.</w:t>
      </w:r>
    </w:p>
    <w:p w14:paraId="789A1FF1">
      <w:pPr>
        <w:pStyle w:val="23"/>
        <w:ind w:firstLine="560"/>
      </w:pPr>
      <w:r>
        <w:t>2.</w:t>
      </w:r>
    </w:p>
    <w:p w14:paraId="0FF92337">
      <w:pPr>
        <w:pStyle w:val="23"/>
        <w:ind w:firstLine="560"/>
      </w:pPr>
      <w:r>
        <w:t>......</w:t>
      </w:r>
    </w:p>
    <w:p w14:paraId="2654F95B">
      <w:pPr>
        <w:pStyle w:val="23"/>
        <w:ind w:firstLine="560"/>
      </w:pPr>
      <w:r>
        <w:rPr>
          <w:rFonts w:hint="eastAsia"/>
        </w:rPr>
        <w:t>请将上述问题的澄清于 年 月 日 时前递交至 （详细地址）。</w:t>
      </w:r>
    </w:p>
    <w:p w14:paraId="68FF314E">
      <w:pPr>
        <w:pStyle w:val="23"/>
        <w:ind w:firstLine="560"/>
      </w:pPr>
    </w:p>
    <w:p w14:paraId="75B070D6">
      <w:pPr>
        <w:pStyle w:val="23"/>
        <w:ind w:firstLine="560"/>
      </w:pPr>
    </w:p>
    <w:p w14:paraId="5A89628D">
      <w:pPr>
        <w:pStyle w:val="23"/>
        <w:ind w:firstLine="560"/>
      </w:pPr>
    </w:p>
    <w:p w14:paraId="208CCADD">
      <w:pPr>
        <w:pStyle w:val="23"/>
        <w:ind w:firstLine="560"/>
      </w:pPr>
      <w:r>
        <w:rPr>
          <w:rFonts w:hint="eastAsia"/>
        </w:rPr>
        <w:t>评标工作组负责人： （签字）</w:t>
      </w:r>
    </w:p>
    <w:p w14:paraId="08ABC64F">
      <w:pPr>
        <w:pStyle w:val="23"/>
        <w:ind w:leftChars="457" w:firstLine="840" w:firstLineChars="300"/>
      </w:pPr>
    </w:p>
    <w:p w14:paraId="4143FC36">
      <w:pPr>
        <w:pStyle w:val="23"/>
        <w:ind w:leftChars="457" w:firstLine="4900" w:firstLineChars="1750"/>
      </w:pPr>
      <w:r>
        <w:rPr>
          <w:rFonts w:hint="eastAsia"/>
        </w:rPr>
        <w:t>年 月 日</w:t>
      </w:r>
    </w:p>
    <w:p w14:paraId="0BC4E14A">
      <w:pPr>
        <w:pStyle w:val="23"/>
        <w:ind w:leftChars="457" w:firstLine="4900" w:firstLineChars="1750"/>
      </w:pPr>
    </w:p>
    <w:p w14:paraId="7228BC7E">
      <w:pPr>
        <w:pStyle w:val="23"/>
        <w:ind w:leftChars="457" w:firstLine="4900" w:firstLineChars="1750"/>
      </w:pPr>
    </w:p>
    <w:p w14:paraId="722284D9">
      <w:pPr>
        <w:pStyle w:val="23"/>
        <w:ind w:leftChars="457" w:firstLine="4900" w:firstLineChars="1750"/>
      </w:pPr>
    </w:p>
    <w:p w14:paraId="63941F7B">
      <w:pPr>
        <w:pStyle w:val="23"/>
        <w:ind w:leftChars="457" w:firstLine="4900" w:firstLineChars="1750"/>
      </w:pPr>
    </w:p>
    <w:p w14:paraId="3A90FF6D">
      <w:pPr>
        <w:pStyle w:val="23"/>
        <w:ind w:leftChars="457" w:firstLine="4900" w:firstLineChars="1750"/>
      </w:pPr>
    </w:p>
    <w:p w14:paraId="2E239C61">
      <w:pPr>
        <w:pStyle w:val="23"/>
        <w:ind w:leftChars="457" w:firstLine="4900" w:firstLineChars="1750"/>
      </w:pPr>
    </w:p>
    <w:p w14:paraId="4F234BD1">
      <w:pPr>
        <w:pStyle w:val="23"/>
        <w:ind w:firstLine="0" w:firstLineChars="0"/>
      </w:pPr>
      <w:r>
        <w:rPr>
          <w:rFonts w:hint="eastAsia"/>
        </w:rPr>
        <w:t>附表 二 ：问题的澄清</w:t>
      </w:r>
    </w:p>
    <w:p w14:paraId="5220B228">
      <w:pPr>
        <w:pStyle w:val="23"/>
        <w:ind w:firstLine="0" w:firstLineChars="0"/>
        <w:jc w:val="center"/>
      </w:pPr>
      <w:r>
        <w:rPr>
          <w:rFonts w:hint="eastAsia"/>
        </w:rPr>
        <w:t>问题的澄清</w:t>
      </w:r>
    </w:p>
    <w:p w14:paraId="03427919">
      <w:pPr>
        <w:pStyle w:val="23"/>
        <w:ind w:leftChars="457" w:firstLineChars="150"/>
      </w:pPr>
      <w:r>
        <w:rPr>
          <w:rFonts w:hint="eastAsia"/>
        </w:rPr>
        <w:t>编号：</w:t>
      </w:r>
    </w:p>
    <w:p w14:paraId="08EF3E93">
      <w:pPr>
        <w:pStyle w:val="23"/>
        <w:ind w:leftChars="457" w:firstLine="0" w:firstLineChars="0"/>
      </w:pPr>
      <w:r>
        <w:rPr>
          <w:rFonts w:hint="eastAsia"/>
          <w:u w:val="single"/>
        </w:rPr>
        <w:t xml:space="preserve">             </w:t>
      </w:r>
      <w:r>
        <w:rPr>
          <w:rFonts w:hint="eastAsia"/>
        </w:rPr>
        <w:t>（项目名称）招标评标委员会：</w:t>
      </w:r>
    </w:p>
    <w:p w14:paraId="71217AAA">
      <w:pPr>
        <w:pStyle w:val="23"/>
        <w:ind w:leftChars="457" w:firstLine="0" w:firstLineChars="0"/>
      </w:pPr>
      <w:r>
        <w:rPr>
          <w:rFonts w:hint="eastAsia"/>
        </w:rPr>
        <w:t>问题澄清通知（编号： ）已收悉，现澄清如下：</w:t>
      </w:r>
    </w:p>
    <w:p w14:paraId="464905F6">
      <w:pPr>
        <w:pStyle w:val="23"/>
        <w:ind w:leftChars="457" w:firstLineChars="150"/>
      </w:pPr>
      <w:r>
        <w:t>1.</w:t>
      </w:r>
    </w:p>
    <w:p w14:paraId="4AC50D31">
      <w:pPr>
        <w:pStyle w:val="23"/>
        <w:ind w:leftChars="457" w:firstLineChars="150"/>
      </w:pPr>
      <w:r>
        <w:t>2.</w:t>
      </w:r>
    </w:p>
    <w:p w14:paraId="5D1E29CC">
      <w:pPr>
        <w:pStyle w:val="23"/>
        <w:ind w:leftChars="457" w:firstLineChars="150"/>
      </w:pPr>
      <w:r>
        <w:t>.....</w:t>
      </w:r>
    </w:p>
    <w:p w14:paraId="28A404F4">
      <w:pPr>
        <w:pStyle w:val="23"/>
        <w:ind w:leftChars="457" w:firstLine="560"/>
      </w:pPr>
    </w:p>
    <w:p w14:paraId="54996B8C">
      <w:pPr>
        <w:pStyle w:val="23"/>
        <w:ind w:leftChars="457" w:firstLine="560"/>
      </w:pPr>
    </w:p>
    <w:p w14:paraId="43AE5520">
      <w:pPr>
        <w:pStyle w:val="23"/>
        <w:ind w:leftChars="457" w:firstLine="2940" w:firstLineChars="1050"/>
      </w:pPr>
      <w:r>
        <w:rPr>
          <w:rFonts w:hint="eastAsia"/>
        </w:rPr>
        <w:t>投标人：</w:t>
      </w:r>
    </w:p>
    <w:p w14:paraId="420E587D">
      <w:pPr>
        <w:pStyle w:val="23"/>
        <w:ind w:leftChars="457" w:firstLine="140" w:firstLineChars="50"/>
      </w:pPr>
    </w:p>
    <w:p w14:paraId="5222E76D">
      <w:pPr>
        <w:pStyle w:val="23"/>
        <w:ind w:leftChars="457" w:firstLine="560"/>
      </w:pPr>
      <w:r>
        <w:rPr>
          <w:rFonts w:hint="eastAsia"/>
        </w:rPr>
        <w:t>法定代表人或其委托代理人： （签字）</w:t>
      </w:r>
    </w:p>
    <w:p w14:paraId="14C3B5F0">
      <w:pPr>
        <w:pStyle w:val="23"/>
        <w:ind w:leftChars="457" w:firstLine="4900" w:firstLineChars="1750"/>
      </w:pPr>
    </w:p>
    <w:p w14:paraId="452CEE1E">
      <w:pPr>
        <w:pStyle w:val="23"/>
        <w:ind w:leftChars="457" w:firstLine="4900" w:firstLineChars="1750"/>
      </w:pPr>
    </w:p>
    <w:p w14:paraId="7EC977F1">
      <w:pPr>
        <w:pStyle w:val="23"/>
        <w:ind w:leftChars="457" w:firstLine="4900" w:firstLineChars="1750"/>
      </w:pPr>
      <w:r>
        <w:rPr>
          <w:rFonts w:hint="eastAsia"/>
        </w:rPr>
        <w:t>年 月 日</w:t>
      </w:r>
    </w:p>
    <w:p w14:paraId="1E50D0BE">
      <w:pPr>
        <w:pStyle w:val="23"/>
        <w:ind w:left="0" w:firstLine="0" w:firstLineChars="0"/>
      </w:pPr>
    </w:p>
    <w:p w14:paraId="68FA7D8E">
      <w:pPr>
        <w:pStyle w:val="23"/>
        <w:ind w:left="0" w:firstLine="0" w:firstLineChars="0"/>
      </w:pPr>
    </w:p>
    <w:p w14:paraId="7A105208">
      <w:pPr>
        <w:pStyle w:val="23"/>
        <w:ind w:left="0" w:firstLine="0" w:firstLineChars="0"/>
      </w:pPr>
    </w:p>
    <w:p w14:paraId="5A0FCE3A">
      <w:pPr>
        <w:pStyle w:val="23"/>
        <w:ind w:left="0" w:firstLine="0" w:firstLineChars="0"/>
      </w:pPr>
    </w:p>
    <w:p w14:paraId="0962BD8D">
      <w:pPr>
        <w:pStyle w:val="23"/>
        <w:ind w:left="0" w:firstLine="0" w:firstLineChars="0"/>
      </w:pPr>
    </w:p>
    <w:p w14:paraId="7B21E29D">
      <w:pPr>
        <w:pStyle w:val="23"/>
        <w:ind w:left="0" w:firstLine="0" w:firstLineChars="0"/>
      </w:pPr>
    </w:p>
    <w:p w14:paraId="7169B074">
      <w:pPr>
        <w:pStyle w:val="23"/>
        <w:ind w:firstLine="560"/>
        <w:jc w:val="center"/>
      </w:pPr>
      <w:r>
        <w:rPr>
          <w:rFonts w:hint="eastAsia"/>
        </w:rPr>
        <w:t>河南省政府采购合同融资政策告知函</w:t>
      </w:r>
    </w:p>
    <w:p w14:paraId="5AB7C521">
      <w:pPr>
        <w:pStyle w:val="23"/>
        <w:ind w:left="0" w:firstLine="560"/>
      </w:pPr>
      <w:r>
        <w:rPr>
          <w:rFonts w:hint="eastAsia"/>
        </w:rPr>
        <w:t>各供应商：</w:t>
      </w:r>
    </w:p>
    <w:p w14:paraId="501778C0">
      <w:pPr>
        <w:pStyle w:val="23"/>
        <w:ind w:left="0" w:firstLine="1120" w:firstLineChars="400"/>
      </w:pPr>
      <w:r>
        <w:rPr>
          <w:rFonts w:hint="eastAsia"/>
        </w:rPr>
        <w:t>欢迎贵公司参与河南省政府采购活动！</w:t>
      </w:r>
    </w:p>
    <w:p w14:paraId="4B076816">
      <w:pPr>
        <w:pStyle w:val="23"/>
        <w:ind w:firstLine="700" w:firstLineChars="250"/>
      </w:pPr>
      <w:r>
        <w:rPr>
          <w:rFonts w:hint="eastAsi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56B04D82">
      <w:pPr>
        <w:pStyle w:val="23"/>
        <w:ind w:left="0" w:firstLine="1120" w:firstLineChars="400"/>
      </w:pPr>
      <w:r>
        <w:rPr>
          <w:rFonts w:hint="eastAsia"/>
        </w:rPr>
        <w:t>贷款渠道和提供贷款的金融机构，可在河南省政府采购网“河南省政府采购合同融资平台”查询联系。</w:t>
      </w:r>
    </w:p>
    <w:p w14:paraId="084F1569">
      <w:pPr>
        <w:pStyle w:val="23"/>
        <w:ind w:firstLine="560"/>
      </w:pPr>
    </w:p>
    <w:p w14:paraId="18CBE3E8">
      <w:pPr>
        <w:pStyle w:val="23"/>
        <w:ind w:firstLine="560"/>
      </w:pPr>
    </w:p>
    <w:p w14:paraId="14BE31F6">
      <w:pPr>
        <w:pStyle w:val="23"/>
        <w:ind w:firstLine="560"/>
      </w:pPr>
    </w:p>
    <w:p w14:paraId="28D494CC">
      <w:pPr>
        <w:pStyle w:val="23"/>
        <w:ind w:firstLine="560"/>
      </w:pPr>
    </w:p>
    <w:p w14:paraId="17B1E906">
      <w:pPr>
        <w:pStyle w:val="23"/>
        <w:ind w:firstLine="560"/>
      </w:pPr>
    </w:p>
    <w:p w14:paraId="532905F3">
      <w:pPr>
        <w:pStyle w:val="23"/>
        <w:ind w:firstLine="560"/>
      </w:pPr>
    </w:p>
    <w:p w14:paraId="363A1F06">
      <w:pPr>
        <w:pStyle w:val="23"/>
        <w:ind w:firstLine="560"/>
      </w:pPr>
    </w:p>
    <w:p w14:paraId="35BA52F7">
      <w:pPr>
        <w:pStyle w:val="23"/>
        <w:ind w:firstLine="560"/>
      </w:pPr>
    </w:p>
    <w:p w14:paraId="1685CDA1">
      <w:pPr>
        <w:pStyle w:val="23"/>
        <w:ind w:firstLine="560"/>
      </w:pPr>
    </w:p>
    <w:p w14:paraId="183E34C5">
      <w:pPr>
        <w:pStyle w:val="23"/>
        <w:ind w:firstLine="560"/>
      </w:pPr>
    </w:p>
    <w:p w14:paraId="2B93E024">
      <w:pPr>
        <w:pStyle w:val="23"/>
        <w:ind w:firstLine="560"/>
      </w:pPr>
    </w:p>
    <w:p w14:paraId="1C7237A7">
      <w:pPr>
        <w:pStyle w:val="2"/>
        <w:jc w:val="center"/>
        <w:rPr>
          <w:rFonts w:ascii="黑体" w:hAnsi="黑体" w:eastAsia="黑体"/>
        </w:rPr>
      </w:pPr>
      <w:bookmarkStart w:id="323" w:name="_Toc3961"/>
      <w:r>
        <w:rPr>
          <w:rStyle w:val="58"/>
          <w:rFonts w:hint="eastAsia" w:ascii="黑体" w:hAnsi="黑体" w:eastAsia="黑体"/>
          <w:b w:val="0"/>
          <w:bCs w:val="0"/>
          <w:color w:val="000000"/>
        </w:rPr>
        <w:t>第三章  评标办法（综合评分法）</w:t>
      </w:r>
      <w:bookmarkEnd w:id="323"/>
    </w:p>
    <w:p w14:paraId="5276106B">
      <w:pPr>
        <w:spacing w:line="440" w:lineRule="exact"/>
        <w:ind w:firstLine="560" w:firstLineChars="200"/>
        <w:rPr>
          <w:rFonts w:ascii="宋体" w:hAnsi="宋体"/>
          <w:sz w:val="28"/>
          <w:szCs w:val="28"/>
        </w:rPr>
      </w:pPr>
      <w:r>
        <w:rPr>
          <w:rFonts w:hint="eastAsia" w:ascii="宋体" w:hAnsi="宋体"/>
          <w:color w:val="000000"/>
          <w:sz w:val="28"/>
          <w:szCs w:val="28"/>
        </w:rPr>
        <w:t>评标委员会按照《中华人民共和国政府采购法》和</w:t>
      </w:r>
      <w:r>
        <w:rPr>
          <w:rFonts w:hint="eastAsia" w:ascii="宋体" w:hAnsi="宋体"/>
          <w:sz w:val="28"/>
          <w:szCs w:val="28"/>
        </w:rPr>
        <w:t>《政府采购货物和服务招标投标管理办法》，结合本项目具体情况，按下列标准进评审：</w:t>
      </w:r>
    </w:p>
    <w:p w14:paraId="096AA4EA">
      <w:pPr>
        <w:spacing w:line="440" w:lineRule="exact"/>
        <w:ind w:firstLine="560" w:firstLineChars="200"/>
        <w:rPr>
          <w:rFonts w:ascii="宋体" w:hAnsi="宋体"/>
          <w:color w:val="000000"/>
          <w:sz w:val="28"/>
          <w:szCs w:val="28"/>
        </w:rPr>
      </w:pPr>
      <w:r>
        <w:rPr>
          <w:rFonts w:hint="eastAsia" w:ascii="宋体" w:hAnsi="宋体"/>
          <w:sz w:val="28"/>
          <w:szCs w:val="28"/>
        </w:rPr>
        <w:t>本项目分初步评审、详细评审、推荐中标候选</w:t>
      </w:r>
      <w:r>
        <w:rPr>
          <w:rFonts w:hint="eastAsia" w:ascii="宋体" w:hAnsi="宋体"/>
          <w:color w:val="000000"/>
          <w:sz w:val="28"/>
          <w:szCs w:val="28"/>
        </w:rPr>
        <w:t>人三个阶段。</w:t>
      </w:r>
    </w:p>
    <w:p w14:paraId="634D9E73">
      <w:pPr>
        <w:spacing w:line="440" w:lineRule="exact"/>
        <w:jc w:val="left"/>
        <w:rPr>
          <w:rFonts w:ascii="宋体" w:hAnsi="宋体"/>
          <w:b/>
          <w:bCs/>
          <w:color w:val="000000"/>
          <w:sz w:val="28"/>
          <w:szCs w:val="28"/>
        </w:rPr>
      </w:pPr>
      <w:r>
        <w:rPr>
          <w:rFonts w:hint="eastAsia" w:ascii="宋体" w:hAnsi="宋体"/>
          <w:b/>
          <w:bCs/>
          <w:color w:val="000000"/>
          <w:sz w:val="28"/>
          <w:szCs w:val="28"/>
        </w:rPr>
        <w:t>一、投标文件的初步评审：</w:t>
      </w:r>
    </w:p>
    <w:p w14:paraId="2AFAD822">
      <w:pPr>
        <w:spacing w:line="440" w:lineRule="exact"/>
        <w:ind w:firstLine="560" w:firstLineChars="200"/>
        <w:jc w:val="left"/>
        <w:rPr>
          <w:rFonts w:ascii="宋体" w:hAnsi="宋体"/>
          <w:color w:val="000000"/>
          <w:sz w:val="28"/>
          <w:szCs w:val="28"/>
        </w:rPr>
      </w:pPr>
      <w:r>
        <w:rPr>
          <w:rFonts w:hint="eastAsia" w:ascii="宋体" w:hAnsi="宋体"/>
          <w:color w:val="000000"/>
          <w:sz w:val="28"/>
          <w:szCs w:val="28"/>
        </w:rPr>
        <w:t>评标委员会首先对各投标人的投标文件进行初步评审，不符合下列情况之一的，属于重大偏差，为未能对招标文件作出实质性响应，投标文件作无效标处理，不得进入详细评审；</w:t>
      </w:r>
    </w:p>
    <w:p w14:paraId="26D24F2B">
      <w:pPr>
        <w:tabs>
          <w:tab w:val="left" w:pos="360"/>
          <w:tab w:val="left" w:pos="540"/>
        </w:tabs>
        <w:spacing w:line="46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评标办法前附表</w:t>
      </w:r>
    </w:p>
    <w:tbl>
      <w:tblPr>
        <w:tblStyle w:val="24"/>
        <w:tblpPr w:leftFromText="180" w:rightFromText="180" w:vertAnchor="text" w:horzAnchor="margin" w:tblpXSpec="center" w:tblpY="290"/>
        <w:tblW w:w="9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50"/>
        <w:gridCol w:w="6345"/>
      </w:tblGrid>
      <w:tr w14:paraId="2C469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2925" w:type="dxa"/>
            <w:gridSpan w:val="2"/>
            <w:vAlign w:val="center"/>
          </w:tcPr>
          <w:p w14:paraId="70718D78">
            <w:pPr>
              <w:tabs>
                <w:tab w:val="left" w:pos="360"/>
                <w:tab w:val="left" w:pos="540"/>
              </w:tabs>
              <w:spacing w:line="460" w:lineRule="exact"/>
              <w:jc w:val="center"/>
              <w:rPr>
                <w:rFonts w:ascii="宋体" w:hAnsi="宋体" w:cs="仿宋_GB2312"/>
                <w:color w:val="000000"/>
              </w:rPr>
            </w:pPr>
            <w:r>
              <w:rPr>
                <w:rFonts w:hint="eastAsia" w:ascii="宋体" w:hAnsi="宋体" w:cs="仿宋_GB2312"/>
                <w:color w:val="000000"/>
              </w:rPr>
              <w:t>评审因素</w:t>
            </w:r>
          </w:p>
        </w:tc>
        <w:tc>
          <w:tcPr>
            <w:tcW w:w="6345" w:type="dxa"/>
            <w:vAlign w:val="center"/>
          </w:tcPr>
          <w:p w14:paraId="6C3DE742">
            <w:pPr>
              <w:tabs>
                <w:tab w:val="left" w:pos="360"/>
                <w:tab w:val="left" w:pos="540"/>
              </w:tabs>
              <w:spacing w:line="460" w:lineRule="exact"/>
              <w:jc w:val="center"/>
              <w:rPr>
                <w:rFonts w:ascii="宋体" w:hAnsi="宋体" w:cs="仿宋_GB2312"/>
                <w:color w:val="000000"/>
              </w:rPr>
            </w:pPr>
            <w:r>
              <w:rPr>
                <w:rFonts w:hint="eastAsia" w:ascii="宋体" w:hAnsi="宋体" w:cs="仿宋_GB2312"/>
                <w:color w:val="000000"/>
              </w:rPr>
              <w:t>评审标准</w:t>
            </w:r>
          </w:p>
        </w:tc>
      </w:tr>
      <w:tr w14:paraId="6103F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75" w:type="dxa"/>
            <w:vAlign w:val="center"/>
          </w:tcPr>
          <w:p w14:paraId="05F9D3EF">
            <w:pPr>
              <w:tabs>
                <w:tab w:val="left" w:pos="360"/>
                <w:tab w:val="left" w:pos="540"/>
              </w:tabs>
              <w:spacing w:line="360" w:lineRule="auto"/>
              <w:jc w:val="center"/>
              <w:rPr>
                <w:rFonts w:ascii="宋体" w:hAnsi="宋体" w:cs="仿宋_GB2312"/>
                <w:color w:val="000000"/>
              </w:rPr>
            </w:pPr>
            <w:r>
              <w:rPr>
                <w:rFonts w:hint="eastAsia" w:ascii="宋体" w:hAnsi="宋体" w:cs="仿宋_GB2312"/>
                <w:color w:val="000000"/>
              </w:rPr>
              <w:t>资格审查</w:t>
            </w:r>
          </w:p>
        </w:tc>
        <w:tc>
          <w:tcPr>
            <w:tcW w:w="2250" w:type="dxa"/>
            <w:vAlign w:val="center"/>
          </w:tcPr>
          <w:p w14:paraId="37478BC2">
            <w:pPr>
              <w:tabs>
                <w:tab w:val="left" w:pos="360"/>
                <w:tab w:val="left" w:pos="540"/>
              </w:tabs>
              <w:spacing w:line="360" w:lineRule="auto"/>
              <w:jc w:val="center"/>
              <w:rPr>
                <w:rFonts w:ascii="宋体" w:hAnsi="宋体" w:cs="仿宋_GB2312"/>
              </w:rPr>
            </w:pPr>
            <w:r>
              <w:rPr>
                <w:rFonts w:hint="eastAsia" w:ascii="宋体" w:hAnsi="宋体" w:cs="仿宋_GB2312"/>
              </w:rPr>
              <w:t>资格条件</w:t>
            </w:r>
          </w:p>
        </w:tc>
        <w:tc>
          <w:tcPr>
            <w:tcW w:w="6345" w:type="dxa"/>
            <w:vAlign w:val="center"/>
          </w:tcPr>
          <w:p w14:paraId="227BCC1D">
            <w:pPr>
              <w:spacing w:line="360" w:lineRule="auto"/>
              <w:rPr>
                <w:rFonts w:ascii="宋体" w:hAnsi="宋体" w:cs="宋体"/>
                <w:b/>
                <w:bCs/>
              </w:rPr>
            </w:pPr>
            <w:r>
              <w:rPr>
                <w:rFonts w:hint="eastAsia" w:ascii="宋体" w:hAnsi="宋体" w:cs="宋体"/>
                <w:b/>
                <w:bCs/>
              </w:rPr>
              <w:t>投标人资格：</w:t>
            </w:r>
          </w:p>
          <w:p w14:paraId="4A9929FD">
            <w:pPr>
              <w:pStyle w:val="20"/>
              <w:shd w:val="clear" w:color="auto" w:fill="FFFFFF"/>
              <w:snapToGrid w:val="0"/>
              <w:spacing w:line="360" w:lineRule="auto"/>
              <w:rPr>
                <w:sz w:val="21"/>
                <w:szCs w:val="21"/>
                <w:shd w:val="clear" w:color="auto" w:fill="FFFFFF"/>
              </w:rPr>
            </w:pPr>
            <w:r>
              <w:rPr>
                <w:rFonts w:hint="eastAsia"/>
                <w:sz w:val="21"/>
                <w:szCs w:val="21"/>
                <w:shd w:val="clear" w:color="auto" w:fill="FFFFFF"/>
              </w:rPr>
              <w:t>1、符合《中华人民共和国政府采购法》第二十二条规定。</w:t>
            </w:r>
          </w:p>
          <w:p w14:paraId="3A8F9273">
            <w:pPr>
              <w:pStyle w:val="20"/>
              <w:shd w:val="clear" w:color="auto" w:fill="FFFFFF"/>
              <w:snapToGrid w:val="0"/>
              <w:spacing w:line="360" w:lineRule="auto"/>
              <w:rPr>
                <w:sz w:val="21"/>
                <w:szCs w:val="21"/>
                <w:shd w:val="clear" w:color="auto" w:fill="FFFFFF"/>
              </w:rPr>
            </w:pPr>
            <w:r>
              <w:rPr>
                <w:rFonts w:hint="eastAsia"/>
                <w:sz w:val="21"/>
                <w:szCs w:val="21"/>
                <w:shd w:val="clear" w:color="auto" w:fill="FFFFFF"/>
              </w:rPr>
              <w:t>（1）具有独立承担民事责任的能力, 提供有效的营业执照。</w:t>
            </w:r>
          </w:p>
          <w:p w14:paraId="57C2B70C">
            <w:pPr>
              <w:pStyle w:val="20"/>
              <w:shd w:val="clear" w:color="auto" w:fill="FFFFFF"/>
              <w:snapToGrid w:val="0"/>
              <w:spacing w:line="360" w:lineRule="auto"/>
              <w:rPr>
                <w:sz w:val="21"/>
                <w:szCs w:val="21"/>
                <w:shd w:val="clear" w:color="auto" w:fill="FFFFFF"/>
              </w:rPr>
            </w:pPr>
            <w:r>
              <w:rPr>
                <w:rFonts w:hint="eastAsia"/>
                <w:sz w:val="21"/>
                <w:szCs w:val="21"/>
                <w:shd w:val="clear" w:color="auto" w:fill="FFFFFF"/>
              </w:rPr>
              <w:t>（2）具有良好的商业信誉和健全的财务会计制度，提供近三年以来任意一年度的财务审计报告（新成立未满一年的公司可提供成立至今的财务报表）。</w:t>
            </w:r>
          </w:p>
          <w:p w14:paraId="24E45BFB">
            <w:pPr>
              <w:pStyle w:val="20"/>
              <w:shd w:val="clear" w:color="auto" w:fill="FFFFFF"/>
              <w:snapToGrid w:val="0"/>
              <w:spacing w:line="360" w:lineRule="auto"/>
              <w:rPr>
                <w:sz w:val="21"/>
                <w:szCs w:val="21"/>
                <w:shd w:val="clear" w:color="auto" w:fill="FFFFFF"/>
              </w:rPr>
            </w:pPr>
            <w:r>
              <w:rPr>
                <w:rFonts w:hint="eastAsia"/>
                <w:sz w:val="21"/>
                <w:szCs w:val="21"/>
                <w:shd w:val="clear" w:color="auto" w:fill="FFFFFF"/>
              </w:rPr>
              <w:t>（3）有具依法缴纳税收和社会保障资金的良好记录，提供2024年1月 1 日以来任意三个月依法缴纳社保和税收的证明材料。（依法免税或不需要缴纳社会保障资金的供应商，应提供相应证明文件）。</w:t>
            </w:r>
          </w:p>
          <w:p w14:paraId="56C28326">
            <w:pPr>
              <w:pStyle w:val="20"/>
              <w:shd w:val="clear" w:color="auto" w:fill="FFFFFF"/>
              <w:snapToGrid w:val="0"/>
              <w:spacing w:line="360" w:lineRule="auto"/>
              <w:rPr>
                <w:sz w:val="21"/>
                <w:szCs w:val="21"/>
                <w:shd w:val="clear" w:color="auto" w:fill="FFFFFF"/>
              </w:rPr>
            </w:pPr>
            <w:r>
              <w:rPr>
                <w:rFonts w:hint="eastAsia"/>
                <w:sz w:val="21"/>
                <w:szCs w:val="21"/>
                <w:shd w:val="clear" w:color="auto" w:fill="FFFFFF"/>
              </w:rPr>
              <w:t>（4）具有履行合同所必需的设备和专业技术能力。提供相关证明材料或承诺书（格式自拟）。</w:t>
            </w:r>
          </w:p>
          <w:p w14:paraId="1D0B0DE2">
            <w:pPr>
              <w:pStyle w:val="20"/>
              <w:shd w:val="clear" w:color="auto" w:fill="FFFFFF"/>
              <w:snapToGrid w:val="0"/>
              <w:spacing w:line="360" w:lineRule="auto"/>
              <w:rPr>
                <w:sz w:val="21"/>
                <w:szCs w:val="21"/>
                <w:shd w:val="clear" w:color="auto" w:fill="FFFFFF"/>
              </w:rPr>
            </w:pPr>
            <w:r>
              <w:rPr>
                <w:rFonts w:hint="eastAsia"/>
                <w:sz w:val="21"/>
                <w:szCs w:val="21"/>
                <w:shd w:val="clear" w:color="auto" w:fill="FFFFFF"/>
              </w:rPr>
              <w:t>（5）参加政府采购活动前 3 年内在经营活动中没有重大违法记录，提供书面声明。</w:t>
            </w:r>
          </w:p>
          <w:p w14:paraId="16882EC2">
            <w:pPr>
              <w:pStyle w:val="20"/>
              <w:shd w:val="clear" w:color="auto" w:fill="FFFFFF"/>
              <w:snapToGrid w:val="0"/>
              <w:spacing w:line="360" w:lineRule="auto"/>
              <w:rPr>
                <w:sz w:val="21"/>
                <w:szCs w:val="21"/>
                <w:shd w:val="clear" w:color="auto" w:fill="FFFFFF"/>
              </w:rPr>
            </w:pPr>
            <w:r>
              <w:rPr>
                <w:rFonts w:hint="eastAsia"/>
                <w:sz w:val="21"/>
                <w:szCs w:val="21"/>
                <w:shd w:val="clear" w:color="auto" w:fill="FFFFFF"/>
              </w:rPr>
              <w:t>（6）法律、行政法规规定的其他条件。</w:t>
            </w:r>
          </w:p>
          <w:p w14:paraId="3B2A6B7F">
            <w:pPr>
              <w:pStyle w:val="20"/>
              <w:shd w:val="clear" w:color="auto" w:fill="FFFFFF"/>
              <w:snapToGrid w:val="0"/>
              <w:spacing w:line="360" w:lineRule="auto"/>
              <w:rPr>
                <w:sz w:val="21"/>
                <w:szCs w:val="21"/>
                <w:shd w:val="clear" w:color="auto" w:fill="FFFFFF"/>
              </w:rPr>
            </w:pPr>
            <w:r>
              <w:rPr>
                <w:rFonts w:hint="eastAsia"/>
                <w:sz w:val="21"/>
                <w:szCs w:val="21"/>
                <w:shd w:val="clear" w:color="auto" w:fill="FFFFFF"/>
              </w:rPr>
              <w:t>2、投标人未列入失信被执行人和重大税收违法失信主体（查询渠道：“信用中国”网站（www.creditchina.gov.cn）、政府采购严重违法失信行为记录名单（查询渠道：中国政府采购网（www.ccgp.gov.cn）；否则，拒绝其投标（提供以上要求的查询网站截图）。</w:t>
            </w:r>
          </w:p>
          <w:p w14:paraId="025A6407">
            <w:pPr>
              <w:pStyle w:val="20"/>
              <w:shd w:val="clear" w:color="auto" w:fill="FFFFFF"/>
              <w:snapToGrid w:val="0"/>
              <w:spacing w:line="360" w:lineRule="auto"/>
              <w:rPr>
                <w:sz w:val="21"/>
                <w:szCs w:val="21"/>
                <w:shd w:val="clear" w:color="auto" w:fill="FFFFFF"/>
              </w:rPr>
            </w:pPr>
            <w:r>
              <w:rPr>
                <w:rFonts w:hint="eastAsia"/>
                <w:sz w:val="21"/>
                <w:szCs w:val="21"/>
                <w:shd w:val="clear" w:color="auto" w:fill="FFFFFF"/>
              </w:rPr>
              <w:t>注：各投标人均可就本招标项目标段中任意标段投标，一个投标人只允许中标 1 个标段，中标顺序按标段顺序。</w:t>
            </w:r>
          </w:p>
        </w:tc>
      </w:tr>
      <w:tr w14:paraId="06CB7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vMerge w:val="restart"/>
            <w:vAlign w:val="center"/>
          </w:tcPr>
          <w:p w14:paraId="74F2344D">
            <w:pPr>
              <w:tabs>
                <w:tab w:val="left" w:pos="360"/>
                <w:tab w:val="left" w:pos="540"/>
              </w:tabs>
              <w:spacing w:line="360" w:lineRule="auto"/>
              <w:jc w:val="center"/>
              <w:rPr>
                <w:rFonts w:ascii="宋体" w:hAnsi="宋体" w:cs="仿宋_GB2312"/>
                <w:color w:val="000000"/>
              </w:rPr>
            </w:pPr>
            <w:r>
              <w:rPr>
                <w:rFonts w:hint="eastAsia" w:ascii="宋体" w:hAnsi="宋体" w:cs="仿宋_GB2312"/>
                <w:color w:val="000000"/>
              </w:rPr>
              <w:t>响应性评审</w:t>
            </w:r>
          </w:p>
          <w:p w14:paraId="21DA1E4C">
            <w:pPr>
              <w:tabs>
                <w:tab w:val="left" w:pos="360"/>
                <w:tab w:val="left" w:pos="540"/>
              </w:tabs>
              <w:spacing w:line="360" w:lineRule="auto"/>
              <w:jc w:val="center"/>
              <w:rPr>
                <w:rFonts w:ascii="宋体" w:hAnsi="宋体" w:cs="仿宋_GB2312"/>
                <w:color w:val="000000"/>
              </w:rPr>
            </w:pPr>
          </w:p>
        </w:tc>
        <w:tc>
          <w:tcPr>
            <w:tcW w:w="2250" w:type="dxa"/>
          </w:tcPr>
          <w:p w14:paraId="60847322">
            <w:pPr>
              <w:tabs>
                <w:tab w:val="left" w:pos="360"/>
                <w:tab w:val="left" w:pos="540"/>
              </w:tabs>
              <w:spacing w:line="360" w:lineRule="auto"/>
              <w:jc w:val="center"/>
              <w:rPr>
                <w:rFonts w:ascii="宋体" w:hAnsi="宋体" w:cs="仿宋_GB2312"/>
                <w:color w:val="000000"/>
              </w:rPr>
            </w:pPr>
            <w:r>
              <w:rPr>
                <w:rFonts w:hint="eastAsia" w:ascii="宋体" w:hAnsi="宋体" w:cs="仿宋_GB2312"/>
                <w:color w:val="000000"/>
              </w:rPr>
              <w:t>投标内容</w:t>
            </w:r>
          </w:p>
        </w:tc>
        <w:tc>
          <w:tcPr>
            <w:tcW w:w="6345" w:type="dxa"/>
            <w:vAlign w:val="center"/>
          </w:tcPr>
          <w:p w14:paraId="67191C5F">
            <w:pPr>
              <w:tabs>
                <w:tab w:val="left" w:pos="360"/>
                <w:tab w:val="left" w:pos="540"/>
              </w:tabs>
              <w:spacing w:line="360" w:lineRule="auto"/>
              <w:jc w:val="left"/>
              <w:rPr>
                <w:rFonts w:ascii="宋体" w:hAnsi="宋体" w:cs="仿宋_GB2312"/>
                <w:color w:val="000000"/>
              </w:rPr>
            </w:pPr>
            <w:r>
              <w:rPr>
                <w:rFonts w:hint="eastAsia" w:ascii="宋体" w:hAnsi="宋体" w:cs="仿宋_GB2312"/>
                <w:color w:val="000000"/>
              </w:rPr>
              <w:t>符合招标文件要求</w:t>
            </w:r>
          </w:p>
        </w:tc>
      </w:tr>
      <w:tr w14:paraId="1FCF0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vMerge w:val="continue"/>
            <w:vAlign w:val="center"/>
          </w:tcPr>
          <w:p w14:paraId="2DE37C69">
            <w:pPr>
              <w:tabs>
                <w:tab w:val="left" w:pos="360"/>
                <w:tab w:val="left" w:pos="540"/>
              </w:tabs>
              <w:spacing w:line="360" w:lineRule="auto"/>
              <w:jc w:val="center"/>
              <w:rPr>
                <w:rFonts w:ascii="宋体" w:hAnsi="宋体" w:cs="仿宋_GB2312"/>
                <w:color w:val="000000"/>
              </w:rPr>
            </w:pPr>
          </w:p>
        </w:tc>
        <w:tc>
          <w:tcPr>
            <w:tcW w:w="2250" w:type="dxa"/>
          </w:tcPr>
          <w:p w14:paraId="5E11F0C5">
            <w:pPr>
              <w:tabs>
                <w:tab w:val="left" w:pos="360"/>
                <w:tab w:val="left" w:pos="540"/>
              </w:tabs>
              <w:spacing w:line="360" w:lineRule="auto"/>
              <w:jc w:val="center"/>
              <w:rPr>
                <w:rFonts w:ascii="宋体" w:hAnsi="宋体" w:cs="仿宋_GB2312"/>
                <w:color w:val="000000"/>
              </w:rPr>
            </w:pPr>
            <w:r>
              <w:rPr>
                <w:rFonts w:hint="eastAsia" w:ascii="宋体" w:hAnsi="宋体" w:cs="仿宋_GB2312"/>
                <w:color w:val="000000"/>
              </w:rPr>
              <w:t>投标人名称</w:t>
            </w:r>
          </w:p>
        </w:tc>
        <w:tc>
          <w:tcPr>
            <w:tcW w:w="6345" w:type="dxa"/>
            <w:vAlign w:val="center"/>
          </w:tcPr>
          <w:p w14:paraId="45BBC598">
            <w:pPr>
              <w:tabs>
                <w:tab w:val="left" w:pos="360"/>
                <w:tab w:val="left" w:pos="540"/>
              </w:tabs>
              <w:spacing w:line="360" w:lineRule="auto"/>
              <w:jc w:val="left"/>
              <w:rPr>
                <w:rFonts w:ascii="宋体" w:hAnsi="宋体" w:cs="仿宋_GB2312"/>
                <w:color w:val="000000"/>
              </w:rPr>
            </w:pPr>
            <w:r>
              <w:rPr>
                <w:rFonts w:hint="eastAsia" w:ascii="宋体" w:hAnsi="宋体" w:cs="仿宋_GB2312"/>
                <w:color w:val="000000"/>
              </w:rPr>
              <w:t>与营业执照一致</w:t>
            </w:r>
          </w:p>
        </w:tc>
      </w:tr>
      <w:tr w14:paraId="23B39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vMerge w:val="continue"/>
            <w:vAlign w:val="center"/>
          </w:tcPr>
          <w:p w14:paraId="125F5FC3">
            <w:pPr>
              <w:tabs>
                <w:tab w:val="left" w:pos="360"/>
                <w:tab w:val="left" w:pos="540"/>
              </w:tabs>
              <w:spacing w:line="360" w:lineRule="auto"/>
              <w:jc w:val="center"/>
              <w:rPr>
                <w:rFonts w:ascii="宋体" w:hAnsi="宋体" w:cs="仿宋_GB2312"/>
                <w:color w:val="000000"/>
              </w:rPr>
            </w:pPr>
          </w:p>
        </w:tc>
        <w:tc>
          <w:tcPr>
            <w:tcW w:w="2250" w:type="dxa"/>
          </w:tcPr>
          <w:p w14:paraId="4C0E4C8F">
            <w:pPr>
              <w:tabs>
                <w:tab w:val="left" w:pos="360"/>
                <w:tab w:val="left" w:pos="540"/>
              </w:tabs>
              <w:spacing w:line="360" w:lineRule="auto"/>
              <w:jc w:val="center"/>
              <w:rPr>
                <w:rFonts w:ascii="宋体" w:hAnsi="宋体" w:cs="仿宋_GB2312"/>
                <w:color w:val="000000"/>
              </w:rPr>
            </w:pPr>
            <w:r>
              <w:rPr>
                <w:rFonts w:hint="eastAsia" w:ascii="宋体" w:hAnsi="宋体" w:cs="仿宋_GB2312"/>
                <w:color w:val="000000"/>
              </w:rPr>
              <w:t>投标文件的签字盖章</w:t>
            </w:r>
          </w:p>
        </w:tc>
        <w:tc>
          <w:tcPr>
            <w:tcW w:w="6345" w:type="dxa"/>
            <w:vAlign w:val="center"/>
          </w:tcPr>
          <w:p w14:paraId="539EB707">
            <w:pPr>
              <w:tabs>
                <w:tab w:val="left" w:pos="360"/>
                <w:tab w:val="left" w:pos="540"/>
              </w:tabs>
              <w:spacing w:line="360" w:lineRule="auto"/>
              <w:jc w:val="left"/>
              <w:rPr>
                <w:rFonts w:ascii="宋体" w:hAnsi="宋体" w:cs="仿宋_GB2312"/>
                <w:color w:val="000000"/>
              </w:rPr>
            </w:pPr>
            <w:r>
              <w:rPr>
                <w:rFonts w:hint="eastAsia" w:ascii="宋体" w:hAnsi="宋体" w:cs="仿宋_GB2312"/>
                <w:color w:val="000000"/>
              </w:rPr>
              <w:t>法定代表人或其委托代理人按要求签字或盖章并加盖单位章</w:t>
            </w:r>
          </w:p>
        </w:tc>
      </w:tr>
      <w:tr w14:paraId="59EC3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vMerge w:val="continue"/>
            <w:vAlign w:val="center"/>
          </w:tcPr>
          <w:p w14:paraId="64404808">
            <w:pPr>
              <w:tabs>
                <w:tab w:val="left" w:pos="360"/>
                <w:tab w:val="left" w:pos="540"/>
              </w:tabs>
              <w:spacing w:line="360" w:lineRule="auto"/>
              <w:jc w:val="center"/>
              <w:rPr>
                <w:rFonts w:ascii="宋体" w:hAnsi="宋体" w:cs="仿宋_GB2312"/>
                <w:color w:val="000000"/>
              </w:rPr>
            </w:pPr>
          </w:p>
        </w:tc>
        <w:tc>
          <w:tcPr>
            <w:tcW w:w="2250" w:type="dxa"/>
          </w:tcPr>
          <w:p w14:paraId="5EA7B965">
            <w:pPr>
              <w:tabs>
                <w:tab w:val="left" w:pos="360"/>
                <w:tab w:val="left" w:pos="540"/>
              </w:tabs>
              <w:spacing w:line="360" w:lineRule="auto"/>
              <w:jc w:val="center"/>
              <w:rPr>
                <w:rFonts w:ascii="宋体" w:hAnsi="宋体" w:cs="仿宋_GB2312"/>
                <w:color w:val="000000"/>
              </w:rPr>
            </w:pPr>
            <w:r>
              <w:rPr>
                <w:rFonts w:hint="eastAsia" w:ascii="宋体" w:hAnsi="宋体" w:cs="仿宋_GB2312"/>
                <w:color w:val="000000"/>
              </w:rPr>
              <w:t>投标文件格式</w:t>
            </w:r>
          </w:p>
        </w:tc>
        <w:tc>
          <w:tcPr>
            <w:tcW w:w="6345" w:type="dxa"/>
            <w:vAlign w:val="center"/>
          </w:tcPr>
          <w:p w14:paraId="7BFBD227">
            <w:pPr>
              <w:tabs>
                <w:tab w:val="left" w:pos="360"/>
                <w:tab w:val="left" w:pos="540"/>
              </w:tabs>
              <w:spacing w:line="360" w:lineRule="auto"/>
              <w:jc w:val="left"/>
              <w:rPr>
                <w:rFonts w:ascii="宋体" w:hAnsi="宋体" w:cs="仿宋_GB2312"/>
                <w:color w:val="000000"/>
              </w:rPr>
            </w:pPr>
            <w:r>
              <w:rPr>
                <w:rFonts w:hint="eastAsia" w:ascii="宋体" w:hAnsi="宋体" w:cs="仿宋_GB2312"/>
                <w:color w:val="000000"/>
              </w:rPr>
              <w:t>符合第六章投标文件格式的要求</w:t>
            </w:r>
          </w:p>
        </w:tc>
      </w:tr>
      <w:tr w14:paraId="73DCD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vMerge w:val="continue"/>
            <w:vAlign w:val="center"/>
          </w:tcPr>
          <w:p w14:paraId="46571D06">
            <w:pPr>
              <w:tabs>
                <w:tab w:val="left" w:pos="360"/>
                <w:tab w:val="left" w:pos="540"/>
              </w:tabs>
              <w:spacing w:line="360" w:lineRule="auto"/>
              <w:jc w:val="center"/>
              <w:rPr>
                <w:rFonts w:ascii="宋体" w:hAnsi="宋体" w:cs="仿宋_GB2312"/>
                <w:color w:val="000000"/>
              </w:rPr>
            </w:pPr>
          </w:p>
        </w:tc>
        <w:tc>
          <w:tcPr>
            <w:tcW w:w="2250" w:type="dxa"/>
            <w:vAlign w:val="center"/>
          </w:tcPr>
          <w:p w14:paraId="48FEF01B">
            <w:pPr>
              <w:tabs>
                <w:tab w:val="left" w:pos="360"/>
                <w:tab w:val="left" w:pos="540"/>
              </w:tabs>
              <w:spacing w:line="360" w:lineRule="auto"/>
              <w:jc w:val="center"/>
              <w:rPr>
                <w:rFonts w:ascii="宋体" w:hAnsi="宋体" w:cs="仿宋_GB2312"/>
                <w:color w:val="000000"/>
              </w:rPr>
            </w:pPr>
            <w:r>
              <w:rPr>
                <w:rFonts w:hint="eastAsia" w:ascii="宋体" w:hAnsi="宋体" w:cs="仿宋_GB2312"/>
                <w:color w:val="000000"/>
              </w:rPr>
              <w:t>投标报价</w:t>
            </w:r>
          </w:p>
        </w:tc>
        <w:tc>
          <w:tcPr>
            <w:tcW w:w="6345" w:type="dxa"/>
            <w:vAlign w:val="center"/>
          </w:tcPr>
          <w:p w14:paraId="2DB8C9FF">
            <w:pPr>
              <w:tabs>
                <w:tab w:val="left" w:pos="360"/>
                <w:tab w:val="left" w:pos="540"/>
              </w:tabs>
              <w:spacing w:line="360" w:lineRule="auto"/>
              <w:rPr>
                <w:rFonts w:ascii="宋体" w:hAnsi="宋体" w:cs="仿宋_GB2312"/>
                <w:color w:val="000000"/>
              </w:rPr>
            </w:pPr>
            <w:r>
              <w:rPr>
                <w:rFonts w:hint="eastAsia" w:ascii="宋体" w:hAnsi="宋体" w:cs="仿宋_GB2312"/>
                <w:color w:val="000000"/>
              </w:rPr>
              <w:t>只能有一个有效报价且不超出招标控制价</w:t>
            </w:r>
          </w:p>
        </w:tc>
      </w:tr>
      <w:tr w14:paraId="62F67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675" w:type="dxa"/>
            <w:vMerge w:val="continue"/>
            <w:vAlign w:val="center"/>
          </w:tcPr>
          <w:p w14:paraId="1403C703">
            <w:pPr>
              <w:tabs>
                <w:tab w:val="left" w:pos="360"/>
                <w:tab w:val="left" w:pos="540"/>
              </w:tabs>
              <w:spacing w:line="360" w:lineRule="auto"/>
              <w:jc w:val="center"/>
              <w:rPr>
                <w:rFonts w:ascii="宋体" w:hAnsi="宋体" w:cs="仿宋_GB2312"/>
                <w:color w:val="000000"/>
              </w:rPr>
            </w:pPr>
          </w:p>
        </w:tc>
        <w:tc>
          <w:tcPr>
            <w:tcW w:w="2250" w:type="dxa"/>
            <w:vAlign w:val="center"/>
          </w:tcPr>
          <w:p w14:paraId="17A9901E">
            <w:pPr>
              <w:tabs>
                <w:tab w:val="left" w:pos="360"/>
                <w:tab w:val="left" w:pos="540"/>
              </w:tabs>
              <w:spacing w:line="360" w:lineRule="auto"/>
              <w:jc w:val="center"/>
              <w:rPr>
                <w:rFonts w:ascii="宋体" w:hAnsi="宋体" w:cs="仿宋_GB2312"/>
              </w:rPr>
            </w:pPr>
            <w:r>
              <w:rPr>
                <w:rFonts w:hint="eastAsia" w:ascii="宋体" w:hAnsi="宋体" w:cs="仿宋_GB2312"/>
              </w:rPr>
              <w:t>交货及安装时间</w:t>
            </w:r>
          </w:p>
        </w:tc>
        <w:tc>
          <w:tcPr>
            <w:tcW w:w="6345" w:type="dxa"/>
            <w:vAlign w:val="center"/>
          </w:tcPr>
          <w:p w14:paraId="5E22E47A">
            <w:pPr>
              <w:jc w:val="left"/>
            </w:pPr>
            <w:r>
              <w:rPr>
                <w:rFonts w:hint="eastAsia"/>
              </w:rPr>
              <w:t>合同签订后10天</w:t>
            </w:r>
          </w:p>
        </w:tc>
      </w:tr>
      <w:tr w14:paraId="76DF9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675" w:type="dxa"/>
            <w:vMerge w:val="continue"/>
            <w:vAlign w:val="center"/>
          </w:tcPr>
          <w:p w14:paraId="3FD53DD2">
            <w:pPr>
              <w:tabs>
                <w:tab w:val="left" w:pos="360"/>
                <w:tab w:val="left" w:pos="540"/>
              </w:tabs>
              <w:spacing w:line="360" w:lineRule="auto"/>
              <w:jc w:val="center"/>
              <w:rPr>
                <w:rFonts w:ascii="宋体" w:hAnsi="宋体" w:cs="仿宋_GB2312"/>
                <w:color w:val="000000"/>
              </w:rPr>
            </w:pPr>
          </w:p>
        </w:tc>
        <w:tc>
          <w:tcPr>
            <w:tcW w:w="2250" w:type="dxa"/>
            <w:vAlign w:val="center"/>
          </w:tcPr>
          <w:p w14:paraId="56367B97">
            <w:pPr>
              <w:tabs>
                <w:tab w:val="left" w:pos="360"/>
                <w:tab w:val="left" w:pos="540"/>
              </w:tabs>
              <w:spacing w:line="360" w:lineRule="auto"/>
              <w:jc w:val="center"/>
              <w:rPr>
                <w:rFonts w:ascii="宋体" w:hAnsi="宋体" w:cs="仿宋_GB2312"/>
                <w:color w:val="000000"/>
              </w:rPr>
            </w:pPr>
            <w:r>
              <w:rPr>
                <w:rFonts w:hint="eastAsia" w:ascii="宋体" w:hAnsi="宋体" w:cs="仿宋_GB2312"/>
                <w:color w:val="000000"/>
              </w:rPr>
              <w:t>质量要求</w:t>
            </w:r>
          </w:p>
        </w:tc>
        <w:tc>
          <w:tcPr>
            <w:tcW w:w="6345" w:type="dxa"/>
            <w:vAlign w:val="center"/>
          </w:tcPr>
          <w:p w14:paraId="6EC78DD8">
            <w:pPr>
              <w:spacing w:line="340" w:lineRule="exact"/>
              <w:rPr>
                <w:rFonts w:ascii="宋体" w:hAnsi="宋体" w:cs="宋体"/>
              </w:rPr>
            </w:pPr>
            <w:r>
              <w:rPr>
                <w:rFonts w:hint="eastAsia" w:ascii="宋体" w:hAnsi="宋体" w:cs="宋体"/>
              </w:rPr>
              <w:t>合格</w:t>
            </w:r>
          </w:p>
        </w:tc>
      </w:tr>
      <w:tr w14:paraId="1E94F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675" w:type="dxa"/>
            <w:vMerge w:val="continue"/>
            <w:vAlign w:val="center"/>
          </w:tcPr>
          <w:p w14:paraId="4D3C71BE">
            <w:pPr>
              <w:tabs>
                <w:tab w:val="left" w:pos="360"/>
                <w:tab w:val="left" w:pos="540"/>
              </w:tabs>
              <w:spacing w:line="360" w:lineRule="auto"/>
              <w:jc w:val="center"/>
              <w:rPr>
                <w:rFonts w:ascii="宋体" w:hAnsi="宋体" w:cs="仿宋_GB2312"/>
                <w:color w:val="000000"/>
              </w:rPr>
            </w:pPr>
          </w:p>
        </w:tc>
        <w:tc>
          <w:tcPr>
            <w:tcW w:w="2250" w:type="dxa"/>
            <w:vAlign w:val="center"/>
          </w:tcPr>
          <w:p w14:paraId="1DF7081B">
            <w:pPr>
              <w:tabs>
                <w:tab w:val="left" w:pos="360"/>
                <w:tab w:val="left" w:pos="540"/>
              </w:tabs>
              <w:spacing w:line="360" w:lineRule="auto"/>
              <w:jc w:val="center"/>
              <w:rPr>
                <w:rFonts w:ascii="宋体" w:hAnsi="宋体" w:cs="仿宋_GB2312"/>
                <w:color w:val="000000"/>
              </w:rPr>
            </w:pPr>
            <w:r>
              <w:rPr>
                <w:rFonts w:hint="eastAsia" w:ascii="宋体" w:hAnsi="宋体" w:cs="仿宋_GB2312"/>
                <w:color w:val="000000"/>
              </w:rPr>
              <w:t>投标有效期</w:t>
            </w:r>
          </w:p>
        </w:tc>
        <w:tc>
          <w:tcPr>
            <w:tcW w:w="6345" w:type="dxa"/>
            <w:vAlign w:val="center"/>
          </w:tcPr>
          <w:p w14:paraId="483ED991">
            <w:pPr>
              <w:tabs>
                <w:tab w:val="left" w:pos="360"/>
                <w:tab w:val="left" w:pos="540"/>
              </w:tabs>
              <w:spacing w:line="360" w:lineRule="auto"/>
              <w:rPr>
                <w:rFonts w:ascii="宋体" w:hAnsi="宋体" w:cs="仿宋_GB2312"/>
                <w:color w:val="000000"/>
              </w:rPr>
            </w:pPr>
            <w:r>
              <w:rPr>
                <w:rFonts w:hint="eastAsia" w:ascii="宋体" w:hAnsi="宋体" w:cs="宋体"/>
                <w:color w:val="000000"/>
              </w:rPr>
              <w:t>自投标文件递交截止之日起60日历天</w:t>
            </w:r>
          </w:p>
        </w:tc>
      </w:tr>
    </w:tbl>
    <w:p w14:paraId="2A3F07AE">
      <w:pPr>
        <w:spacing w:line="440" w:lineRule="exact"/>
        <w:rPr>
          <w:rFonts w:ascii="宋体" w:hAnsi="宋体"/>
          <w:b/>
          <w:bCs/>
          <w:sz w:val="28"/>
          <w:szCs w:val="28"/>
        </w:rPr>
      </w:pPr>
      <w:r>
        <w:rPr>
          <w:rFonts w:hint="eastAsia" w:ascii="宋体" w:hAnsi="宋体"/>
          <w:b/>
          <w:bCs/>
          <w:color w:val="000000"/>
          <w:sz w:val="28"/>
          <w:szCs w:val="28"/>
        </w:rPr>
        <w:t>二、</w:t>
      </w:r>
      <w:r>
        <w:rPr>
          <w:rFonts w:hint="eastAsia" w:ascii="宋体" w:hAnsi="宋体"/>
          <w:b/>
          <w:bCs/>
          <w:sz w:val="28"/>
          <w:szCs w:val="28"/>
        </w:rPr>
        <w:t>投标文件的详细评审</w:t>
      </w:r>
    </w:p>
    <w:p w14:paraId="70689A5C">
      <w:pPr>
        <w:spacing w:line="440" w:lineRule="exact"/>
        <w:ind w:firstLine="560" w:firstLineChars="200"/>
        <w:rPr>
          <w:rFonts w:ascii="宋体" w:hAnsi="宋体"/>
          <w:color w:val="000000"/>
          <w:sz w:val="28"/>
          <w:szCs w:val="28"/>
        </w:rPr>
      </w:pPr>
      <w:r>
        <w:rPr>
          <w:rFonts w:hint="eastAsia" w:ascii="宋体" w:hAnsi="宋体"/>
          <w:color w:val="000000"/>
          <w:sz w:val="28"/>
          <w:szCs w:val="28"/>
        </w:rPr>
        <w:t>经过初步评审合格的投标文件，评标委员会根据招标文件内确定的评标标准和方法，对其作出进一步评审与比较。本次招标采用综合评分法进行评标，满分为100分。</w:t>
      </w:r>
    </w:p>
    <w:p w14:paraId="5C5AD8DF">
      <w:pPr>
        <w:pStyle w:val="23"/>
        <w:ind w:left="0" w:firstLine="0" w:firstLineChars="0"/>
        <w:rPr>
          <w:rFonts w:ascii="Times New Roman"/>
          <w:color w:val="FF0000"/>
          <w:kern w:val="2"/>
          <w:sz w:val="21"/>
          <w:szCs w:val="21"/>
        </w:rPr>
      </w:pPr>
    </w:p>
    <w:p w14:paraId="28023450">
      <w:pPr>
        <w:pStyle w:val="23"/>
        <w:ind w:left="0" w:firstLine="0" w:firstLineChars="0"/>
        <w:jc w:val="center"/>
        <w:rPr>
          <w:rFonts w:ascii="Times New Roman"/>
          <w:b/>
          <w:color w:val="000000" w:themeColor="text1"/>
          <w:kern w:val="2"/>
          <w:sz w:val="21"/>
          <w:szCs w:val="21"/>
        </w:rPr>
      </w:pPr>
      <w:r>
        <w:rPr>
          <w:rFonts w:hint="eastAsia" w:ascii="Times New Roman"/>
          <w:b/>
          <w:color w:val="000000" w:themeColor="text1"/>
          <w:kern w:val="2"/>
          <w:sz w:val="21"/>
          <w:szCs w:val="21"/>
        </w:rPr>
        <w:t>综合评分细则</w:t>
      </w:r>
    </w:p>
    <w:p w14:paraId="533C8D34">
      <w:pPr>
        <w:pStyle w:val="23"/>
        <w:ind w:left="0" w:firstLine="0" w:firstLineChars="0"/>
        <w:jc w:val="center"/>
        <w:rPr>
          <w:rFonts w:ascii="Times New Roman"/>
          <w:b/>
          <w:kern w:val="2"/>
          <w:sz w:val="21"/>
          <w:szCs w:val="21"/>
        </w:rPr>
      </w:pP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765"/>
        <w:gridCol w:w="1061"/>
        <w:gridCol w:w="6772"/>
      </w:tblGrid>
      <w:tr w14:paraId="42879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14:paraId="1E855F17">
            <w:pPr>
              <w:pStyle w:val="20"/>
              <w:shd w:val="clear" w:color="auto" w:fill="FFFFFF"/>
              <w:snapToGrid w:val="0"/>
              <w:spacing w:line="276" w:lineRule="auto"/>
              <w:rPr>
                <w:sz w:val="21"/>
                <w:szCs w:val="21"/>
                <w:shd w:val="clear" w:color="auto" w:fill="FFFFFF"/>
              </w:rPr>
            </w:pPr>
            <w:r>
              <w:rPr>
                <w:rFonts w:hint="eastAsia"/>
                <w:sz w:val="21"/>
                <w:szCs w:val="21"/>
                <w:shd w:val="clear" w:color="auto" w:fill="FFFFFF"/>
              </w:rPr>
              <w:t>分值构成＝投标报价+技术部分+综合部分(总分100分)</w:t>
            </w:r>
          </w:p>
          <w:p w14:paraId="2DCFB3DE">
            <w:pPr>
              <w:pStyle w:val="20"/>
              <w:shd w:val="clear" w:color="auto" w:fill="FFFFFF"/>
              <w:snapToGrid w:val="0"/>
              <w:spacing w:line="276" w:lineRule="auto"/>
              <w:rPr>
                <w:sz w:val="21"/>
                <w:szCs w:val="21"/>
                <w:shd w:val="clear" w:color="auto" w:fill="FFFFFF"/>
              </w:rPr>
            </w:pPr>
            <w:r>
              <w:rPr>
                <w:rFonts w:hint="eastAsia"/>
                <w:sz w:val="21"/>
                <w:szCs w:val="21"/>
                <w:shd w:val="clear" w:color="auto" w:fill="FFFFFF"/>
              </w:rPr>
              <w:t>投标报价：30分、技术部分：</w:t>
            </w:r>
            <w:r>
              <w:rPr>
                <w:rFonts w:hint="eastAsia"/>
                <w:sz w:val="21"/>
                <w:szCs w:val="21"/>
                <w:shd w:val="clear" w:color="auto" w:fill="FFFFFF"/>
                <w:lang w:val="en-US" w:eastAsia="zh-CN"/>
              </w:rPr>
              <w:t>40</w:t>
            </w:r>
            <w:r>
              <w:rPr>
                <w:rFonts w:hint="eastAsia"/>
                <w:sz w:val="21"/>
                <w:szCs w:val="21"/>
                <w:shd w:val="clear" w:color="auto" w:fill="FFFFFF"/>
              </w:rPr>
              <w:t>分、商务部分：</w:t>
            </w:r>
            <w:r>
              <w:rPr>
                <w:rFonts w:hint="eastAsia"/>
                <w:sz w:val="21"/>
                <w:szCs w:val="21"/>
                <w:shd w:val="clear" w:color="auto" w:fill="FFFFFF"/>
                <w:lang w:val="en-US" w:eastAsia="zh-CN"/>
              </w:rPr>
              <w:t>30</w:t>
            </w:r>
            <w:r>
              <w:rPr>
                <w:rFonts w:hint="eastAsia"/>
                <w:sz w:val="21"/>
                <w:szCs w:val="21"/>
                <w:shd w:val="clear" w:color="auto" w:fill="FFFFFF"/>
              </w:rPr>
              <w:t>分</w:t>
            </w:r>
          </w:p>
          <w:p w14:paraId="16EC9EAF">
            <w:pPr>
              <w:spacing w:line="240" w:lineRule="atLeast"/>
              <w:rPr>
                <w:rFonts w:ascii="宋体" w:hAnsi="宋体" w:cs="黑体"/>
                <w:b/>
              </w:rPr>
            </w:pPr>
            <w:r>
              <w:rPr>
                <w:rFonts w:hint="eastAsia" w:ascii="宋体" w:hAnsi="宋体" w:cs="宋体"/>
                <w:kern w:val="0"/>
                <w:shd w:val="clear" w:color="auto" w:fill="FFFFFF"/>
              </w:rPr>
              <w:t>评委集体评议分别打分，各评委打分的算术平均值，即为该单位最终得分。</w:t>
            </w:r>
          </w:p>
        </w:tc>
      </w:tr>
      <w:tr w14:paraId="7810B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 w:type="pct"/>
            <w:vAlign w:val="center"/>
          </w:tcPr>
          <w:p w14:paraId="37C36198">
            <w:pPr>
              <w:spacing w:line="240" w:lineRule="atLeast"/>
              <w:ind w:firstLine="28"/>
              <w:jc w:val="center"/>
              <w:rPr>
                <w:rFonts w:ascii="宋体" w:hAnsi="宋体" w:cs="黑体"/>
                <w:b/>
              </w:rPr>
            </w:pPr>
            <w:r>
              <w:rPr>
                <w:rFonts w:hint="eastAsia" w:ascii="宋体" w:hAnsi="宋体" w:cs="黑体"/>
                <w:b/>
              </w:rPr>
              <w:t>序号</w:t>
            </w:r>
          </w:p>
        </w:tc>
        <w:tc>
          <w:tcPr>
            <w:tcW w:w="416" w:type="pct"/>
            <w:vAlign w:val="center"/>
          </w:tcPr>
          <w:p w14:paraId="60FFD67C">
            <w:pPr>
              <w:spacing w:line="240" w:lineRule="atLeast"/>
              <w:ind w:firstLine="28"/>
              <w:jc w:val="center"/>
              <w:rPr>
                <w:rFonts w:ascii="宋体" w:hAnsi="宋体" w:cs="黑体"/>
                <w:b/>
              </w:rPr>
            </w:pPr>
            <w:r>
              <w:rPr>
                <w:rFonts w:hint="eastAsia" w:ascii="宋体" w:hAnsi="宋体" w:cs="黑体"/>
                <w:b/>
              </w:rPr>
              <w:t>评分权重</w:t>
            </w:r>
          </w:p>
        </w:tc>
        <w:tc>
          <w:tcPr>
            <w:tcW w:w="578" w:type="pct"/>
            <w:vAlign w:val="center"/>
          </w:tcPr>
          <w:p w14:paraId="01E4208E">
            <w:pPr>
              <w:spacing w:line="240" w:lineRule="atLeast"/>
              <w:ind w:firstLine="28"/>
              <w:jc w:val="center"/>
              <w:rPr>
                <w:rFonts w:ascii="宋体" w:hAnsi="宋体" w:cs="黑体"/>
                <w:b/>
              </w:rPr>
            </w:pPr>
            <w:r>
              <w:rPr>
                <w:rFonts w:hint="eastAsia" w:ascii="宋体" w:hAnsi="宋体" w:cs="黑体"/>
                <w:b/>
              </w:rPr>
              <w:t>评分因素</w:t>
            </w:r>
          </w:p>
          <w:p w14:paraId="765130CF">
            <w:pPr>
              <w:spacing w:line="240" w:lineRule="atLeast"/>
              <w:ind w:firstLine="28"/>
              <w:jc w:val="center"/>
              <w:rPr>
                <w:rFonts w:ascii="宋体" w:hAnsi="宋体" w:cs="黑体"/>
                <w:b/>
              </w:rPr>
            </w:pPr>
          </w:p>
        </w:tc>
        <w:tc>
          <w:tcPr>
            <w:tcW w:w="3690" w:type="pct"/>
            <w:vAlign w:val="center"/>
          </w:tcPr>
          <w:p w14:paraId="0654A64F">
            <w:pPr>
              <w:spacing w:line="240" w:lineRule="atLeast"/>
              <w:ind w:firstLine="28"/>
              <w:jc w:val="center"/>
              <w:rPr>
                <w:rFonts w:ascii="宋体" w:hAnsi="宋体" w:cs="黑体"/>
                <w:b/>
              </w:rPr>
            </w:pPr>
            <w:r>
              <w:rPr>
                <w:rFonts w:hint="eastAsia" w:ascii="宋体" w:hAnsi="宋体" w:cs="黑体"/>
                <w:b/>
              </w:rPr>
              <w:t>评分标准</w:t>
            </w:r>
          </w:p>
        </w:tc>
      </w:tr>
      <w:tr w14:paraId="0D1CE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 w:type="pct"/>
            <w:vAlign w:val="center"/>
          </w:tcPr>
          <w:p w14:paraId="41D07728">
            <w:pPr>
              <w:spacing w:line="240" w:lineRule="atLeast"/>
              <w:ind w:firstLine="28"/>
              <w:jc w:val="center"/>
              <w:rPr>
                <w:rFonts w:ascii="宋体" w:hAnsi="宋体" w:cs="黑体"/>
              </w:rPr>
            </w:pPr>
            <w:r>
              <w:rPr>
                <w:rFonts w:hint="eastAsia" w:ascii="宋体" w:hAnsi="宋体" w:cs="黑体"/>
              </w:rPr>
              <w:t>1</w:t>
            </w:r>
          </w:p>
        </w:tc>
        <w:tc>
          <w:tcPr>
            <w:tcW w:w="416" w:type="pct"/>
            <w:vAlign w:val="center"/>
          </w:tcPr>
          <w:p w14:paraId="5CFBA46F">
            <w:pPr>
              <w:pStyle w:val="88"/>
              <w:jc w:val="left"/>
            </w:pPr>
            <w:r>
              <w:rPr>
                <w:rFonts w:hint="eastAsia"/>
              </w:rPr>
              <w:t>投标报价</w:t>
            </w:r>
          </w:p>
          <w:p w14:paraId="4C7A9CD8">
            <w:pPr>
              <w:pStyle w:val="88"/>
            </w:pPr>
            <w:r>
              <w:rPr>
                <w:rFonts w:hint="eastAsia"/>
              </w:rPr>
              <w:t>（30）</w:t>
            </w:r>
          </w:p>
        </w:tc>
        <w:tc>
          <w:tcPr>
            <w:tcW w:w="578" w:type="pct"/>
            <w:vAlign w:val="center"/>
          </w:tcPr>
          <w:p w14:paraId="28AB25B1">
            <w:pPr>
              <w:spacing w:line="240" w:lineRule="atLeast"/>
              <w:ind w:firstLine="28"/>
              <w:jc w:val="center"/>
              <w:rPr>
                <w:rFonts w:ascii="宋体" w:hAnsi="宋体" w:cs="黑体"/>
              </w:rPr>
            </w:pPr>
            <w:r>
              <w:rPr>
                <w:rFonts w:hint="eastAsia" w:ascii="宋体" w:hAnsi="宋体" w:cs="黑体"/>
              </w:rPr>
              <w:t>投标价</w:t>
            </w:r>
          </w:p>
          <w:p w14:paraId="71450439">
            <w:pPr>
              <w:spacing w:line="240" w:lineRule="atLeast"/>
              <w:rPr>
                <w:rFonts w:ascii="宋体" w:hAnsi="宋体" w:cs="黑体"/>
              </w:rPr>
            </w:pPr>
            <w:r>
              <w:rPr>
                <w:rFonts w:hint="eastAsia" w:ascii="宋体" w:hAnsi="宋体" w:cs="黑体"/>
              </w:rPr>
              <w:t>评分标准</w:t>
            </w:r>
          </w:p>
          <w:p w14:paraId="1BD81012">
            <w:pPr>
              <w:spacing w:line="240" w:lineRule="atLeast"/>
              <w:ind w:firstLine="28"/>
              <w:jc w:val="center"/>
              <w:rPr>
                <w:rFonts w:ascii="宋体" w:hAnsi="宋体" w:cs="黑体"/>
                <w:b/>
              </w:rPr>
            </w:pPr>
            <w:r>
              <w:rPr>
                <w:rFonts w:hint="eastAsia" w:ascii="宋体" w:hAnsi="宋体" w:cs="黑体"/>
              </w:rPr>
              <w:t>（30分）</w:t>
            </w:r>
          </w:p>
        </w:tc>
        <w:tc>
          <w:tcPr>
            <w:tcW w:w="3690" w:type="pct"/>
            <w:vAlign w:val="center"/>
          </w:tcPr>
          <w:p w14:paraId="1BD4F161">
            <w:pPr>
              <w:spacing w:line="276" w:lineRule="auto"/>
              <w:jc w:val="left"/>
              <w:rPr>
                <w:rFonts w:ascii="宋体" w:hAnsi="宋体"/>
              </w:rPr>
            </w:pPr>
            <w:r>
              <w:rPr>
                <w:rFonts w:hint="eastAsia" w:ascii="宋体" w:hAnsi="宋体"/>
              </w:rPr>
              <w:t>投标报价计算方法如下：</w:t>
            </w:r>
          </w:p>
          <w:p w14:paraId="19840D21">
            <w:pPr>
              <w:spacing w:line="276" w:lineRule="auto"/>
              <w:jc w:val="left"/>
              <w:rPr>
                <w:rFonts w:ascii="宋体" w:hAnsi="宋体"/>
              </w:rPr>
            </w:pPr>
            <w:r>
              <w:rPr>
                <w:rFonts w:hint="eastAsia" w:ascii="宋体" w:hAnsi="宋体"/>
              </w:rPr>
              <w:t>满足招标文件要求且投标价格最低的有效投标报价为评标基准价，其价格分为满分。 其他投标人的价格分统一按照下列公式计算：</w:t>
            </w:r>
          </w:p>
          <w:p w14:paraId="685A179C">
            <w:pPr>
              <w:pStyle w:val="20"/>
              <w:shd w:val="clear" w:color="auto" w:fill="FFFFFF"/>
              <w:snapToGrid w:val="0"/>
              <w:spacing w:line="276" w:lineRule="auto"/>
              <w:rPr>
                <w:sz w:val="21"/>
                <w:szCs w:val="21"/>
                <w:shd w:val="clear" w:color="auto" w:fill="FFFFFF"/>
              </w:rPr>
            </w:pPr>
            <w:r>
              <w:rPr>
                <w:rFonts w:hint="eastAsia"/>
                <w:sz w:val="21"/>
                <w:szCs w:val="21"/>
                <w:shd w:val="clear" w:color="auto" w:fill="FFFFFF"/>
              </w:rPr>
              <w:t>投标报价得分＝(评标基准价／投标报价)×30</w:t>
            </w:r>
          </w:p>
          <w:p w14:paraId="3F5FEBDA">
            <w:pPr>
              <w:pStyle w:val="20"/>
              <w:shd w:val="clear" w:color="auto" w:fill="FFFFFF"/>
              <w:snapToGrid w:val="0"/>
              <w:spacing w:line="276" w:lineRule="auto"/>
              <w:rPr>
                <w:sz w:val="21"/>
                <w:szCs w:val="21"/>
                <w:shd w:val="clear" w:color="auto" w:fill="FFFFFF"/>
              </w:rPr>
            </w:pPr>
            <w:r>
              <w:rPr>
                <w:rFonts w:hint="eastAsia"/>
                <w:sz w:val="21"/>
                <w:szCs w:val="21"/>
                <w:shd w:val="clear" w:color="auto" w:fill="FFFFFF"/>
              </w:rPr>
              <w:t>为了促进中小企业发展，根据《中华人民共和国政府采购法实施条例》第六条和《关于进一步加大政府采购支持中小企业力度的通知》（财库﹝2022﹞19 号）的规定，给予小型和微型企业产品（供应商为小微企业且提供的所有投标产品均为小微企业生产产品）价格20%的扣除，用扣除后的价格参与评审，小微企业产品投标报价=小微企业产品报价*（1-20%）</w:t>
            </w:r>
          </w:p>
          <w:p w14:paraId="2AE8A086">
            <w:pPr>
              <w:pStyle w:val="20"/>
              <w:shd w:val="clear" w:color="auto" w:fill="FFFFFF"/>
              <w:snapToGrid w:val="0"/>
              <w:spacing w:line="276" w:lineRule="auto"/>
              <w:rPr>
                <w:sz w:val="21"/>
                <w:szCs w:val="21"/>
                <w:shd w:val="clear" w:color="auto" w:fill="FFFFFF"/>
              </w:rPr>
            </w:pPr>
            <w:r>
              <w:rPr>
                <w:rFonts w:hint="eastAsia"/>
                <w:sz w:val="21"/>
                <w:szCs w:val="21"/>
                <w:shd w:val="clear" w:color="auto" w:fill="FFFFFF"/>
              </w:rPr>
              <w:t>注：评标委员会认为供应商的报价明显低于其他通过符合性审查供应商的报价，有可能影响服务质量或者不能诚信履约的，应当要求其在评标现场合理的时间内提供说明，必要时提交相关证明材料；供应商不能证明或未在规定时间内提供其报价合理性的，评标委员会应当将其作为无效投标处理。各供应商的总报价均不得超出招标控制价。</w:t>
            </w:r>
          </w:p>
        </w:tc>
      </w:tr>
      <w:tr w14:paraId="13531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13" w:type="pct"/>
            <w:vMerge w:val="restart"/>
            <w:vAlign w:val="center"/>
          </w:tcPr>
          <w:p w14:paraId="7564F6AA">
            <w:pPr>
              <w:spacing w:line="240" w:lineRule="atLeast"/>
              <w:ind w:firstLine="28"/>
              <w:jc w:val="center"/>
              <w:rPr>
                <w:rFonts w:ascii="宋体" w:hAnsi="宋体" w:cs="黑体"/>
              </w:rPr>
            </w:pPr>
            <w:r>
              <w:rPr>
                <w:rFonts w:hint="eastAsia" w:ascii="宋体" w:hAnsi="宋体" w:cs="黑体"/>
              </w:rPr>
              <w:t>2</w:t>
            </w:r>
          </w:p>
        </w:tc>
        <w:tc>
          <w:tcPr>
            <w:tcW w:w="416" w:type="pct"/>
            <w:vMerge w:val="restart"/>
            <w:vAlign w:val="center"/>
          </w:tcPr>
          <w:p w14:paraId="15B79B1F">
            <w:pPr>
              <w:pStyle w:val="88"/>
            </w:pPr>
            <w:r>
              <w:rPr>
                <w:rFonts w:hint="eastAsia"/>
              </w:rPr>
              <w:t>技术部分（</w:t>
            </w:r>
            <w:r>
              <w:rPr>
                <w:rFonts w:hint="eastAsia"/>
                <w:lang w:val="en-US" w:eastAsia="zh-CN"/>
              </w:rPr>
              <w:t>40</w:t>
            </w:r>
            <w:r>
              <w:rPr>
                <w:rFonts w:hint="eastAsia"/>
              </w:rPr>
              <w:t>）</w:t>
            </w:r>
          </w:p>
        </w:tc>
        <w:tc>
          <w:tcPr>
            <w:tcW w:w="578" w:type="pct"/>
            <w:vAlign w:val="center"/>
          </w:tcPr>
          <w:p w14:paraId="10F98B06">
            <w:pPr>
              <w:pStyle w:val="23"/>
              <w:ind w:left="0" w:firstLine="0" w:firstLineChars="0"/>
              <w:rPr>
                <w:rFonts w:ascii="宋体" w:hAnsi="宋体" w:cs="宋体"/>
                <w:sz w:val="21"/>
                <w:szCs w:val="21"/>
                <w:shd w:val="clear" w:color="auto" w:fill="FFFFFF"/>
              </w:rPr>
            </w:pPr>
            <w:r>
              <w:rPr>
                <w:rFonts w:hint="eastAsia" w:ascii="宋体" w:hAnsi="宋体" w:cs="宋体"/>
                <w:sz w:val="21"/>
                <w:szCs w:val="21"/>
                <w:shd w:val="clear" w:color="auto" w:fill="FFFFFF"/>
              </w:rPr>
              <w:t>所投产品技术参数（2</w:t>
            </w:r>
            <w:r>
              <w:rPr>
                <w:rFonts w:hint="eastAsia" w:ascii="宋体" w:hAnsi="宋体" w:cs="宋体"/>
                <w:sz w:val="21"/>
                <w:szCs w:val="21"/>
                <w:shd w:val="clear" w:color="auto" w:fill="FFFFFF"/>
                <w:lang w:val="en-US" w:eastAsia="zh-CN"/>
              </w:rPr>
              <w:t>5</w:t>
            </w:r>
            <w:r>
              <w:rPr>
                <w:rFonts w:hint="eastAsia" w:ascii="宋体" w:hAnsi="宋体" w:cs="宋体"/>
                <w:sz w:val="21"/>
                <w:szCs w:val="21"/>
                <w:shd w:val="clear" w:color="auto" w:fill="FFFFFF"/>
              </w:rPr>
              <w:t>分）</w:t>
            </w:r>
          </w:p>
        </w:tc>
        <w:tc>
          <w:tcPr>
            <w:tcW w:w="3690" w:type="pct"/>
            <w:vAlign w:val="center"/>
          </w:tcPr>
          <w:p w14:paraId="0C8002C3">
            <w:pPr>
              <w:topLinePunct/>
              <w:spacing w:line="300" w:lineRule="exact"/>
              <w:jc w:val="left"/>
              <w:rPr>
                <w:rFonts w:ascii="宋体" w:hAnsi="宋体" w:cs="宋体"/>
              </w:rPr>
            </w:pPr>
            <w:r>
              <w:rPr>
                <w:rFonts w:hint="eastAsia" w:ascii="宋体" w:hAnsi="宋体" w:cs="宋体"/>
              </w:rPr>
              <w:t>所投产品参数全部满足招标文件要求的得2</w:t>
            </w:r>
            <w:r>
              <w:rPr>
                <w:rFonts w:hint="eastAsia" w:ascii="宋体" w:hAnsi="宋体" w:cs="宋体"/>
                <w:lang w:val="en-US" w:eastAsia="zh-CN"/>
              </w:rPr>
              <w:t>5</w:t>
            </w:r>
            <w:r>
              <w:rPr>
                <w:rFonts w:hint="eastAsia" w:ascii="宋体" w:hAnsi="宋体" w:cs="宋体"/>
              </w:rPr>
              <w:t>分；</w:t>
            </w:r>
          </w:p>
          <w:p w14:paraId="2DC1A4E8">
            <w:pPr>
              <w:pStyle w:val="22"/>
              <w:snapToGrid w:val="0"/>
              <w:ind w:firstLine="0" w:firstLineChars="0"/>
              <w:jc w:val="left"/>
              <w:rPr>
                <w:rFonts w:ascii="宋体" w:hAnsi="宋体" w:cs="宋体"/>
              </w:rPr>
            </w:pPr>
            <w:r>
              <w:rPr>
                <w:rFonts w:hint="eastAsia" w:ascii="宋体" w:hAnsi="宋体" w:cs="宋体"/>
              </w:rPr>
              <w:t>1.所投标产品技术参数及功能满足招标文件的得2</w:t>
            </w:r>
            <w:r>
              <w:rPr>
                <w:rFonts w:hint="eastAsia" w:ascii="宋体" w:hAnsi="宋体" w:cs="宋体"/>
                <w:lang w:val="en-US" w:eastAsia="zh-CN"/>
              </w:rPr>
              <w:t>5</w:t>
            </w:r>
            <w:r>
              <w:rPr>
                <w:rFonts w:hint="eastAsia" w:ascii="宋体" w:hAnsi="宋体" w:cs="宋体"/>
              </w:rPr>
              <w:t>分；招标文件每有一项不满足的扣1分；直至扣完为止。</w:t>
            </w:r>
          </w:p>
          <w:p w14:paraId="464193D2">
            <w:pPr>
              <w:spacing w:line="320" w:lineRule="exact"/>
              <w:jc w:val="left"/>
              <w:rPr>
                <w:rFonts w:ascii="宋体" w:hAnsi="宋体" w:cs="宋体"/>
              </w:rPr>
            </w:pPr>
            <w:r>
              <w:rPr>
                <w:rFonts w:hint="eastAsia" w:ascii="宋体" w:hAnsi="宋体" w:cs="宋体"/>
              </w:rPr>
              <w:t>备注：投标人必须如实填报技术参数偏离表，对于技术参数要求中需要提供相关证明材料证明的，必须提供相关证明材料佐证否则不予得分。</w:t>
            </w:r>
          </w:p>
        </w:tc>
      </w:tr>
      <w:tr w14:paraId="3195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313" w:type="pct"/>
            <w:vMerge w:val="continue"/>
            <w:vAlign w:val="center"/>
          </w:tcPr>
          <w:p w14:paraId="0F4739AD">
            <w:pPr>
              <w:spacing w:line="240" w:lineRule="atLeast"/>
              <w:ind w:firstLine="28"/>
              <w:jc w:val="center"/>
              <w:rPr>
                <w:rFonts w:ascii="宋体" w:hAnsi="宋体" w:cs="黑体"/>
              </w:rPr>
            </w:pPr>
          </w:p>
        </w:tc>
        <w:tc>
          <w:tcPr>
            <w:tcW w:w="416" w:type="pct"/>
            <w:vMerge w:val="continue"/>
            <w:vAlign w:val="center"/>
          </w:tcPr>
          <w:p w14:paraId="31BFF542">
            <w:pPr>
              <w:spacing w:line="240" w:lineRule="atLeast"/>
              <w:ind w:firstLine="28"/>
              <w:jc w:val="center"/>
              <w:rPr>
                <w:rFonts w:ascii="宋体" w:hAnsi="宋体" w:cs="黑体"/>
              </w:rPr>
            </w:pPr>
          </w:p>
        </w:tc>
        <w:tc>
          <w:tcPr>
            <w:tcW w:w="578" w:type="pct"/>
            <w:vAlign w:val="center"/>
          </w:tcPr>
          <w:p w14:paraId="7FE143C4">
            <w:pPr>
              <w:pStyle w:val="88"/>
            </w:pPr>
            <w:r>
              <w:rPr>
                <w:rFonts w:hint="eastAsia"/>
              </w:rPr>
              <w:t>实施方案</w:t>
            </w:r>
          </w:p>
          <w:p w14:paraId="13E39E12">
            <w:pPr>
              <w:pStyle w:val="88"/>
              <w:rPr>
                <w:rFonts w:ascii="宋体" w:hAnsi="宋体" w:cs="宋体"/>
                <w:lang w:bidi="zh-TW"/>
              </w:rPr>
            </w:pPr>
            <w:r>
              <w:rPr>
                <w:rFonts w:hint="eastAsia" w:ascii="宋体" w:hAnsi="宋体" w:cs="宋体"/>
              </w:rPr>
              <w:t>（15分）</w:t>
            </w:r>
          </w:p>
        </w:tc>
        <w:tc>
          <w:tcPr>
            <w:tcW w:w="3690" w:type="pct"/>
            <w:vAlign w:val="center"/>
          </w:tcPr>
          <w:p w14:paraId="2A0772EB">
            <w:pPr>
              <w:spacing w:line="320" w:lineRule="exact"/>
              <w:jc w:val="left"/>
              <w:rPr>
                <w:rFonts w:ascii="宋体" w:hAnsi="宋体" w:cs="宋体"/>
              </w:rPr>
            </w:pPr>
            <w:r>
              <w:rPr>
                <w:rFonts w:hint="eastAsia" w:ascii="宋体" w:hAnsi="宋体" w:cs="宋体"/>
              </w:rPr>
              <w:t>投标人项目实施方案的内容包括但不限于合理性、可行性、实施步骤、运输计划、质量保证措施、安装调试、配合验收等。</w:t>
            </w:r>
          </w:p>
          <w:p w14:paraId="7A8D7219">
            <w:pPr>
              <w:pStyle w:val="69"/>
              <w:numPr>
                <w:ilvl w:val="0"/>
                <w:numId w:val="2"/>
              </w:numPr>
              <w:rPr>
                <w:rFonts w:hint="eastAsia" w:hAnsi="宋体" w:cs="Times New Roman"/>
                <w:color w:val="auto"/>
                <w:szCs w:val="21"/>
                <w:highlight w:val="none"/>
                <w:lang w:val="en-US" w:eastAsia="zh-CN"/>
              </w:rPr>
            </w:pPr>
            <w:r>
              <w:rPr>
                <w:rFonts w:hint="eastAsia" w:ascii="宋体" w:hAnsi="宋体" w:eastAsia="宋体" w:cs="Times New Roman"/>
                <w:color w:val="auto"/>
                <w:szCs w:val="21"/>
                <w:highlight w:val="none"/>
              </w:rPr>
              <w:t>实施方案内容齐全，描述详细，针对性、可操作性强</w:t>
            </w:r>
            <w:r>
              <w:rPr>
                <w:rFonts w:hint="eastAsia" w:hAnsi="宋体" w:cs="Times New Roman"/>
                <w:color w:val="auto"/>
                <w:szCs w:val="21"/>
                <w:highlight w:val="none"/>
                <w:lang w:val="en-US" w:eastAsia="zh-CN"/>
              </w:rPr>
              <w:t>得15分；</w:t>
            </w:r>
          </w:p>
          <w:p w14:paraId="2741EF8D">
            <w:pPr>
              <w:pStyle w:val="69"/>
              <w:numPr>
                <w:ilvl w:val="0"/>
                <w:numId w:val="2"/>
              </w:numPr>
              <w:rPr>
                <w:rFonts w:hint="default" w:hAnsi="宋体" w:cs="Times New Roman"/>
                <w:color w:val="auto"/>
                <w:szCs w:val="21"/>
                <w:highlight w:val="none"/>
                <w:lang w:val="en-US" w:eastAsia="zh-CN"/>
              </w:rPr>
            </w:pPr>
            <w:r>
              <w:rPr>
                <w:rFonts w:hint="eastAsia" w:ascii="宋体" w:hAnsi="宋体" w:eastAsia="宋体" w:cs="Times New Roman"/>
                <w:color w:val="auto"/>
                <w:szCs w:val="21"/>
                <w:highlight w:val="none"/>
              </w:rPr>
              <w:t>实施方案内容齐全，描述较详细，针对性较强</w:t>
            </w:r>
            <w:r>
              <w:rPr>
                <w:rFonts w:hint="eastAsia" w:hAnsi="宋体" w:cs="Times New Roman"/>
                <w:color w:val="auto"/>
                <w:szCs w:val="21"/>
                <w:highlight w:val="none"/>
                <w:lang w:val="en-US" w:eastAsia="zh-CN"/>
              </w:rPr>
              <w:t>得9分；</w:t>
            </w:r>
          </w:p>
          <w:p w14:paraId="6BCA21A6">
            <w:pPr>
              <w:pStyle w:val="69"/>
              <w:numPr>
                <w:ilvl w:val="0"/>
                <w:numId w:val="2"/>
              </w:numPr>
              <w:rPr>
                <w:rFonts w:hint="default" w:hAnsi="宋体" w:cs="Times New Roman"/>
                <w:color w:val="auto"/>
                <w:szCs w:val="21"/>
                <w:highlight w:val="none"/>
                <w:lang w:val="en-US" w:eastAsia="zh-CN"/>
              </w:rPr>
            </w:pPr>
            <w:r>
              <w:rPr>
                <w:rFonts w:hint="eastAsia" w:ascii="宋体" w:hAnsi="宋体" w:eastAsia="宋体" w:cs="Times New Roman"/>
                <w:color w:val="auto"/>
                <w:szCs w:val="21"/>
                <w:highlight w:val="none"/>
              </w:rPr>
              <w:t>实施方案内容基本齐全，但描述简单，针对性不强</w:t>
            </w:r>
            <w:r>
              <w:rPr>
                <w:rFonts w:hint="eastAsia" w:hAnsi="宋体" w:cs="Times New Roman"/>
                <w:color w:val="auto"/>
                <w:szCs w:val="21"/>
                <w:highlight w:val="none"/>
                <w:lang w:val="en-US" w:eastAsia="zh-CN"/>
              </w:rPr>
              <w:t>得3分；</w:t>
            </w:r>
          </w:p>
          <w:p w14:paraId="438C89E7">
            <w:pPr>
              <w:pStyle w:val="69"/>
              <w:rPr>
                <w:rFonts w:ascii="宋体" w:hAnsi="宋体" w:cs="宋体"/>
              </w:rPr>
            </w:pPr>
            <w:r>
              <w:rPr>
                <w:rFonts w:hint="eastAsia" w:ascii="宋体" w:hAnsi="宋体" w:eastAsia="宋体" w:cs="Times New Roman"/>
                <w:color w:val="auto"/>
                <w:szCs w:val="21"/>
                <w:highlight w:val="none"/>
              </w:rPr>
              <w:t>未提供实施方案</w:t>
            </w:r>
            <w:r>
              <w:rPr>
                <w:rFonts w:hint="eastAsia" w:hAnsi="宋体" w:cs="Times New Roman"/>
                <w:color w:val="auto"/>
                <w:szCs w:val="21"/>
                <w:highlight w:val="none"/>
                <w:lang w:val="en-US" w:eastAsia="zh-CN"/>
              </w:rPr>
              <w:t>不得分。</w:t>
            </w:r>
            <w:r>
              <w:rPr>
                <w:rFonts w:hint="eastAsia" w:hAnsi="宋体" w:cs="Times New Roman"/>
                <w:color w:val="auto"/>
                <w:szCs w:val="21"/>
                <w:highlight w:val="none"/>
                <w:lang w:val="en-US" w:eastAsia="zh-CN"/>
              </w:rPr>
              <w:tab/>
            </w:r>
          </w:p>
        </w:tc>
      </w:tr>
      <w:tr w14:paraId="0212C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313" w:type="pct"/>
            <w:vMerge w:val="restart"/>
            <w:vAlign w:val="center"/>
          </w:tcPr>
          <w:p w14:paraId="17838742">
            <w:pPr>
              <w:spacing w:line="240" w:lineRule="atLeast"/>
              <w:ind w:firstLine="28"/>
              <w:jc w:val="center"/>
              <w:rPr>
                <w:rFonts w:ascii="宋体" w:hAnsi="宋体" w:cs="黑体"/>
              </w:rPr>
            </w:pPr>
            <w:r>
              <w:rPr>
                <w:rFonts w:hint="eastAsia" w:ascii="宋体" w:hAnsi="宋体" w:cs="黑体"/>
              </w:rPr>
              <w:t>3</w:t>
            </w:r>
          </w:p>
        </w:tc>
        <w:tc>
          <w:tcPr>
            <w:tcW w:w="416" w:type="pct"/>
            <w:vMerge w:val="restart"/>
            <w:vAlign w:val="center"/>
          </w:tcPr>
          <w:p w14:paraId="7E05B893">
            <w:pPr>
              <w:topLinePunct/>
              <w:spacing w:line="300" w:lineRule="exact"/>
              <w:jc w:val="left"/>
              <w:rPr>
                <w:rFonts w:ascii="宋体" w:hAnsi="宋体" w:cs="宋体"/>
              </w:rPr>
            </w:pPr>
            <w:r>
              <w:rPr>
                <w:rFonts w:hint="eastAsia" w:ascii="宋体" w:hAnsi="宋体" w:cs="宋体"/>
              </w:rPr>
              <w:t>商务部分</w:t>
            </w:r>
          </w:p>
          <w:p w14:paraId="6974CA05">
            <w:pPr>
              <w:pStyle w:val="22"/>
              <w:topLinePunct/>
              <w:spacing w:line="300" w:lineRule="exact"/>
              <w:ind w:firstLine="0" w:firstLineChars="0"/>
              <w:jc w:val="left"/>
              <w:rPr>
                <w:rFonts w:ascii="宋体" w:hAnsi="宋体" w:cs="宋体"/>
              </w:rPr>
            </w:pPr>
            <w:r>
              <w:rPr>
                <w:rFonts w:hint="eastAsia" w:ascii="宋体" w:hAnsi="宋体" w:cs="宋体"/>
              </w:rPr>
              <w:t>（3</w:t>
            </w:r>
            <w:r>
              <w:rPr>
                <w:rFonts w:hint="eastAsia" w:ascii="宋体" w:hAnsi="宋体" w:cs="宋体"/>
                <w:lang w:val="en-US" w:eastAsia="zh-CN"/>
              </w:rPr>
              <w:t>0</w:t>
            </w:r>
            <w:r>
              <w:rPr>
                <w:rFonts w:hint="eastAsia" w:ascii="宋体" w:hAnsi="宋体" w:cs="宋体"/>
              </w:rPr>
              <w:t>）</w:t>
            </w:r>
          </w:p>
        </w:tc>
        <w:tc>
          <w:tcPr>
            <w:tcW w:w="578" w:type="pct"/>
            <w:vMerge w:val="restart"/>
            <w:vAlign w:val="center"/>
          </w:tcPr>
          <w:p w14:paraId="54400566">
            <w:pPr>
              <w:topLinePunct/>
              <w:spacing w:line="300" w:lineRule="exact"/>
              <w:jc w:val="center"/>
              <w:rPr>
                <w:rFonts w:ascii="宋体" w:hAnsi="宋体" w:cs="宋体"/>
              </w:rPr>
            </w:pPr>
            <w:r>
              <w:rPr>
                <w:rFonts w:hint="eastAsia" w:ascii="宋体" w:hAnsi="宋体" w:cs="宋体"/>
                <w:kern w:val="0"/>
              </w:rPr>
              <w:t>产品信誉及保证（1</w:t>
            </w:r>
            <w:r>
              <w:rPr>
                <w:rFonts w:hint="eastAsia" w:ascii="宋体" w:hAnsi="宋体" w:cs="宋体"/>
                <w:kern w:val="0"/>
                <w:lang w:val="en-US" w:eastAsia="zh-CN"/>
              </w:rPr>
              <w:t>0</w:t>
            </w:r>
            <w:r>
              <w:rPr>
                <w:rFonts w:hint="eastAsia" w:ascii="宋体" w:hAnsi="宋体" w:cs="宋体"/>
                <w:kern w:val="0"/>
              </w:rPr>
              <w:t>分）</w:t>
            </w:r>
          </w:p>
          <w:p w14:paraId="5108566E">
            <w:pPr>
              <w:topLinePunct/>
              <w:spacing w:line="300" w:lineRule="exact"/>
              <w:jc w:val="center"/>
              <w:rPr>
                <w:rFonts w:ascii="宋体" w:hAnsi="宋体"/>
              </w:rPr>
            </w:pPr>
          </w:p>
        </w:tc>
        <w:tc>
          <w:tcPr>
            <w:tcW w:w="6772" w:type="dxa"/>
            <w:vAlign w:val="center"/>
          </w:tcPr>
          <w:p w14:paraId="5860D896">
            <w:pPr>
              <w:keepNext w:val="0"/>
              <w:keepLines w:val="0"/>
              <w:widowControl/>
              <w:suppressLineNumbers w:val="0"/>
              <w:spacing w:line="240" w:lineRule="auto"/>
              <w:jc w:val="left"/>
              <w:rPr>
                <w:rFonts w:ascii="宋体" w:hAnsi="宋体"/>
              </w:rPr>
            </w:pPr>
            <w:r>
              <w:rPr>
                <w:rFonts w:hint="eastAsia" w:ascii="宋体" w:hAnsi="宋体" w:eastAsia="宋体" w:cs="宋体"/>
                <w:color w:val="000000"/>
                <w:kern w:val="2"/>
                <w:sz w:val="21"/>
                <w:szCs w:val="21"/>
                <w:lang w:val="en-US" w:eastAsia="zh-CN" w:bidi="ar-SA"/>
              </w:rPr>
              <w:t>1、</w:t>
            </w:r>
            <w:r>
              <w:rPr>
                <w:rFonts w:hint="eastAsia" w:ascii="宋体" w:hAnsi="宋体" w:eastAsia="宋体" w:cs="宋体"/>
                <w:color w:val="000000"/>
                <w:kern w:val="2"/>
                <w:sz w:val="21"/>
                <w:szCs w:val="21"/>
                <w:lang w:val="en-US" w:eastAsia="zh-Hans" w:bidi="ar-SA"/>
              </w:rPr>
              <w:t>为保障师生用眼健康</w:t>
            </w:r>
            <w:r>
              <w:rPr>
                <w:rFonts w:hint="default" w:ascii="宋体" w:hAnsi="宋体" w:eastAsia="宋体" w:cs="宋体"/>
                <w:color w:val="000000"/>
                <w:kern w:val="2"/>
                <w:sz w:val="21"/>
                <w:szCs w:val="21"/>
                <w:lang w:eastAsia="zh-Hans" w:bidi="ar-SA"/>
              </w:rPr>
              <w:t>，</w:t>
            </w:r>
            <w:r>
              <w:rPr>
                <w:rFonts w:hint="eastAsia" w:ascii="宋体" w:hAnsi="宋体" w:eastAsia="宋体" w:cs="宋体"/>
                <w:color w:val="000000"/>
                <w:kern w:val="2"/>
                <w:sz w:val="21"/>
                <w:szCs w:val="21"/>
                <w:lang w:val="en-US" w:eastAsia="zh-Hans" w:bidi="ar-SA"/>
              </w:rPr>
              <w:t>所投产品厂商须通过</w:t>
            </w:r>
            <w:r>
              <w:rPr>
                <w:rFonts w:hint="default" w:ascii="宋体" w:hAnsi="宋体" w:eastAsia="宋体" w:cs="宋体"/>
                <w:color w:val="000000"/>
                <w:kern w:val="2"/>
                <w:sz w:val="21"/>
                <w:szCs w:val="21"/>
                <w:lang w:eastAsia="zh-Hans" w:bidi="ar-SA"/>
              </w:rPr>
              <w:t>TUV</w:t>
            </w:r>
            <w:r>
              <w:rPr>
                <w:rFonts w:hint="eastAsia" w:ascii="宋体" w:hAnsi="宋体" w:eastAsia="宋体" w:cs="宋体"/>
                <w:color w:val="000000"/>
                <w:kern w:val="2"/>
                <w:sz w:val="21"/>
                <w:szCs w:val="21"/>
                <w:lang w:val="en-US" w:eastAsia="zh-Hans" w:bidi="ar-SA"/>
              </w:rPr>
              <w:t>莱茵认证</w:t>
            </w:r>
            <w:r>
              <w:rPr>
                <w:rFonts w:hint="default" w:ascii="宋体" w:hAnsi="宋体" w:eastAsia="宋体" w:cs="宋体"/>
                <w:color w:val="000000"/>
                <w:kern w:val="2"/>
                <w:sz w:val="21"/>
                <w:szCs w:val="21"/>
                <w:lang w:eastAsia="zh-Hans" w:bidi="ar-SA"/>
              </w:rPr>
              <w:t>，</w:t>
            </w:r>
            <w:r>
              <w:rPr>
                <w:rFonts w:hint="eastAsia" w:ascii="宋体" w:hAnsi="宋体" w:eastAsia="宋体" w:cs="宋体"/>
                <w:color w:val="000000"/>
                <w:kern w:val="2"/>
                <w:sz w:val="21"/>
                <w:szCs w:val="21"/>
                <w:lang w:val="en-US" w:eastAsia="zh-Hans" w:bidi="ar-SA"/>
              </w:rPr>
              <w:t>可实现硬件级低蓝光</w:t>
            </w:r>
            <w:r>
              <w:rPr>
                <w:rFonts w:hint="default" w:ascii="宋体" w:hAnsi="宋体" w:eastAsia="宋体" w:cs="宋体"/>
                <w:color w:val="000000"/>
                <w:kern w:val="2"/>
                <w:sz w:val="21"/>
                <w:szCs w:val="21"/>
                <w:lang w:eastAsia="zh-Hans" w:bidi="ar-SA"/>
              </w:rPr>
              <w:t>、</w:t>
            </w:r>
            <w:r>
              <w:rPr>
                <w:rFonts w:hint="eastAsia" w:ascii="宋体" w:hAnsi="宋体" w:eastAsia="宋体" w:cs="宋体"/>
                <w:color w:val="000000"/>
                <w:kern w:val="2"/>
                <w:sz w:val="21"/>
                <w:szCs w:val="21"/>
                <w:lang w:val="en-US" w:eastAsia="zh-Hans" w:bidi="ar-SA"/>
              </w:rPr>
              <w:t>无屏闪</w:t>
            </w:r>
            <w:r>
              <w:rPr>
                <w:rFonts w:hint="default" w:ascii="宋体" w:hAnsi="宋体" w:eastAsia="宋体" w:cs="宋体"/>
                <w:color w:val="000000"/>
                <w:kern w:val="2"/>
                <w:sz w:val="21"/>
                <w:szCs w:val="21"/>
                <w:lang w:eastAsia="zh-Hans" w:bidi="ar-SA"/>
              </w:rPr>
              <w:t>，</w:t>
            </w:r>
            <w:r>
              <w:rPr>
                <w:rFonts w:hint="eastAsia" w:ascii="宋体" w:hAnsi="宋体" w:eastAsia="宋体" w:cs="宋体"/>
                <w:color w:val="000000"/>
                <w:kern w:val="2"/>
                <w:sz w:val="21"/>
                <w:szCs w:val="21"/>
                <w:lang w:val="en-US" w:eastAsia="zh-Hans" w:bidi="ar-SA"/>
              </w:rPr>
              <w:t>人眼舒适度认证</w:t>
            </w:r>
            <w:r>
              <w:rPr>
                <w:rFonts w:hint="default" w:ascii="宋体" w:hAnsi="宋体" w:eastAsia="宋体" w:cs="宋体"/>
                <w:color w:val="000000"/>
                <w:kern w:val="2"/>
                <w:sz w:val="21"/>
                <w:szCs w:val="21"/>
                <w:lang w:eastAsia="zh-Hans" w:bidi="ar-SA"/>
              </w:rPr>
              <w:t>，</w:t>
            </w:r>
            <w:r>
              <w:rPr>
                <w:rFonts w:hint="eastAsia" w:ascii="宋体" w:hAnsi="宋体" w:eastAsia="宋体" w:cs="宋体"/>
                <w:color w:val="000000"/>
                <w:kern w:val="2"/>
                <w:sz w:val="21"/>
                <w:szCs w:val="21"/>
                <w:lang w:val="en-US" w:eastAsia="zh-CN" w:bidi="ar-SA"/>
              </w:rPr>
              <w:t>提供中国国家认证认可监督管理委员会认可检测机构出具的认证证书复印件并加盖生产厂家公章，得3分，不提供不得分。</w:t>
            </w:r>
          </w:p>
        </w:tc>
      </w:tr>
      <w:tr w14:paraId="5F861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313" w:type="pct"/>
            <w:vMerge w:val="continue"/>
            <w:vAlign w:val="center"/>
          </w:tcPr>
          <w:p w14:paraId="1ACE97B8">
            <w:pPr>
              <w:adjustRightInd w:val="0"/>
              <w:snapToGrid w:val="0"/>
              <w:spacing w:line="280" w:lineRule="exact"/>
              <w:jc w:val="left"/>
            </w:pPr>
          </w:p>
        </w:tc>
        <w:tc>
          <w:tcPr>
            <w:tcW w:w="416" w:type="pct"/>
            <w:vMerge w:val="continue"/>
            <w:vAlign w:val="center"/>
          </w:tcPr>
          <w:p w14:paraId="1901C3C1">
            <w:pPr>
              <w:adjustRightInd w:val="0"/>
              <w:snapToGrid w:val="0"/>
              <w:spacing w:line="280" w:lineRule="exact"/>
              <w:jc w:val="left"/>
            </w:pPr>
          </w:p>
        </w:tc>
        <w:tc>
          <w:tcPr>
            <w:tcW w:w="578" w:type="pct"/>
            <w:vMerge w:val="continue"/>
            <w:vAlign w:val="center"/>
          </w:tcPr>
          <w:p w14:paraId="2E13EB19">
            <w:pPr>
              <w:adjustRightInd w:val="0"/>
              <w:snapToGrid w:val="0"/>
              <w:spacing w:line="280" w:lineRule="exact"/>
              <w:jc w:val="left"/>
            </w:pPr>
          </w:p>
        </w:tc>
        <w:tc>
          <w:tcPr>
            <w:tcW w:w="6772" w:type="dxa"/>
            <w:vAlign w:val="center"/>
          </w:tcPr>
          <w:p w14:paraId="3F15F5C1">
            <w:pPr>
              <w:keepNext w:val="0"/>
              <w:keepLines w:val="0"/>
              <w:widowControl/>
              <w:suppressLineNumbers w:val="0"/>
              <w:spacing w:line="240" w:lineRule="auto"/>
              <w:jc w:val="left"/>
              <w:rPr>
                <w:rFonts w:ascii="宋体" w:hAnsi="宋体"/>
              </w:rPr>
            </w:pPr>
            <w:r>
              <w:rPr>
                <w:rFonts w:hint="eastAsia" w:ascii="宋体" w:hAnsi="宋体" w:eastAsia="宋体" w:cs="宋体"/>
                <w:color w:val="000000"/>
                <w:kern w:val="2"/>
                <w:sz w:val="21"/>
                <w:szCs w:val="21"/>
                <w:lang w:val="en-US" w:eastAsia="zh-CN" w:bidi="ar-SA"/>
              </w:rPr>
              <w:t>2、、所投</w:t>
            </w:r>
            <w:r>
              <w:rPr>
                <w:rFonts w:hint="eastAsia" w:ascii="宋体" w:hAnsi="宋体" w:eastAsia="宋体" w:cs="宋体"/>
                <w:color w:val="000000"/>
                <w:kern w:val="2"/>
                <w:sz w:val="21"/>
                <w:szCs w:val="21"/>
                <w:lang w:val="en-US" w:eastAsia="zh-Hans" w:bidi="ar-SA"/>
              </w:rPr>
              <w:t>产品厂</w:t>
            </w:r>
            <w:r>
              <w:rPr>
                <w:rFonts w:hint="eastAsia" w:ascii="宋体" w:hAnsi="宋体" w:eastAsia="宋体" w:cs="宋体"/>
                <w:color w:val="000000"/>
                <w:kern w:val="2"/>
                <w:sz w:val="21"/>
                <w:szCs w:val="21"/>
                <w:lang w:val="en-US" w:eastAsia="zh-CN" w:bidi="ar-SA"/>
              </w:rPr>
              <w:t>商通过云服务信息安全管理体系认证，提供认证证书复印件及官网查询截图，得4分，不提供不得分。</w:t>
            </w:r>
          </w:p>
        </w:tc>
      </w:tr>
      <w:tr w14:paraId="14B36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313" w:type="pct"/>
            <w:vMerge w:val="continue"/>
            <w:vAlign w:val="center"/>
          </w:tcPr>
          <w:p w14:paraId="479F0462">
            <w:pPr>
              <w:adjustRightInd w:val="0"/>
              <w:snapToGrid w:val="0"/>
              <w:spacing w:line="280" w:lineRule="exact"/>
              <w:jc w:val="left"/>
              <w:rPr>
                <w:rFonts w:ascii="宋体" w:hAnsi="宋体"/>
              </w:rPr>
            </w:pPr>
          </w:p>
        </w:tc>
        <w:tc>
          <w:tcPr>
            <w:tcW w:w="416" w:type="pct"/>
            <w:vMerge w:val="continue"/>
            <w:vAlign w:val="center"/>
          </w:tcPr>
          <w:p w14:paraId="7FD45BA1">
            <w:pPr>
              <w:adjustRightInd w:val="0"/>
              <w:snapToGrid w:val="0"/>
              <w:spacing w:line="280" w:lineRule="exact"/>
              <w:jc w:val="left"/>
              <w:rPr>
                <w:rFonts w:ascii="宋体" w:hAnsi="宋体"/>
              </w:rPr>
            </w:pPr>
          </w:p>
        </w:tc>
        <w:tc>
          <w:tcPr>
            <w:tcW w:w="578" w:type="pct"/>
            <w:vMerge w:val="continue"/>
            <w:vAlign w:val="center"/>
          </w:tcPr>
          <w:p w14:paraId="7AB7EDF3">
            <w:pPr>
              <w:adjustRightInd w:val="0"/>
              <w:snapToGrid w:val="0"/>
              <w:spacing w:line="280" w:lineRule="exact"/>
              <w:jc w:val="left"/>
              <w:rPr>
                <w:rFonts w:ascii="宋体" w:hAnsi="宋体"/>
              </w:rPr>
            </w:pPr>
          </w:p>
        </w:tc>
        <w:tc>
          <w:tcPr>
            <w:tcW w:w="6772" w:type="dxa"/>
            <w:vAlign w:val="center"/>
          </w:tcPr>
          <w:p w14:paraId="7B13AC4D">
            <w:pPr>
              <w:keepNext w:val="0"/>
              <w:keepLines w:val="0"/>
              <w:widowControl/>
              <w:suppressLineNumbers w:val="0"/>
              <w:spacing w:line="240" w:lineRule="auto"/>
              <w:jc w:val="left"/>
              <w:rPr>
                <w:rFonts w:ascii="宋体" w:hAnsi="宋体"/>
              </w:rPr>
            </w:pPr>
            <w:r>
              <w:rPr>
                <w:rFonts w:hint="eastAsia" w:ascii="宋体" w:hAnsi="宋体" w:eastAsia="宋体" w:cs="宋体"/>
                <w:color w:val="000000"/>
                <w:kern w:val="2"/>
                <w:sz w:val="21"/>
                <w:szCs w:val="21"/>
                <w:lang w:val="en-US" w:eastAsia="zh-CN" w:bidi="ar-SA"/>
              </w:rPr>
              <w:t>3、为提供良好稳定的软件使用体验，所投产品厂商需具有一定的软件能力成熟度，并通过SPCA评估5级及以上认证（提供中国国家认证认可监督管理委员会认可检测机构出具的认证证书复印件及中国国家认证认可监督管理委员会官网查询截图并加盖厂家公章得3分，未提供不得分）</w:t>
            </w:r>
          </w:p>
        </w:tc>
      </w:tr>
      <w:tr w14:paraId="10A85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313" w:type="pct"/>
            <w:vMerge w:val="continue"/>
            <w:vAlign w:val="center"/>
          </w:tcPr>
          <w:p w14:paraId="387AF1C9">
            <w:pPr>
              <w:spacing w:line="240" w:lineRule="atLeast"/>
              <w:ind w:firstLine="28"/>
              <w:jc w:val="center"/>
              <w:rPr>
                <w:rFonts w:ascii="宋体" w:hAnsi="宋体" w:cs="黑体"/>
              </w:rPr>
            </w:pPr>
          </w:p>
        </w:tc>
        <w:tc>
          <w:tcPr>
            <w:tcW w:w="416" w:type="pct"/>
            <w:vMerge w:val="continue"/>
            <w:vAlign w:val="center"/>
          </w:tcPr>
          <w:p w14:paraId="422746A1">
            <w:pPr>
              <w:spacing w:line="240" w:lineRule="atLeast"/>
              <w:ind w:firstLine="28"/>
              <w:jc w:val="center"/>
              <w:rPr>
                <w:rFonts w:ascii="宋体" w:hAnsi="宋体" w:cs="黑体"/>
              </w:rPr>
            </w:pPr>
          </w:p>
        </w:tc>
        <w:tc>
          <w:tcPr>
            <w:tcW w:w="578" w:type="pct"/>
            <w:vAlign w:val="center"/>
          </w:tcPr>
          <w:p w14:paraId="229A18F3">
            <w:pPr>
              <w:pStyle w:val="88"/>
            </w:pPr>
            <w:r>
              <w:rPr>
                <w:rFonts w:hint="eastAsia"/>
              </w:rPr>
              <w:t>售后服务</w:t>
            </w:r>
          </w:p>
          <w:p w14:paraId="39E76D51">
            <w:pPr>
              <w:pStyle w:val="85"/>
              <w:adjustRightInd w:val="0"/>
              <w:snapToGrid w:val="0"/>
              <w:spacing w:line="312" w:lineRule="auto"/>
              <w:ind w:right="105" w:rightChars="50" w:firstLine="0"/>
              <w:jc w:val="center"/>
              <w:rPr>
                <w:color w:val="000000"/>
                <w:sz w:val="21"/>
                <w:szCs w:val="21"/>
                <w:lang w:val="en-US" w:eastAsia="zh-CN"/>
              </w:rPr>
            </w:pPr>
            <w:r>
              <w:rPr>
                <w:rFonts w:hint="eastAsia"/>
                <w:sz w:val="21"/>
                <w:szCs w:val="21"/>
              </w:rPr>
              <w:t>（</w:t>
            </w:r>
            <w:r>
              <w:rPr>
                <w:rFonts w:hint="eastAsia"/>
                <w:sz w:val="21"/>
                <w:szCs w:val="21"/>
                <w:lang w:val="en-US" w:eastAsia="zh-CN"/>
              </w:rPr>
              <w:t>6</w:t>
            </w:r>
            <w:r>
              <w:rPr>
                <w:rFonts w:hint="eastAsia"/>
                <w:sz w:val="21"/>
                <w:szCs w:val="21"/>
              </w:rPr>
              <w:t>分）</w:t>
            </w:r>
          </w:p>
        </w:tc>
        <w:tc>
          <w:tcPr>
            <w:tcW w:w="3690" w:type="pct"/>
            <w:vAlign w:val="center"/>
          </w:tcPr>
          <w:p w14:paraId="6BB738FE">
            <w:pPr>
              <w:pStyle w:val="84"/>
              <w:ind w:firstLine="0" w:firstLineChars="0"/>
              <w:jc w:val="left"/>
              <w:rPr>
                <w:rFonts w:ascii="宋体" w:hAnsi="宋体" w:eastAsia="宋体" w:cs="宋体"/>
                <w:szCs w:val="21"/>
              </w:rPr>
            </w:pPr>
            <w:r>
              <w:rPr>
                <w:rFonts w:hint="eastAsia" w:ascii="宋体" w:hAnsi="宋体" w:eastAsia="宋体" w:cs="宋体"/>
                <w:szCs w:val="21"/>
              </w:rPr>
              <w:t>有详细完整的售后服务方案、稳定的售后服务队伍、服务响应时间、应急处理等。</w:t>
            </w:r>
          </w:p>
          <w:p w14:paraId="237DD7BC">
            <w:pPr>
              <w:pStyle w:val="69"/>
              <w:rPr>
                <w:sz w:val="21"/>
                <w:szCs w:val="21"/>
              </w:rPr>
            </w:pPr>
            <w:r>
              <w:rPr>
                <w:rFonts w:hint="eastAsia"/>
                <w:sz w:val="21"/>
                <w:szCs w:val="21"/>
              </w:rPr>
              <w:t>1、内容全面完善合理的得</w:t>
            </w:r>
            <w:r>
              <w:rPr>
                <w:rFonts w:hint="eastAsia"/>
                <w:sz w:val="21"/>
                <w:szCs w:val="21"/>
                <w:lang w:val="en-US" w:eastAsia="zh-CN"/>
              </w:rPr>
              <w:t>6</w:t>
            </w:r>
            <w:r>
              <w:rPr>
                <w:rFonts w:hint="eastAsia"/>
                <w:sz w:val="21"/>
                <w:szCs w:val="21"/>
              </w:rPr>
              <w:t>分；</w:t>
            </w:r>
          </w:p>
          <w:p w14:paraId="1BF384CE">
            <w:pPr>
              <w:pStyle w:val="69"/>
              <w:rPr>
                <w:kern w:val="2"/>
                <w:sz w:val="21"/>
                <w:szCs w:val="21"/>
              </w:rPr>
            </w:pPr>
            <w:r>
              <w:rPr>
                <w:rFonts w:hint="eastAsia"/>
                <w:kern w:val="2"/>
                <w:sz w:val="21"/>
                <w:szCs w:val="21"/>
              </w:rPr>
              <w:t>2、内容较好的得4分；</w:t>
            </w:r>
          </w:p>
          <w:p w14:paraId="5E55D6A3">
            <w:pPr>
              <w:pStyle w:val="69"/>
              <w:rPr>
                <w:sz w:val="21"/>
                <w:szCs w:val="21"/>
              </w:rPr>
            </w:pPr>
            <w:r>
              <w:rPr>
                <w:rFonts w:hint="eastAsia"/>
                <w:kern w:val="2"/>
                <w:sz w:val="21"/>
                <w:szCs w:val="21"/>
              </w:rPr>
              <w:t>3、内容一般的得</w:t>
            </w:r>
            <w:r>
              <w:rPr>
                <w:rFonts w:hint="eastAsia"/>
                <w:kern w:val="2"/>
                <w:sz w:val="21"/>
                <w:szCs w:val="21"/>
                <w:lang w:val="en-US" w:eastAsia="zh-CN"/>
              </w:rPr>
              <w:t>2</w:t>
            </w:r>
            <w:r>
              <w:rPr>
                <w:rFonts w:hint="eastAsia"/>
                <w:kern w:val="2"/>
                <w:sz w:val="21"/>
                <w:szCs w:val="21"/>
              </w:rPr>
              <w:t>分；</w:t>
            </w:r>
          </w:p>
          <w:p w14:paraId="39DF2074">
            <w:pPr>
              <w:pStyle w:val="84"/>
              <w:ind w:firstLine="0" w:firstLineChars="0"/>
              <w:jc w:val="left"/>
              <w:rPr>
                <w:rFonts w:ascii="宋体" w:hAnsi="宋体" w:eastAsia="宋体" w:cs="宋体"/>
                <w:szCs w:val="21"/>
              </w:rPr>
            </w:pPr>
            <w:r>
              <w:rPr>
                <w:rFonts w:hint="eastAsia"/>
                <w:szCs w:val="21"/>
              </w:rPr>
              <w:t>4、</w:t>
            </w:r>
            <w:r>
              <w:rPr>
                <w:rFonts w:ascii="宋体" w:hAnsi="宋体" w:eastAsia="宋体" w:cs="宋体"/>
                <w:szCs w:val="21"/>
              </w:rPr>
              <w:t>无内容不得分</w:t>
            </w:r>
            <w:r>
              <w:rPr>
                <w:rFonts w:hint="eastAsia" w:ascii="宋体" w:hAnsi="宋体" w:eastAsia="宋体" w:cs="宋体"/>
                <w:szCs w:val="21"/>
              </w:rPr>
              <w:t>。</w:t>
            </w:r>
          </w:p>
        </w:tc>
      </w:tr>
      <w:tr w14:paraId="3CE2B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13" w:type="pct"/>
            <w:vMerge w:val="continue"/>
            <w:vAlign w:val="center"/>
          </w:tcPr>
          <w:p w14:paraId="58EA5583">
            <w:pPr>
              <w:spacing w:line="240" w:lineRule="atLeast"/>
              <w:ind w:firstLine="28"/>
              <w:jc w:val="center"/>
              <w:rPr>
                <w:rFonts w:ascii="宋体" w:hAnsi="宋体" w:cs="黑体"/>
              </w:rPr>
            </w:pPr>
          </w:p>
        </w:tc>
        <w:tc>
          <w:tcPr>
            <w:tcW w:w="416" w:type="pct"/>
            <w:vMerge w:val="continue"/>
            <w:vAlign w:val="center"/>
          </w:tcPr>
          <w:p w14:paraId="42D8613F">
            <w:pPr>
              <w:spacing w:line="240" w:lineRule="atLeast"/>
              <w:ind w:firstLine="28"/>
              <w:jc w:val="center"/>
              <w:rPr>
                <w:rFonts w:ascii="宋体" w:hAnsi="宋体" w:cs="黑体"/>
              </w:rPr>
            </w:pPr>
          </w:p>
        </w:tc>
        <w:tc>
          <w:tcPr>
            <w:tcW w:w="578" w:type="pct"/>
            <w:vAlign w:val="center"/>
          </w:tcPr>
          <w:p w14:paraId="33D5C5A3">
            <w:pPr>
              <w:pStyle w:val="88"/>
            </w:pPr>
            <w:r>
              <w:rPr>
                <w:rFonts w:hint="eastAsia"/>
              </w:rPr>
              <w:t>质保期外服务承诺（</w:t>
            </w:r>
            <w:r>
              <w:rPr>
                <w:rFonts w:hint="eastAsia"/>
                <w:lang w:val="en-US" w:eastAsia="zh-CN"/>
              </w:rPr>
              <w:t>6</w:t>
            </w:r>
            <w:r>
              <w:rPr>
                <w:rFonts w:hint="eastAsia"/>
              </w:rPr>
              <w:t>分）</w:t>
            </w:r>
          </w:p>
        </w:tc>
        <w:tc>
          <w:tcPr>
            <w:tcW w:w="3690" w:type="pct"/>
            <w:vAlign w:val="center"/>
          </w:tcPr>
          <w:p w14:paraId="193B93C8">
            <w:pPr>
              <w:spacing w:line="320" w:lineRule="exact"/>
              <w:jc w:val="left"/>
              <w:rPr>
                <w:rFonts w:ascii="宋体" w:hAnsi="宋体" w:cs="宋体"/>
              </w:rPr>
            </w:pPr>
            <w:r>
              <w:rPr>
                <w:rFonts w:hint="eastAsia" w:ascii="宋体" w:hAnsi="宋体" w:cs="宋体"/>
              </w:rPr>
              <w:t>质保期外服务承诺（包括但不限于免费维保期的时间、售后服务期的延长时间、有偿服务价格等），</w:t>
            </w:r>
          </w:p>
          <w:p w14:paraId="4B94800A">
            <w:pPr>
              <w:pStyle w:val="69"/>
              <w:rPr>
                <w:sz w:val="21"/>
                <w:szCs w:val="21"/>
              </w:rPr>
            </w:pPr>
            <w:r>
              <w:rPr>
                <w:rFonts w:hint="eastAsia"/>
                <w:sz w:val="21"/>
                <w:szCs w:val="21"/>
              </w:rPr>
              <w:t>1、内容全面完善合理的得</w:t>
            </w:r>
            <w:r>
              <w:rPr>
                <w:rFonts w:hint="eastAsia"/>
                <w:sz w:val="21"/>
                <w:szCs w:val="21"/>
                <w:lang w:val="en-US" w:eastAsia="zh-CN"/>
              </w:rPr>
              <w:t>6</w:t>
            </w:r>
            <w:r>
              <w:rPr>
                <w:rFonts w:hint="eastAsia"/>
                <w:sz w:val="21"/>
                <w:szCs w:val="21"/>
              </w:rPr>
              <w:t>分；</w:t>
            </w:r>
          </w:p>
          <w:p w14:paraId="6917C1B5">
            <w:pPr>
              <w:pStyle w:val="69"/>
              <w:rPr>
                <w:kern w:val="2"/>
                <w:sz w:val="21"/>
                <w:szCs w:val="21"/>
              </w:rPr>
            </w:pPr>
            <w:r>
              <w:rPr>
                <w:rFonts w:hint="eastAsia"/>
                <w:kern w:val="2"/>
                <w:sz w:val="21"/>
                <w:szCs w:val="21"/>
              </w:rPr>
              <w:t>2、内容较好的得4分；</w:t>
            </w:r>
          </w:p>
          <w:p w14:paraId="27FFAD1D">
            <w:pPr>
              <w:pStyle w:val="69"/>
              <w:rPr>
                <w:kern w:val="2"/>
                <w:sz w:val="21"/>
                <w:szCs w:val="21"/>
              </w:rPr>
            </w:pPr>
            <w:r>
              <w:rPr>
                <w:rFonts w:hint="eastAsia"/>
                <w:kern w:val="2"/>
                <w:sz w:val="21"/>
                <w:szCs w:val="21"/>
              </w:rPr>
              <w:t>3、内容一般的得</w:t>
            </w:r>
            <w:r>
              <w:rPr>
                <w:rFonts w:hint="eastAsia"/>
                <w:kern w:val="2"/>
                <w:sz w:val="21"/>
                <w:szCs w:val="21"/>
                <w:lang w:val="en-US" w:eastAsia="zh-CN"/>
              </w:rPr>
              <w:t>2</w:t>
            </w:r>
            <w:r>
              <w:rPr>
                <w:rFonts w:hint="eastAsia"/>
                <w:kern w:val="2"/>
                <w:sz w:val="21"/>
                <w:szCs w:val="21"/>
              </w:rPr>
              <w:t>分；</w:t>
            </w:r>
          </w:p>
          <w:p w14:paraId="58071183">
            <w:pPr>
              <w:pStyle w:val="69"/>
              <w:rPr>
                <w:rFonts w:ascii="宋体" w:hAnsi="宋体" w:cs="宋体"/>
              </w:rPr>
            </w:pPr>
            <w:r>
              <w:rPr>
                <w:rFonts w:hint="eastAsia"/>
                <w:sz w:val="21"/>
                <w:szCs w:val="21"/>
              </w:rPr>
              <w:t>4、</w:t>
            </w:r>
            <w:r>
              <w:rPr>
                <w:sz w:val="21"/>
                <w:szCs w:val="21"/>
              </w:rPr>
              <w:t>无内容不得分</w:t>
            </w:r>
            <w:r>
              <w:rPr>
                <w:rFonts w:hint="eastAsia"/>
                <w:sz w:val="21"/>
                <w:szCs w:val="21"/>
              </w:rPr>
              <w:t>。</w:t>
            </w:r>
          </w:p>
        </w:tc>
      </w:tr>
      <w:tr w14:paraId="20B50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313" w:type="pct"/>
            <w:vMerge w:val="continue"/>
            <w:vAlign w:val="center"/>
          </w:tcPr>
          <w:p w14:paraId="55051AB0">
            <w:pPr>
              <w:spacing w:line="240" w:lineRule="atLeast"/>
              <w:ind w:firstLine="28"/>
              <w:jc w:val="center"/>
              <w:rPr>
                <w:rFonts w:ascii="宋体" w:hAnsi="宋体" w:cs="黑体"/>
              </w:rPr>
            </w:pPr>
          </w:p>
        </w:tc>
        <w:tc>
          <w:tcPr>
            <w:tcW w:w="416" w:type="pct"/>
            <w:vMerge w:val="continue"/>
            <w:vAlign w:val="center"/>
          </w:tcPr>
          <w:p w14:paraId="3F714B58">
            <w:pPr>
              <w:spacing w:line="240" w:lineRule="atLeast"/>
              <w:ind w:firstLine="28"/>
              <w:jc w:val="center"/>
              <w:rPr>
                <w:rFonts w:ascii="宋体" w:hAnsi="宋体" w:cs="黑体"/>
              </w:rPr>
            </w:pPr>
          </w:p>
        </w:tc>
        <w:tc>
          <w:tcPr>
            <w:tcW w:w="578" w:type="pct"/>
            <w:vAlign w:val="center"/>
          </w:tcPr>
          <w:p w14:paraId="3AB2A691">
            <w:pPr>
              <w:pStyle w:val="88"/>
            </w:pPr>
            <w:r>
              <w:rPr>
                <w:rFonts w:hint="eastAsia"/>
              </w:rPr>
              <w:t>培训方案</w:t>
            </w:r>
          </w:p>
          <w:p w14:paraId="5C219410">
            <w:pPr>
              <w:pStyle w:val="88"/>
            </w:pPr>
            <w:r>
              <w:rPr>
                <w:rFonts w:hint="eastAsia"/>
              </w:rPr>
              <w:t>（</w:t>
            </w:r>
            <w:r>
              <w:rPr>
                <w:rFonts w:hint="eastAsia"/>
                <w:lang w:val="en-US" w:eastAsia="zh-CN"/>
              </w:rPr>
              <w:t>6</w:t>
            </w:r>
            <w:r>
              <w:rPr>
                <w:rFonts w:hint="eastAsia"/>
              </w:rPr>
              <w:t>分）</w:t>
            </w:r>
          </w:p>
        </w:tc>
        <w:tc>
          <w:tcPr>
            <w:tcW w:w="3690" w:type="pct"/>
            <w:vAlign w:val="center"/>
          </w:tcPr>
          <w:p w14:paraId="2CC7323B">
            <w:pPr>
              <w:spacing w:line="400" w:lineRule="exact"/>
              <w:jc w:val="left"/>
              <w:rPr>
                <w:rFonts w:ascii="宋体" w:hAnsi="宋体" w:cs="宋体"/>
              </w:rPr>
            </w:pPr>
            <w:r>
              <w:rPr>
                <w:rFonts w:hint="eastAsia" w:ascii="宋体" w:hAnsi="宋体" w:cs="宋体"/>
              </w:rPr>
              <w:t>1、培训方案内容全面、合理、可行性强、针对性强得</w:t>
            </w:r>
            <w:r>
              <w:rPr>
                <w:rFonts w:hint="eastAsia" w:ascii="宋体" w:hAnsi="宋体" w:cs="宋体"/>
                <w:lang w:val="en-US" w:eastAsia="zh-CN"/>
              </w:rPr>
              <w:t>6</w:t>
            </w:r>
            <w:r>
              <w:rPr>
                <w:rFonts w:hint="eastAsia" w:ascii="宋体" w:hAnsi="宋体" w:cs="宋体"/>
              </w:rPr>
              <w:t>分；</w:t>
            </w:r>
          </w:p>
          <w:p w14:paraId="27D260BA">
            <w:pPr>
              <w:spacing w:line="400" w:lineRule="exact"/>
              <w:jc w:val="left"/>
              <w:rPr>
                <w:rFonts w:ascii="宋体" w:hAnsi="宋体" w:cs="宋体"/>
              </w:rPr>
            </w:pPr>
            <w:r>
              <w:rPr>
                <w:rFonts w:hint="eastAsia" w:ascii="宋体" w:hAnsi="宋体" w:cs="宋体"/>
              </w:rPr>
              <w:t>2、培训方案内容较全面、较合理、可行性较强、针对性较强得</w:t>
            </w:r>
            <w:r>
              <w:rPr>
                <w:rFonts w:hint="eastAsia" w:ascii="宋体" w:hAnsi="宋体" w:cs="宋体"/>
                <w:lang w:val="en-US" w:eastAsia="zh-CN"/>
              </w:rPr>
              <w:t>4</w:t>
            </w:r>
            <w:r>
              <w:rPr>
                <w:rFonts w:hint="eastAsia" w:ascii="宋体" w:hAnsi="宋体" w:cs="宋体"/>
              </w:rPr>
              <w:t>分；</w:t>
            </w:r>
          </w:p>
          <w:p w14:paraId="18557F1A">
            <w:pPr>
              <w:pStyle w:val="23"/>
              <w:ind w:left="0" w:firstLine="0" w:firstLineChars="0"/>
              <w:rPr>
                <w:rFonts w:ascii="宋体" w:hAnsi="宋体" w:cs="宋体"/>
                <w:kern w:val="2"/>
                <w:sz w:val="21"/>
                <w:szCs w:val="21"/>
              </w:rPr>
            </w:pPr>
            <w:r>
              <w:rPr>
                <w:rFonts w:hint="eastAsia" w:ascii="宋体" w:hAnsi="宋体" w:cs="宋体"/>
                <w:kern w:val="2"/>
                <w:sz w:val="21"/>
                <w:szCs w:val="21"/>
              </w:rPr>
              <w:t>3、培训方案内容一般得</w:t>
            </w:r>
            <w:r>
              <w:rPr>
                <w:rFonts w:hint="eastAsia" w:ascii="宋体" w:hAnsi="宋体" w:cs="宋体"/>
                <w:kern w:val="2"/>
                <w:sz w:val="21"/>
                <w:szCs w:val="21"/>
                <w:lang w:val="en-US" w:eastAsia="zh-CN"/>
              </w:rPr>
              <w:t>2</w:t>
            </w:r>
            <w:r>
              <w:rPr>
                <w:rFonts w:hint="eastAsia" w:ascii="宋体" w:hAnsi="宋体" w:cs="宋体"/>
                <w:kern w:val="2"/>
                <w:sz w:val="21"/>
                <w:szCs w:val="21"/>
              </w:rPr>
              <w:t>分；</w:t>
            </w:r>
          </w:p>
          <w:p w14:paraId="5EF52F6D">
            <w:pPr>
              <w:spacing w:line="400" w:lineRule="exact"/>
              <w:jc w:val="left"/>
              <w:rPr>
                <w:rFonts w:ascii="宋体" w:hAnsi="宋体" w:cs="宋体"/>
              </w:rPr>
            </w:pPr>
            <w:r>
              <w:rPr>
                <w:rFonts w:hint="eastAsia" w:ascii="宋体" w:hAnsi="宋体" w:cs="宋体"/>
              </w:rPr>
              <w:t>4、无内容不得分。</w:t>
            </w:r>
          </w:p>
        </w:tc>
      </w:tr>
      <w:tr w14:paraId="52DE6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313" w:type="pct"/>
            <w:vMerge w:val="continue"/>
            <w:vAlign w:val="center"/>
          </w:tcPr>
          <w:p w14:paraId="224FCB63">
            <w:pPr>
              <w:spacing w:line="240" w:lineRule="atLeast"/>
              <w:ind w:firstLine="28"/>
              <w:jc w:val="center"/>
              <w:rPr>
                <w:rFonts w:ascii="宋体" w:hAnsi="宋体" w:cs="黑体"/>
              </w:rPr>
            </w:pPr>
          </w:p>
        </w:tc>
        <w:tc>
          <w:tcPr>
            <w:tcW w:w="416" w:type="pct"/>
            <w:vMerge w:val="continue"/>
            <w:vAlign w:val="center"/>
          </w:tcPr>
          <w:p w14:paraId="30C555EC">
            <w:pPr>
              <w:spacing w:line="240" w:lineRule="atLeast"/>
              <w:ind w:firstLine="28"/>
              <w:jc w:val="center"/>
              <w:rPr>
                <w:rFonts w:ascii="宋体" w:hAnsi="宋体" w:cs="黑体"/>
              </w:rPr>
            </w:pPr>
          </w:p>
        </w:tc>
        <w:tc>
          <w:tcPr>
            <w:tcW w:w="578" w:type="pct"/>
            <w:vAlign w:val="center"/>
          </w:tcPr>
          <w:p w14:paraId="086DCAB1">
            <w:pPr>
              <w:topLinePunct/>
              <w:spacing w:line="300" w:lineRule="exact"/>
              <w:jc w:val="center"/>
              <w:rPr>
                <w:rFonts w:ascii="宋体" w:hAnsi="宋体" w:cs="宋体"/>
              </w:rPr>
            </w:pPr>
            <w:r>
              <w:rPr>
                <w:rFonts w:hint="eastAsia" w:ascii="宋体" w:hAnsi="宋体" w:cs="宋体"/>
              </w:rPr>
              <w:t>同类业绩</w:t>
            </w:r>
          </w:p>
          <w:p w14:paraId="7D8276D3">
            <w:pPr>
              <w:topLinePunct/>
              <w:spacing w:line="300" w:lineRule="exact"/>
              <w:jc w:val="center"/>
              <w:rPr>
                <w:rFonts w:ascii="宋体" w:hAnsi="宋体" w:cs="宋体"/>
              </w:rPr>
            </w:pPr>
            <w:r>
              <w:rPr>
                <w:rFonts w:hint="eastAsia" w:ascii="宋体" w:hAnsi="宋体" w:cs="宋体"/>
              </w:rPr>
              <w:t>（</w:t>
            </w:r>
            <w:r>
              <w:rPr>
                <w:rFonts w:hint="eastAsia" w:ascii="宋体" w:hAnsi="宋体" w:cs="宋体"/>
                <w:lang w:val="en-US" w:eastAsia="zh-CN"/>
              </w:rPr>
              <w:t>2</w:t>
            </w:r>
            <w:r>
              <w:rPr>
                <w:rFonts w:hint="eastAsia" w:ascii="宋体" w:hAnsi="宋体" w:cs="宋体"/>
              </w:rPr>
              <w:t>分）</w:t>
            </w:r>
          </w:p>
        </w:tc>
        <w:tc>
          <w:tcPr>
            <w:tcW w:w="3690" w:type="pct"/>
            <w:vAlign w:val="center"/>
          </w:tcPr>
          <w:p w14:paraId="29ED688F">
            <w:pPr>
              <w:topLinePunct/>
              <w:spacing w:line="300" w:lineRule="exact"/>
              <w:jc w:val="left"/>
              <w:rPr>
                <w:rFonts w:ascii="宋体" w:hAnsi="宋体" w:cs="宋体"/>
              </w:rPr>
            </w:pPr>
            <w:r>
              <w:rPr>
                <w:rFonts w:hint="eastAsia" w:ascii="宋体" w:hAnsi="宋体" w:cs="宋体"/>
              </w:rPr>
              <w:t xml:space="preserve">供应商提供 2022 年 </w:t>
            </w:r>
            <w:r>
              <w:rPr>
                <w:rFonts w:hint="eastAsia" w:ascii="宋体" w:hAnsi="宋体" w:cs="宋体"/>
                <w:lang w:val="en-US" w:eastAsia="zh-CN"/>
              </w:rPr>
              <w:t>6</w:t>
            </w:r>
            <w:r>
              <w:rPr>
                <w:rFonts w:hint="eastAsia" w:ascii="宋体" w:hAnsi="宋体" w:cs="宋体"/>
              </w:rPr>
              <w:t>月 1 日以来已完成类似业绩，须提供中标通知书和合同（日期以合同签订日期为准）每提供 1 份得 1分，最多得</w:t>
            </w:r>
            <w:r>
              <w:rPr>
                <w:rFonts w:hint="eastAsia" w:ascii="宋体" w:hAnsi="宋体" w:cs="宋体"/>
                <w:lang w:val="en-US" w:eastAsia="zh-CN"/>
              </w:rPr>
              <w:t>2</w:t>
            </w:r>
            <w:r>
              <w:rPr>
                <w:rFonts w:hint="eastAsia" w:ascii="宋体" w:hAnsi="宋体" w:cs="宋体"/>
              </w:rPr>
              <w:t>分。</w:t>
            </w:r>
          </w:p>
        </w:tc>
      </w:tr>
    </w:tbl>
    <w:p w14:paraId="72CF02BB">
      <w:pPr>
        <w:pStyle w:val="23"/>
        <w:ind w:left="0" w:firstLine="0" w:firstLineChars="0"/>
        <w:jc w:val="center"/>
        <w:rPr>
          <w:rFonts w:hint="default" w:ascii="Times New Roman" w:eastAsia="宋体"/>
          <w:kern w:val="2"/>
          <w:sz w:val="21"/>
          <w:szCs w:val="21"/>
          <w:lang w:val="en-US" w:eastAsia="zh-CN"/>
        </w:rPr>
      </w:pPr>
      <w:r>
        <w:rPr>
          <w:rFonts w:hint="eastAsia" w:ascii="Times New Roman"/>
          <w:kern w:val="2"/>
          <w:sz w:val="21"/>
          <w:szCs w:val="21"/>
          <w:lang w:val="en-US" w:eastAsia="zh-CN"/>
        </w:rPr>
        <w:t xml:space="preserve">    </w:t>
      </w:r>
    </w:p>
    <w:p w14:paraId="0D4F1F06">
      <w:pPr>
        <w:spacing w:line="440" w:lineRule="exact"/>
        <w:jc w:val="left"/>
        <w:rPr>
          <w:rStyle w:val="55"/>
          <w:rFonts w:asciiTheme="minorEastAsia" w:hAnsiTheme="minorEastAsia" w:eastAsiaTheme="minorEastAsia"/>
          <w:b w:val="0"/>
          <w:bCs w:val="0"/>
          <w:color w:val="000000"/>
          <w:sz w:val="28"/>
          <w:szCs w:val="28"/>
        </w:rPr>
      </w:pPr>
      <w:bookmarkStart w:id="324" w:name="_Toc27552"/>
      <w:r>
        <w:rPr>
          <w:rStyle w:val="55"/>
          <w:rFonts w:hint="eastAsia" w:asciiTheme="minorEastAsia" w:hAnsiTheme="minorEastAsia" w:eastAsiaTheme="minorEastAsia"/>
          <w:color w:val="000000"/>
          <w:sz w:val="28"/>
          <w:szCs w:val="28"/>
        </w:rPr>
        <w:t>注：</w:t>
      </w:r>
      <w:bookmarkEnd w:id="324"/>
      <w:r>
        <w:rPr>
          <w:rStyle w:val="55"/>
          <w:rFonts w:hint="eastAsia" w:asciiTheme="minorEastAsia" w:hAnsiTheme="minorEastAsia" w:eastAsiaTheme="minorEastAsia"/>
          <w:b w:val="0"/>
          <w:bCs w:val="0"/>
          <w:color w:val="000000"/>
          <w:sz w:val="28"/>
          <w:szCs w:val="28"/>
        </w:rPr>
        <w:t xml:space="preserve"> </w:t>
      </w:r>
    </w:p>
    <w:p w14:paraId="4D1D4E78">
      <w:pPr>
        <w:spacing w:line="440" w:lineRule="exact"/>
        <w:ind w:firstLine="560" w:firstLineChars="200"/>
        <w:jc w:val="left"/>
        <w:rPr>
          <w:rStyle w:val="55"/>
          <w:rFonts w:asciiTheme="minorEastAsia" w:hAnsiTheme="minorEastAsia" w:eastAsiaTheme="minorEastAsia"/>
          <w:b w:val="0"/>
          <w:bCs w:val="0"/>
          <w:color w:val="000000"/>
          <w:sz w:val="28"/>
          <w:szCs w:val="28"/>
        </w:rPr>
      </w:pPr>
      <w:bookmarkStart w:id="325" w:name="_Toc12883"/>
      <w:bookmarkEnd w:id="325"/>
      <w:bookmarkStart w:id="326" w:name="_Toc9731"/>
      <w:bookmarkEnd w:id="326"/>
      <w:bookmarkStart w:id="327" w:name="_Toc28517"/>
      <w:bookmarkEnd w:id="327"/>
      <w:bookmarkStart w:id="328" w:name="_Toc11756"/>
      <w:bookmarkEnd w:id="328"/>
      <w:bookmarkStart w:id="329" w:name="_Toc3942"/>
      <w:bookmarkEnd w:id="329"/>
      <w:bookmarkStart w:id="330" w:name="_Toc31455"/>
      <w:bookmarkEnd w:id="330"/>
      <w:bookmarkStart w:id="331" w:name="_Toc11094"/>
      <w:bookmarkEnd w:id="331"/>
      <w:bookmarkStart w:id="332" w:name="_Toc21268"/>
      <w:bookmarkEnd w:id="332"/>
      <w:r>
        <w:rPr>
          <w:rStyle w:val="55"/>
          <w:rFonts w:hint="eastAsia" w:asciiTheme="minorEastAsia" w:hAnsiTheme="minorEastAsia" w:eastAsiaTheme="minorEastAsia"/>
          <w:b w:val="0"/>
          <w:bCs w:val="0"/>
          <w:color w:val="000000"/>
          <w:sz w:val="28"/>
          <w:szCs w:val="28"/>
        </w:rPr>
        <w:t>投标企业应对其所附的证件资料的真实性负责，如中标后发现其提供的材料为虚假材料，将其单位作废标处理，并交由相关部门进行处理；</w:t>
      </w:r>
    </w:p>
    <w:p w14:paraId="29B9F27C">
      <w:pPr>
        <w:spacing w:line="440" w:lineRule="exact"/>
        <w:ind w:firstLine="560" w:firstLineChars="200"/>
        <w:jc w:val="left"/>
        <w:rPr>
          <w:rStyle w:val="55"/>
          <w:rFonts w:asciiTheme="minorEastAsia" w:hAnsiTheme="minorEastAsia" w:eastAsiaTheme="minorEastAsia"/>
          <w:b w:val="0"/>
          <w:bCs w:val="0"/>
          <w:color w:val="000000"/>
          <w:sz w:val="28"/>
          <w:szCs w:val="28"/>
        </w:rPr>
      </w:pPr>
      <w:bookmarkStart w:id="333" w:name="_Toc3134"/>
      <w:bookmarkEnd w:id="333"/>
      <w:bookmarkStart w:id="334" w:name="_Toc4141"/>
      <w:bookmarkEnd w:id="334"/>
      <w:bookmarkStart w:id="335" w:name="_Toc14506"/>
      <w:bookmarkEnd w:id="335"/>
      <w:bookmarkStart w:id="336" w:name="_Toc11601"/>
      <w:bookmarkEnd w:id="336"/>
      <w:bookmarkStart w:id="337" w:name="_Toc16663"/>
      <w:bookmarkEnd w:id="337"/>
      <w:bookmarkStart w:id="338" w:name="_Toc9588"/>
      <w:bookmarkEnd w:id="338"/>
      <w:bookmarkStart w:id="339" w:name="_Toc13563"/>
      <w:bookmarkEnd w:id="339"/>
      <w:bookmarkStart w:id="340" w:name="_Toc26810"/>
      <w:bookmarkEnd w:id="340"/>
      <w:r>
        <w:rPr>
          <w:rStyle w:val="55"/>
          <w:rFonts w:hint="eastAsia" w:asciiTheme="minorEastAsia" w:hAnsiTheme="minorEastAsia" w:eastAsiaTheme="minorEastAsia"/>
          <w:b w:val="0"/>
          <w:bCs w:val="0"/>
          <w:color w:val="000000"/>
          <w:sz w:val="28"/>
          <w:szCs w:val="28"/>
        </w:rPr>
        <w:t>2、本办法计算过程中分值按四舍五入保留三位小数，结果按四舍五入保留两位小数；</w:t>
      </w:r>
    </w:p>
    <w:p w14:paraId="3055622C">
      <w:pPr>
        <w:spacing w:line="440" w:lineRule="exact"/>
        <w:ind w:firstLine="560" w:firstLineChars="200"/>
        <w:jc w:val="left"/>
        <w:rPr>
          <w:rStyle w:val="55"/>
          <w:rFonts w:asciiTheme="minorEastAsia" w:hAnsiTheme="minorEastAsia" w:eastAsiaTheme="minorEastAsia"/>
          <w:b w:val="0"/>
          <w:bCs w:val="0"/>
          <w:color w:val="000000"/>
          <w:sz w:val="28"/>
          <w:szCs w:val="28"/>
        </w:rPr>
      </w:pPr>
      <w:bookmarkStart w:id="341" w:name="_Toc15326"/>
      <w:bookmarkEnd w:id="341"/>
      <w:bookmarkStart w:id="342" w:name="_Toc4719"/>
      <w:bookmarkEnd w:id="342"/>
      <w:bookmarkStart w:id="343" w:name="_Toc3672"/>
      <w:bookmarkEnd w:id="343"/>
      <w:bookmarkStart w:id="344" w:name="_Toc17985"/>
      <w:bookmarkEnd w:id="344"/>
      <w:bookmarkStart w:id="345" w:name="_Toc30580"/>
      <w:bookmarkEnd w:id="345"/>
      <w:bookmarkStart w:id="346" w:name="_Toc5584"/>
      <w:bookmarkEnd w:id="346"/>
      <w:bookmarkStart w:id="347" w:name="_Toc15992"/>
      <w:bookmarkEnd w:id="347"/>
      <w:bookmarkStart w:id="348" w:name="_Toc19510"/>
      <w:bookmarkEnd w:id="348"/>
      <w:r>
        <w:rPr>
          <w:rStyle w:val="55"/>
          <w:rFonts w:hint="eastAsia" w:asciiTheme="minorEastAsia" w:hAnsiTheme="minorEastAsia" w:eastAsiaTheme="minorEastAsia"/>
          <w:b w:val="0"/>
          <w:bCs w:val="0"/>
          <w:color w:val="000000"/>
          <w:sz w:val="28"/>
          <w:szCs w:val="28"/>
        </w:rPr>
        <w:t>3、评委进行独立打分，每位评委打分=∑各项评审方面得分；</w:t>
      </w:r>
    </w:p>
    <w:p w14:paraId="13894BE8">
      <w:pPr>
        <w:spacing w:line="440" w:lineRule="exact"/>
        <w:ind w:firstLine="560" w:firstLineChars="200"/>
        <w:jc w:val="left"/>
        <w:rPr>
          <w:rStyle w:val="55"/>
          <w:rFonts w:asciiTheme="minorEastAsia" w:hAnsiTheme="minorEastAsia" w:eastAsiaTheme="minorEastAsia"/>
          <w:b w:val="0"/>
          <w:bCs w:val="0"/>
          <w:color w:val="000000"/>
          <w:sz w:val="28"/>
          <w:szCs w:val="28"/>
        </w:rPr>
      </w:pPr>
      <w:bookmarkStart w:id="349" w:name="_Toc9931"/>
      <w:bookmarkEnd w:id="349"/>
      <w:bookmarkStart w:id="350" w:name="_Toc30146"/>
      <w:bookmarkEnd w:id="350"/>
      <w:bookmarkStart w:id="351" w:name="_Toc19283"/>
      <w:bookmarkEnd w:id="351"/>
      <w:bookmarkStart w:id="352" w:name="_Toc27752"/>
      <w:bookmarkEnd w:id="352"/>
      <w:bookmarkStart w:id="353" w:name="_Toc26615"/>
      <w:bookmarkEnd w:id="353"/>
      <w:bookmarkStart w:id="354" w:name="_Toc15420"/>
      <w:bookmarkEnd w:id="354"/>
      <w:bookmarkStart w:id="355" w:name="_Toc5666"/>
      <w:bookmarkEnd w:id="355"/>
      <w:bookmarkStart w:id="356" w:name="_Toc3002"/>
      <w:bookmarkEnd w:id="356"/>
      <w:r>
        <w:rPr>
          <w:rStyle w:val="55"/>
          <w:rFonts w:hint="eastAsia" w:asciiTheme="minorEastAsia" w:hAnsiTheme="minorEastAsia" w:eastAsiaTheme="minorEastAsia"/>
          <w:b w:val="0"/>
          <w:bCs w:val="0"/>
          <w:color w:val="000000"/>
          <w:sz w:val="28"/>
          <w:szCs w:val="28"/>
        </w:rPr>
        <w:t>4、计算投标人平均得分时，该投标人平均得分=评委打分分数之和÷评委个数；</w:t>
      </w:r>
    </w:p>
    <w:p w14:paraId="11DDD44F">
      <w:pPr>
        <w:spacing w:line="440" w:lineRule="exact"/>
        <w:ind w:firstLine="560" w:firstLineChars="200"/>
        <w:jc w:val="left"/>
        <w:rPr>
          <w:rStyle w:val="55"/>
          <w:rFonts w:asciiTheme="minorEastAsia" w:hAnsiTheme="minorEastAsia" w:eastAsiaTheme="minorEastAsia"/>
          <w:b w:val="0"/>
          <w:bCs w:val="0"/>
          <w:color w:val="000000"/>
          <w:sz w:val="28"/>
          <w:szCs w:val="28"/>
        </w:rPr>
      </w:pPr>
      <w:bookmarkStart w:id="357" w:name="_Toc8845"/>
      <w:bookmarkEnd w:id="357"/>
      <w:bookmarkStart w:id="358" w:name="_Toc8980"/>
      <w:bookmarkEnd w:id="358"/>
      <w:bookmarkStart w:id="359" w:name="_Toc1177"/>
      <w:bookmarkEnd w:id="359"/>
      <w:bookmarkStart w:id="360" w:name="_Toc22735"/>
      <w:bookmarkEnd w:id="360"/>
      <w:bookmarkStart w:id="361" w:name="_Toc2210"/>
      <w:bookmarkEnd w:id="361"/>
      <w:bookmarkStart w:id="362" w:name="_Toc25315"/>
      <w:bookmarkEnd w:id="362"/>
      <w:bookmarkStart w:id="363" w:name="_Toc22535"/>
      <w:bookmarkEnd w:id="363"/>
      <w:bookmarkStart w:id="364" w:name="_Toc30332"/>
      <w:bookmarkEnd w:id="364"/>
      <w:r>
        <w:rPr>
          <w:rStyle w:val="55"/>
          <w:rFonts w:hint="eastAsia" w:asciiTheme="minorEastAsia" w:hAnsiTheme="minorEastAsia" w:eastAsiaTheme="minorEastAsia"/>
          <w:b w:val="0"/>
          <w:bCs w:val="0"/>
          <w:color w:val="000000"/>
          <w:sz w:val="28"/>
          <w:szCs w:val="28"/>
        </w:rPr>
        <w:t>5、在评标过程中，凡遇到招标文件中无界定或界定不清、前后不一致使评委成员意见有分歧且又难以协商一致的问题，均由评委会予以表决，获半数以上同意的即为通过，未获半数同意的即为否决。</w:t>
      </w:r>
    </w:p>
    <w:p w14:paraId="6877AA00">
      <w:pPr>
        <w:spacing w:line="440" w:lineRule="exact"/>
        <w:jc w:val="left"/>
        <w:rPr>
          <w:rStyle w:val="55"/>
          <w:rFonts w:asciiTheme="minorEastAsia" w:hAnsiTheme="minorEastAsia" w:eastAsiaTheme="minorEastAsia"/>
          <w:color w:val="000000"/>
          <w:sz w:val="28"/>
          <w:szCs w:val="28"/>
        </w:rPr>
      </w:pPr>
      <w:bookmarkStart w:id="365" w:name="_Toc25855"/>
      <w:bookmarkEnd w:id="365"/>
      <w:bookmarkStart w:id="366" w:name="_Toc5528"/>
      <w:bookmarkEnd w:id="366"/>
      <w:bookmarkStart w:id="367" w:name="_Toc398804333"/>
      <w:bookmarkEnd w:id="367"/>
      <w:bookmarkStart w:id="368" w:name="_Toc389585722"/>
      <w:bookmarkEnd w:id="368"/>
      <w:bookmarkStart w:id="369" w:name="_Toc26586"/>
      <w:bookmarkEnd w:id="369"/>
      <w:bookmarkStart w:id="370" w:name="_Toc27315"/>
      <w:bookmarkEnd w:id="370"/>
      <w:bookmarkStart w:id="371" w:name="_Toc1737"/>
      <w:bookmarkEnd w:id="371"/>
      <w:bookmarkStart w:id="372" w:name="_Toc23774"/>
      <w:bookmarkEnd w:id="372"/>
      <w:bookmarkStart w:id="373" w:name="_Toc4190"/>
      <w:bookmarkEnd w:id="373"/>
      <w:bookmarkStart w:id="374" w:name="_Toc13191"/>
      <w:bookmarkEnd w:id="374"/>
      <w:bookmarkStart w:id="375" w:name="_Toc22759"/>
      <w:r>
        <w:rPr>
          <w:rStyle w:val="55"/>
          <w:rFonts w:hint="eastAsia" w:asciiTheme="minorEastAsia" w:hAnsiTheme="minorEastAsia" w:eastAsiaTheme="minorEastAsia"/>
          <w:color w:val="000000"/>
          <w:sz w:val="28"/>
          <w:szCs w:val="28"/>
        </w:rPr>
        <w:t>三、评标程序</w:t>
      </w:r>
      <w:bookmarkEnd w:id="375"/>
    </w:p>
    <w:p w14:paraId="7837C3FE">
      <w:pPr>
        <w:spacing w:line="440" w:lineRule="exact"/>
        <w:jc w:val="left"/>
        <w:rPr>
          <w:rStyle w:val="55"/>
          <w:rFonts w:asciiTheme="minorEastAsia" w:hAnsiTheme="minorEastAsia" w:eastAsiaTheme="minorEastAsia"/>
          <w:color w:val="000000"/>
          <w:sz w:val="28"/>
          <w:szCs w:val="28"/>
        </w:rPr>
      </w:pPr>
      <w:bookmarkStart w:id="376" w:name="_Toc30275"/>
      <w:bookmarkEnd w:id="376"/>
      <w:bookmarkStart w:id="377" w:name="_Toc2205"/>
      <w:bookmarkEnd w:id="377"/>
      <w:bookmarkStart w:id="378" w:name="_Toc13302"/>
      <w:bookmarkEnd w:id="378"/>
      <w:bookmarkStart w:id="379" w:name="_Toc5570"/>
      <w:bookmarkEnd w:id="379"/>
      <w:bookmarkStart w:id="380" w:name="_Toc15071"/>
      <w:bookmarkEnd w:id="380"/>
      <w:bookmarkStart w:id="381" w:name="_Toc26056"/>
      <w:bookmarkEnd w:id="381"/>
      <w:bookmarkStart w:id="382" w:name="_Toc12215"/>
      <w:bookmarkEnd w:id="382"/>
      <w:bookmarkStart w:id="383" w:name="_Toc25528"/>
      <w:bookmarkEnd w:id="383"/>
      <w:bookmarkStart w:id="384" w:name="_Toc12218"/>
      <w:r>
        <w:rPr>
          <w:rStyle w:val="55"/>
          <w:rFonts w:hint="eastAsia" w:asciiTheme="minorEastAsia" w:hAnsiTheme="minorEastAsia" w:eastAsiaTheme="minorEastAsia"/>
          <w:color w:val="000000"/>
          <w:sz w:val="28"/>
          <w:szCs w:val="28"/>
        </w:rPr>
        <w:t>A. 初步评审</w:t>
      </w:r>
      <w:bookmarkEnd w:id="384"/>
    </w:p>
    <w:p w14:paraId="479F4E6D">
      <w:pPr>
        <w:spacing w:line="440" w:lineRule="exact"/>
        <w:ind w:firstLine="560" w:firstLineChars="200"/>
        <w:jc w:val="left"/>
        <w:rPr>
          <w:rStyle w:val="55"/>
          <w:rFonts w:asciiTheme="minorEastAsia" w:hAnsiTheme="minorEastAsia" w:eastAsiaTheme="minorEastAsia"/>
          <w:b w:val="0"/>
          <w:bCs w:val="0"/>
          <w:color w:val="000000"/>
          <w:sz w:val="28"/>
          <w:szCs w:val="28"/>
        </w:rPr>
      </w:pPr>
      <w:bookmarkStart w:id="385" w:name="_Toc19880"/>
      <w:bookmarkEnd w:id="385"/>
      <w:bookmarkStart w:id="386" w:name="_Toc15759"/>
      <w:bookmarkEnd w:id="386"/>
      <w:bookmarkStart w:id="387" w:name="_Toc18943"/>
      <w:bookmarkEnd w:id="387"/>
      <w:bookmarkStart w:id="388" w:name="_Toc19451"/>
      <w:bookmarkEnd w:id="388"/>
      <w:bookmarkStart w:id="389" w:name="_Toc25612"/>
      <w:bookmarkEnd w:id="389"/>
      <w:bookmarkStart w:id="390" w:name="_Toc12653"/>
      <w:bookmarkEnd w:id="390"/>
      <w:bookmarkStart w:id="391" w:name="_Toc23611"/>
      <w:bookmarkEnd w:id="391"/>
      <w:bookmarkStart w:id="392" w:name="_Toc10515"/>
      <w:bookmarkEnd w:id="392"/>
      <w:r>
        <w:rPr>
          <w:rStyle w:val="55"/>
          <w:rFonts w:hint="eastAsia" w:asciiTheme="minorEastAsia" w:hAnsiTheme="minorEastAsia" w:eastAsiaTheme="minorEastAsia"/>
          <w:b w:val="0"/>
          <w:bCs w:val="0"/>
          <w:color w:val="000000"/>
          <w:sz w:val="28"/>
          <w:szCs w:val="28"/>
        </w:rPr>
        <w:t>a. 评标委员会依据本章第一款规定的评审标准对投标文件进行初步评审。有一项不符合评审标准的，作否决其投标处理。</w:t>
      </w:r>
    </w:p>
    <w:p w14:paraId="52EE3ADD">
      <w:pPr>
        <w:spacing w:line="440" w:lineRule="exact"/>
        <w:ind w:firstLine="560" w:firstLineChars="200"/>
        <w:jc w:val="left"/>
        <w:rPr>
          <w:rStyle w:val="55"/>
          <w:rFonts w:asciiTheme="minorEastAsia" w:hAnsiTheme="minorEastAsia" w:eastAsiaTheme="minorEastAsia"/>
          <w:b w:val="0"/>
          <w:bCs w:val="0"/>
          <w:color w:val="000000"/>
          <w:sz w:val="28"/>
          <w:szCs w:val="28"/>
        </w:rPr>
      </w:pPr>
      <w:bookmarkStart w:id="393" w:name="_Toc21108"/>
      <w:bookmarkEnd w:id="393"/>
      <w:bookmarkStart w:id="394" w:name="_Toc31234"/>
      <w:bookmarkEnd w:id="394"/>
      <w:bookmarkStart w:id="395" w:name="_Toc32575"/>
      <w:bookmarkEnd w:id="395"/>
      <w:bookmarkStart w:id="396" w:name="_Toc25924"/>
      <w:bookmarkEnd w:id="396"/>
      <w:bookmarkStart w:id="397" w:name="_Toc30360"/>
      <w:bookmarkEnd w:id="397"/>
      <w:bookmarkStart w:id="398" w:name="_Toc521"/>
      <w:bookmarkEnd w:id="398"/>
      <w:bookmarkStart w:id="399" w:name="_Toc2583"/>
      <w:bookmarkEnd w:id="399"/>
      <w:bookmarkStart w:id="400" w:name="_Toc14612"/>
      <w:bookmarkEnd w:id="400"/>
      <w:r>
        <w:rPr>
          <w:rStyle w:val="55"/>
          <w:rFonts w:hint="eastAsia" w:asciiTheme="minorEastAsia" w:hAnsiTheme="minorEastAsia" w:eastAsiaTheme="minorEastAsia"/>
          <w:b w:val="0"/>
          <w:bCs w:val="0"/>
          <w:color w:val="000000"/>
          <w:sz w:val="28"/>
          <w:szCs w:val="28"/>
        </w:rPr>
        <w:t>b. 投标人有以下情形之一的，其投标作否决其投标处理：</w:t>
      </w:r>
    </w:p>
    <w:p w14:paraId="08E6E2E3">
      <w:pPr>
        <w:spacing w:line="440" w:lineRule="exact"/>
        <w:ind w:firstLine="560" w:firstLineChars="200"/>
        <w:jc w:val="left"/>
        <w:rPr>
          <w:rStyle w:val="55"/>
          <w:rFonts w:asciiTheme="minorEastAsia" w:hAnsiTheme="minorEastAsia" w:eastAsiaTheme="minorEastAsia"/>
          <w:b w:val="0"/>
          <w:bCs w:val="0"/>
          <w:color w:val="000000"/>
          <w:sz w:val="28"/>
          <w:szCs w:val="28"/>
        </w:rPr>
      </w:pPr>
      <w:bookmarkStart w:id="401" w:name="_Toc21112"/>
      <w:bookmarkEnd w:id="401"/>
      <w:bookmarkStart w:id="402" w:name="_Toc14665"/>
      <w:bookmarkEnd w:id="402"/>
      <w:bookmarkStart w:id="403" w:name="_Toc29087"/>
      <w:bookmarkEnd w:id="403"/>
      <w:bookmarkStart w:id="404" w:name="_Toc12345"/>
      <w:bookmarkEnd w:id="404"/>
      <w:bookmarkStart w:id="405" w:name="_Toc19469"/>
      <w:bookmarkEnd w:id="405"/>
      <w:bookmarkStart w:id="406" w:name="_Toc10828"/>
      <w:bookmarkEnd w:id="406"/>
      <w:bookmarkStart w:id="407" w:name="_Toc10341"/>
      <w:bookmarkEnd w:id="407"/>
      <w:bookmarkStart w:id="408" w:name="_Toc23789"/>
      <w:bookmarkEnd w:id="408"/>
      <w:r>
        <w:rPr>
          <w:rStyle w:val="55"/>
          <w:rFonts w:hint="eastAsia" w:asciiTheme="minorEastAsia" w:hAnsiTheme="minorEastAsia" w:eastAsiaTheme="minorEastAsia"/>
          <w:b w:val="0"/>
          <w:bCs w:val="0"/>
          <w:color w:val="000000"/>
          <w:sz w:val="28"/>
          <w:szCs w:val="28"/>
        </w:rPr>
        <w:t>（1）第二章“总则”第1.4.3项规定的任何一种情形的；</w:t>
      </w:r>
    </w:p>
    <w:p w14:paraId="403D5DBF">
      <w:pPr>
        <w:spacing w:line="440" w:lineRule="exact"/>
        <w:ind w:firstLine="560" w:firstLineChars="200"/>
        <w:jc w:val="left"/>
        <w:rPr>
          <w:rStyle w:val="55"/>
          <w:rFonts w:asciiTheme="minorEastAsia" w:hAnsiTheme="minorEastAsia" w:eastAsiaTheme="minorEastAsia"/>
          <w:b w:val="0"/>
          <w:bCs w:val="0"/>
          <w:color w:val="000000"/>
          <w:sz w:val="28"/>
          <w:szCs w:val="28"/>
        </w:rPr>
      </w:pPr>
      <w:bookmarkStart w:id="409" w:name="_Toc16233"/>
      <w:bookmarkEnd w:id="409"/>
      <w:bookmarkStart w:id="410" w:name="_Toc8861"/>
      <w:bookmarkEnd w:id="410"/>
      <w:bookmarkStart w:id="411" w:name="_Toc24478"/>
      <w:bookmarkEnd w:id="411"/>
      <w:bookmarkStart w:id="412" w:name="_Toc8501"/>
      <w:bookmarkEnd w:id="412"/>
      <w:bookmarkStart w:id="413" w:name="_Toc17633"/>
      <w:bookmarkEnd w:id="413"/>
      <w:bookmarkStart w:id="414" w:name="_Toc6263"/>
      <w:bookmarkEnd w:id="414"/>
      <w:bookmarkStart w:id="415" w:name="_Toc969"/>
      <w:bookmarkEnd w:id="415"/>
      <w:bookmarkStart w:id="416" w:name="_Toc29078"/>
      <w:bookmarkEnd w:id="416"/>
      <w:r>
        <w:rPr>
          <w:rStyle w:val="55"/>
          <w:rFonts w:hint="eastAsia" w:asciiTheme="minorEastAsia" w:hAnsiTheme="minorEastAsia" w:eastAsiaTheme="minorEastAsia"/>
          <w:b w:val="0"/>
          <w:bCs w:val="0"/>
          <w:color w:val="000000"/>
          <w:sz w:val="28"/>
          <w:szCs w:val="28"/>
        </w:rPr>
        <w:t>（2）串通投标或弄虚作假或有其他违法行为的；</w:t>
      </w:r>
    </w:p>
    <w:p w14:paraId="349DA2AE">
      <w:pPr>
        <w:spacing w:line="440" w:lineRule="exact"/>
        <w:ind w:firstLine="560" w:firstLineChars="200"/>
        <w:jc w:val="left"/>
        <w:rPr>
          <w:rStyle w:val="55"/>
          <w:rFonts w:asciiTheme="minorEastAsia" w:hAnsiTheme="minorEastAsia" w:eastAsiaTheme="minorEastAsia"/>
          <w:b w:val="0"/>
          <w:bCs w:val="0"/>
          <w:color w:val="000000"/>
          <w:sz w:val="28"/>
          <w:szCs w:val="28"/>
        </w:rPr>
      </w:pPr>
      <w:bookmarkStart w:id="417" w:name="_Toc1855"/>
      <w:bookmarkEnd w:id="417"/>
      <w:bookmarkStart w:id="418" w:name="_Toc3158"/>
      <w:bookmarkEnd w:id="418"/>
      <w:bookmarkStart w:id="419" w:name="_Toc5507"/>
      <w:bookmarkEnd w:id="419"/>
      <w:bookmarkStart w:id="420" w:name="_Toc29149"/>
      <w:bookmarkEnd w:id="420"/>
      <w:bookmarkStart w:id="421" w:name="_Toc23509"/>
      <w:bookmarkEnd w:id="421"/>
      <w:bookmarkStart w:id="422" w:name="_Toc25236"/>
      <w:bookmarkEnd w:id="422"/>
      <w:bookmarkStart w:id="423" w:name="_Toc25836"/>
      <w:bookmarkEnd w:id="423"/>
      <w:bookmarkStart w:id="424" w:name="_Toc29332"/>
      <w:bookmarkEnd w:id="424"/>
      <w:r>
        <w:rPr>
          <w:rStyle w:val="55"/>
          <w:rFonts w:hint="eastAsia" w:asciiTheme="minorEastAsia" w:hAnsiTheme="minorEastAsia" w:eastAsiaTheme="minorEastAsia"/>
          <w:b w:val="0"/>
          <w:bCs w:val="0"/>
          <w:color w:val="000000"/>
          <w:sz w:val="28"/>
          <w:szCs w:val="28"/>
        </w:rPr>
        <w:t>（3）不按评标委员会要求澄清、说明或补正的；</w:t>
      </w:r>
    </w:p>
    <w:p w14:paraId="14ACBF8A">
      <w:pPr>
        <w:spacing w:line="440" w:lineRule="exact"/>
        <w:ind w:firstLine="560" w:firstLineChars="200"/>
        <w:jc w:val="left"/>
        <w:rPr>
          <w:rStyle w:val="55"/>
          <w:rFonts w:asciiTheme="minorEastAsia" w:hAnsiTheme="minorEastAsia" w:eastAsiaTheme="minorEastAsia"/>
          <w:b w:val="0"/>
          <w:bCs w:val="0"/>
          <w:color w:val="000000"/>
          <w:sz w:val="28"/>
          <w:szCs w:val="28"/>
        </w:rPr>
      </w:pPr>
      <w:bookmarkStart w:id="425" w:name="_Toc22712"/>
      <w:bookmarkEnd w:id="425"/>
      <w:bookmarkStart w:id="426" w:name="_Toc11398"/>
      <w:bookmarkEnd w:id="426"/>
      <w:bookmarkStart w:id="427" w:name="_Toc24119"/>
      <w:bookmarkEnd w:id="427"/>
      <w:bookmarkStart w:id="428" w:name="_Toc9976"/>
      <w:bookmarkEnd w:id="428"/>
      <w:bookmarkStart w:id="429" w:name="_Toc29784"/>
      <w:bookmarkEnd w:id="429"/>
      <w:bookmarkStart w:id="430" w:name="_Toc12448"/>
      <w:bookmarkEnd w:id="430"/>
      <w:bookmarkStart w:id="431" w:name="_Toc14595"/>
      <w:bookmarkEnd w:id="431"/>
      <w:bookmarkStart w:id="432" w:name="_Toc14406"/>
      <w:bookmarkEnd w:id="432"/>
      <w:r>
        <w:rPr>
          <w:rStyle w:val="55"/>
          <w:rFonts w:hint="eastAsia" w:asciiTheme="minorEastAsia" w:hAnsiTheme="minorEastAsia" w:eastAsiaTheme="minorEastAsia"/>
          <w:b w:val="0"/>
          <w:bCs w:val="0"/>
          <w:color w:val="000000"/>
          <w:sz w:val="28"/>
          <w:szCs w:val="28"/>
        </w:rPr>
        <w:t>（4）投标报价超过招标控制价的；</w:t>
      </w:r>
    </w:p>
    <w:p w14:paraId="3DD29585">
      <w:pPr>
        <w:spacing w:line="440" w:lineRule="exact"/>
        <w:ind w:firstLine="560" w:firstLineChars="200"/>
        <w:jc w:val="left"/>
        <w:rPr>
          <w:rFonts w:cs="Arial" w:asciiTheme="minorEastAsia" w:hAnsiTheme="minorEastAsia" w:eastAsiaTheme="minorEastAsia"/>
          <w:color w:val="000000"/>
          <w:sz w:val="28"/>
          <w:szCs w:val="28"/>
        </w:rPr>
      </w:pPr>
      <w:bookmarkStart w:id="433" w:name="_Toc11116"/>
      <w:bookmarkEnd w:id="433"/>
      <w:bookmarkStart w:id="434" w:name="_Toc2727"/>
      <w:bookmarkEnd w:id="434"/>
      <w:bookmarkStart w:id="435" w:name="_Toc19805"/>
      <w:bookmarkEnd w:id="435"/>
      <w:bookmarkStart w:id="436" w:name="_Toc9824"/>
      <w:bookmarkEnd w:id="436"/>
      <w:bookmarkStart w:id="437" w:name="_Toc9727"/>
      <w:bookmarkEnd w:id="437"/>
      <w:bookmarkStart w:id="438" w:name="_Toc11909"/>
      <w:bookmarkEnd w:id="438"/>
      <w:bookmarkStart w:id="439" w:name="_Toc30164"/>
      <w:bookmarkEnd w:id="439"/>
      <w:bookmarkStart w:id="440" w:name="_Toc9792"/>
      <w:bookmarkEnd w:id="440"/>
      <w:r>
        <w:rPr>
          <w:rStyle w:val="55"/>
          <w:rFonts w:hint="eastAsia" w:asciiTheme="minorEastAsia" w:hAnsiTheme="minorEastAsia" w:eastAsiaTheme="minorEastAsia"/>
          <w:b w:val="0"/>
          <w:bCs w:val="0"/>
          <w:color w:val="000000"/>
          <w:sz w:val="28"/>
          <w:szCs w:val="28"/>
        </w:rPr>
        <w:t>（5）投标文件内有招标人不能接受的条件的；</w:t>
      </w:r>
    </w:p>
    <w:p w14:paraId="20AC3FFA">
      <w:pPr>
        <w:spacing w:line="440" w:lineRule="exact"/>
        <w:ind w:firstLine="560" w:firstLineChars="200"/>
        <w:jc w:val="left"/>
        <w:rPr>
          <w:rStyle w:val="55"/>
          <w:rFonts w:asciiTheme="minorEastAsia" w:hAnsiTheme="minorEastAsia" w:eastAsiaTheme="minorEastAsia"/>
          <w:b w:val="0"/>
          <w:bCs w:val="0"/>
          <w:color w:val="000000"/>
          <w:sz w:val="28"/>
          <w:szCs w:val="28"/>
        </w:rPr>
      </w:pPr>
      <w:bookmarkStart w:id="441" w:name="_Toc20332"/>
      <w:bookmarkEnd w:id="441"/>
      <w:bookmarkStart w:id="442" w:name="_Toc11388"/>
      <w:bookmarkEnd w:id="442"/>
      <w:bookmarkStart w:id="443" w:name="_Toc28363"/>
      <w:bookmarkEnd w:id="443"/>
      <w:bookmarkStart w:id="444" w:name="_Toc32322"/>
      <w:bookmarkEnd w:id="444"/>
      <w:bookmarkStart w:id="445" w:name="_Toc21153"/>
      <w:bookmarkEnd w:id="445"/>
      <w:bookmarkStart w:id="446" w:name="_Toc1357"/>
      <w:bookmarkEnd w:id="446"/>
      <w:bookmarkStart w:id="447" w:name="_Toc26386"/>
      <w:bookmarkEnd w:id="447"/>
      <w:bookmarkStart w:id="448" w:name="_Toc27337"/>
      <w:bookmarkEnd w:id="448"/>
      <w:r>
        <w:rPr>
          <w:rStyle w:val="55"/>
          <w:rFonts w:hint="eastAsia" w:asciiTheme="minorEastAsia" w:hAnsiTheme="minorEastAsia" w:eastAsiaTheme="minorEastAsia"/>
          <w:b w:val="0"/>
          <w:bCs w:val="0"/>
          <w:color w:val="000000"/>
          <w:sz w:val="28"/>
          <w:szCs w:val="28"/>
        </w:rPr>
        <w:t>c. 投标报价有算术错误的，评标委员会按以下原则对投标报价进行修正，修正的价格经投标人书面确认后具有约束力。投标人不接受修正价格的，其投标作无效标书处理，不再进入评标程序进行评审。</w:t>
      </w:r>
    </w:p>
    <w:p w14:paraId="5C7EAA98">
      <w:pPr>
        <w:spacing w:line="440" w:lineRule="exact"/>
        <w:ind w:firstLine="560" w:firstLineChars="200"/>
        <w:jc w:val="left"/>
        <w:rPr>
          <w:rStyle w:val="55"/>
          <w:rFonts w:asciiTheme="minorEastAsia" w:hAnsiTheme="minorEastAsia" w:eastAsiaTheme="minorEastAsia"/>
          <w:b w:val="0"/>
          <w:bCs w:val="0"/>
          <w:color w:val="000000"/>
          <w:sz w:val="28"/>
          <w:szCs w:val="28"/>
        </w:rPr>
      </w:pPr>
      <w:bookmarkStart w:id="449" w:name="_Toc31541"/>
      <w:bookmarkEnd w:id="449"/>
      <w:bookmarkStart w:id="450" w:name="_Toc18599"/>
      <w:bookmarkEnd w:id="450"/>
      <w:bookmarkStart w:id="451" w:name="_Toc4660"/>
      <w:bookmarkEnd w:id="451"/>
      <w:bookmarkStart w:id="452" w:name="_Toc17850"/>
      <w:bookmarkEnd w:id="452"/>
      <w:bookmarkStart w:id="453" w:name="_Toc4573"/>
      <w:bookmarkEnd w:id="453"/>
      <w:bookmarkStart w:id="454" w:name="_Toc25899"/>
      <w:bookmarkEnd w:id="454"/>
      <w:bookmarkStart w:id="455" w:name="_Toc10391"/>
      <w:bookmarkEnd w:id="455"/>
      <w:bookmarkStart w:id="456" w:name="_Toc21256"/>
      <w:bookmarkEnd w:id="456"/>
      <w:r>
        <w:rPr>
          <w:rStyle w:val="55"/>
          <w:rFonts w:hint="eastAsia" w:asciiTheme="minorEastAsia" w:hAnsiTheme="minorEastAsia" w:eastAsiaTheme="minorEastAsia"/>
          <w:b w:val="0"/>
          <w:bCs w:val="0"/>
          <w:color w:val="000000"/>
          <w:sz w:val="28"/>
          <w:szCs w:val="28"/>
        </w:rPr>
        <w:t>（1）投标文件中的大写金额与小写金额不一致的，以大写金额为准；</w:t>
      </w:r>
    </w:p>
    <w:p w14:paraId="3A313E47">
      <w:pPr>
        <w:spacing w:line="440" w:lineRule="exact"/>
        <w:ind w:firstLine="560" w:firstLineChars="200"/>
        <w:jc w:val="left"/>
        <w:rPr>
          <w:rStyle w:val="55"/>
          <w:rFonts w:asciiTheme="minorEastAsia" w:hAnsiTheme="minorEastAsia" w:eastAsiaTheme="minorEastAsia"/>
          <w:b w:val="0"/>
          <w:bCs w:val="0"/>
          <w:color w:val="000000"/>
          <w:sz w:val="28"/>
          <w:szCs w:val="28"/>
        </w:rPr>
      </w:pPr>
      <w:bookmarkStart w:id="457" w:name="_Toc15453"/>
      <w:bookmarkEnd w:id="457"/>
      <w:bookmarkStart w:id="458" w:name="_Toc8269"/>
      <w:bookmarkEnd w:id="458"/>
      <w:bookmarkStart w:id="459" w:name="_Toc16937"/>
      <w:bookmarkEnd w:id="459"/>
      <w:bookmarkStart w:id="460" w:name="_Toc19044"/>
      <w:bookmarkEnd w:id="460"/>
      <w:bookmarkStart w:id="461" w:name="_Toc22590"/>
      <w:bookmarkEnd w:id="461"/>
      <w:bookmarkStart w:id="462" w:name="_Toc29295"/>
      <w:bookmarkEnd w:id="462"/>
      <w:bookmarkStart w:id="463" w:name="_Toc31887"/>
      <w:bookmarkEnd w:id="463"/>
      <w:bookmarkStart w:id="464" w:name="_Toc32010"/>
      <w:bookmarkEnd w:id="464"/>
      <w:r>
        <w:rPr>
          <w:rStyle w:val="55"/>
          <w:rFonts w:hint="eastAsia" w:asciiTheme="minorEastAsia" w:hAnsiTheme="minorEastAsia" w:eastAsiaTheme="minorEastAsia"/>
          <w:b w:val="0"/>
          <w:bCs w:val="0"/>
          <w:color w:val="000000"/>
          <w:sz w:val="28"/>
          <w:szCs w:val="28"/>
        </w:rPr>
        <w:t>（2）总价金额与依据单价计算出的结果不一致的，以单价金额为准修正总价，但单价金额小数点有明显错误的除外。</w:t>
      </w:r>
    </w:p>
    <w:p w14:paraId="478747F6">
      <w:pPr>
        <w:spacing w:line="440" w:lineRule="exact"/>
        <w:jc w:val="left"/>
        <w:rPr>
          <w:rStyle w:val="55"/>
          <w:rFonts w:asciiTheme="minorEastAsia" w:hAnsiTheme="minorEastAsia" w:eastAsiaTheme="minorEastAsia"/>
          <w:color w:val="000000"/>
          <w:sz w:val="28"/>
          <w:szCs w:val="28"/>
        </w:rPr>
      </w:pPr>
      <w:bookmarkStart w:id="465" w:name="_Toc9556"/>
      <w:bookmarkEnd w:id="465"/>
      <w:bookmarkStart w:id="466" w:name="_Toc10906"/>
      <w:bookmarkEnd w:id="466"/>
      <w:bookmarkStart w:id="467" w:name="_Toc13572"/>
      <w:bookmarkEnd w:id="467"/>
      <w:bookmarkStart w:id="468" w:name="_Toc9341"/>
      <w:bookmarkEnd w:id="468"/>
      <w:bookmarkStart w:id="469" w:name="_Toc19102"/>
      <w:bookmarkEnd w:id="469"/>
      <w:bookmarkStart w:id="470" w:name="_Toc27339"/>
      <w:bookmarkEnd w:id="470"/>
      <w:bookmarkStart w:id="471" w:name="_Toc17494"/>
      <w:bookmarkEnd w:id="471"/>
      <w:bookmarkStart w:id="472" w:name="_Toc13818"/>
      <w:bookmarkEnd w:id="472"/>
      <w:r>
        <w:rPr>
          <w:rStyle w:val="55"/>
          <w:rFonts w:hint="eastAsia" w:asciiTheme="minorEastAsia" w:hAnsiTheme="minorEastAsia" w:eastAsiaTheme="minorEastAsia"/>
          <w:color w:val="000000"/>
          <w:sz w:val="28"/>
          <w:szCs w:val="28"/>
        </w:rPr>
        <w:t>B. 详细评审</w:t>
      </w:r>
    </w:p>
    <w:p w14:paraId="0B66E287">
      <w:pPr>
        <w:spacing w:line="440" w:lineRule="exact"/>
        <w:ind w:firstLine="560" w:firstLineChars="200"/>
        <w:jc w:val="left"/>
        <w:rPr>
          <w:rStyle w:val="55"/>
          <w:rFonts w:asciiTheme="minorEastAsia" w:hAnsiTheme="minorEastAsia" w:eastAsiaTheme="minorEastAsia"/>
          <w:b w:val="0"/>
          <w:bCs w:val="0"/>
          <w:color w:val="000000"/>
          <w:sz w:val="28"/>
          <w:szCs w:val="28"/>
        </w:rPr>
      </w:pPr>
      <w:bookmarkStart w:id="473" w:name="_Toc14385"/>
      <w:bookmarkEnd w:id="473"/>
      <w:bookmarkStart w:id="474" w:name="_Toc21800"/>
      <w:bookmarkEnd w:id="474"/>
      <w:bookmarkStart w:id="475" w:name="_Toc5324"/>
      <w:bookmarkEnd w:id="475"/>
      <w:bookmarkStart w:id="476" w:name="_Toc627"/>
      <w:bookmarkEnd w:id="476"/>
      <w:bookmarkStart w:id="477" w:name="_Toc9770"/>
      <w:bookmarkEnd w:id="477"/>
      <w:bookmarkStart w:id="478" w:name="_Toc13360"/>
      <w:bookmarkEnd w:id="478"/>
      <w:bookmarkStart w:id="479" w:name="_Toc16349"/>
      <w:bookmarkEnd w:id="479"/>
      <w:bookmarkStart w:id="480" w:name="_Toc16175"/>
      <w:bookmarkEnd w:id="480"/>
      <w:r>
        <w:rPr>
          <w:rStyle w:val="55"/>
          <w:rFonts w:hint="eastAsia" w:asciiTheme="minorEastAsia" w:hAnsiTheme="minorEastAsia" w:eastAsiaTheme="minorEastAsia"/>
          <w:b w:val="0"/>
          <w:bCs w:val="0"/>
          <w:color w:val="000000"/>
          <w:sz w:val="28"/>
          <w:szCs w:val="28"/>
        </w:rPr>
        <w:t>评标委员会按本章“第二款”规定的量化因素和分值进行打分，并计算出综合评估得分。</w:t>
      </w:r>
    </w:p>
    <w:p w14:paraId="452BAD12">
      <w:pPr>
        <w:spacing w:line="440" w:lineRule="exact"/>
        <w:jc w:val="left"/>
        <w:rPr>
          <w:rStyle w:val="55"/>
          <w:rFonts w:asciiTheme="minorEastAsia" w:hAnsiTheme="minorEastAsia" w:eastAsiaTheme="minorEastAsia"/>
          <w:color w:val="000000"/>
          <w:sz w:val="28"/>
          <w:szCs w:val="28"/>
        </w:rPr>
      </w:pPr>
      <w:bookmarkStart w:id="481" w:name="_Toc5632"/>
      <w:bookmarkEnd w:id="481"/>
      <w:bookmarkStart w:id="482" w:name="_Toc16777"/>
      <w:bookmarkEnd w:id="482"/>
      <w:bookmarkStart w:id="483" w:name="_Toc26900"/>
      <w:bookmarkEnd w:id="483"/>
      <w:bookmarkStart w:id="484" w:name="_Toc23234"/>
      <w:bookmarkEnd w:id="484"/>
      <w:bookmarkStart w:id="485" w:name="_Toc1261"/>
      <w:bookmarkEnd w:id="485"/>
      <w:bookmarkStart w:id="486" w:name="_Toc27365"/>
      <w:bookmarkEnd w:id="486"/>
      <w:bookmarkStart w:id="487" w:name="_Toc1808"/>
      <w:bookmarkEnd w:id="487"/>
      <w:bookmarkStart w:id="488" w:name="_Toc16102"/>
      <w:bookmarkEnd w:id="488"/>
      <w:r>
        <w:rPr>
          <w:rStyle w:val="55"/>
          <w:rFonts w:hint="eastAsia" w:asciiTheme="minorEastAsia" w:hAnsiTheme="minorEastAsia" w:eastAsiaTheme="minorEastAsia"/>
          <w:color w:val="000000"/>
          <w:sz w:val="28"/>
          <w:szCs w:val="28"/>
        </w:rPr>
        <w:t>C. 投标文件的澄清和补正</w:t>
      </w:r>
    </w:p>
    <w:p w14:paraId="3B2490CD">
      <w:pPr>
        <w:spacing w:line="440" w:lineRule="exact"/>
        <w:ind w:firstLine="560" w:firstLineChars="200"/>
        <w:jc w:val="left"/>
        <w:rPr>
          <w:rStyle w:val="55"/>
          <w:rFonts w:asciiTheme="minorEastAsia" w:hAnsiTheme="minorEastAsia" w:eastAsiaTheme="minorEastAsia"/>
          <w:b w:val="0"/>
          <w:bCs w:val="0"/>
          <w:color w:val="000000"/>
          <w:sz w:val="28"/>
          <w:szCs w:val="28"/>
        </w:rPr>
      </w:pPr>
      <w:bookmarkStart w:id="489" w:name="_Toc16924"/>
      <w:bookmarkEnd w:id="489"/>
      <w:bookmarkStart w:id="490" w:name="_Toc11122"/>
      <w:bookmarkEnd w:id="490"/>
      <w:bookmarkStart w:id="491" w:name="_Toc6258"/>
      <w:bookmarkEnd w:id="491"/>
      <w:bookmarkStart w:id="492" w:name="_Toc22115"/>
      <w:bookmarkEnd w:id="492"/>
      <w:bookmarkStart w:id="493" w:name="_Toc7929"/>
      <w:bookmarkEnd w:id="493"/>
      <w:bookmarkStart w:id="494" w:name="_Toc18537"/>
      <w:bookmarkEnd w:id="494"/>
      <w:bookmarkStart w:id="495" w:name="_Toc6089"/>
      <w:bookmarkEnd w:id="495"/>
      <w:bookmarkStart w:id="496" w:name="_Toc2923"/>
      <w:bookmarkEnd w:id="496"/>
      <w:r>
        <w:rPr>
          <w:rStyle w:val="55"/>
          <w:rFonts w:hint="eastAsia" w:asciiTheme="minorEastAsia" w:hAnsiTheme="minorEastAsia" w:eastAsiaTheme="minorEastAsia"/>
          <w:b w:val="0"/>
          <w:bCs w:val="0"/>
          <w:color w:val="000000"/>
          <w:sz w:val="28"/>
          <w:szCs w:val="28"/>
        </w:rPr>
        <w:t>a. 在评标过程中，评标委员会可以要求投标人对所提交投标文件中不明确的内容进行澄清或说明，或者对细微偏差进行补正。评标委员会不接受投标人主动提出的澄清、说明或补正。</w:t>
      </w:r>
    </w:p>
    <w:p w14:paraId="4C80EAAA">
      <w:pPr>
        <w:spacing w:line="440" w:lineRule="exact"/>
        <w:ind w:firstLine="560" w:firstLineChars="200"/>
        <w:jc w:val="left"/>
        <w:rPr>
          <w:rStyle w:val="55"/>
          <w:rFonts w:asciiTheme="minorEastAsia" w:hAnsiTheme="minorEastAsia" w:eastAsiaTheme="minorEastAsia"/>
          <w:b w:val="0"/>
          <w:bCs w:val="0"/>
          <w:color w:val="000000"/>
          <w:sz w:val="28"/>
          <w:szCs w:val="28"/>
        </w:rPr>
      </w:pPr>
      <w:bookmarkStart w:id="497" w:name="_Toc24677"/>
      <w:bookmarkEnd w:id="497"/>
      <w:bookmarkStart w:id="498" w:name="_Toc7137"/>
      <w:bookmarkEnd w:id="498"/>
      <w:bookmarkStart w:id="499" w:name="_Toc10978"/>
      <w:bookmarkEnd w:id="499"/>
      <w:bookmarkStart w:id="500" w:name="_Toc16054"/>
      <w:bookmarkEnd w:id="500"/>
      <w:bookmarkStart w:id="501" w:name="_Toc2012"/>
      <w:bookmarkEnd w:id="501"/>
      <w:bookmarkStart w:id="502" w:name="_Toc11517"/>
      <w:bookmarkEnd w:id="502"/>
      <w:bookmarkStart w:id="503" w:name="_Toc22274"/>
      <w:bookmarkEnd w:id="503"/>
      <w:bookmarkStart w:id="504" w:name="_Toc2352"/>
      <w:bookmarkEnd w:id="504"/>
      <w:r>
        <w:rPr>
          <w:rStyle w:val="55"/>
          <w:rFonts w:hint="eastAsia" w:asciiTheme="minorEastAsia" w:hAnsiTheme="minorEastAsia" w:eastAsiaTheme="minorEastAsia"/>
          <w:b w:val="0"/>
          <w:bCs w:val="0"/>
          <w:color w:val="000000"/>
          <w:sz w:val="28"/>
          <w:szCs w:val="28"/>
        </w:rPr>
        <w:t>b. 澄清、说明和补正不得改变投标文件的实质性内容（算术性错误修正的除外）。投标人的澄清、说明和补正属于投标文件的组成部分。</w:t>
      </w:r>
    </w:p>
    <w:p w14:paraId="4D336E84">
      <w:pPr>
        <w:spacing w:line="440" w:lineRule="exact"/>
        <w:ind w:firstLine="560" w:firstLineChars="200"/>
        <w:jc w:val="left"/>
        <w:rPr>
          <w:rStyle w:val="55"/>
          <w:rFonts w:asciiTheme="minorEastAsia" w:hAnsiTheme="minorEastAsia" w:eastAsiaTheme="minorEastAsia"/>
          <w:b w:val="0"/>
          <w:bCs w:val="0"/>
          <w:color w:val="000000"/>
          <w:sz w:val="28"/>
          <w:szCs w:val="28"/>
        </w:rPr>
      </w:pPr>
      <w:bookmarkStart w:id="505" w:name="_Toc16111"/>
      <w:bookmarkEnd w:id="505"/>
      <w:bookmarkStart w:id="506" w:name="_Toc21472"/>
      <w:bookmarkEnd w:id="506"/>
      <w:bookmarkStart w:id="507" w:name="_Toc13996"/>
      <w:bookmarkEnd w:id="507"/>
      <w:bookmarkStart w:id="508" w:name="_Toc7030"/>
      <w:bookmarkEnd w:id="508"/>
      <w:bookmarkStart w:id="509" w:name="_Toc11511"/>
      <w:bookmarkEnd w:id="509"/>
      <w:bookmarkStart w:id="510" w:name="_Toc24999"/>
      <w:bookmarkEnd w:id="510"/>
      <w:bookmarkStart w:id="511" w:name="_Toc15643"/>
      <w:bookmarkEnd w:id="511"/>
      <w:bookmarkStart w:id="512" w:name="_Toc1139"/>
      <w:bookmarkEnd w:id="512"/>
      <w:r>
        <w:rPr>
          <w:rStyle w:val="55"/>
          <w:rFonts w:hint="eastAsia" w:asciiTheme="minorEastAsia" w:hAnsiTheme="minorEastAsia" w:eastAsiaTheme="minorEastAsia"/>
          <w:b w:val="0"/>
          <w:bCs w:val="0"/>
          <w:color w:val="000000"/>
          <w:sz w:val="28"/>
          <w:szCs w:val="28"/>
        </w:rPr>
        <w:t>c. 评标委员会对投标人提交的澄清、说明或补正有疑问的，可以要求投标人进一步澄清、说明或补正，直至满足评标委员会的要求。</w:t>
      </w:r>
    </w:p>
    <w:p w14:paraId="052EEA14">
      <w:pPr>
        <w:spacing w:line="440" w:lineRule="exact"/>
        <w:jc w:val="left"/>
        <w:rPr>
          <w:rStyle w:val="55"/>
          <w:rFonts w:asciiTheme="minorEastAsia" w:hAnsiTheme="minorEastAsia" w:eastAsiaTheme="minorEastAsia"/>
          <w:color w:val="000000"/>
          <w:sz w:val="28"/>
          <w:szCs w:val="28"/>
        </w:rPr>
      </w:pPr>
      <w:bookmarkStart w:id="513" w:name="_Toc28720"/>
      <w:bookmarkEnd w:id="513"/>
      <w:bookmarkStart w:id="514" w:name="_Toc7785"/>
      <w:bookmarkEnd w:id="514"/>
      <w:bookmarkStart w:id="515" w:name="_Toc30861"/>
      <w:bookmarkEnd w:id="515"/>
      <w:bookmarkStart w:id="516" w:name="_Toc20663"/>
      <w:bookmarkEnd w:id="516"/>
      <w:bookmarkStart w:id="517" w:name="_Toc21510"/>
      <w:bookmarkEnd w:id="517"/>
      <w:bookmarkStart w:id="518" w:name="_Toc27735"/>
      <w:bookmarkEnd w:id="518"/>
      <w:bookmarkStart w:id="519" w:name="_Toc10834"/>
      <w:bookmarkEnd w:id="519"/>
      <w:bookmarkStart w:id="520" w:name="_Toc32545"/>
      <w:bookmarkEnd w:id="520"/>
      <w:r>
        <w:rPr>
          <w:rStyle w:val="55"/>
          <w:rFonts w:hint="eastAsia" w:asciiTheme="minorEastAsia" w:hAnsiTheme="minorEastAsia" w:eastAsiaTheme="minorEastAsia"/>
          <w:color w:val="000000"/>
          <w:sz w:val="28"/>
          <w:szCs w:val="28"/>
        </w:rPr>
        <w:t>D. 评标结果</w:t>
      </w:r>
    </w:p>
    <w:p w14:paraId="5380D73A">
      <w:pPr>
        <w:spacing w:line="440" w:lineRule="exact"/>
        <w:ind w:firstLine="560" w:firstLineChars="200"/>
        <w:jc w:val="left"/>
        <w:rPr>
          <w:rStyle w:val="55"/>
          <w:rFonts w:asciiTheme="minorEastAsia" w:hAnsiTheme="minorEastAsia" w:eastAsiaTheme="minorEastAsia"/>
          <w:b w:val="0"/>
          <w:bCs w:val="0"/>
          <w:color w:val="000000"/>
          <w:sz w:val="28"/>
          <w:szCs w:val="28"/>
        </w:rPr>
      </w:pPr>
      <w:bookmarkStart w:id="521" w:name="_Toc16512"/>
      <w:bookmarkEnd w:id="521"/>
      <w:bookmarkStart w:id="522" w:name="_Toc10922"/>
      <w:bookmarkEnd w:id="522"/>
      <w:bookmarkStart w:id="523" w:name="_Toc3854"/>
      <w:bookmarkEnd w:id="523"/>
      <w:bookmarkStart w:id="524" w:name="_Toc5100"/>
      <w:bookmarkEnd w:id="524"/>
      <w:bookmarkStart w:id="525" w:name="_Toc4893"/>
      <w:bookmarkEnd w:id="525"/>
      <w:bookmarkStart w:id="526" w:name="_Toc21660"/>
      <w:bookmarkEnd w:id="526"/>
      <w:bookmarkStart w:id="527" w:name="_Toc21893"/>
      <w:bookmarkEnd w:id="527"/>
      <w:bookmarkStart w:id="528" w:name="_Toc5178"/>
      <w:bookmarkEnd w:id="528"/>
      <w:r>
        <w:rPr>
          <w:rStyle w:val="55"/>
          <w:rFonts w:hint="eastAsia" w:asciiTheme="minorEastAsia" w:hAnsiTheme="minorEastAsia" w:eastAsiaTheme="minorEastAsia"/>
          <w:b w:val="0"/>
          <w:bCs w:val="0"/>
          <w:color w:val="000000"/>
          <w:sz w:val="28"/>
          <w:szCs w:val="28"/>
        </w:rPr>
        <w:t>除第二章“投标人须知”前附表授权直接确定中标人外，评标委员会按照综合得分由高到低的顺序排列，综合得分相同的，按投标报价由低到高顺序排列，综合得分且投标报价相同的，按技术部分得分由高到低顺序排列。综合得分、投标报价且技术部分得分均相同的，由采购人代表摇号确定中标人。</w:t>
      </w:r>
    </w:p>
    <w:p w14:paraId="6485CC24">
      <w:pPr>
        <w:spacing w:line="440" w:lineRule="exact"/>
        <w:ind w:firstLine="560" w:firstLineChars="200"/>
        <w:jc w:val="left"/>
        <w:rPr>
          <w:rStyle w:val="55"/>
          <w:rFonts w:asciiTheme="minorEastAsia" w:hAnsiTheme="minorEastAsia" w:eastAsiaTheme="minorEastAsia"/>
          <w:b w:val="0"/>
          <w:bCs w:val="0"/>
          <w:color w:val="000000"/>
          <w:sz w:val="28"/>
          <w:szCs w:val="28"/>
        </w:rPr>
      </w:pPr>
      <w:bookmarkStart w:id="529" w:name="_Toc13010"/>
      <w:bookmarkEnd w:id="529"/>
      <w:bookmarkStart w:id="530" w:name="_Toc1144"/>
      <w:bookmarkEnd w:id="530"/>
      <w:bookmarkStart w:id="531" w:name="_Toc17757"/>
      <w:bookmarkEnd w:id="531"/>
      <w:bookmarkStart w:id="532" w:name="_Toc10937"/>
      <w:bookmarkEnd w:id="532"/>
      <w:bookmarkStart w:id="533" w:name="_Toc14571"/>
      <w:bookmarkEnd w:id="533"/>
      <w:bookmarkStart w:id="534" w:name="_Toc11562"/>
      <w:bookmarkEnd w:id="534"/>
      <w:bookmarkStart w:id="535" w:name="_Toc6136"/>
      <w:bookmarkEnd w:id="535"/>
      <w:bookmarkStart w:id="536" w:name="_Toc3357"/>
      <w:bookmarkEnd w:id="536"/>
      <w:r>
        <w:rPr>
          <w:rStyle w:val="55"/>
          <w:rFonts w:hint="eastAsia" w:asciiTheme="minorEastAsia" w:hAnsiTheme="minorEastAsia" w:eastAsiaTheme="minorEastAsia"/>
          <w:b w:val="0"/>
          <w:bCs w:val="0"/>
          <w:color w:val="000000"/>
          <w:sz w:val="28"/>
          <w:szCs w:val="28"/>
        </w:rPr>
        <w:t>评标委员会完成评标后，应当向招标人提交书面评标报告。</w:t>
      </w:r>
    </w:p>
    <w:p w14:paraId="545EAAD1">
      <w:pPr>
        <w:spacing w:line="440" w:lineRule="exact"/>
        <w:jc w:val="left"/>
        <w:rPr>
          <w:rStyle w:val="55"/>
          <w:rFonts w:ascii="宋体" w:hAnsi="宋体"/>
          <w:b w:val="0"/>
          <w:bCs w:val="0"/>
          <w:color w:val="000000"/>
          <w:sz w:val="28"/>
          <w:szCs w:val="28"/>
        </w:rPr>
      </w:pPr>
    </w:p>
    <w:p w14:paraId="6B3CE3D5">
      <w:pPr>
        <w:pStyle w:val="22"/>
        <w:ind w:firstLine="210"/>
        <w:sectPr>
          <w:footerReference r:id="rId5" w:type="default"/>
          <w:pgSz w:w="11906" w:h="16838"/>
          <w:pgMar w:top="1417" w:right="1474" w:bottom="1417" w:left="1474" w:header="720" w:footer="720" w:gutter="0"/>
          <w:pgNumType w:start="1"/>
          <w:cols w:space="720" w:num="1"/>
          <w:docGrid w:type="lines" w:linePitch="312" w:charSpace="0"/>
        </w:sectPr>
      </w:pPr>
    </w:p>
    <w:p w14:paraId="0A4AE556">
      <w:pPr>
        <w:pStyle w:val="2"/>
        <w:jc w:val="center"/>
        <w:rPr>
          <w:rFonts w:hint="eastAsia" w:ascii="黑体" w:hAnsi="黑体" w:eastAsia="黑体" w:cs="黑体"/>
        </w:rPr>
      </w:pPr>
      <w:bookmarkStart w:id="537" w:name="_Toc14173"/>
      <w:bookmarkEnd w:id="537"/>
      <w:bookmarkStart w:id="538" w:name="_Toc271554790"/>
      <w:bookmarkEnd w:id="538"/>
      <w:bookmarkStart w:id="539" w:name="_Toc5525"/>
      <w:bookmarkEnd w:id="539"/>
      <w:bookmarkStart w:id="540" w:name="_Toc23734"/>
      <w:bookmarkEnd w:id="540"/>
      <w:bookmarkStart w:id="541" w:name="_Toc28593"/>
      <w:bookmarkEnd w:id="541"/>
      <w:bookmarkStart w:id="542" w:name="_Toc8601"/>
      <w:bookmarkStart w:id="543" w:name="_Toc1839"/>
      <w:r>
        <w:rPr>
          <w:rFonts w:hint="eastAsia" w:ascii="黑体" w:hAnsi="黑体" w:eastAsia="黑体" w:cs="黑体"/>
        </w:rPr>
        <w:t>第四章  合同条款及格式</w:t>
      </w:r>
      <w:bookmarkEnd w:id="542"/>
      <w:bookmarkEnd w:id="543"/>
      <w:bookmarkStart w:id="544" w:name="_Toc30116"/>
      <w:bookmarkEnd w:id="544"/>
      <w:bookmarkStart w:id="545" w:name="_Toc19529"/>
      <w:bookmarkEnd w:id="545"/>
      <w:bookmarkStart w:id="546" w:name="_Toc271554794"/>
      <w:bookmarkEnd w:id="546"/>
    </w:p>
    <w:p w14:paraId="283BF492">
      <w:pPr>
        <w:spacing w:line="360" w:lineRule="auto"/>
        <w:jc w:val="center"/>
        <w:rPr>
          <w:rFonts w:ascii="仿宋_GB2312" w:hAnsi="仿宋_GB2312" w:eastAsia="仿宋_GB2312" w:cs="仿宋_GB2312"/>
          <w:bCs/>
        </w:rPr>
      </w:pPr>
      <w:r>
        <w:rPr>
          <w:rFonts w:hint="eastAsia" w:ascii="仿宋_GB2312" w:hAnsi="仿宋_GB2312" w:eastAsia="仿宋_GB2312" w:cs="仿宋_GB2312"/>
          <w:bCs/>
        </w:rPr>
        <w:t>（ 仅为招标阶段参照文本格式 ，以最终签订合同为准）</w:t>
      </w:r>
    </w:p>
    <w:p w14:paraId="35440D13">
      <w:pPr>
        <w:jc w:val="center"/>
        <w:rPr>
          <w:rFonts w:hint="default" w:eastAsia="宋体"/>
          <w:sz w:val="32"/>
          <w:szCs w:val="32"/>
          <w:lang w:val="en-US" w:eastAsia="zh-CN"/>
        </w:rPr>
      </w:pPr>
      <w:r>
        <w:rPr>
          <w:rFonts w:hint="eastAsia" w:ascii="宋体" w:hAnsi="宋体"/>
          <w:b/>
          <w:sz w:val="44"/>
          <w:szCs w:val="44"/>
          <w:lang w:val="en-US" w:eastAsia="zh-CN"/>
        </w:rPr>
        <w:t>杞县教育体育局设备采购项目</w:t>
      </w:r>
    </w:p>
    <w:p w14:paraId="585B4532">
      <w:pPr>
        <w:rPr>
          <w:sz w:val="32"/>
          <w:szCs w:val="32"/>
        </w:rPr>
      </w:pPr>
    </w:p>
    <w:p w14:paraId="43663C45">
      <w:pPr>
        <w:rPr>
          <w:sz w:val="32"/>
          <w:szCs w:val="32"/>
        </w:rPr>
      </w:pPr>
    </w:p>
    <w:p w14:paraId="370A9FF8">
      <w:pPr>
        <w:rPr>
          <w:sz w:val="32"/>
          <w:szCs w:val="32"/>
        </w:rPr>
      </w:pPr>
    </w:p>
    <w:p w14:paraId="18FEEEB5">
      <w:pPr>
        <w:rPr>
          <w:sz w:val="32"/>
          <w:szCs w:val="32"/>
        </w:rPr>
      </w:pPr>
    </w:p>
    <w:p w14:paraId="1658F27B">
      <w:pPr>
        <w:rPr>
          <w:sz w:val="32"/>
          <w:szCs w:val="32"/>
        </w:rPr>
      </w:pPr>
    </w:p>
    <w:p w14:paraId="5EE45265">
      <w:pPr>
        <w:rPr>
          <w:color w:val="FF0000"/>
          <w:sz w:val="32"/>
          <w:szCs w:val="32"/>
        </w:rPr>
      </w:pPr>
    </w:p>
    <w:p w14:paraId="73348984">
      <w:pPr>
        <w:jc w:val="center"/>
        <w:rPr>
          <w:rFonts w:hint="default" w:eastAsia="宋体"/>
          <w:sz w:val="32"/>
          <w:szCs w:val="32"/>
          <w:lang w:val="en-US" w:eastAsia="zh-CN"/>
        </w:rPr>
      </w:pPr>
      <w:r>
        <w:rPr>
          <w:rFonts w:hint="eastAsia" w:ascii="宋体" w:hAnsi="宋体"/>
          <w:b/>
          <w:sz w:val="32"/>
          <w:szCs w:val="32"/>
        </w:rPr>
        <w:t>项目编号</w:t>
      </w:r>
      <w:r>
        <w:rPr>
          <w:rFonts w:hint="eastAsia" w:ascii="宋体" w:hAnsi="宋体"/>
          <w:b/>
          <w:color w:val="auto"/>
          <w:sz w:val="32"/>
          <w:szCs w:val="32"/>
        </w:rPr>
        <w:t>：汴杞财招标采购-2025-</w:t>
      </w:r>
      <w:r>
        <w:rPr>
          <w:rFonts w:hint="eastAsia" w:ascii="宋体" w:hAnsi="宋体"/>
          <w:b/>
          <w:color w:val="auto"/>
          <w:sz w:val="32"/>
          <w:szCs w:val="32"/>
          <w:lang w:val="en-US" w:eastAsia="zh-CN"/>
        </w:rPr>
        <w:t>29</w:t>
      </w:r>
    </w:p>
    <w:p w14:paraId="292DDF3C">
      <w:pPr>
        <w:rPr>
          <w:sz w:val="32"/>
          <w:szCs w:val="32"/>
        </w:rPr>
      </w:pPr>
    </w:p>
    <w:p w14:paraId="7AA3E78E">
      <w:pPr>
        <w:rPr>
          <w:sz w:val="32"/>
          <w:szCs w:val="32"/>
        </w:rPr>
      </w:pPr>
    </w:p>
    <w:p w14:paraId="11349018">
      <w:pPr>
        <w:rPr>
          <w:sz w:val="32"/>
          <w:szCs w:val="32"/>
        </w:rPr>
      </w:pPr>
    </w:p>
    <w:p w14:paraId="604C599E">
      <w:pPr>
        <w:rPr>
          <w:sz w:val="32"/>
          <w:szCs w:val="32"/>
        </w:rPr>
      </w:pPr>
    </w:p>
    <w:p w14:paraId="1664DA54">
      <w:pPr>
        <w:rPr>
          <w:sz w:val="32"/>
          <w:szCs w:val="32"/>
        </w:rPr>
      </w:pPr>
    </w:p>
    <w:p w14:paraId="0B5E15EB">
      <w:pPr>
        <w:rPr>
          <w:sz w:val="32"/>
          <w:szCs w:val="32"/>
        </w:rPr>
      </w:pPr>
    </w:p>
    <w:p w14:paraId="5AB82D94">
      <w:pPr>
        <w:rPr>
          <w:sz w:val="32"/>
          <w:szCs w:val="32"/>
        </w:rPr>
      </w:pPr>
      <w:r>
        <w:rPr>
          <w:rFonts w:hint="eastAsia"/>
          <w:sz w:val="32"/>
          <w:szCs w:val="32"/>
        </w:rPr>
        <w:t>甲方: 杞县教育体育局</w:t>
      </w:r>
    </w:p>
    <w:p w14:paraId="4ECB4599">
      <w:pPr>
        <w:rPr>
          <w:sz w:val="32"/>
          <w:szCs w:val="32"/>
        </w:rPr>
      </w:pPr>
      <w:r>
        <w:rPr>
          <w:rFonts w:hint="eastAsia"/>
          <w:sz w:val="32"/>
          <w:szCs w:val="32"/>
        </w:rPr>
        <w:t>乙方:</w:t>
      </w:r>
    </w:p>
    <w:p w14:paraId="62D6FFE1">
      <w:pPr>
        <w:rPr>
          <w:sz w:val="32"/>
          <w:szCs w:val="32"/>
        </w:rPr>
      </w:pPr>
      <w:r>
        <w:rPr>
          <w:rFonts w:hint="eastAsia"/>
          <w:sz w:val="32"/>
          <w:szCs w:val="32"/>
        </w:rPr>
        <w:t>合同生成日期：</w:t>
      </w:r>
    </w:p>
    <w:p w14:paraId="4E3055F3">
      <w:pPr>
        <w:spacing w:line="360" w:lineRule="auto"/>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根据《中华人民共和国民法典》及有关法律法规规定，为明确双方的权利义务，经双方协商一致，签订本合同。</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1599"/>
        <w:gridCol w:w="905"/>
        <w:gridCol w:w="926"/>
        <w:gridCol w:w="905"/>
        <w:gridCol w:w="1448"/>
        <w:gridCol w:w="2031"/>
        <w:gridCol w:w="9"/>
      </w:tblGrid>
      <w:tr w14:paraId="5D161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584" w:hRule="atLeast"/>
          <w:jc w:val="center"/>
        </w:trPr>
        <w:tc>
          <w:tcPr>
            <w:tcW w:w="1222" w:type="dxa"/>
            <w:tcBorders>
              <w:top w:val="single" w:color="auto" w:sz="4" w:space="0"/>
              <w:left w:val="single" w:color="auto" w:sz="4" w:space="0"/>
              <w:bottom w:val="single" w:color="auto" w:sz="4" w:space="0"/>
              <w:right w:val="single" w:color="auto" w:sz="4" w:space="0"/>
            </w:tcBorders>
            <w:vAlign w:val="center"/>
          </w:tcPr>
          <w:p w14:paraId="24CA64B5">
            <w:pPr>
              <w:jc w:val="center"/>
              <w:rPr>
                <w:rFonts w:ascii="仿宋_GB2312" w:hAnsi="仿宋_GB2312" w:eastAsia="仿宋_GB2312" w:cs="仿宋_GB2312"/>
                <w:color w:val="000000"/>
              </w:rPr>
            </w:pPr>
            <w:r>
              <w:rPr>
                <w:rFonts w:hint="eastAsia" w:ascii="仿宋_GB2312" w:hAnsi="仿宋_GB2312" w:eastAsia="仿宋_GB2312" w:cs="仿宋_GB2312"/>
                <w:color w:val="000000"/>
              </w:rPr>
              <w:t>商品名称</w:t>
            </w:r>
          </w:p>
        </w:tc>
        <w:tc>
          <w:tcPr>
            <w:tcW w:w="1599" w:type="dxa"/>
            <w:tcBorders>
              <w:top w:val="single" w:color="auto" w:sz="4" w:space="0"/>
              <w:left w:val="single" w:color="auto" w:sz="4" w:space="0"/>
              <w:bottom w:val="single" w:color="auto" w:sz="4" w:space="0"/>
              <w:right w:val="single" w:color="auto" w:sz="4" w:space="0"/>
            </w:tcBorders>
            <w:vAlign w:val="center"/>
          </w:tcPr>
          <w:p w14:paraId="44AEE3A6">
            <w:pPr>
              <w:jc w:val="center"/>
              <w:rPr>
                <w:rFonts w:ascii="仿宋_GB2312" w:hAnsi="仿宋_GB2312" w:eastAsia="仿宋_GB2312" w:cs="仿宋_GB2312"/>
                <w:color w:val="000000"/>
              </w:rPr>
            </w:pPr>
            <w:r>
              <w:rPr>
                <w:rFonts w:hint="eastAsia" w:ascii="仿宋_GB2312" w:hAnsi="仿宋_GB2312" w:eastAsia="仿宋_GB2312" w:cs="仿宋_GB2312"/>
                <w:color w:val="000000"/>
              </w:rPr>
              <w:t>规格型号</w:t>
            </w:r>
          </w:p>
        </w:tc>
        <w:tc>
          <w:tcPr>
            <w:tcW w:w="905" w:type="dxa"/>
            <w:tcBorders>
              <w:top w:val="single" w:color="auto" w:sz="4" w:space="0"/>
              <w:left w:val="single" w:color="auto" w:sz="4" w:space="0"/>
              <w:bottom w:val="single" w:color="auto" w:sz="4" w:space="0"/>
              <w:right w:val="single" w:color="auto" w:sz="4" w:space="0"/>
            </w:tcBorders>
            <w:vAlign w:val="center"/>
          </w:tcPr>
          <w:p w14:paraId="08F74F58">
            <w:pPr>
              <w:jc w:val="center"/>
              <w:rPr>
                <w:rFonts w:ascii="仿宋_GB2312" w:hAnsi="仿宋_GB2312" w:eastAsia="仿宋_GB2312" w:cs="仿宋_GB2312"/>
                <w:color w:val="000000"/>
              </w:rPr>
            </w:pPr>
            <w:r>
              <w:rPr>
                <w:rFonts w:hint="eastAsia" w:ascii="仿宋_GB2312" w:hAnsi="仿宋_GB2312" w:eastAsia="仿宋_GB2312" w:cs="仿宋_GB2312"/>
                <w:color w:val="000000"/>
              </w:rPr>
              <w:t>数量</w:t>
            </w:r>
          </w:p>
        </w:tc>
        <w:tc>
          <w:tcPr>
            <w:tcW w:w="926" w:type="dxa"/>
            <w:tcBorders>
              <w:top w:val="single" w:color="auto" w:sz="4" w:space="0"/>
              <w:left w:val="single" w:color="auto" w:sz="4" w:space="0"/>
              <w:bottom w:val="single" w:color="auto" w:sz="4" w:space="0"/>
              <w:right w:val="single" w:color="auto" w:sz="4" w:space="0"/>
            </w:tcBorders>
            <w:vAlign w:val="center"/>
          </w:tcPr>
          <w:p w14:paraId="22266591">
            <w:pPr>
              <w:jc w:val="center"/>
              <w:rPr>
                <w:rFonts w:ascii="仿宋_GB2312" w:hAnsi="仿宋_GB2312" w:eastAsia="仿宋_GB2312" w:cs="仿宋_GB2312"/>
                <w:color w:val="000000"/>
              </w:rPr>
            </w:pPr>
            <w:r>
              <w:rPr>
                <w:rFonts w:hint="eastAsia" w:ascii="仿宋_GB2312" w:hAnsi="仿宋_GB2312" w:eastAsia="仿宋_GB2312" w:cs="仿宋_GB2312"/>
                <w:color w:val="000000"/>
              </w:rPr>
              <w:t>单价</w:t>
            </w:r>
          </w:p>
          <w:p w14:paraId="6A366D1A">
            <w:pPr>
              <w:jc w:val="center"/>
              <w:rPr>
                <w:rFonts w:ascii="仿宋_GB2312" w:hAnsi="仿宋_GB2312" w:eastAsia="仿宋_GB2312" w:cs="仿宋_GB2312"/>
                <w:color w:val="000000"/>
              </w:rPr>
            </w:pPr>
            <w:r>
              <w:rPr>
                <w:rFonts w:hint="eastAsia" w:ascii="仿宋_GB2312" w:hAnsi="仿宋_GB2312" w:eastAsia="仿宋_GB2312" w:cs="仿宋_GB2312"/>
                <w:color w:val="000000"/>
              </w:rPr>
              <w:t>（元）</w:t>
            </w:r>
          </w:p>
        </w:tc>
        <w:tc>
          <w:tcPr>
            <w:tcW w:w="905" w:type="dxa"/>
            <w:tcBorders>
              <w:top w:val="single" w:color="auto" w:sz="4" w:space="0"/>
              <w:left w:val="single" w:color="auto" w:sz="4" w:space="0"/>
              <w:bottom w:val="single" w:color="auto" w:sz="4" w:space="0"/>
              <w:right w:val="single" w:color="auto" w:sz="4" w:space="0"/>
            </w:tcBorders>
            <w:vAlign w:val="center"/>
          </w:tcPr>
          <w:p w14:paraId="7A2610D7">
            <w:pPr>
              <w:jc w:val="center"/>
              <w:rPr>
                <w:rFonts w:ascii="仿宋_GB2312" w:hAnsi="仿宋_GB2312" w:eastAsia="仿宋_GB2312" w:cs="仿宋_GB2312"/>
                <w:color w:val="000000"/>
              </w:rPr>
            </w:pPr>
            <w:r>
              <w:rPr>
                <w:rFonts w:hint="eastAsia" w:ascii="仿宋_GB2312" w:hAnsi="仿宋_GB2312" w:eastAsia="仿宋_GB2312" w:cs="仿宋_GB2312"/>
                <w:color w:val="000000"/>
              </w:rPr>
              <w:t>总价</w:t>
            </w:r>
          </w:p>
          <w:p w14:paraId="67BF80D0">
            <w:pPr>
              <w:jc w:val="center"/>
              <w:rPr>
                <w:rFonts w:ascii="仿宋_GB2312" w:hAnsi="仿宋_GB2312" w:eastAsia="仿宋_GB2312" w:cs="仿宋_GB2312"/>
                <w:color w:val="000000"/>
              </w:rPr>
            </w:pPr>
            <w:r>
              <w:rPr>
                <w:rFonts w:hint="eastAsia" w:ascii="仿宋_GB2312" w:hAnsi="仿宋_GB2312" w:eastAsia="仿宋_GB2312" w:cs="仿宋_GB2312"/>
                <w:color w:val="000000"/>
              </w:rPr>
              <w:t>（元）</w:t>
            </w:r>
          </w:p>
        </w:tc>
        <w:tc>
          <w:tcPr>
            <w:tcW w:w="1448" w:type="dxa"/>
            <w:tcBorders>
              <w:top w:val="single" w:color="auto" w:sz="4" w:space="0"/>
              <w:left w:val="single" w:color="auto" w:sz="4" w:space="0"/>
              <w:bottom w:val="single" w:color="auto" w:sz="4" w:space="0"/>
              <w:right w:val="single" w:color="auto" w:sz="4" w:space="0"/>
            </w:tcBorders>
            <w:vAlign w:val="center"/>
          </w:tcPr>
          <w:p w14:paraId="14A939B2">
            <w:pPr>
              <w:jc w:val="center"/>
              <w:rPr>
                <w:rFonts w:ascii="仿宋_GB2312" w:hAnsi="仿宋_GB2312" w:eastAsia="仿宋_GB2312" w:cs="仿宋_GB2312"/>
                <w:color w:val="000000"/>
              </w:rPr>
            </w:pPr>
            <w:r>
              <w:rPr>
                <w:rFonts w:hint="eastAsia" w:ascii="仿宋_GB2312" w:hAnsi="仿宋_GB2312" w:eastAsia="仿宋_GB2312" w:cs="仿宋_GB2312"/>
                <w:color w:val="000000"/>
              </w:rPr>
              <w:t>交货时间</w:t>
            </w:r>
          </w:p>
        </w:tc>
        <w:tc>
          <w:tcPr>
            <w:tcW w:w="2031" w:type="dxa"/>
            <w:tcBorders>
              <w:top w:val="single" w:color="auto" w:sz="4" w:space="0"/>
              <w:left w:val="single" w:color="auto" w:sz="4" w:space="0"/>
              <w:bottom w:val="single" w:color="auto" w:sz="4" w:space="0"/>
              <w:right w:val="single" w:color="auto" w:sz="4" w:space="0"/>
            </w:tcBorders>
            <w:vAlign w:val="center"/>
          </w:tcPr>
          <w:p w14:paraId="596D7CF3">
            <w:pPr>
              <w:jc w:val="center"/>
              <w:rPr>
                <w:rFonts w:ascii="仿宋_GB2312" w:hAnsi="仿宋_GB2312" w:eastAsia="仿宋_GB2312" w:cs="仿宋_GB2312"/>
                <w:color w:val="000000"/>
              </w:rPr>
            </w:pPr>
            <w:r>
              <w:rPr>
                <w:rFonts w:hint="eastAsia" w:ascii="仿宋_GB2312" w:hAnsi="仿宋_GB2312" w:eastAsia="仿宋_GB2312" w:cs="仿宋_GB2312"/>
                <w:color w:val="000000"/>
              </w:rPr>
              <w:t>交货地点</w:t>
            </w:r>
          </w:p>
        </w:tc>
      </w:tr>
      <w:tr w14:paraId="6EAE4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621" w:hRule="atLeast"/>
          <w:jc w:val="center"/>
        </w:trPr>
        <w:tc>
          <w:tcPr>
            <w:tcW w:w="1222" w:type="dxa"/>
            <w:tcBorders>
              <w:top w:val="single" w:color="auto" w:sz="4" w:space="0"/>
              <w:left w:val="single" w:color="auto" w:sz="4" w:space="0"/>
              <w:bottom w:val="single" w:color="auto" w:sz="4" w:space="0"/>
              <w:right w:val="single" w:color="auto" w:sz="4" w:space="0"/>
            </w:tcBorders>
            <w:vAlign w:val="center"/>
          </w:tcPr>
          <w:p w14:paraId="6BF9AD71">
            <w:pPr>
              <w:jc w:val="center"/>
              <w:rPr>
                <w:rFonts w:ascii="仿宋_GB2312" w:hAnsi="仿宋_GB2312" w:eastAsia="仿宋_GB2312" w:cs="仿宋_GB2312"/>
                <w:color w:val="000000"/>
              </w:rPr>
            </w:pPr>
          </w:p>
        </w:tc>
        <w:tc>
          <w:tcPr>
            <w:tcW w:w="1599" w:type="dxa"/>
            <w:tcBorders>
              <w:top w:val="single" w:color="auto" w:sz="4" w:space="0"/>
              <w:left w:val="single" w:color="auto" w:sz="4" w:space="0"/>
              <w:bottom w:val="single" w:color="auto" w:sz="4" w:space="0"/>
              <w:right w:val="single" w:color="auto" w:sz="4" w:space="0"/>
            </w:tcBorders>
            <w:vAlign w:val="center"/>
          </w:tcPr>
          <w:p w14:paraId="368C52CC">
            <w:pPr>
              <w:jc w:val="center"/>
              <w:rPr>
                <w:rFonts w:ascii="仿宋_GB2312" w:hAnsi="仿宋_GB2312" w:eastAsia="仿宋_GB2312" w:cs="仿宋_GB2312"/>
                <w:color w:val="000000"/>
              </w:rPr>
            </w:pPr>
          </w:p>
        </w:tc>
        <w:tc>
          <w:tcPr>
            <w:tcW w:w="905" w:type="dxa"/>
            <w:tcBorders>
              <w:top w:val="single" w:color="auto" w:sz="4" w:space="0"/>
              <w:left w:val="single" w:color="auto" w:sz="4" w:space="0"/>
              <w:bottom w:val="single" w:color="auto" w:sz="4" w:space="0"/>
              <w:right w:val="single" w:color="auto" w:sz="4" w:space="0"/>
            </w:tcBorders>
            <w:vAlign w:val="center"/>
          </w:tcPr>
          <w:p w14:paraId="7138038C">
            <w:pPr>
              <w:jc w:val="center"/>
              <w:rPr>
                <w:rFonts w:ascii="仿宋_GB2312" w:hAnsi="仿宋_GB2312" w:eastAsia="仿宋_GB2312" w:cs="仿宋_GB2312"/>
                <w:color w:val="000000"/>
              </w:rPr>
            </w:pPr>
          </w:p>
        </w:tc>
        <w:tc>
          <w:tcPr>
            <w:tcW w:w="926" w:type="dxa"/>
            <w:tcBorders>
              <w:top w:val="single" w:color="auto" w:sz="4" w:space="0"/>
              <w:left w:val="single" w:color="auto" w:sz="4" w:space="0"/>
              <w:bottom w:val="single" w:color="auto" w:sz="4" w:space="0"/>
              <w:right w:val="single" w:color="auto" w:sz="4" w:space="0"/>
            </w:tcBorders>
            <w:vAlign w:val="center"/>
          </w:tcPr>
          <w:p w14:paraId="7D253F32">
            <w:pPr>
              <w:jc w:val="center"/>
              <w:rPr>
                <w:rFonts w:ascii="仿宋_GB2312" w:hAnsi="仿宋_GB2312" w:eastAsia="仿宋_GB2312" w:cs="仿宋_GB2312"/>
                <w:color w:val="000000"/>
              </w:rPr>
            </w:pPr>
          </w:p>
        </w:tc>
        <w:tc>
          <w:tcPr>
            <w:tcW w:w="905" w:type="dxa"/>
            <w:tcBorders>
              <w:top w:val="single" w:color="auto" w:sz="4" w:space="0"/>
              <w:left w:val="single" w:color="auto" w:sz="4" w:space="0"/>
              <w:bottom w:val="single" w:color="auto" w:sz="4" w:space="0"/>
              <w:right w:val="single" w:color="auto" w:sz="4" w:space="0"/>
            </w:tcBorders>
            <w:vAlign w:val="center"/>
          </w:tcPr>
          <w:p w14:paraId="7333989C">
            <w:pPr>
              <w:jc w:val="center"/>
              <w:rPr>
                <w:rFonts w:ascii="仿宋_GB2312" w:hAnsi="仿宋_GB2312" w:eastAsia="仿宋_GB2312" w:cs="仿宋_GB2312"/>
                <w:color w:val="000000"/>
              </w:rPr>
            </w:pPr>
          </w:p>
        </w:tc>
        <w:tc>
          <w:tcPr>
            <w:tcW w:w="1448" w:type="dxa"/>
            <w:tcBorders>
              <w:top w:val="single" w:color="auto" w:sz="4" w:space="0"/>
              <w:left w:val="single" w:color="auto" w:sz="4" w:space="0"/>
              <w:bottom w:val="single" w:color="auto" w:sz="4" w:space="0"/>
              <w:right w:val="single" w:color="auto" w:sz="4" w:space="0"/>
            </w:tcBorders>
            <w:vAlign w:val="center"/>
          </w:tcPr>
          <w:p w14:paraId="704D4CCA">
            <w:pPr>
              <w:jc w:val="center"/>
              <w:rPr>
                <w:rFonts w:ascii="仿宋_GB2312" w:hAnsi="仿宋_GB2312" w:eastAsia="仿宋_GB2312" w:cs="仿宋_GB2312"/>
                <w:color w:val="000000"/>
              </w:rPr>
            </w:pPr>
          </w:p>
        </w:tc>
        <w:tc>
          <w:tcPr>
            <w:tcW w:w="2031" w:type="dxa"/>
            <w:tcBorders>
              <w:top w:val="single" w:color="auto" w:sz="4" w:space="0"/>
              <w:left w:val="single" w:color="auto" w:sz="4" w:space="0"/>
              <w:bottom w:val="single" w:color="auto" w:sz="4" w:space="0"/>
              <w:right w:val="single" w:color="auto" w:sz="4" w:space="0"/>
            </w:tcBorders>
            <w:vAlign w:val="center"/>
          </w:tcPr>
          <w:p w14:paraId="4E5D9AA3">
            <w:pPr>
              <w:jc w:val="center"/>
              <w:rPr>
                <w:rFonts w:ascii="仿宋_GB2312" w:hAnsi="仿宋_GB2312" w:eastAsia="仿宋_GB2312" w:cs="仿宋_GB2312"/>
                <w:color w:val="000000"/>
              </w:rPr>
            </w:pPr>
          </w:p>
        </w:tc>
      </w:tr>
      <w:tr w14:paraId="54C90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601" w:hRule="atLeast"/>
          <w:jc w:val="center"/>
        </w:trPr>
        <w:tc>
          <w:tcPr>
            <w:tcW w:w="1222" w:type="dxa"/>
            <w:tcBorders>
              <w:top w:val="single" w:color="auto" w:sz="4" w:space="0"/>
              <w:left w:val="single" w:color="auto" w:sz="4" w:space="0"/>
              <w:bottom w:val="single" w:color="auto" w:sz="4" w:space="0"/>
              <w:right w:val="single" w:color="auto" w:sz="4" w:space="0"/>
            </w:tcBorders>
            <w:vAlign w:val="center"/>
          </w:tcPr>
          <w:p w14:paraId="33003C2B">
            <w:pPr>
              <w:jc w:val="center"/>
              <w:rPr>
                <w:rFonts w:ascii="仿宋_GB2312" w:hAnsi="仿宋_GB2312" w:eastAsia="仿宋_GB2312" w:cs="仿宋_GB2312"/>
                <w:color w:val="000000"/>
              </w:rPr>
            </w:pPr>
          </w:p>
        </w:tc>
        <w:tc>
          <w:tcPr>
            <w:tcW w:w="1599" w:type="dxa"/>
            <w:tcBorders>
              <w:top w:val="single" w:color="auto" w:sz="4" w:space="0"/>
              <w:left w:val="single" w:color="auto" w:sz="4" w:space="0"/>
              <w:bottom w:val="single" w:color="auto" w:sz="4" w:space="0"/>
              <w:right w:val="single" w:color="auto" w:sz="4" w:space="0"/>
            </w:tcBorders>
            <w:vAlign w:val="center"/>
          </w:tcPr>
          <w:p w14:paraId="5C2C2081">
            <w:pPr>
              <w:jc w:val="center"/>
              <w:rPr>
                <w:rFonts w:ascii="仿宋_GB2312" w:hAnsi="仿宋_GB2312" w:eastAsia="仿宋_GB2312" w:cs="仿宋_GB2312"/>
                <w:color w:val="000000"/>
              </w:rPr>
            </w:pPr>
          </w:p>
        </w:tc>
        <w:tc>
          <w:tcPr>
            <w:tcW w:w="905" w:type="dxa"/>
            <w:tcBorders>
              <w:top w:val="single" w:color="auto" w:sz="4" w:space="0"/>
              <w:left w:val="single" w:color="auto" w:sz="4" w:space="0"/>
              <w:bottom w:val="single" w:color="auto" w:sz="4" w:space="0"/>
              <w:right w:val="single" w:color="auto" w:sz="4" w:space="0"/>
            </w:tcBorders>
            <w:vAlign w:val="center"/>
          </w:tcPr>
          <w:p w14:paraId="27610294">
            <w:pPr>
              <w:jc w:val="center"/>
              <w:rPr>
                <w:rFonts w:ascii="仿宋_GB2312" w:hAnsi="仿宋_GB2312" w:eastAsia="仿宋_GB2312" w:cs="仿宋_GB2312"/>
                <w:color w:val="000000"/>
              </w:rPr>
            </w:pPr>
          </w:p>
        </w:tc>
        <w:tc>
          <w:tcPr>
            <w:tcW w:w="926" w:type="dxa"/>
            <w:tcBorders>
              <w:top w:val="single" w:color="auto" w:sz="4" w:space="0"/>
              <w:left w:val="single" w:color="auto" w:sz="4" w:space="0"/>
              <w:bottom w:val="single" w:color="auto" w:sz="4" w:space="0"/>
              <w:right w:val="single" w:color="auto" w:sz="4" w:space="0"/>
            </w:tcBorders>
            <w:vAlign w:val="center"/>
          </w:tcPr>
          <w:p w14:paraId="23B931F3">
            <w:pPr>
              <w:jc w:val="center"/>
              <w:rPr>
                <w:rFonts w:ascii="仿宋_GB2312" w:hAnsi="仿宋_GB2312" w:eastAsia="仿宋_GB2312" w:cs="仿宋_GB2312"/>
                <w:color w:val="000000"/>
              </w:rPr>
            </w:pPr>
          </w:p>
        </w:tc>
        <w:tc>
          <w:tcPr>
            <w:tcW w:w="905" w:type="dxa"/>
            <w:tcBorders>
              <w:top w:val="single" w:color="auto" w:sz="4" w:space="0"/>
              <w:left w:val="single" w:color="auto" w:sz="4" w:space="0"/>
              <w:bottom w:val="single" w:color="auto" w:sz="4" w:space="0"/>
              <w:right w:val="single" w:color="auto" w:sz="4" w:space="0"/>
            </w:tcBorders>
            <w:vAlign w:val="center"/>
          </w:tcPr>
          <w:p w14:paraId="5FC8999F">
            <w:pPr>
              <w:jc w:val="center"/>
              <w:rPr>
                <w:rFonts w:ascii="仿宋_GB2312" w:hAnsi="仿宋_GB2312" w:eastAsia="仿宋_GB2312" w:cs="仿宋_GB2312"/>
                <w:color w:val="000000"/>
              </w:rPr>
            </w:pPr>
          </w:p>
        </w:tc>
        <w:tc>
          <w:tcPr>
            <w:tcW w:w="1448" w:type="dxa"/>
            <w:tcBorders>
              <w:top w:val="single" w:color="auto" w:sz="4" w:space="0"/>
              <w:left w:val="single" w:color="auto" w:sz="4" w:space="0"/>
              <w:bottom w:val="single" w:color="auto" w:sz="4" w:space="0"/>
              <w:right w:val="single" w:color="auto" w:sz="4" w:space="0"/>
            </w:tcBorders>
            <w:vAlign w:val="center"/>
          </w:tcPr>
          <w:p w14:paraId="33C38C0F">
            <w:pPr>
              <w:jc w:val="center"/>
              <w:rPr>
                <w:rFonts w:ascii="仿宋_GB2312" w:hAnsi="仿宋_GB2312" w:eastAsia="仿宋_GB2312" w:cs="仿宋_GB2312"/>
                <w:color w:val="000000"/>
              </w:rPr>
            </w:pPr>
          </w:p>
        </w:tc>
        <w:tc>
          <w:tcPr>
            <w:tcW w:w="2031" w:type="dxa"/>
            <w:tcBorders>
              <w:top w:val="single" w:color="auto" w:sz="4" w:space="0"/>
              <w:left w:val="single" w:color="auto" w:sz="4" w:space="0"/>
              <w:bottom w:val="single" w:color="auto" w:sz="4" w:space="0"/>
              <w:right w:val="single" w:color="auto" w:sz="4" w:space="0"/>
            </w:tcBorders>
            <w:vAlign w:val="center"/>
          </w:tcPr>
          <w:p w14:paraId="6F02FB4E">
            <w:pPr>
              <w:jc w:val="center"/>
              <w:rPr>
                <w:rFonts w:ascii="仿宋_GB2312" w:hAnsi="仿宋_GB2312" w:eastAsia="仿宋_GB2312" w:cs="仿宋_GB2312"/>
                <w:color w:val="000000"/>
              </w:rPr>
            </w:pPr>
          </w:p>
        </w:tc>
      </w:tr>
      <w:tr w14:paraId="6636F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623" w:hRule="atLeast"/>
          <w:jc w:val="center"/>
        </w:trPr>
        <w:tc>
          <w:tcPr>
            <w:tcW w:w="1222" w:type="dxa"/>
            <w:tcBorders>
              <w:top w:val="single" w:color="auto" w:sz="4" w:space="0"/>
              <w:left w:val="single" w:color="auto" w:sz="4" w:space="0"/>
              <w:bottom w:val="single" w:color="auto" w:sz="4" w:space="0"/>
              <w:right w:val="single" w:color="auto" w:sz="4" w:space="0"/>
            </w:tcBorders>
            <w:vAlign w:val="center"/>
          </w:tcPr>
          <w:p w14:paraId="16D41EE7">
            <w:pPr>
              <w:jc w:val="center"/>
              <w:rPr>
                <w:rFonts w:ascii="仿宋_GB2312" w:hAnsi="仿宋_GB2312" w:eastAsia="仿宋_GB2312" w:cs="仿宋_GB2312"/>
                <w:color w:val="000000"/>
              </w:rPr>
            </w:pPr>
          </w:p>
        </w:tc>
        <w:tc>
          <w:tcPr>
            <w:tcW w:w="1599" w:type="dxa"/>
            <w:tcBorders>
              <w:top w:val="single" w:color="auto" w:sz="4" w:space="0"/>
              <w:left w:val="single" w:color="auto" w:sz="4" w:space="0"/>
              <w:bottom w:val="single" w:color="auto" w:sz="4" w:space="0"/>
              <w:right w:val="single" w:color="auto" w:sz="4" w:space="0"/>
            </w:tcBorders>
            <w:vAlign w:val="center"/>
          </w:tcPr>
          <w:p w14:paraId="1294DCE2">
            <w:pPr>
              <w:jc w:val="center"/>
              <w:rPr>
                <w:rFonts w:ascii="仿宋_GB2312" w:hAnsi="仿宋_GB2312" w:eastAsia="仿宋_GB2312" w:cs="仿宋_GB2312"/>
                <w:color w:val="000000"/>
              </w:rPr>
            </w:pPr>
          </w:p>
        </w:tc>
        <w:tc>
          <w:tcPr>
            <w:tcW w:w="905" w:type="dxa"/>
            <w:tcBorders>
              <w:top w:val="single" w:color="auto" w:sz="4" w:space="0"/>
              <w:left w:val="single" w:color="auto" w:sz="4" w:space="0"/>
              <w:bottom w:val="single" w:color="auto" w:sz="4" w:space="0"/>
              <w:right w:val="single" w:color="auto" w:sz="4" w:space="0"/>
            </w:tcBorders>
            <w:vAlign w:val="center"/>
          </w:tcPr>
          <w:p w14:paraId="19D1088B">
            <w:pPr>
              <w:jc w:val="center"/>
              <w:rPr>
                <w:rFonts w:ascii="仿宋_GB2312" w:hAnsi="仿宋_GB2312" w:eastAsia="仿宋_GB2312" w:cs="仿宋_GB2312"/>
                <w:color w:val="000000"/>
              </w:rPr>
            </w:pPr>
          </w:p>
        </w:tc>
        <w:tc>
          <w:tcPr>
            <w:tcW w:w="926" w:type="dxa"/>
            <w:tcBorders>
              <w:top w:val="single" w:color="auto" w:sz="4" w:space="0"/>
              <w:left w:val="single" w:color="auto" w:sz="4" w:space="0"/>
              <w:bottom w:val="single" w:color="auto" w:sz="4" w:space="0"/>
              <w:right w:val="single" w:color="auto" w:sz="4" w:space="0"/>
            </w:tcBorders>
            <w:vAlign w:val="center"/>
          </w:tcPr>
          <w:p w14:paraId="2CCFBBB5">
            <w:pPr>
              <w:jc w:val="center"/>
              <w:rPr>
                <w:rFonts w:ascii="仿宋_GB2312" w:hAnsi="仿宋_GB2312" w:eastAsia="仿宋_GB2312" w:cs="仿宋_GB2312"/>
                <w:color w:val="000000"/>
              </w:rPr>
            </w:pPr>
          </w:p>
        </w:tc>
        <w:tc>
          <w:tcPr>
            <w:tcW w:w="905" w:type="dxa"/>
            <w:tcBorders>
              <w:top w:val="single" w:color="auto" w:sz="4" w:space="0"/>
              <w:left w:val="single" w:color="auto" w:sz="4" w:space="0"/>
              <w:bottom w:val="single" w:color="auto" w:sz="4" w:space="0"/>
              <w:right w:val="single" w:color="auto" w:sz="4" w:space="0"/>
            </w:tcBorders>
            <w:vAlign w:val="center"/>
          </w:tcPr>
          <w:p w14:paraId="1B27AC68">
            <w:pPr>
              <w:jc w:val="center"/>
              <w:rPr>
                <w:rFonts w:ascii="仿宋_GB2312" w:hAnsi="仿宋_GB2312" w:eastAsia="仿宋_GB2312" w:cs="仿宋_GB2312"/>
                <w:color w:val="000000"/>
              </w:rPr>
            </w:pPr>
          </w:p>
        </w:tc>
        <w:tc>
          <w:tcPr>
            <w:tcW w:w="1448" w:type="dxa"/>
            <w:tcBorders>
              <w:top w:val="single" w:color="auto" w:sz="4" w:space="0"/>
              <w:left w:val="single" w:color="auto" w:sz="4" w:space="0"/>
              <w:bottom w:val="single" w:color="auto" w:sz="4" w:space="0"/>
              <w:right w:val="single" w:color="auto" w:sz="4" w:space="0"/>
            </w:tcBorders>
            <w:vAlign w:val="center"/>
          </w:tcPr>
          <w:p w14:paraId="17A65BF9">
            <w:pPr>
              <w:jc w:val="center"/>
              <w:rPr>
                <w:rFonts w:ascii="仿宋_GB2312" w:hAnsi="仿宋_GB2312" w:eastAsia="仿宋_GB2312" w:cs="仿宋_GB2312"/>
                <w:color w:val="000000"/>
              </w:rPr>
            </w:pPr>
          </w:p>
        </w:tc>
        <w:tc>
          <w:tcPr>
            <w:tcW w:w="2031" w:type="dxa"/>
            <w:tcBorders>
              <w:top w:val="single" w:color="auto" w:sz="4" w:space="0"/>
              <w:left w:val="single" w:color="auto" w:sz="4" w:space="0"/>
              <w:bottom w:val="single" w:color="auto" w:sz="4" w:space="0"/>
              <w:right w:val="single" w:color="auto" w:sz="4" w:space="0"/>
            </w:tcBorders>
            <w:vAlign w:val="center"/>
          </w:tcPr>
          <w:p w14:paraId="713DDD0B">
            <w:pPr>
              <w:jc w:val="center"/>
              <w:rPr>
                <w:rFonts w:ascii="仿宋_GB2312" w:hAnsi="仿宋_GB2312" w:eastAsia="仿宋_GB2312" w:cs="仿宋_GB2312"/>
                <w:color w:val="000000"/>
              </w:rPr>
            </w:pPr>
          </w:p>
        </w:tc>
      </w:tr>
      <w:tr w14:paraId="5B348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617" w:hRule="atLeast"/>
          <w:jc w:val="center"/>
        </w:trPr>
        <w:tc>
          <w:tcPr>
            <w:tcW w:w="1222" w:type="dxa"/>
            <w:tcBorders>
              <w:top w:val="single" w:color="auto" w:sz="4" w:space="0"/>
              <w:left w:val="single" w:color="auto" w:sz="4" w:space="0"/>
              <w:bottom w:val="single" w:color="auto" w:sz="4" w:space="0"/>
              <w:right w:val="single" w:color="auto" w:sz="4" w:space="0"/>
            </w:tcBorders>
            <w:vAlign w:val="center"/>
          </w:tcPr>
          <w:p w14:paraId="468169C5">
            <w:pPr>
              <w:jc w:val="center"/>
              <w:rPr>
                <w:rFonts w:ascii="仿宋_GB2312" w:hAnsi="仿宋_GB2312" w:eastAsia="仿宋_GB2312" w:cs="仿宋_GB2312"/>
                <w:color w:val="000000"/>
              </w:rPr>
            </w:pPr>
          </w:p>
        </w:tc>
        <w:tc>
          <w:tcPr>
            <w:tcW w:w="1599" w:type="dxa"/>
            <w:tcBorders>
              <w:top w:val="single" w:color="auto" w:sz="4" w:space="0"/>
              <w:left w:val="single" w:color="auto" w:sz="4" w:space="0"/>
              <w:bottom w:val="single" w:color="auto" w:sz="4" w:space="0"/>
              <w:right w:val="single" w:color="auto" w:sz="4" w:space="0"/>
            </w:tcBorders>
            <w:vAlign w:val="center"/>
          </w:tcPr>
          <w:p w14:paraId="2B06233A">
            <w:pPr>
              <w:jc w:val="center"/>
              <w:rPr>
                <w:rFonts w:ascii="仿宋_GB2312" w:hAnsi="仿宋_GB2312" w:eastAsia="仿宋_GB2312" w:cs="仿宋_GB2312"/>
                <w:color w:val="000000"/>
              </w:rPr>
            </w:pPr>
          </w:p>
        </w:tc>
        <w:tc>
          <w:tcPr>
            <w:tcW w:w="905" w:type="dxa"/>
            <w:tcBorders>
              <w:top w:val="single" w:color="auto" w:sz="4" w:space="0"/>
              <w:left w:val="single" w:color="auto" w:sz="4" w:space="0"/>
              <w:bottom w:val="single" w:color="auto" w:sz="4" w:space="0"/>
              <w:right w:val="single" w:color="auto" w:sz="4" w:space="0"/>
            </w:tcBorders>
            <w:vAlign w:val="center"/>
          </w:tcPr>
          <w:p w14:paraId="15B54D17">
            <w:pPr>
              <w:jc w:val="center"/>
              <w:rPr>
                <w:rFonts w:ascii="仿宋_GB2312" w:hAnsi="仿宋_GB2312" w:eastAsia="仿宋_GB2312" w:cs="仿宋_GB2312"/>
                <w:color w:val="000000"/>
              </w:rPr>
            </w:pPr>
          </w:p>
        </w:tc>
        <w:tc>
          <w:tcPr>
            <w:tcW w:w="926" w:type="dxa"/>
            <w:tcBorders>
              <w:top w:val="single" w:color="auto" w:sz="4" w:space="0"/>
              <w:left w:val="single" w:color="auto" w:sz="4" w:space="0"/>
              <w:bottom w:val="single" w:color="auto" w:sz="4" w:space="0"/>
              <w:right w:val="single" w:color="auto" w:sz="4" w:space="0"/>
            </w:tcBorders>
            <w:vAlign w:val="center"/>
          </w:tcPr>
          <w:p w14:paraId="6FA94026">
            <w:pPr>
              <w:jc w:val="center"/>
              <w:rPr>
                <w:rFonts w:ascii="仿宋_GB2312" w:hAnsi="仿宋_GB2312" w:eastAsia="仿宋_GB2312" w:cs="仿宋_GB2312"/>
                <w:color w:val="000000"/>
              </w:rPr>
            </w:pPr>
          </w:p>
        </w:tc>
        <w:tc>
          <w:tcPr>
            <w:tcW w:w="905" w:type="dxa"/>
            <w:tcBorders>
              <w:top w:val="single" w:color="auto" w:sz="4" w:space="0"/>
              <w:left w:val="single" w:color="auto" w:sz="4" w:space="0"/>
              <w:bottom w:val="single" w:color="auto" w:sz="4" w:space="0"/>
              <w:right w:val="single" w:color="auto" w:sz="4" w:space="0"/>
            </w:tcBorders>
            <w:vAlign w:val="center"/>
          </w:tcPr>
          <w:p w14:paraId="2C858712">
            <w:pPr>
              <w:jc w:val="center"/>
              <w:rPr>
                <w:rFonts w:ascii="仿宋_GB2312" w:hAnsi="仿宋_GB2312" w:eastAsia="仿宋_GB2312" w:cs="仿宋_GB2312"/>
                <w:color w:val="000000"/>
              </w:rPr>
            </w:pPr>
          </w:p>
        </w:tc>
        <w:tc>
          <w:tcPr>
            <w:tcW w:w="1448" w:type="dxa"/>
            <w:tcBorders>
              <w:top w:val="single" w:color="auto" w:sz="4" w:space="0"/>
              <w:left w:val="single" w:color="auto" w:sz="4" w:space="0"/>
              <w:bottom w:val="single" w:color="auto" w:sz="4" w:space="0"/>
              <w:right w:val="single" w:color="auto" w:sz="4" w:space="0"/>
            </w:tcBorders>
            <w:vAlign w:val="center"/>
          </w:tcPr>
          <w:p w14:paraId="3DD7C4E6">
            <w:pPr>
              <w:jc w:val="center"/>
              <w:rPr>
                <w:rFonts w:ascii="仿宋_GB2312" w:hAnsi="仿宋_GB2312" w:eastAsia="仿宋_GB2312" w:cs="仿宋_GB2312"/>
                <w:color w:val="000000"/>
              </w:rPr>
            </w:pPr>
          </w:p>
        </w:tc>
        <w:tc>
          <w:tcPr>
            <w:tcW w:w="2031" w:type="dxa"/>
            <w:tcBorders>
              <w:top w:val="single" w:color="auto" w:sz="4" w:space="0"/>
              <w:left w:val="single" w:color="auto" w:sz="4" w:space="0"/>
              <w:bottom w:val="single" w:color="auto" w:sz="4" w:space="0"/>
              <w:right w:val="single" w:color="auto" w:sz="4" w:space="0"/>
            </w:tcBorders>
            <w:vAlign w:val="center"/>
          </w:tcPr>
          <w:p w14:paraId="69BE4141">
            <w:pPr>
              <w:jc w:val="center"/>
              <w:rPr>
                <w:rFonts w:ascii="仿宋_GB2312" w:hAnsi="仿宋_GB2312" w:eastAsia="仿宋_GB2312" w:cs="仿宋_GB2312"/>
                <w:color w:val="000000"/>
              </w:rPr>
            </w:pPr>
          </w:p>
        </w:tc>
      </w:tr>
      <w:tr w14:paraId="1ED62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611" w:hRule="atLeast"/>
          <w:jc w:val="center"/>
        </w:trPr>
        <w:tc>
          <w:tcPr>
            <w:tcW w:w="1222" w:type="dxa"/>
            <w:tcBorders>
              <w:top w:val="single" w:color="auto" w:sz="4" w:space="0"/>
              <w:left w:val="single" w:color="auto" w:sz="4" w:space="0"/>
              <w:bottom w:val="single" w:color="auto" w:sz="4" w:space="0"/>
              <w:right w:val="single" w:color="auto" w:sz="4" w:space="0"/>
            </w:tcBorders>
            <w:vAlign w:val="center"/>
          </w:tcPr>
          <w:p w14:paraId="373DC920">
            <w:pPr>
              <w:jc w:val="center"/>
              <w:rPr>
                <w:rFonts w:ascii="仿宋_GB2312" w:hAnsi="仿宋_GB2312" w:eastAsia="仿宋_GB2312" w:cs="仿宋_GB2312"/>
                <w:color w:val="000000"/>
              </w:rPr>
            </w:pPr>
          </w:p>
        </w:tc>
        <w:tc>
          <w:tcPr>
            <w:tcW w:w="1599" w:type="dxa"/>
            <w:tcBorders>
              <w:top w:val="single" w:color="auto" w:sz="4" w:space="0"/>
              <w:left w:val="single" w:color="auto" w:sz="4" w:space="0"/>
              <w:bottom w:val="single" w:color="auto" w:sz="4" w:space="0"/>
              <w:right w:val="single" w:color="auto" w:sz="4" w:space="0"/>
            </w:tcBorders>
            <w:vAlign w:val="center"/>
          </w:tcPr>
          <w:p w14:paraId="28EEFCE0">
            <w:pPr>
              <w:jc w:val="center"/>
              <w:rPr>
                <w:rFonts w:ascii="仿宋_GB2312" w:hAnsi="仿宋_GB2312" w:eastAsia="仿宋_GB2312" w:cs="仿宋_GB2312"/>
                <w:color w:val="000000"/>
              </w:rPr>
            </w:pPr>
          </w:p>
        </w:tc>
        <w:tc>
          <w:tcPr>
            <w:tcW w:w="905" w:type="dxa"/>
            <w:tcBorders>
              <w:top w:val="single" w:color="auto" w:sz="4" w:space="0"/>
              <w:left w:val="single" w:color="auto" w:sz="4" w:space="0"/>
              <w:bottom w:val="single" w:color="auto" w:sz="4" w:space="0"/>
              <w:right w:val="single" w:color="auto" w:sz="4" w:space="0"/>
            </w:tcBorders>
            <w:vAlign w:val="center"/>
          </w:tcPr>
          <w:p w14:paraId="712D2FC6">
            <w:pPr>
              <w:jc w:val="center"/>
              <w:rPr>
                <w:rFonts w:ascii="仿宋_GB2312" w:hAnsi="仿宋_GB2312" w:eastAsia="仿宋_GB2312" w:cs="仿宋_GB2312"/>
                <w:color w:val="000000"/>
              </w:rPr>
            </w:pPr>
          </w:p>
        </w:tc>
        <w:tc>
          <w:tcPr>
            <w:tcW w:w="926" w:type="dxa"/>
            <w:tcBorders>
              <w:top w:val="single" w:color="auto" w:sz="4" w:space="0"/>
              <w:left w:val="single" w:color="auto" w:sz="4" w:space="0"/>
              <w:bottom w:val="single" w:color="auto" w:sz="4" w:space="0"/>
              <w:right w:val="single" w:color="auto" w:sz="4" w:space="0"/>
            </w:tcBorders>
            <w:vAlign w:val="center"/>
          </w:tcPr>
          <w:p w14:paraId="23A396D9">
            <w:pPr>
              <w:jc w:val="center"/>
              <w:rPr>
                <w:rFonts w:ascii="仿宋_GB2312" w:hAnsi="仿宋_GB2312" w:eastAsia="仿宋_GB2312" w:cs="仿宋_GB2312"/>
                <w:color w:val="000000"/>
              </w:rPr>
            </w:pPr>
          </w:p>
        </w:tc>
        <w:tc>
          <w:tcPr>
            <w:tcW w:w="905" w:type="dxa"/>
            <w:tcBorders>
              <w:top w:val="single" w:color="auto" w:sz="4" w:space="0"/>
              <w:left w:val="single" w:color="auto" w:sz="4" w:space="0"/>
              <w:bottom w:val="single" w:color="auto" w:sz="4" w:space="0"/>
              <w:right w:val="single" w:color="auto" w:sz="4" w:space="0"/>
            </w:tcBorders>
            <w:vAlign w:val="center"/>
          </w:tcPr>
          <w:p w14:paraId="57BE4C62">
            <w:pPr>
              <w:jc w:val="center"/>
              <w:rPr>
                <w:rFonts w:ascii="仿宋_GB2312" w:hAnsi="仿宋_GB2312" w:eastAsia="仿宋_GB2312" w:cs="仿宋_GB2312"/>
                <w:color w:val="000000"/>
              </w:rPr>
            </w:pPr>
          </w:p>
        </w:tc>
        <w:tc>
          <w:tcPr>
            <w:tcW w:w="1448" w:type="dxa"/>
            <w:tcBorders>
              <w:top w:val="single" w:color="auto" w:sz="4" w:space="0"/>
              <w:left w:val="single" w:color="auto" w:sz="4" w:space="0"/>
              <w:bottom w:val="single" w:color="auto" w:sz="4" w:space="0"/>
              <w:right w:val="single" w:color="auto" w:sz="4" w:space="0"/>
            </w:tcBorders>
            <w:vAlign w:val="center"/>
          </w:tcPr>
          <w:p w14:paraId="5A49511A">
            <w:pPr>
              <w:jc w:val="center"/>
              <w:rPr>
                <w:rFonts w:ascii="仿宋_GB2312" w:hAnsi="仿宋_GB2312" w:eastAsia="仿宋_GB2312" w:cs="仿宋_GB2312"/>
                <w:color w:val="000000"/>
              </w:rPr>
            </w:pPr>
          </w:p>
        </w:tc>
        <w:tc>
          <w:tcPr>
            <w:tcW w:w="2031" w:type="dxa"/>
            <w:tcBorders>
              <w:top w:val="single" w:color="auto" w:sz="4" w:space="0"/>
              <w:left w:val="single" w:color="auto" w:sz="4" w:space="0"/>
              <w:bottom w:val="single" w:color="auto" w:sz="4" w:space="0"/>
              <w:right w:val="single" w:color="auto" w:sz="4" w:space="0"/>
            </w:tcBorders>
            <w:vAlign w:val="center"/>
          </w:tcPr>
          <w:p w14:paraId="3EDD5498">
            <w:pPr>
              <w:jc w:val="center"/>
              <w:rPr>
                <w:rFonts w:ascii="仿宋_GB2312" w:hAnsi="仿宋_GB2312" w:eastAsia="仿宋_GB2312" w:cs="仿宋_GB2312"/>
                <w:color w:val="000000"/>
              </w:rPr>
            </w:pPr>
          </w:p>
        </w:tc>
      </w:tr>
      <w:tr w14:paraId="74F90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604" w:hRule="atLeast"/>
          <w:jc w:val="center"/>
        </w:trPr>
        <w:tc>
          <w:tcPr>
            <w:tcW w:w="1222" w:type="dxa"/>
            <w:tcBorders>
              <w:top w:val="single" w:color="auto" w:sz="4" w:space="0"/>
              <w:left w:val="single" w:color="auto" w:sz="4" w:space="0"/>
              <w:bottom w:val="single" w:color="auto" w:sz="4" w:space="0"/>
              <w:right w:val="single" w:color="auto" w:sz="4" w:space="0"/>
            </w:tcBorders>
            <w:vAlign w:val="center"/>
          </w:tcPr>
          <w:p w14:paraId="39C704AA">
            <w:pPr>
              <w:jc w:val="center"/>
              <w:rPr>
                <w:rFonts w:ascii="仿宋_GB2312" w:hAnsi="仿宋_GB2312" w:eastAsia="仿宋_GB2312" w:cs="仿宋_GB2312"/>
                <w:color w:val="000000"/>
              </w:rPr>
            </w:pPr>
          </w:p>
        </w:tc>
        <w:tc>
          <w:tcPr>
            <w:tcW w:w="1599" w:type="dxa"/>
            <w:tcBorders>
              <w:top w:val="single" w:color="auto" w:sz="4" w:space="0"/>
              <w:left w:val="single" w:color="auto" w:sz="4" w:space="0"/>
              <w:bottom w:val="single" w:color="auto" w:sz="4" w:space="0"/>
              <w:right w:val="single" w:color="auto" w:sz="4" w:space="0"/>
            </w:tcBorders>
            <w:vAlign w:val="center"/>
          </w:tcPr>
          <w:p w14:paraId="5B2D02BB">
            <w:pPr>
              <w:jc w:val="center"/>
              <w:rPr>
                <w:rFonts w:ascii="仿宋_GB2312" w:hAnsi="仿宋_GB2312" w:eastAsia="仿宋_GB2312" w:cs="仿宋_GB2312"/>
                <w:color w:val="000000"/>
              </w:rPr>
            </w:pPr>
          </w:p>
        </w:tc>
        <w:tc>
          <w:tcPr>
            <w:tcW w:w="905" w:type="dxa"/>
            <w:tcBorders>
              <w:top w:val="single" w:color="auto" w:sz="4" w:space="0"/>
              <w:left w:val="single" w:color="auto" w:sz="4" w:space="0"/>
              <w:bottom w:val="single" w:color="auto" w:sz="4" w:space="0"/>
              <w:right w:val="single" w:color="auto" w:sz="4" w:space="0"/>
            </w:tcBorders>
            <w:vAlign w:val="center"/>
          </w:tcPr>
          <w:p w14:paraId="551F4582">
            <w:pPr>
              <w:jc w:val="center"/>
              <w:rPr>
                <w:rFonts w:ascii="仿宋_GB2312" w:hAnsi="仿宋_GB2312" w:eastAsia="仿宋_GB2312" w:cs="仿宋_GB2312"/>
                <w:color w:val="000000"/>
              </w:rPr>
            </w:pPr>
          </w:p>
        </w:tc>
        <w:tc>
          <w:tcPr>
            <w:tcW w:w="926" w:type="dxa"/>
            <w:tcBorders>
              <w:top w:val="single" w:color="auto" w:sz="4" w:space="0"/>
              <w:left w:val="single" w:color="auto" w:sz="4" w:space="0"/>
              <w:bottom w:val="single" w:color="auto" w:sz="4" w:space="0"/>
              <w:right w:val="single" w:color="auto" w:sz="4" w:space="0"/>
            </w:tcBorders>
            <w:vAlign w:val="center"/>
          </w:tcPr>
          <w:p w14:paraId="66027425">
            <w:pPr>
              <w:jc w:val="center"/>
              <w:rPr>
                <w:rFonts w:ascii="仿宋_GB2312" w:hAnsi="仿宋_GB2312" w:eastAsia="仿宋_GB2312" w:cs="仿宋_GB2312"/>
                <w:color w:val="000000"/>
              </w:rPr>
            </w:pPr>
          </w:p>
        </w:tc>
        <w:tc>
          <w:tcPr>
            <w:tcW w:w="905" w:type="dxa"/>
            <w:tcBorders>
              <w:top w:val="single" w:color="auto" w:sz="4" w:space="0"/>
              <w:left w:val="single" w:color="auto" w:sz="4" w:space="0"/>
              <w:bottom w:val="single" w:color="auto" w:sz="4" w:space="0"/>
              <w:right w:val="single" w:color="auto" w:sz="4" w:space="0"/>
            </w:tcBorders>
            <w:vAlign w:val="center"/>
          </w:tcPr>
          <w:p w14:paraId="38C8A701">
            <w:pPr>
              <w:jc w:val="center"/>
              <w:rPr>
                <w:rFonts w:ascii="仿宋_GB2312" w:hAnsi="仿宋_GB2312" w:eastAsia="仿宋_GB2312" w:cs="仿宋_GB2312"/>
                <w:color w:val="000000"/>
              </w:rPr>
            </w:pPr>
          </w:p>
        </w:tc>
        <w:tc>
          <w:tcPr>
            <w:tcW w:w="1448" w:type="dxa"/>
            <w:tcBorders>
              <w:top w:val="single" w:color="auto" w:sz="4" w:space="0"/>
              <w:left w:val="single" w:color="auto" w:sz="4" w:space="0"/>
              <w:bottom w:val="single" w:color="auto" w:sz="4" w:space="0"/>
              <w:right w:val="single" w:color="auto" w:sz="4" w:space="0"/>
            </w:tcBorders>
            <w:vAlign w:val="center"/>
          </w:tcPr>
          <w:p w14:paraId="52C3E44C">
            <w:pPr>
              <w:jc w:val="center"/>
              <w:rPr>
                <w:rFonts w:ascii="仿宋_GB2312" w:hAnsi="仿宋_GB2312" w:eastAsia="仿宋_GB2312" w:cs="仿宋_GB2312"/>
                <w:color w:val="000000"/>
              </w:rPr>
            </w:pPr>
          </w:p>
        </w:tc>
        <w:tc>
          <w:tcPr>
            <w:tcW w:w="2031" w:type="dxa"/>
            <w:tcBorders>
              <w:top w:val="single" w:color="auto" w:sz="4" w:space="0"/>
              <w:left w:val="single" w:color="auto" w:sz="4" w:space="0"/>
              <w:bottom w:val="single" w:color="auto" w:sz="4" w:space="0"/>
              <w:right w:val="single" w:color="auto" w:sz="4" w:space="0"/>
            </w:tcBorders>
            <w:vAlign w:val="center"/>
          </w:tcPr>
          <w:p w14:paraId="3DB97FE3">
            <w:pPr>
              <w:jc w:val="center"/>
              <w:rPr>
                <w:rFonts w:ascii="仿宋_GB2312" w:hAnsi="仿宋_GB2312" w:eastAsia="仿宋_GB2312" w:cs="仿宋_GB2312"/>
                <w:color w:val="000000"/>
              </w:rPr>
            </w:pPr>
          </w:p>
        </w:tc>
      </w:tr>
      <w:tr w14:paraId="25694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612" w:hRule="atLeast"/>
          <w:jc w:val="center"/>
        </w:trPr>
        <w:tc>
          <w:tcPr>
            <w:tcW w:w="1222" w:type="dxa"/>
            <w:tcBorders>
              <w:top w:val="single" w:color="auto" w:sz="4" w:space="0"/>
              <w:left w:val="single" w:color="auto" w:sz="4" w:space="0"/>
              <w:bottom w:val="single" w:color="auto" w:sz="4" w:space="0"/>
              <w:right w:val="single" w:color="auto" w:sz="4" w:space="0"/>
            </w:tcBorders>
            <w:vAlign w:val="center"/>
          </w:tcPr>
          <w:p w14:paraId="5006DC88">
            <w:pPr>
              <w:jc w:val="center"/>
              <w:rPr>
                <w:rFonts w:ascii="仿宋_GB2312" w:hAnsi="仿宋_GB2312" w:eastAsia="仿宋_GB2312" w:cs="仿宋_GB2312"/>
                <w:color w:val="000000"/>
              </w:rPr>
            </w:pPr>
          </w:p>
        </w:tc>
        <w:tc>
          <w:tcPr>
            <w:tcW w:w="1599" w:type="dxa"/>
            <w:tcBorders>
              <w:top w:val="single" w:color="auto" w:sz="4" w:space="0"/>
              <w:left w:val="single" w:color="auto" w:sz="4" w:space="0"/>
              <w:bottom w:val="single" w:color="auto" w:sz="4" w:space="0"/>
              <w:right w:val="single" w:color="auto" w:sz="4" w:space="0"/>
            </w:tcBorders>
            <w:vAlign w:val="center"/>
          </w:tcPr>
          <w:p w14:paraId="35EE2865">
            <w:pPr>
              <w:jc w:val="center"/>
              <w:rPr>
                <w:rFonts w:ascii="仿宋_GB2312" w:hAnsi="仿宋_GB2312" w:eastAsia="仿宋_GB2312" w:cs="仿宋_GB2312"/>
                <w:color w:val="000000"/>
              </w:rPr>
            </w:pPr>
          </w:p>
        </w:tc>
        <w:tc>
          <w:tcPr>
            <w:tcW w:w="905" w:type="dxa"/>
            <w:tcBorders>
              <w:top w:val="single" w:color="auto" w:sz="4" w:space="0"/>
              <w:left w:val="single" w:color="auto" w:sz="4" w:space="0"/>
              <w:bottom w:val="single" w:color="auto" w:sz="4" w:space="0"/>
              <w:right w:val="single" w:color="auto" w:sz="4" w:space="0"/>
            </w:tcBorders>
            <w:vAlign w:val="center"/>
          </w:tcPr>
          <w:p w14:paraId="09F9CCBA">
            <w:pPr>
              <w:jc w:val="center"/>
              <w:rPr>
                <w:rFonts w:ascii="仿宋_GB2312" w:hAnsi="仿宋_GB2312" w:eastAsia="仿宋_GB2312" w:cs="仿宋_GB2312"/>
                <w:color w:val="000000"/>
              </w:rPr>
            </w:pPr>
          </w:p>
        </w:tc>
        <w:tc>
          <w:tcPr>
            <w:tcW w:w="926" w:type="dxa"/>
            <w:tcBorders>
              <w:top w:val="single" w:color="auto" w:sz="4" w:space="0"/>
              <w:left w:val="single" w:color="auto" w:sz="4" w:space="0"/>
              <w:bottom w:val="single" w:color="auto" w:sz="4" w:space="0"/>
              <w:right w:val="single" w:color="auto" w:sz="4" w:space="0"/>
            </w:tcBorders>
            <w:vAlign w:val="center"/>
          </w:tcPr>
          <w:p w14:paraId="47E70B59">
            <w:pPr>
              <w:jc w:val="center"/>
              <w:rPr>
                <w:rFonts w:ascii="仿宋_GB2312" w:hAnsi="仿宋_GB2312" w:eastAsia="仿宋_GB2312" w:cs="仿宋_GB2312"/>
                <w:color w:val="000000"/>
              </w:rPr>
            </w:pPr>
          </w:p>
        </w:tc>
        <w:tc>
          <w:tcPr>
            <w:tcW w:w="905" w:type="dxa"/>
            <w:tcBorders>
              <w:top w:val="single" w:color="auto" w:sz="4" w:space="0"/>
              <w:left w:val="single" w:color="auto" w:sz="4" w:space="0"/>
              <w:bottom w:val="single" w:color="auto" w:sz="4" w:space="0"/>
              <w:right w:val="single" w:color="auto" w:sz="4" w:space="0"/>
            </w:tcBorders>
            <w:vAlign w:val="center"/>
          </w:tcPr>
          <w:p w14:paraId="2B0BA53E">
            <w:pPr>
              <w:jc w:val="center"/>
              <w:rPr>
                <w:rFonts w:ascii="仿宋_GB2312" w:hAnsi="仿宋_GB2312" w:eastAsia="仿宋_GB2312" w:cs="仿宋_GB2312"/>
                <w:color w:val="000000"/>
              </w:rPr>
            </w:pPr>
          </w:p>
        </w:tc>
        <w:tc>
          <w:tcPr>
            <w:tcW w:w="1448" w:type="dxa"/>
            <w:tcBorders>
              <w:top w:val="single" w:color="auto" w:sz="4" w:space="0"/>
              <w:left w:val="single" w:color="auto" w:sz="4" w:space="0"/>
              <w:bottom w:val="single" w:color="auto" w:sz="4" w:space="0"/>
              <w:right w:val="single" w:color="auto" w:sz="4" w:space="0"/>
            </w:tcBorders>
            <w:vAlign w:val="center"/>
          </w:tcPr>
          <w:p w14:paraId="6BF93944">
            <w:pPr>
              <w:jc w:val="center"/>
              <w:rPr>
                <w:rFonts w:ascii="仿宋_GB2312" w:hAnsi="仿宋_GB2312" w:eastAsia="仿宋_GB2312" w:cs="仿宋_GB2312"/>
                <w:color w:val="000000"/>
              </w:rPr>
            </w:pPr>
          </w:p>
        </w:tc>
        <w:tc>
          <w:tcPr>
            <w:tcW w:w="2031" w:type="dxa"/>
            <w:tcBorders>
              <w:top w:val="single" w:color="auto" w:sz="4" w:space="0"/>
              <w:left w:val="single" w:color="auto" w:sz="4" w:space="0"/>
              <w:bottom w:val="single" w:color="auto" w:sz="4" w:space="0"/>
              <w:right w:val="single" w:color="auto" w:sz="4" w:space="0"/>
            </w:tcBorders>
            <w:vAlign w:val="center"/>
          </w:tcPr>
          <w:p w14:paraId="717279A1">
            <w:pPr>
              <w:jc w:val="center"/>
              <w:rPr>
                <w:rFonts w:ascii="仿宋_GB2312" w:hAnsi="仿宋_GB2312" w:eastAsia="仿宋_GB2312" w:cs="仿宋_GB2312"/>
                <w:color w:val="000000"/>
              </w:rPr>
            </w:pPr>
          </w:p>
        </w:tc>
      </w:tr>
      <w:tr w14:paraId="0DACF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620" w:hRule="atLeast"/>
          <w:jc w:val="center"/>
        </w:trPr>
        <w:tc>
          <w:tcPr>
            <w:tcW w:w="1222" w:type="dxa"/>
            <w:tcBorders>
              <w:top w:val="single" w:color="auto" w:sz="4" w:space="0"/>
              <w:left w:val="single" w:color="auto" w:sz="4" w:space="0"/>
              <w:bottom w:val="single" w:color="auto" w:sz="4" w:space="0"/>
              <w:right w:val="single" w:color="auto" w:sz="4" w:space="0"/>
            </w:tcBorders>
            <w:vAlign w:val="center"/>
          </w:tcPr>
          <w:p w14:paraId="662E6F41">
            <w:pPr>
              <w:jc w:val="center"/>
              <w:rPr>
                <w:rFonts w:ascii="仿宋_GB2312" w:hAnsi="仿宋_GB2312" w:eastAsia="仿宋_GB2312" w:cs="仿宋_GB2312"/>
                <w:color w:val="000000"/>
              </w:rPr>
            </w:pPr>
          </w:p>
        </w:tc>
        <w:tc>
          <w:tcPr>
            <w:tcW w:w="1599" w:type="dxa"/>
            <w:tcBorders>
              <w:top w:val="single" w:color="auto" w:sz="4" w:space="0"/>
              <w:left w:val="single" w:color="auto" w:sz="4" w:space="0"/>
              <w:bottom w:val="single" w:color="auto" w:sz="4" w:space="0"/>
              <w:right w:val="single" w:color="auto" w:sz="4" w:space="0"/>
            </w:tcBorders>
            <w:vAlign w:val="center"/>
          </w:tcPr>
          <w:p w14:paraId="57BA8016">
            <w:pPr>
              <w:jc w:val="center"/>
              <w:rPr>
                <w:rFonts w:ascii="仿宋_GB2312" w:hAnsi="仿宋_GB2312" w:eastAsia="仿宋_GB2312" w:cs="仿宋_GB2312"/>
                <w:color w:val="000000"/>
              </w:rPr>
            </w:pPr>
          </w:p>
        </w:tc>
        <w:tc>
          <w:tcPr>
            <w:tcW w:w="905" w:type="dxa"/>
            <w:tcBorders>
              <w:top w:val="single" w:color="auto" w:sz="4" w:space="0"/>
              <w:left w:val="single" w:color="auto" w:sz="4" w:space="0"/>
              <w:bottom w:val="single" w:color="auto" w:sz="4" w:space="0"/>
              <w:right w:val="single" w:color="auto" w:sz="4" w:space="0"/>
            </w:tcBorders>
            <w:vAlign w:val="center"/>
          </w:tcPr>
          <w:p w14:paraId="20EBB1D2">
            <w:pPr>
              <w:jc w:val="center"/>
              <w:rPr>
                <w:rFonts w:ascii="仿宋_GB2312" w:hAnsi="仿宋_GB2312" w:eastAsia="仿宋_GB2312" w:cs="仿宋_GB2312"/>
                <w:color w:val="000000"/>
              </w:rPr>
            </w:pPr>
          </w:p>
        </w:tc>
        <w:tc>
          <w:tcPr>
            <w:tcW w:w="926" w:type="dxa"/>
            <w:tcBorders>
              <w:top w:val="single" w:color="auto" w:sz="4" w:space="0"/>
              <w:left w:val="single" w:color="auto" w:sz="4" w:space="0"/>
              <w:bottom w:val="single" w:color="auto" w:sz="4" w:space="0"/>
              <w:right w:val="single" w:color="auto" w:sz="4" w:space="0"/>
            </w:tcBorders>
            <w:vAlign w:val="center"/>
          </w:tcPr>
          <w:p w14:paraId="2D800CB5">
            <w:pPr>
              <w:jc w:val="center"/>
              <w:rPr>
                <w:rFonts w:ascii="仿宋_GB2312" w:hAnsi="仿宋_GB2312" w:eastAsia="仿宋_GB2312" w:cs="仿宋_GB2312"/>
                <w:color w:val="000000"/>
              </w:rPr>
            </w:pPr>
          </w:p>
        </w:tc>
        <w:tc>
          <w:tcPr>
            <w:tcW w:w="905" w:type="dxa"/>
            <w:tcBorders>
              <w:top w:val="single" w:color="auto" w:sz="4" w:space="0"/>
              <w:left w:val="single" w:color="auto" w:sz="4" w:space="0"/>
              <w:bottom w:val="single" w:color="auto" w:sz="4" w:space="0"/>
              <w:right w:val="single" w:color="auto" w:sz="4" w:space="0"/>
            </w:tcBorders>
            <w:vAlign w:val="center"/>
          </w:tcPr>
          <w:p w14:paraId="70BB2530">
            <w:pPr>
              <w:jc w:val="center"/>
              <w:rPr>
                <w:rFonts w:ascii="仿宋_GB2312" w:hAnsi="仿宋_GB2312" w:eastAsia="仿宋_GB2312" w:cs="仿宋_GB2312"/>
                <w:color w:val="000000"/>
              </w:rPr>
            </w:pPr>
          </w:p>
        </w:tc>
        <w:tc>
          <w:tcPr>
            <w:tcW w:w="1448" w:type="dxa"/>
            <w:tcBorders>
              <w:top w:val="single" w:color="auto" w:sz="4" w:space="0"/>
              <w:left w:val="single" w:color="auto" w:sz="4" w:space="0"/>
              <w:bottom w:val="single" w:color="auto" w:sz="4" w:space="0"/>
              <w:right w:val="single" w:color="auto" w:sz="4" w:space="0"/>
            </w:tcBorders>
            <w:vAlign w:val="center"/>
          </w:tcPr>
          <w:p w14:paraId="6F4FE583">
            <w:pPr>
              <w:jc w:val="center"/>
              <w:rPr>
                <w:rFonts w:ascii="仿宋_GB2312" w:hAnsi="仿宋_GB2312" w:eastAsia="仿宋_GB2312" w:cs="仿宋_GB2312"/>
                <w:color w:val="000000"/>
              </w:rPr>
            </w:pPr>
          </w:p>
        </w:tc>
        <w:tc>
          <w:tcPr>
            <w:tcW w:w="2031" w:type="dxa"/>
            <w:tcBorders>
              <w:top w:val="single" w:color="auto" w:sz="4" w:space="0"/>
              <w:left w:val="single" w:color="auto" w:sz="4" w:space="0"/>
              <w:bottom w:val="single" w:color="auto" w:sz="4" w:space="0"/>
              <w:right w:val="single" w:color="auto" w:sz="4" w:space="0"/>
            </w:tcBorders>
            <w:vAlign w:val="center"/>
          </w:tcPr>
          <w:p w14:paraId="6C42A4A7">
            <w:pPr>
              <w:jc w:val="center"/>
              <w:rPr>
                <w:rFonts w:ascii="仿宋_GB2312" w:hAnsi="仿宋_GB2312" w:eastAsia="仿宋_GB2312" w:cs="仿宋_GB2312"/>
                <w:color w:val="000000"/>
              </w:rPr>
            </w:pPr>
          </w:p>
        </w:tc>
      </w:tr>
      <w:tr w14:paraId="561B3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37" w:hRule="atLeast"/>
          <w:jc w:val="center"/>
        </w:trPr>
        <w:tc>
          <w:tcPr>
            <w:tcW w:w="1222" w:type="dxa"/>
            <w:tcBorders>
              <w:top w:val="single" w:color="auto" w:sz="4" w:space="0"/>
              <w:left w:val="single" w:color="auto" w:sz="4" w:space="0"/>
              <w:bottom w:val="single" w:color="auto" w:sz="4" w:space="0"/>
              <w:right w:val="single" w:color="auto" w:sz="4" w:space="0"/>
            </w:tcBorders>
            <w:vAlign w:val="center"/>
          </w:tcPr>
          <w:p w14:paraId="53B0551D">
            <w:pPr>
              <w:jc w:val="center"/>
              <w:rPr>
                <w:rFonts w:ascii="仿宋_GB2312" w:hAnsi="仿宋_GB2312" w:eastAsia="仿宋_GB2312" w:cs="仿宋_GB2312"/>
                <w:color w:val="000000"/>
              </w:rPr>
            </w:pPr>
          </w:p>
        </w:tc>
        <w:tc>
          <w:tcPr>
            <w:tcW w:w="1599" w:type="dxa"/>
            <w:tcBorders>
              <w:top w:val="single" w:color="auto" w:sz="4" w:space="0"/>
              <w:left w:val="single" w:color="auto" w:sz="4" w:space="0"/>
              <w:bottom w:val="single" w:color="auto" w:sz="4" w:space="0"/>
              <w:right w:val="single" w:color="auto" w:sz="4" w:space="0"/>
            </w:tcBorders>
            <w:vAlign w:val="center"/>
          </w:tcPr>
          <w:p w14:paraId="5DC756C2">
            <w:pPr>
              <w:jc w:val="center"/>
              <w:rPr>
                <w:rFonts w:ascii="仿宋_GB2312" w:hAnsi="仿宋_GB2312" w:eastAsia="仿宋_GB2312" w:cs="仿宋_GB2312"/>
                <w:color w:val="000000"/>
              </w:rPr>
            </w:pPr>
          </w:p>
        </w:tc>
        <w:tc>
          <w:tcPr>
            <w:tcW w:w="905" w:type="dxa"/>
            <w:tcBorders>
              <w:top w:val="single" w:color="auto" w:sz="4" w:space="0"/>
              <w:left w:val="single" w:color="auto" w:sz="4" w:space="0"/>
              <w:bottom w:val="single" w:color="auto" w:sz="4" w:space="0"/>
              <w:right w:val="single" w:color="auto" w:sz="4" w:space="0"/>
            </w:tcBorders>
            <w:vAlign w:val="center"/>
          </w:tcPr>
          <w:p w14:paraId="41757B4C">
            <w:pPr>
              <w:jc w:val="center"/>
              <w:rPr>
                <w:rFonts w:ascii="仿宋_GB2312" w:hAnsi="仿宋_GB2312" w:eastAsia="仿宋_GB2312" w:cs="仿宋_GB2312"/>
                <w:color w:val="000000"/>
              </w:rPr>
            </w:pPr>
          </w:p>
        </w:tc>
        <w:tc>
          <w:tcPr>
            <w:tcW w:w="926" w:type="dxa"/>
            <w:tcBorders>
              <w:top w:val="single" w:color="auto" w:sz="4" w:space="0"/>
              <w:left w:val="single" w:color="auto" w:sz="4" w:space="0"/>
              <w:bottom w:val="single" w:color="auto" w:sz="4" w:space="0"/>
              <w:right w:val="single" w:color="auto" w:sz="4" w:space="0"/>
            </w:tcBorders>
            <w:vAlign w:val="center"/>
          </w:tcPr>
          <w:p w14:paraId="652D4038">
            <w:pPr>
              <w:jc w:val="center"/>
              <w:rPr>
                <w:rFonts w:ascii="仿宋_GB2312" w:hAnsi="仿宋_GB2312" w:eastAsia="仿宋_GB2312" w:cs="仿宋_GB2312"/>
                <w:color w:val="000000"/>
              </w:rPr>
            </w:pPr>
          </w:p>
        </w:tc>
        <w:tc>
          <w:tcPr>
            <w:tcW w:w="905" w:type="dxa"/>
            <w:tcBorders>
              <w:top w:val="single" w:color="auto" w:sz="4" w:space="0"/>
              <w:left w:val="single" w:color="auto" w:sz="4" w:space="0"/>
              <w:bottom w:val="single" w:color="auto" w:sz="4" w:space="0"/>
              <w:right w:val="single" w:color="auto" w:sz="4" w:space="0"/>
            </w:tcBorders>
            <w:vAlign w:val="center"/>
          </w:tcPr>
          <w:p w14:paraId="39C0CF81">
            <w:pPr>
              <w:jc w:val="center"/>
              <w:rPr>
                <w:rFonts w:ascii="仿宋_GB2312" w:hAnsi="仿宋_GB2312" w:eastAsia="仿宋_GB2312" w:cs="仿宋_GB2312"/>
                <w:color w:val="000000"/>
              </w:rPr>
            </w:pPr>
          </w:p>
        </w:tc>
        <w:tc>
          <w:tcPr>
            <w:tcW w:w="1448" w:type="dxa"/>
            <w:tcBorders>
              <w:top w:val="single" w:color="auto" w:sz="4" w:space="0"/>
              <w:left w:val="single" w:color="auto" w:sz="4" w:space="0"/>
              <w:bottom w:val="single" w:color="auto" w:sz="4" w:space="0"/>
              <w:right w:val="single" w:color="auto" w:sz="4" w:space="0"/>
            </w:tcBorders>
            <w:vAlign w:val="center"/>
          </w:tcPr>
          <w:p w14:paraId="0202A155">
            <w:pPr>
              <w:jc w:val="center"/>
              <w:rPr>
                <w:rFonts w:ascii="仿宋_GB2312" w:hAnsi="仿宋_GB2312" w:eastAsia="仿宋_GB2312" w:cs="仿宋_GB2312"/>
                <w:color w:val="000000"/>
              </w:rPr>
            </w:pPr>
          </w:p>
        </w:tc>
        <w:tc>
          <w:tcPr>
            <w:tcW w:w="2031" w:type="dxa"/>
            <w:tcBorders>
              <w:top w:val="single" w:color="auto" w:sz="4" w:space="0"/>
              <w:left w:val="single" w:color="auto" w:sz="4" w:space="0"/>
              <w:bottom w:val="single" w:color="auto" w:sz="4" w:space="0"/>
              <w:right w:val="single" w:color="auto" w:sz="4" w:space="0"/>
            </w:tcBorders>
            <w:vAlign w:val="center"/>
          </w:tcPr>
          <w:p w14:paraId="49C867FD">
            <w:pPr>
              <w:jc w:val="center"/>
              <w:rPr>
                <w:rFonts w:ascii="仿宋_GB2312" w:hAnsi="仿宋_GB2312" w:eastAsia="仿宋_GB2312" w:cs="仿宋_GB2312"/>
                <w:color w:val="000000"/>
              </w:rPr>
            </w:pPr>
          </w:p>
        </w:tc>
      </w:tr>
      <w:tr w14:paraId="37E8B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763" w:hRule="atLeast"/>
          <w:jc w:val="center"/>
        </w:trPr>
        <w:tc>
          <w:tcPr>
            <w:tcW w:w="9036" w:type="dxa"/>
            <w:gridSpan w:val="7"/>
            <w:tcBorders>
              <w:top w:val="single" w:color="auto" w:sz="4" w:space="0"/>
              <w:left w:val="single" w:color="auto" w:sz="4" w:space="0"/>
              <w:bottom w:val="single" w:color="auto" w:sz="4" w:space="0"/>
              <w:right w:val="single" w:color="auto" w:sz="4" w:space="0"/>
            </w:tcBorders>
            <w:vAlign w:val="center"/>
          </w:tcPr>
          <w:p w14:paraId="4C5F5F15">
            <w:pPr>
              <w:rPr>
                <w:rFonts w:ascii="仿宋_GB2312" w:hAnsi="仿宋_GB2312" w:eastAsia="仿宋_GB2312" w:cs="仿宋_GB2312"/>
                <w:color w:val="000000"/>
              </w:rPr>
            </w:pPr>
            <w:r>
              <w:rPr>
                <w:rFonts w:hint="eastAsia" w:ascii="仿宋_GB2312" w:hAnsi="仿宋_GB2312" w:eastAsia="仿宋_GB2312" w:cs="仿宋_GB2312"/>
                <w:color w:val="000000"/>
              </w:rPr>
              <w:t>合计人民币（小写）：</w:t>
            </w:r>
          </w:p>
        </w:tc>
      </w:tr>
      <w:tr w14:paraId="1ADA6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773" w:hRule="atLeast"/>
          <w:jc w:val="center"/>
        </w:trPr>
        <w:tc>
          <w:tcPr>
            <w:tcW w:w="9036" w:type="dxa"/>
            <w:gridSpan w:val="7"/>
            <w:tcBorders>
              <w:top w:val="single" w:color="auto" w:sz="4" w:space="0"/>
              <w:left w:val="single" w:color="auto" w:sz="4" w:space="0"/>
              <w:bottom w:val="single" w:color="auto" w:sz="4" w:space="0"/>
              <w:right w:val="single" w:color="auto" w:sz="4" w:space="0"/>
            </w:tcBorders>
            <w:vAlign w:val="center"/>
          </w:tcPr>
          <w:p w14:paraId="50F6A548">
            <w:pPr>
              <w:rPr>
                <w:rFonts w:ascii="仿宋_GB2312" w:hAnsi="仿宋_GB2312" w:eastAsia="仿宋_GB2312" w:cs="仿宋_GB2312"/>
                <w:color w:val="000000"/>
              </w:rPr>
            </w:pPr>
            <w:r>
              <w:rPr>
                <w:rFonts w:hint="eastAsia" w:ascii="仿宋_GB2312" w:hAnsi="仿宋_GB2312" w:eastAsia="仿宋_GB2312" w:cs="仿宋_GB2312"/>
                <w:color w:val="000000"/>
              </w:rPr>
              <w:t>合计人民币（大写）：</w:t>
            </w:r>
          </w:p>
        </w:tc>
      </w:tr>
      <w:tr w14:paraId="33730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2481" w:hRule="atLeast"/>
          <w:jc w:val="center"/>
        </w:trPr>
        <w:tc>
          <w:tcPr>
            <w:tcW w:w="9036" w:type="dxa"/>
            <w:gridSpan w:val="7"/>
            <w:tcBorders>
              <w:top w:val="single" w:color="auto" w:sz="4" w:space="0"/>
              <w:left w:val="single" w:color="auto" w:sz="4" w:space="0"/>
              <w:bottom w:val="single" w:color="auto" w:sz="4" w:space="0"/>
              <w:right w:val="single" w:color="auto" w:sz="4" w:space="0"/>
            </w:tcBorders>
          </w:tcPr>
          <w:p w14:paraId="0DFF7F88">
            <w:pPr>
              <w:spacing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一、质量要求和技术标准。供方提供的商品必须是全新的，完全符合国家有关技术标准，供方的质量保证及售后服务承诺如下：</w:t>
            </w:r>
          </w:p>
          <w:p w14:paraId="6B4779E8">
            <w:pPr>
              <w:spacing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1、质保期限：</w:t>
            </w:r>
          </w:p>
          <w:p w14:paraId="6ACEF49A">
            <w:pPr>
              <w:spacing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2、保修范围：</w:t>
            </w:r>
          </w:p>
          <w:p w14:paraId="1740972C">
            <w:pPr>
              <w:spacing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3、服务措施：</w:t>
            </w:r>
          </w:p>
          <w:p w14:paraId="6433A46D">
            <w:pPr>
              <w:spacing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4、质保期后服务：</w:t>
            </w:r>
          </w:p>
        </w:tc>
      </w:tr>
      <w:tr w14:paraId="6BFF8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1666" w:hRule="atLeast"/>
          <w:jc w:val="center"/>
        </w:trPr>
        <w:tc>
          <w:tcPr>
            <w:tcW w:w="9036" w:type="dxa"/>
            <w:gridSpan w:val="7"/>
            <w:tcBorders>
              <w:top w:val="single" w:color="auto" w:sz="4" w:space="0"/>
              <w:left w:val="single" w:color="auto" w:sz="4" w:space="0"/>
              <w:bottom w:val="single" w:color="auto" w:sz="4" w:space="0"/>
              <w:right w:val="single" w:color="auto" w:sz="4" w:space="0"/>
            </w:tcBorders>
          </w:tcPr>
          <w:p w14:paraId="158B8C39">
            <w:pPr>
              <w:rPr>
                <w:rFonts w:ascii="仿宋_GB2312" w:hAnsi="仿宋_GB2312" w:eastAsia="仿宋_GB2312" w:cs="仿宋_GB2312"/>
                <w:color w:val="000000"/>
              </w:rPr>
            </w:pPr>
            <w:r>
              <w:rPr>
                <w:rFonts w:hint="eastAsia" w:ascii="仿宋_GB2312" w:hAnsi="仿宋_GB2312" w:eastAsia="仿宋_GB2312" w:cs="仿宋_GB2312"/>
                <w:color w:val="000000"/>
              </w:rPr>
              <w:t>二、备品、附件、工具数量及供应方法：</w:t>
            </w:r>
          </w:p>
        </w:tc>
      </w:tr>
      <w:tr w14:paraId="4C958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1630" w:hRule="atLeast"/>
          <w:jc w:val="center"/>
        </w:trPr>
        <w:tc>
          <w:tcPr>
            <w:tcW w:w="9036" w:type="dxa"/>
            <w:gridSpan w:val="7"/>
            <w:tcBorders>
              <w:top w:val="single" w:color="auto" w:sz="4" w:space="0"/>
              <w:left w:val="single" w:color="auto" w:sz="4" w:space="0"/>
              <w:bottom w:val="single" w:color="auto" w:sz="4" w:space="0"/>
              <w:right w:val="single" w:color="auto" w:sz="4" w:space="0"/>
            </w:tcBorders>
          </w:tcPr>
          <w:p w14:paraId="390F7A40">
            <w:pPr>
              <w:rPr>
                <w:rFonts w:ascii="仿宋_GB2312" w:hAnsi="仿宋_GB2312" w:eastAsia="仿宋_GB2312" w:cs="仿宋_GB2312"/>
                <w:color w:val="000000"/>
              </w:rPr>
            </w:pPr>
            <w:r>
              <w:rPr>
                <w:rFonts w:hint="eastAsia" w:ascii="仿宋_GB2312" w:hAnsi="仿宋_GB2312" w:eastAsia="仿宋_GB2312" w:cs="仿宋_GB2312"/>
                <w:color w:val="000000"/>
              </w:rPr>
              <w:t>三、交提货方式：</w:t>
            </w:r>
          </w:p>
        </w:tc>
      </w:tr>
      <w:tr w14:paraId="2996F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jc w:val="center"/>
        </w:trPr>
        <w:tc>
          <w:tcPr>
            <w:tcW w:w="9045" w:type="dxa"/>
            <w:gridSpan w:val="8"/>
            <w:tcBorders>
              <w:top w:val="single" w:color="auto" w:sz="4" w:space="0"/>
              <w:left w:val="single" w:color="auto" w:sz="4" w:space="0"/>
              <w:bottom w:val="single" w:color="auto" w:sz="4" w:space="0"/>
              <w:right w:val="single" w:color="auto" w:sz="4" w:space="0"/>
            </w:tcBorders>
          </w:tcPr>
          <w:p w14:paraId="386BDDFB">
            <w:pPr>
              <w:rPr>
                <w:rFonts w:ascii="仿宋_GB2312" w:hAnsi="仿宋_GB2312" w:eastAsia="仿宋_GB2312" w:cs="仿宋_GB2312"/>
                <w:color w:val="000000"/>
              </w:rPr>
            </w:pPr>
            <w:r>
              <w:rPr>
                <w:rFonts w:hint="eastAsia" w:ascii="仿宋_GB2312" w:hAnsi="仿宋_GB2312" w:eastAsia="仿宋_GB2312" w:cs="仿宋_GB2312"/>
                <w:color w:val="000000"/>
              </w:rPr>
              <w:t>四、验收标准、方法：</w:t>
            </w:r>
          </w:p>
          <w:p w14:paraId="15ECEFEA">
            <w:pPr>
              <w:rPr>
                <w:rFonts w:ascii="仿宋_GB2312" w:hAnsi="仿宋_GB2312" w:eastAsia="仿宋_GB2312" w:cs="仿宋_GB2312"/>
                <w:color w:val="000000"/>
              </w:rPr>
            </w:pPr>
          </w:p>
          <w:p w14:paraId="655CD6FF">
            <w:pPr>
              <w:rPr>
                <w:rFonts w:ascii="仿宋_GB2312" w:hAnsi="仿宋_GB2312" w:eastAsia="仿宋_GB2312" w:cs="仿宋_GB2312"/>
                <w:color w:val="000000"/>
              </w:rPr>
            </w:pPr>
            <w:r>
              <w:rPr>
                <w:rFonts w:hint="eastAsia" w:ascii="仿宋_GB2312" w:hAnsi="仿宋_GB2312" w:eastAsia="仿宋_GB2312" w:cs="仿宋_GB2312"/>
                <w:color w:val="000000"/>
              </w:rPr>
              <w:t>如有异议，请于      日内提出。</w:t>
            </w:r>
          </w:p>
        </w:tc>
      </w:tr>
      <w:tr w14:paraId="34741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1" w:hRule="atLeast"/>
          <w:jc w:val="center"/>
        </w:trPr>
        <w:tc>
          <w:tcPr>
            <w:tcW w:w="9045" w:type="dxa"/>
            <w:gridSpan w:val="8"/>
            <w:tcBorders>
              <w:top w:val="single" w:color="auto" w:sz="4" w:space="0"/>
              <w:left w:val="single" w:color="auto" w:sz="4" w:space="0"/>
              <w:bottom w:val="single" w:color="auto" w:sz="4" w:space="0"/>
              <w:right w:val="single" w:color="auto" w:sz="4" w:space="0"/>
            </w:tcBorders>
          </w:tcPr>
          <w:p w14:paraId="75BE0B61">
            <w:pPr>
              <w:numPr>
                <w:ilvl w:val="0"/>
                <w:numId w:val="3"/>
              </w:numPr>
              <w:rPr>
                <w:rFonts w:ascii="仿宋_GB2312" w:hAnsi="仿宋_GB2312" w:eastAsia="仿宋_GB2312" w:cs="仿宋_GB2312"/>
                <w:color w:val="000000"/>
              </w:rPr>
            </w:pPr>
            <w:r>
              <w:rPr>
                <w:rFonts w:hint="eastAsia" w:ascii="仿宋_GB2312" w:hAnsi="仿宋_GB2312" w:eastAsia="仿宋_GB2312" w:cs="仿宋_GB2312"/>
                <w:color w:val="000000"/>
              </w:rPr>
              <w:t>付款方式：</w:t>
            </w:r>
          </w:p>
          <w:p w14:paraId="4B12ABA1">
            <w:pPr>
              <w:rPr>
                <w:rFonts w:ascii="仿宋_GB2312" w:hAnsi="仿宋_GB2312" w:eastAsia="仿宋_GB2312" w:cs="仿宋_GB2312"/>
                <w:color w:val="000000"/>
              </w:rPr>
            </w:pPr>
          </w:p>
          <w:p w14:paraId="578E5707">
            <w:pPr>
              <w:rPr>
                <w:rFonts w:ascii="仿宋_GB2312" w:hAnsi="仿宋_GB2312" w:eastAsia="仿宋_GB2312" w:cs="仿宋_GB2312"/>
                <w:color w:val="000000"/>
              </w:rPr>
            </w:pPr>
          </w:p>
        </w:tc>
      </w:tr>
      <w:tr w14:paraId="04C35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9045" w:type="dxa"/>
            <w:gridSpan w:val="8"/>
            <w:tcBorders>
              <w:top w:val="single" w:color="auto" w:sz="4" w:space="0"/>
              <w:left w:val="single" w:color="auto" w:sz="4" w:space="0"/>
              <w:bottom w:val="single" w:color="auto" w:sz="4" w:space="0"/>
              <w:right w:val="single" w:color="auto" w:sz="4" w:space="0"/>
            </w:tcBorders>
          </w:tcPr>
          <w:p w14:paraId="338B660D">
            <w:pPr>
              <w:rPr>
                <w:rFonts w:ascii="仿宋_GB2312" w:hAnsi="仿宋_GB2312" w:eastAsia="仿宋_GB2312" w:cs="仿宋_GB2312"/>
                <w:color w:val="000000"/>
              </w:rPr>
            </w:pPr>
            <w:r>
              <w:rPr>
                <w:rFonts w:hint="eastAsia" w:ascii="仿宋_GB2312" w:hAnsi="仿宋_GB2312" w:eastAsia="仿宋_GB2312" w:cs="仿宋_GB2312"/>
                <w:color w:val="000000"/>
              </w:rPr>
              <w:t>六、违约责任：</w:t>
            </w:r>
          </w:p>
        </w:tc>
      </w:tr>
      <w:tr w14:paraId="411EB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9" w:hRule="atLeast"/>
          <w:jc w:val="center"/>
        </w:trPr>
        <w:tc>
          <w:tcPr>
            <w:tcW w:w="9045" w:type="dxa"/>
            <w:gridSpan w:val="8"/>
            <w:tcBorders>
              <w:top w:val="single" w:color="auto" w:sz="4" w:space="0"/>
              <w:left w:val="single" w:color="auto" w:sz="4" w:space="0"/>
              <w:bottom w:val="single" w:color="auto" w:sz="4" w:space="0"/>
              <w:right w:val="single" w:color="auto" w:sz="4" w:space="0"/>
            </w:tcBorders>
          </w:tcPr>
          <w:p w14:paraId="2F5814BD">
            <w:pPr>
              <w:spacing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七、其他约定事项：</w:t>
            </w:r>
          </w:p>
          <w:p w14:paraId="1E2CB538">
            <w:pPr>
              <w:spacing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1、</w:t>
            </w:r>
            <w:r>
              <w:rPr>
                <w:rFonts w:hint="eastAsia" w:ascii="仿宋_GB2312" w:hAnsi="仿宋_GB2312" w:eastAsia="仿宋_GB2312" w:cs="仿宋_GB2312"/>
              </w:rPr>
              <w:t>招标文件、投标文</w:t>
            </w:r>
            <w:r>
              <w:rPr>
                <w:rFonts w:hint="eastAsia" w:ascii="仿宋_GB2312" w:hAnsi="仿宋_GB2312" w:eastAsia="仿宋_GB2312" w:cs="仿宋_GB2312"/>
                <w:color w:val="000000"/>
              </w:rPr>
              <w:t>件和特殊承诺是本合同不可分割的部分。</w:t>
            </w:r>
          </w:p>
          <w:p w14:paraId="60E0C078">
            <w:pPr>
              <w:spacing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2、本合同如发生争议可申请仲裁或提请诉讼。</w:t>
            </w:r>
          </w:p>
          <w:p w14:paraId="7E702924">
            <w:pPr>
              <w:spacing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3、本合同一式</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份，供方</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份，需方</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份，备案机构</w:t>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rPr>
              <w:t>份，具同等法律效力。</w:t>
            </w:r>
          </w:p>
          <w:p w14:paraId="54296E59">
            <w:pPr>
              <w:spacing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4、其他：</w:t>
            </w:r>
          </w:p>
        </w:tc>
      </w:tr>
      <w:tr w14:paraId="4DB46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3" w:hRule="atLeast"/>
          <w:jc w:val="center"/>
        </w:trPr>
        <w:tc>
          <w:tcPr>
            <w:tcW w:w="4652" w:type="dxa"/>
            <w:gridSpan w:val="4"/>
            <w:tcBorders>
              <w:top w:val="single" w:color="auto" w:sz="4" w:space="0"/>
              <w:left w:val="single" w:color="auto" w:sz="4" w:space="0"/>
              <w:bottom w:val="single" w:color="auto" w:sz="4" w:space="0"/>
              <w:right w:val="single" w:color="auto" w:sz="4" w:space="0"/>
            </w:tcBorders>
          </w:tcPr>
          <w:p w14:paraId="026EEF7F">
            <w:pPr>
              <w:spacing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需方：</w:t>
            </w:r>
          </w:p>
          <w:p w14:paraId="5E9F4225">
            <w:pPr>
              <w:spacing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地址：</w:t>
            </w:r>
          </w:p>
          <w:p w14:paraId="719E9349">
            <w:pPr>
              <w:spacing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联系电话：</w:t>
            </w:r>
          </w:p>
          <w:p w14:paraId="2D772903">
            <w:pPr>
              <w:spacing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授权代表：</w:t>
            </w:r>
          </w:p>
          <w:p w14:paraId="7DAAB2CD">
            <w:pPr>
              <w:spacing w:line="360" w:lineRule="auto"/>
              <w:ind w:firstLine="1785" w:firstLineChars="850"/>
              <w:rPr>
                <w:rFonts w:ascii="仿宋_GB2312" w:hAnsi="仿宋_GB2312" w:eastAsia="仿宋_GB2312" w:cs="仿宋_GB2312"/>
                <w:color w:val="000000"/>
              </w:rPr>
            </w:pPr>
          </w:p>
        </w:tc>
        <w:tc>
          <w:tcPr>
            <w:tcW w:w="4393" w:type="dxa"/>
            <w:gridSpan w:val="4"/>
            <w:tcBorders>
              <w:top w:val="single" w:color="auto" w:sz="4" w:space="0"/>
              <w:left w:val="single" w:color="auto" w:sz="4" w:space="0"/>
              <w:bottom w:val="single" w:color="auto" w:sz="4" w:space="0"/>
              <w:right w:val="single" w:color="auto" w:sz="4" w:space="0"/>
            </w:tcBorders>
          </w:tcPr>
          <w:p w14:paraId="3A8EA5F4">
            <w:pPr>
              <w:spacing w:line="360" w:lineRule="auto"/>
              <w:ind w:left="30"/>
              <w:rPr>
                <w:rFonts w:ascii="仿宋_GB2312" w:hAnsi="仿宋_GB2312" w:eastAsia="仿宋_GB2312" w:cs="仿宋_GB2312"/>
                <w:color w:val="000000"/>
              </w:rPr>
            </w:pPr>
            <w:r>
              <w:rPr>
                <w:rFonts w:hint="eastAsia" w:ascii="仿宋_GB2312" w:hAnsi="仿宋_GB2312" w:eastAsia="仿宋_GB2312" w:cs="仿宋_GB2312"/>
                <w:color w:val="000000"/>
              </w:rPr>
              <w:t>供方：</w:t>
            </w:r>
          </w:p>
          <w:p w14:paraId="442F7117">
            <w:pPr>
              <w:spacing w:line="360" w:lineRule="auto"/>
              <w:ind w:left="30"/>
              <w:rPr>
                <w:rFonts w:ascii="仿宋_GB2312" w:hAnsi="仿宋_GB2312" w:eastAsia="仿宋_GB2312" w:cs="仿宋_GB2312"/>
                <w:color w:val="000000"/>
              </w:rPr>
            </w:pPr>
            <w:r>
              <w:rPr>
                <w:rFonts w:hint="eastAsia" w:ascii="仿宋_GB2312" w:hAnsi="仿宋_GB2312" w:eastAsia="仿宋_GB2312" w:cs="仿宋_GB2312"/>
                <w:color w:val="000000"/>
              </w:rPr>
              <w:t>地址：</w:t>
            </w:r>
          </w:p>
          <w:p w14:paraId="64F1E166">
            <w:pPr>
              <w:spacing w:line="360" w:lineRule="auto"/>
              <w:ind w:left="30"/>
              <w:rPr>
                <w:rFonts w:ascii="仿宋_GB2312" w:hAnsi="仿宋_GB2312" w:eastAsia="仿宋_GB2312" w:cs="仿宋_GB2312"/>
                <w:color w:val="000000"/>
              </w:rPr>
            </w:pPr>
            <w:r>
              <w:rPr>
                <w:rFonts w:hint="eastAsia" w:ascii="仿宋_GB2312" w:hAnsi="仿宋_GB2312" w:eastAsia="仿宋_GB2312" w:cs="仿宋_GB2312"/>
                <w:color w:val="000000"/>
              </w:rPr>
              <w:t>电话：</w:t>
            </w:r>
          </w:p>
          <w:p w14:paraId="4EB6C0EA">
            <w:pPr>
              <w:spacing w:line="360" w:lineRule="auto"/>
              <w:ind w:left="30"/>
              <w:rPr>
                <w:rFonts w:ascii="仿宋_GB2312" w:hAnsi="仿宋_GB2312" w:eastAsia="仿宋_GB2312" w:cs="仿宋_GB2312"/>
                <w:color w:val="000000"/>
              </w:rPr>
            </w:pPr>
            <w:r>
              <w:rPr>
                <w:rFonts w:hint="eastAsia" w:ascii="仿宋_GB2312" w:hAnsi="仿宋_GB2312" w:eastAsia="仿宋_GB2312" w:cs="仿宋_GB2312"/>
                <w:color w:val="000000"/>
              </w:rPr>
              <w:t>传真：</w:t>
            </w:r>
          </w:p>
          <w:p w14:paraId="59A34FBF">
            <w:pPr>
              <w:spacing w:line="360" w:lineRule="auto"/>
              <w:ind w:left="30"/>
              <w:rPr>
                <w:rFonts w:ascii="仿宋_GB2312" w:hAnsi="仿宋_GB2312" w:eastAsia="仿宋_GB2312" w:cs="仿宋_GB2312"/>
                <w:color w:val="000000"/>
              </w:rPr>
            </w:pPr>
            <w:r>
              <w:rPr>
                <w:rFonts w:hint="eastAsia" w:ascii="仿宋_GB2312" w:hAnsi="仿宋_GB2312" w:eastAsia="仿宋_GB2312" w:cs="仿宋_GB2312"/>
                <w:color w:val="000000"/>
              </w:rPr>
              <w:t>开户银行：</w:t>
            </w:r>
          </w:p>
          <w:p w14:paraId="4E2FC7D6">
            <w:pPr>
              <w:spacing w:line="360" w:lineRule="auto"/>
              <w:ind w:left="30"/>
              <w:rPr>
                <w:rFonts w:ascii="仿宋_GB2312" w:hAnsi="仿宋_GB2312" w:eastAsia="仿宋_GB2312" w:cs="仿宋_GB2312"/>
                <w:color w:val="000000"/>
              </w:rPr>
            </w:pPr>
            <w:r>
              <w:rPr>
                <w:rFonts w:hint="eastAsia" w:ascii="仿宋_GB2312" w:hAnsi="仿宋_GB2312" w:eastAsia="仿宋_GB2312" w:cs="仿宋_GB2312"/>
                <w:color w:val="000000"/>
              </w:rPr>
              <w:t>账号：</w:t>
            </w:r>
          </w:p>
          <w:p w14:paraId="14169AE5">
            <w:pPr>
              <w:spacing w:line="360" w:lineRule="auto"/>
              <w:ind w:left="30"/>
              <w:rPr>
                <w:rFonts w:ascii="仿宋_GB2312" w:hAnsi="仿宋_GB2312" w:eastAsia="仿宋_GB2312" w:cs="仿宋_GB2312"/>
                <w:color w:val="000000"/>
              </w:rPr>
            </w:pPr>
            <w:r>
              <w:rPr>
                <w:rFonts w:hint="eastAsia" w:ascii="仿宋_GB2312" w:hAnsi="仿宋_GB2312" w:eastAsia="仿宋_GB2312" w:cs="仿宋_GB2312"/>
                <w:color w:val="000000"/>
              </w:rPr>
              <w:t>授权代表：</w:t>
            </w:r>
          </w:p>
        </w:tc>
      </w:tr>
      <w:tr w14:paraId="7C940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jc w:val="center"/>
        </w:trPr>
        <w:tc>
          <w:tcPr>
            <w:tcW w:w="9045" w:type="dxa"/>
            <w:gridSpan w:val="8"/>
            <w:tcBorders>
              <w:top w:val="single" w:color="auto" w:sz="4" w:space="0"/>
              <w:left w:val="single" w:color="auto" w:sz="4" w:space="0"/>
              <w:bottom w:val="single" w:color="auto" w:sz="4" w:space="0"/>
              <w:right w:val="single" w:color="auto" w:sz="4" w:space="0"/>
            </w:tcBorders>
          </w:tcPr>
          <w:p w14:paraId="3F95A3B3">
            <w:pPr>
              <w:rPr>
                <w:rFonts w:ascii="仿宋_GB2312" w:hAnsi="仿宋_GB2312" w:eastAsia="仿宋_GB2312" w:cs="仿宋_GB2312"/>
                <w:color w:val="000000"/>
              </w:rPr>
            </w:pPr>
            <w:r>
              <w:rPr>
                <w:rFonts w:hint="eastAsia" w:ascii="仿宋_GB2312" w:hAnsi="仿宋_GB2312" w:eastAsia="仿宋_GB2312" w:cs="仿宋_GB2312"/>
                <w:color w:val="000000"/>
              </w:rPr>
              <w:t>备注：</w:t>
            </w:r>
          </w:p>
        </w:tc>
      </w:tr>
    </w:tbl>
    <w:p w14:paraId="4989655F"/>
    <w:p w14:paraId="0F036AF6"/>
    <w:p w14:paraId="525B016F">
      <w:pPr>
        <w:pStyle w:val="23"/>
        <w:ind w:firstLine="560"/>
      </w:pPr>
    </w:p>
    <w:p w14:paraId="64395671">
      <w:pPr>
        <w:pStyle w:val="23"/>
        <w:ind w:firstLine="560"/>
      </w:pPr>
    </w:p>
    <w:p w14:paraId="35CF4498">
      <w:pPr>
        <w:pStyle w:val="23"/>
        <w:ind w:firstLine="560"/>
      </w:pPr>
    </w:p>
    <w:p w14:paraId="023D55E6">
      <w:pPr>
        <w:pStyle w:val="23"/>
        <w:ind w:firstLine="560"/>
      </w:pPr>
    </w:p>
    <w:p w14:paraId="02A4B133">
      <w:pPr>
        <w:pStyle w:val="23"/>
        <w:ind w:firstLine="560"/>
      </w:pPr>
    </w:p>
    <w:p w14:paraId="5D263129">
      <w:pPr>
        <w:pStyle w:val="23"/>
        <w:ind w:firstLine="560"/>
      </w:pPr>
    </w:p>
    <w:p w14:paraId="01E47572">
      <w:pPr>
        <w:pStyle w:val="23"/>
        <w:ind w:firstLine="560"/>
      </w:pPr>
    </w:p>
    <w:p w14:paraId="74393B14">
      <w:pPr>
        <w:pStyle w:val="23"/>
        <w:ind w:firstLine="560"/>
      </w:pPr>
    </w:p>
    <w:p w14:paraId="36F36A80">
      <w:pPr>
        <w:pStyle w:val="23"/>
        <w:ind w:firstLine="560"/>
        <w:sectPr>
          <w:pgSz w:w="11906" w:h="16838"/>
          <w:pgMar w:top="1588" w:right="1274" w:bottom="1588" w:left="1800" w:header="850" w:footer="992" w:gutter="0"/>
          <w:cols w:space="720" w:num="1"/>
          <w:docGrid w:type="lines" w:linePitch="312" w:charSpace="0"/>
        </w:sectPr>
      </w:pPr>
    </w:p>
    <w:p w14:paraId="464923DB">
      <w:pPr>
        <w:pStyle w:val="2"/>
        <w:numPr>
          <w:ilvl w:val="0"/>
          <w:numId w:val="4"/>
        </w:numPr>
        <w:jc w:val="center"/>
        <w:rPr>
          <w:rFonts w:hint="eastAsia" w:ascii="黑体" w:hAnsi="黑体" w:eastAsia="黑体" w:cs="黑体"/>
          <w:color w:val="auto"/>
        </w:rPr>
      </w:pPr>
      <w:r>
        <w:rPr>
          <w:rStyle w:val="58"/>
          <w:rFonts w:hint="eastAsia" w:ascii="黑体" w:hAnsi="黑体" w:eastAsia="黑体" w:cs="黑体"/>
          <w:b w:val="0"/>
          <w:bCs w:val="0"/>
        </w:rPr>
        <w:t xml:space="preserve"> </w:t>
      </w:r>
      <w:bookmarkStart w:id="547" w:name="_Toc4629"/>
      <w:r>
        <w:rPr>
          <w:rStyle w:val="58"/>
          <w:rFonts w:hint="eastAsia" w:ascii="黑体" w:hAnsi="黑体" w:eastAsia="黑体" w:cs="黑体"/>
          <w:b w:val="0"/>
          <w:bCs w:val="0"/>
          <w:color w:val="auto"/>
        </w:rPr>
        <w:t>招标项目需求</w:t>
      </w:r>
      <w:bookmarkStart w:id="548" w:name="_Toc14963"/>
      <w:bookmarkEnd w:id="548"/>
      <w:bookmarkStart w:id="549" w:name="_Toc26459"/>
      <w:bookmarkEnd w:id="549"/>
      <w:bookmarkStart w:id="550" w:name="_Toc4679"/>
      <w:bookmarkEnd w:id="550"/>
      <w:bookmarkStart w:id="551" w:name="_Toc271554810"/>
      <w:bookmarkEnd w:id="551"/>
      <w:bookmarkStart w:id="552" w:name="_Toc10105"/>
      <w:bookmarkEnd w:id="552"/>
      <w:r>
        <w:rPr>
          <w:rStyle w:val="58"/>
          <w:rFonts w:hint="eastAsia" w:ascii="黑体" w:hAnsi="黑体" w:eastAsia="黑体" w:cs="黑体"/>
          <w:b w:val="0"/>
          <w:bCs w:val="0"/>
          <w:color w:val="auto"/>
        </w:rPr>
        <w:t>及技术参数</w:t>
      </w:r>
      <w:bookmarkEnd w:id="547"/>
    </w:p>
    <w:p w14:paraId="47BDC005">
      <w:pPr>
        <w:jc w:val="center"/>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1、智慧互动黑板及软件二系统采购安装</w:t>
      </w:r>
    </w:p>
    <w:tbl>
      <w:tblPr>
        <w:tblStyle w:val="24"/>
        <w:tblW w:w="92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6"/>
        <w:gridCol w:w="576"/>
        <w:gridCol w:w="7071"/>
        <w:gridCol w:w="597"/>
        <w:gridCol w:w="618"/>
      </w:tblGrid>
      <w:tr w14:paraId="689BC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6" w:hRule="atLeast"/>
        </w:trPr>
        <w:tc>
          <w:tcPr>
            <w:tcW w:w="363" w:type="dxa"/>
            <w:tcBorders>
              <w:top w:val="single" w:color="000000" w:sz="8" w:space="0"/>
              <w:left w:val="single" w:color="000000" w:sz="8" w:space="0"/>
              <w:bottom w:val="single" w:color="000000" w:sz="4" w:space="0"/>
              <w:right w:val="single" w:color="000000" w:sz="4" w:space="0"/>
            </w:tcBorders>
            <w:shd w:val="clear" w:color="auto" w:fill="auto"/>
            <w:noWrap/>
            <w:vAlign w:val="center"/>
          </w:tcPr>
          <w:p w14:paraId="1E1BF1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序号</w:t>
            </w:r>
          </w:p>
        </w:tc>
        <w:tc>
          <w:tcPr>
            <w:tcW w:w="577" w:type="dxa"/>
            <w:tcBorders>
              <w:top w:val="single" w:color="000000" w:sz="8" w:space="0"/>
              <w:left w:val="single" w:color="000000" w:sz="4" w:space="0"/>
              <w:bottom w:val="single" w:color="000000" w:sz="4" w:space="0"/>
              <w:right w:val="nil"/>
            </w:tcBorders>
            <w:shd w:val="clear" w:color="auto" w:fill="auto"/>
            <w:vAlign w:val="center"/>
          </w:tcPr>
          <w:p w14:paraId="0A3CC9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设备名称</w:t>
            </w:r>
          </w:p>
        </w:tc>
        <w:tc>
          <w:tcPr>
            <w:tcW w:w="7101" w:type="dxa"/>
            <w:tcBorders>
              <w:top w:val="single" w:color="000000" w:sz="8" w:space="0"/>
              <w:left w:val="single" w:color="000000" w:sz="4" w:space="0"/>
              <w:bottom w:val="single" w:color="000000" w:sz="4" w:space="0"/>
              <w:right w:val="single" w:color="000000" w:sz="4" w:space="0"/>
            </w:tcBorders>
            <w:shd w:val="clear" w:color="auto" w:fill="auto"/>
            <w:vAlign w:val="center"/>
          </w:tcPr>
          <w:p w14:paraId="44E198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招标要求</w:t>
            </w:r>
          </w:p>
        </w:tc>
        <w:tc>
          <w:tcPr>
            <w:tcW w:w="598" w:type="dxa"/>
            <w:tcBorders>
              <w:top w:val="single" w:color="000000" w:sz="8" w:space="0"/>
              <w:left w:val="nil"/>
              <w:bottom w:val="single" w:color="000000" w:sz="4" w:space="0"/>
              <w:right w:val="single" w:color="000000" w:sz="4" w:space="0"/>
            </w:tcBorders>
            <w:shd w:val="clear" w:color="auto" w:fill="auto"/>
            <w:vAlign w:val="center"/>
          </w:tcPr>
          <w:p w14:paraId="23CB70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单位</w:t>
            </w:r>
          </w:p>
        </w:tc>
        <w:tc>
          <w:tcPr>
            <w:tcW w:w="619" w:type="dxa"/>
            <w:tcBorders>
              <w:top w:val="single" w:color="000000" w:sz="8" w:space="0"/>
              <w:left w:val="single" w:color="000000" w:sz="4" w:space="0"/>
              <w:bottom w:val="single" w:color="000000" w:sz="4" w:space="0"/>
              <w:right w:val="single" w:color="000000" w:sz="4" w:space="0"/>
            </w:tcBorders>
            <w:shd w:val="clear" w:color="auto" w:fill="auto"/>
            <w:vAlign w:val="center"/>
          </w:tcPr>
          <w:p w14:paraId="77AE7C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数量</w:t>
            </w:r>
          </w:p>
        </w:tc>
      </w:tr>
      <w:tr w14:paraId="37C26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363"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7064D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577" w:type="dxa"/>
            <w:vMerge w:val="restart"/>
            <w:tcBorders>
              <w:top w:val="single" w:color="000000" w:sz="4" w:space="0"/>
              <w:left w:val="single" w:color="000000" w:sz="4" w:space="0"/>
              <w:bottom w:val="single" w:color="000000" w:sz="4" w:space="0"/>
              <w:right w:val="nil"/>
            </w:tcBorders>
            <w:shd w:val="clear" w:color="auto" w:fill="auto"/>
            <w:vAlign w:val="center"/>
          </w:tcPr>
          <w:p w14:paraId="533015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智慧互动黑板</w:t>
            </w:r>
          </w:p>
        </w:tc>
        <w:tc>
          <w:tcPr>
            <w:tcW w:w="7101" w:type="dxa"/>
            <w:tcBorders>
              <w:top w:val="single" w:color="000000" w:sz="4" w:space="0"/>
              <w:left w:val="single" w:color="000000" w:sz="4" w:space="0"/>
              <w:bottom w:val="nil"/>
              <w:right w:val="single" w:color="000000" w:sz="4" w:space="0"/>
            </w:tcBorders>
            <w:shd w:val="clear" w:color="auto" w:fill="auto"/>
            <w:vAlign w:val="bottom"/>
          </w:tcPr>
          <w:p w14:paraId="3364DAB1">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一、硬件功能</w:t>
            </w:r>
          </w:p>
        </w:tc>
        <w:tc>
          <w:tcPr>
            <w:tcW w:w="598" w:type="dxa"/>
            <w:vMerge w:val="restart"/>
            <w:tcBorders>
              <w:top w:val="single" w:color="000000" w:sz="4" w:space="0"/>
              <w:left w:val="nil"/>
              <w:bottom w:val="single" w:color="000000" w:sz="4" w:space="0"/>
              <w:right w:val="single" w:color="000000" w:sz="4" w:space="0"/>
            </w:tcBorders>
            <w:shd w:val="clear" w:color="auto" w:fill="auto"/>
            <w:vAlign w:val="center"/>
          </w:tcPr>
          <w:p w14:paraId="392487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A518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r>
      <w:tr w14:paraId="6A2BB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CC6850F">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5217A684">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73EDA61D">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1.整机采用全金属外壳，三拼接平面一体化设计，屏幕边缘采用圆角包边防护，整机背板采用金属材质。无推拉式结构，外部无任何可见内部功能模块连接线。主副屏过渡平滑，中间无单独边框阻隔。</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579E3E49">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731D5">
            <w:pPr>
              <w:jc w:val="center"/>
              <w:rPr>
                <w:rFonts w:hint="eastAsia" w:asciiTheme="minorEastAsia" w:hAnsiTheme="minorEastAsia" w:eastAsiaTheme="minorEastAsia" w:cstheme="minorEastAsia"/>
                <w:i w:val="0"/>
                <w:iCs w:val="0"/>
                <w:color w:val="000000"/>
                <w:sz w:val="18"/>
                <w:szCs w:val="18"/>
                <w:u w:val="none"/>
              </w:rPr>
            </w:pPr>
          </w:p>
        </w:tc>
      </w:tr>
      <w:tr w14:paraId="2AC40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9826E1B">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51AF555C">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2784979A">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2.整体外观尺寸：宽≥4200mm，高≥1250mm，厚≤115mm。整机显示屏幕采用≥90英寸液晶显示器，钢化玻璃表面硬度≥9H。</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5837A8A1">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7B649">
            <w:pPr>
              <w:jc w:val="center"/>
              <w:rPr>
                <w:rFonts w:hint="eastAsia" w:asciiTheme="minorEastAsia" w:hAnsiTheme="minorEastAsia" w:eastAsiaTheme="minorEastAsia" w:cstheme="minorEastAsia"/>
                <w:i w:val="0"/>
                <w:iCs w:val="0"/>
                <w:color w:val="000000"/>
                <w:sz w:val="18"/>
                <w:szCs w:val="18"/>
                <w:u w:val="none"/>
              </w:rPr>
            </w:pPr>
          </w:p>
        </w:tc>
      </w:tr>
      <w:tr w14:paraId="41282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37BD7DF">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784AB758">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123E38A8">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 采用电容触控方式，在Windows系统中和Android系统触控≥40点。</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5B72862C">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80B98">
            <w:pPr>
              <w:jc w:val="center"/>
              <w:rPr>
                <w:rFonts w:hint="eastAsia" w:asciiTheme="minorEastAsia" w:hAnsiTheme="minorEastAsia" w:eastAsiaTheme="minorEastAsia" w:cstheme="minorEastAsia"/>
                <w:i w:val="0"/>
                <w:iCs w:val="0"/>
                <w:color w:val="000000"/>
                <w:sz w:val="18"/>
                <w:szCs w:val="18"/>
                <w:u w:val="none"/>
              </w:rPr>
            </w:pPr>
          </w:p>
        </w:tc>
      </w:tr>
      <w:tr w14:paraId="2FD8A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BFFAC38">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5BB95E15">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09342AB4">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4.Android系统版本 ≥13，内存≥2GB，存储空间≥8GB。</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07133D07">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6BA4D">
            <w:pPr>
              <w:jc w:val="center"/>
              <w:rPr>
                <w:rFonts w:hint="eastAsia" w:asciiTheme="minorEastAsia" w:hAnsiTheme="minorEastAsia" w:eastAsiaTheme="minorEastAsia" w:cstheme="minorEastAsia"/>
                <w:i w:val="0"/>
                <w:iCs w:val="0"/>
                <w:color w:val="000000"/>
                <w:sz w:val="18"/>
                <w:szCs w:val="18"/>
                <w:u w:val="none"/>
              </w:rPr>
            </w:pPr>
          </w:p>
        </w:tc>
      </w:tr>
      <w:tr w14:paraId="47776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D1AC337">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18CCA0A2">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545CB3E3">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5.扬声器位于设备上边框，前朝向10W高音扬声器2个，上朝向20W中低音扬声器2个，额定总功率60W。</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732B5931">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D0CF7">
            <w:pPr>
              <w:jc w:val="center"/>
              <w:rPr>
                <w:rFonts w:hint="eastAsia" w:asciiTheme="minorEastAsia" w:hAnsiTheme="minorEastAsia" w:eastAsiaTheme="minorEastAsia" w:cstheme="minorEastAsia"/>
                <w:i w:val="0"/>
                <w:iCs w:val="0"/>
                <w:color w:val="000000"/>
                <w:sz w:val="18"/>
                <w:szCs w:val="18"/>
                <w:u w:val="none"/>
              </w:rPr>
            </w:pPr>
          </w:p>
        </w:tc>
      </w:tr>
      <w:tr w14:paraId="435F2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45"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3D07DE9">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4BEEB82D">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49694449">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6.整机内置非独立外扩展的8阵列麦克风，拾音角度≥180°，可用于对教室环境音频进行采集，拾音距离≥12m。（提供检验检测中心所出具的权威检测报告复印件并加盖厂家公章）</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7861F51B">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515EC">
            <w:pPr>
              <w:jc w:val="center"/>
              <w:rPr>
                <w:rFonts w:hint="eastAsia" w:asciiTheme="minorEastAsia" w:hAnsiTheme="minorEastAsia" w:eastAsiaTheme="minorEastAsia" w:cstheme="minorEastAsia"/>
                <w:i w:val="0"/>
                <w:iCs w:val="0"/>
                <w:color w:val="000000"/>
                <w:sz w:val="18"/>
                <w:szCs w:val="18"/>
                <w:u w:val="none"/>
              </w:rPr>
            </w:pPr>
          </w:p>
        </w:tc>
      </w:tr>
      <w:tr w14:paraId="18639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46B994C">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659F910D">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67E21A54">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7.整机内置扬声器采用缝隙发声技术，喇叭采用槽式开口设计，≤6mm。</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1FBA1EE9">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7ECE2">
            <w:pPr>
              <w:jc w:val="center"/>
              <w:rPr>
                <w:rFonts w:hint="eastAsia" w:asciiTheme="minorEastAsia" w:hAnsiTheme="minorEastAsia" w:eastAsiaTheme="minorEastAsia" w:cstheme="minorEastAsia"/>
                <w:i w:val="0"/>
                <w:iCs w:val="0"/>
                <w:color w:val="000000"/>
                <w:sz w:val="18"/>
                <w:szCs w:val="18"/>
                <w:u w:val="none"/>
              </w:rPr>
            </w:pPr>
          </w:p>
        </w:tc>
      </w:tr>
      <w:tr w14:paraId="3DCEF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CA8DB15">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56FBA037">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2B8C7AFF">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8.支持标准、听力、观影和AI空间感知音效模式，AI空间感知音效模式可通过内置麦克风采集教室物理环境声音，自动生成符合当前教室物理环境的频段、音量、音效。</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1B536359">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5C954">
            <w:pPr>
              <w:jc w:val="center"/>
              <w:rPr>
                <w:rFonts w:hint="eastAsia" w:asciiTheme="minorEastAsia" w:hAnsiTheme="minorEastAsia" w:eastAsiaTheme="minorEastAsia" w:cstheme="minorEastAsia"/>
                <w:i w:val="0"/>
                <w:iCs w:val="0"/>
                <w:color w:val="000000"/>
                <w:sz w:val="18"/>
                <w:szCs w:val="18"/>
                <w:u w:val="none"/>
              </w:rPr>
            </w:pPr>
          </w:p>
        </w:tc>
      </w:tr>
      <w:tr w14:paraId="77BD8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1FD8DD5">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5C1F5BB8">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5BCC5665">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9.整机背光系统支持DC调光方式，多级亮度调节，支持白颜色背景下最暗亮度≤100nit，用于提升显示对比度。</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7547B6C8">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079BE">
            <w:pPr>
              <w:jc w:val="center"/>
              <w:rPr>
                <w:rFonts w:hint="eastAsia" w:asciiTheme="minorEastAsia" w:hAnsiTheme="minorEastAsia" w:eastAsiaTheme="minorEastAsia" w:cstheme="minorEastAsia"/>
                <w:i w:val="0"/>
                <w:iCs w:val="0"/>
                <w:color w:val="000000"/>
                <w:sz w:val="18"/>
                <w:szCs w:val="18"/>
                <w:u w:val="none"/>
              </w:rPr>
            </w:pPr>
          </w:p>
        </w:tc>
      </w:tr>
      <w:tr w14:paraId="46B1A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792041A">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1E644E3C">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62903E22">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10.整机支持色彩空间可选，包含标准模式和sRGB模式，在sRGB模式下可做到高色准△E≤1。</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7968CB48">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84A02">
            <w:pPr>
              <w:jc w:val="center"/>
              <w:rPr>
                <w:rFonts w:hint="eastAsia" w:asciiTheme="minorEastAsia" w:hAnsiTheme="minorEastAsia" w:eastAsiaTheme="minorEastAsia" w:cstheme="minorEastAsia"/>
                <w:i w:val="0"/>
                <w:iCs w:val="0"/>
                <w:color w:val="000000"/>
                <w:sz w:val="18"/>
                <w:szCs w:val="18"/>
                <w:u w:val="none"/>
              </w:rPr>
            </w:pPr>
          </w:p>
        </w:tc>
      </w:tr>
      <w:tr w14:paraId="477F7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7C47E10">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0D17D03D">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6AD07E8A">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整机系统支持手势上滑调出人工智能画质调节模式（AI-PQ），在安卓通道下可根据屏幕内容自动调节画质参数，当屏幕出现人物、建筑、夜景等元素时，自动调整对比度、饱和度、锐利度、色调色相值、高光/阴影。</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39A64359">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DF714">
            <w:pPr>
              <w:jc w:val="center"/>
              <w:rPr>
                <w:rFonts w:hint="eastAsia" w:asciiTheme="minorEastAsia" w:hAnsiTheme="minorEastAsia" w:eastAsiaTheme="minorEastAsia" w:cstheme="minorEastAsia"/>
                <w:i w:val="0"/>
                <w:iCs w:val="0"/>
                <w:color w:val="000000"/>
                <w:sz w:val="18"/>
                <w:szCs w:val="18"/>
                <w:u w:val="none"/>
              </w:rPr>
            </w:pPr>
          </w:p>
        </w:tc>
      </w:tr>
      <w:tr w14:paraId="01FC7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A2074EB">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1F518C34">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44B6E27A">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12.纸质护眼模式下，显示画面各像素点灰度不规则，减少背景干扰。</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62A17612">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40886">
            <w:pPr>
              <w:jc w:val="center"/>
              <w:rPr>
                <w:rFonts w:hint="eastAsia" w:asciiTheme="minorEastAsia" w:hAnsiTheme="minorEastAsia" w:eastAsiaTheme="minorEastAsia" w:cstheme="minorEastAsia"/>
                <w:i w:val="0"/>
                <w:iCs w:val="0"/>
                <w:color w:val="000000"/>
                <w:sz w:val="18"/>
                <w:szCs w:val="18"/>
                <w:u w:val="none"/>
              </w:rPr>
            </w:pPr>
          </w:p>
        </w:tc>
      </w:tr>
      <w:tr w14:paraId="4268E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597606E">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0ABBD9EB">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687E7523">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13.支持经典护眼模式，可通过前置面板物理功能按键一键启用经典护眼模式。</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3529CD51">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688B6">
            <w:pPr>
              <w:jc w:val="center"/>
              <w:rPr>
                <w:rFonts w:hint="eastAsia" w:asciiTheme="minorEastAsia" w:hAnsiTheme="minorEastAsia" w:eastAsiaTheme="minorEastAsia" w:cstheme="minorEastAsia"/>
                <w:i w:val="0"/>
                <w:iCs w:val="0"/>
                <w:color w:val="000000"/>
                <w:sz w:val="18"/>
                <w:szCs w:val="18"/>
                <w:u w:val="none"/>
              </w:rPr>
            </w:pPr>
          </w:p>
        </w:tc>
      </w:tr>
      <w:tr w14:paraId="7DDFC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25FFD16">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06B04F2A">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69AB6F1A">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1DB6A70C">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88A37">
            <w:pPr>
              <w:jc w:val="center"/>
              <w:rPr>
                <w:rFonts w:hint="eastAsia" w:asciiTheme="minorEastAsia" w:hAnsiTheme="minorEastAsia" w:eastAsiaTheme="minorEastAsia" w:cstheme="minorEastAsia"/>
                <w:i w:val="0"/>
                <w:iCs w:val="0"/>
                <w:color w:val="000000"/>
                <w:sz w:val="18"/>
                <w:szCs w:val="18"/>
                <w:u w:val="none"/>
              </w:rPr>
            </w:pPr>
          </w:p>
        </w:tc>
      </w:tr>
      <w:tr w14:paraId="74870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F1BF41E">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261C66AC">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6B0CB42E">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15.整机无需外接无线网卡，在Android和Windows系统下可实现Wi-Fi无线上网连接、AP无线热点发射和BT蓝牙连接功能。</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44F30B84">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B19A0">
            <w:pPr>
              <w:jc w:val="center"/>
              <w:rPr>
                <w:rFonts w:hint="eastAsia" w:asciiTheme="minorEastAsia" w:hAnsiTheme="minorEastAsia" w:eastAsiaTheme="minorEastAsia" w:cstheme="minorEastAsia"/>
                <w:i w:val="0"/>
                <w:iCs w:val="0"/>
                <w:color w:val="000000"/>
                <w:sz w:val="18"/>
                <w:szCs w:val="18"/>
                <w:u w:val="none"/>
              </w:rPr>
            </w:pPr>
          </w:p>
        </w:tc>
      </w:tr>
      <w:tr w14:paraId="50F3D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6316ECD">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4614673F">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29F91754">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16.整机支持蓝牙Bluetooth 5.4标准，固件版本号HCI13.0/LMP13.0。</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10E8045D">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E2592">
            <w:pPr>
              <w:jc w:val="center"/>
              <w:rPr>
                <w:rFonts w:hint="eastAsia" w:asciiTheme="minorEastAsia" w:hAnsiTheme="minorEastAsia" w:eastAsiaTheme="minorEastAsia" w:cstheme="minorEastAsia"/>
                <w:i w:val="0"/>
                <w:iCs w:val="0"/>
                <w:color w:val="000000"/>
                <w:sz w:val="18"/>
                <w:szCs w:val="18"/>
                <w:u w:val="none"/>
              </w:rPr>
            </w:pPr>
          </w:p>
        </w:tc>
      </w:tr>
      <w:tr w14:paraId="74506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728CFDC">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247C1072">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126F7D11">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17.整机支持发出频率为18kHz-22kHz超声波信号，智能手机通过麦克风接收后，智能手机与整机无需在同一局域网内，可实现配对，一键投屏，用户无需手动输入投屏码或扫码获取投屏码；</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739E2767">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8AAEB">
            <w:pPr>
              <w:jc w:val="center"/>
              <w:rPr>
                <w:rFonts w:hint="eastAsia" w:asciiTheme="minorEastAsia" w:hAnsiTheme="minorEastAsia" w:eastAsiaTheme="minorEastAsia" w:cstheme="minorEastAsia"/>
                <w:i w:val="0"/>
                <w:iCs w:val="0"/>
                <w:color w:val="000000"/>
                <w:sz w:val="18"/>
                <w:szCs w:val="18"/>
                <w:u w:val="none"/>
              </w:rPr>
            </w:pPr>
          </w:p>
        </w:tc>
      </w:tr>
      <w:tr w14:paraId="3AF39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1BEEB0E">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57A77104">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2DE2B25B">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18.Wi-Fi制式支持IEEE 802.11 a/b/g/n/ac/ax；支持版本Wi-Fi6。</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12FB3B09">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95E2B">
            <w:pPr>
              <w:jc w:val="center"/>
              <w:rPr>
                <w:rFonts w:hint="eastAsia" w:asciiTheme="minorEastAsia" w:hAnsiTheme="minorEastAsia" w:eastAsiaTheme="minorEastAsia" w:cstheme="minorEastAsia"/>
                <w:i w:val="0"/>
                <w:iCs w:val="0"/>
                <w:color w:val="000000"/>
                <w:sz w:val="18"/>
                <w:szCs w:val="18"/>
                <w:u w:val="none"/>
              </w:rPr>
            </w:pPr>
          </w:p>
        </w:tc>
      </w:tr>
      <w:tr w14:paraId="43B48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49C5C43">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3190129D">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042E22E4">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19.整机上边框内置非独立摄像头，采用一体化集成设计，摄像头数量≥4个。</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54394857">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1CA49">
            <w:pPr>
              <w:jc w:val="center"/>
              <w:rPr>
                <w:rFonts w:hint="eastAsia" w:asciiTheme="minorEastAsia" w:hAnsiTheme="minorEastAsia" w:eastAsiaTheme="minorEastAsia" w:cstheme="minorEastAsia"/>
                <w:i w:val="0"/>
                <w:iCs w:val="0"/>
                <w:color w:val="000000"/>
                <w:sz w:val="18"/>
                <w:szCs w:val="18"/>
                <w:u w:val="none"/>
              </w:rPr>
            </w:pPr>
          </w:p>
        </w:tc>
      </w:tr>
      <w:tr w14:paraId="0150A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45"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A0A5EF9">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4597B2D4">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2553A8CF">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20.整机上边框内置非独式广角摄像头和智能拼接摄像头，均支持3D 降噪算法和数字宽动态范围成像WDR 技术，支持输出 MJPG、 H.264 视频格式。</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121A8BB2">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DBE7E">
            <w:pPr>
              <w:jc w:val="center"/>
              <w:rPr>
                <w:rFonts w:hint="eastAsia" w:asciiTheme="minorEastAsia" w:hAnsiTheme="minorEastAsia" w:eastAsiaTheme="minorEastAsia" w:cstheme="minorEastAsia"/>
                <w:i w:val="0"/>
                <w:iCs w:val="0"/>
                <w:color w:val="000000"/>
                <w:sz w:val="18"/>
                <w:szCs w:val="18"/>
                <w:u w:val="none"/>
              </w:rPr>
            </w:pPr>
          </w:p>
        </w:tc>
      </w:tr>
      <w:tr w14:paraId="731E8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1472046">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0CD528E4">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7C9095C4">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21.整机上边框内置非独立式3个智能拼接摄像头，支持清晰度TV lines ≥ 1600 lines。</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165BE34D">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D8D3B">
            <w:pPr>
              <w:jc w:val="center"/>
              <w:rPr>
                <w:rFonts w:hint="eastAsia" w:asciiTheme="minorEastAsia" w:hAnsiTheme="minorEastAsia" w:eastAsiaTheme="minorEastAsia" w:cstheme="minorEastAsia"/>
                <w:i w:val="0"/>
                <w:iCs w:val="0"/>
                <w:color w:val="000000"/>
                <w:sz w:val="18"/>
                <w:szCs w:val="18"/>
                <w:u w:val="none"/>
              </w:rPr>
            </w:pPr>
          </w:p>
        </w:tc>
      </w:tr>
      <w:tr w14:paraId="15409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A59F284">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6E12877D">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2C7E862E">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22.整机上边框内置非独立式摄像头，视场角≥140度且水平视场角≥135度，可拍摄≥1600万像素的照片，支持输出8192×2048分辨率的照片和视频，支持画面畸变矫正功能。</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3987AC6F">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5CF12">
            <w:pPr>
              <w:jc w:val="center"/>
              <w:rPr>
                <w:rFonts w:hint="eastAsia" w:asciiTheme="minorEastAsia" w:hAnsiTheme="minorEastAsia" w:eastAsiaTheme="minorEastAsia" w:cstheme="minorEastAsia"/>
                <w:i w:val="0"/>
                <w:iCs w:val="0"/>
                <w:color w:val="000000"/>
                <w:sz w:val="18"/>
                <w:szCs w:val="18"/>
                <w:u w:val="none"/>
              </w:rPr>
            </w:pPr>
          </w:p>
        </w:tc>
      </w:tr>
      <w:tr w14:paraId="64C54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45"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D1756B7">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32E87168">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17004C27">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 整机支持上边框内置非独立摄像头模组，同时输出至少 3 路视频流，同时支持课堂远程巡课、课堂教学数据采集、本地画面预览（拍照或视频录制）。</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5FA4D5D1">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A0258">
            <w:pPr>
              <w:jc w:val="center"/>
              <w:rPr>
                <w:rFonts w:hint="eastAsia" w:asciiTheme="minorEastAsia" w:hAnsiTheme="minorEastAsia" w:eastAsiaTheme="minorEastAsia" w:cstheme="minorEastAsia"/>
                <w:i w:val="0"/>
                <w:iCs w:val="0"/>
                <w:color w:val="000000"/>
                <w:sz w:val="18"/>
                <w:szCs w:val="18"/>
                <w:u w:val="none"/>
              </w:rPr>
            </w:pPr>
          </w:p>
        </w:tc>
      </w:tr>
      <w:tr w14:paraId="5FBDF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BB18E00">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675671E8">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2EC50192">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24.整机系统支持书写触控延迟≤25ms。</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1FF5486D">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19604">
            <w:pPr>
              <w:jc w:val="center"/>
              <w:rPr>
                <w:rFonts w:hint="eastAsia" w:asciiTheme="minorEastAsia" w:hAnsiTheme="minorEastAsia" w:eastAsiaTheme="minorEastAsia" w:cstheme="minorEastAsia"/>
                <w:i w:val="0"/>
                <w:iCs w:val="0"/>
                <w:color w:val="000000"/>
                <w:sz w:val="18"/>
                <w:szCs w:val="18"/>
                <w:u w:val="none"/>
              </w:rPr>
            </w:pPr>
          </w:p>
        </w:tc>
      </w:tr>
      <w:tr w14:paraId="0B34D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C6A5BA6">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23BA9DA6">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61E858E4">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25.整机触控书写功能集成预测算法，在书写速度≥50cm/s，支持笔迹距离笔的距离小于20mm。</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7E9BB9DD">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D90C6">
            <w:pPr>
              <w:jc w:val="center"/>
              <w:rPr>
                <w:rFonts w:hint="eastAsia" w:asciiTheme="minorEastAsia" w:hAnsiTheme="minorEastAsia" w:eastAsiaTheme="minorEastAsia" w:cstheme="minorEastAsia"/>
                <w:i w:val="0"/>
                <w:iCs w:val="0"/>
                <w:color w:val="000000"/>
                <w:sz w:val="18"/>
                <w:szCs w:val="18"/>
                <w:u w:val="none"/>
              </w:rPr>
            </w:pPr>
          </w:p>
        </w:tc>
      </w:tr>
      <w:tr w14:paraId="7D513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48EF75E">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441C1443">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0A32189A">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26.整机触摸支持动态压力感应，支持无任何电子功能的普通书写笔在整机上书写或点压时，整机能感应压力变化，书写或点压过程笔迹呈现不同粗细。</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399FD762">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8D520">
            <w:pPr>
              <w:jc w:val="center"/>
              <w:rPr>
                <w:rFonts w:hint="eastAsia" w:asciiTheme="minorEastAsia" w:hAnsiTheme="minorEastAsia" w:eastAsiaTheme="minorEastAsia" w:cstheme="minorEastAsia"/>
                <w:i w:val="0"/>
                <w:iCs w:val="0"/>
                <w:color w:val="000000"/>
                <w:sz w:val="18"/>
                <w:szCs w:val="18"/>
                <w:u w:val="none"/>
              </w:rPr>
            </w:pPr>
          </w:p>
        </w:tc>
      </w:tr>
      <w:tr w14:paraId="00D72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50E0205">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33E583C6">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0E82498A">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27.支持智能板擦功能，系统可根据触控物体的形状自动识别出实物板擦，可擦除电子白板中的内容，无需依赖外部电子设备。</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44622EE5">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44D4F">
            <w:pPr>
              <w:jc w:val="center"/>
              <w:rPr>
                <w:rFonts w:hint="eastAsia" w:asciiTheme="minorEastAsia" w:hAnsiTheme="minorEastAsia" w:eastAsiaTheme="minorEastAsia" w:cstheme="minorEastAsia"/>
                <w:i w:val="0"/>
                <w:iCs w:val="0"/>
                <w:color w:val="000000"/>
                <w:sz w:val="18"/>
                <w:szCs w:val="18"/>
                <w:u w:val="none"/>
              </w:rPr>
            </w:pPr>
          </w:p>
        </w:tc>
      </w:tr>
      <w:tr w14:paraId="174D9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B037A5C">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5A0C28EE">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single" w:color="000000" w:sz="4" w:space="0"/>
              <w:right w:val="single" w:color="000000" w:sz="4" w:space="0"/>
            </w:tcBorders>
            <w:shd w:val="clear" w:color="auto" w:fill="auto"/>
            <w:vAlign w:val="bottom"/>
          </w:tcPr>
          <w:p w14:paraId="1F6FED66">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28.整机设备自带地震预警软件。支持在地震预警页面中获取位置，可以手动进行位置校准。</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1B87F6FA">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82B73">
            <w:pPr>
              <w:jc w:val="center"/>
              <w:rPr>
                <w:rFonts w:hint="eastAsia" w:asciiTheme="minorEastAsia" w:hAnsiTheme="minorEastAsia" w:eastAsiaTheme="minorEastAsia" w:cstheme="minorEastAsia"/>
                <w:i w:val="0"/>
                <w:iCs w:val="0"/>
                <w:color w:val="000000"/>
                <w:sz w:val="18"/>
                <w:szCs w:val="18"/>
                <w:u w:val="none"/>
              </w:rPr>
            </w:pPr>
          </w:p>
        </w:tc>
      </w:tr>
      <w:tr w14:paraId="2E9DD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363"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983A5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577" w:type="dxa"/>
            <w:vMerge w:val="restart"/>
            <w:tcBorders>
              <w:top w:val="single" w:color="000000" w:sz="4" w:space="0"/>
              <w:left w:val="single" w:color="000000" w:sz="4" w:space="0"/>
              <w:bottom w:val="single" w:color="000000" w:sz="4" w:space="0"/>
              <w:right w:val="nil"/>
            </w:tcBorders>
            <w:shd w:val="clear" w:color="auto" w:fill="auto"/>
            <w:vAlign w:val="center"/>
          </w:tcPr>
          <w:p w14:paraId="36AD40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OPS电脑模块</w:t>
            </w:r>
          </w:p>
        </w:tc>
        <w:tc>
          <w:tcPr>
            <w:tcW w:w="7101" w:type="dxa"/>
            <w:tcBorders>
              <w:top w:val="single" w:color="000000" w:sz="4" w:space="0"/>
              <w:left w:val="single" w:color="000000" w:sz="4" w:space="0"/>
              <w:bottom w:val="nil"/>
              <w:right w:val="single" w:color="000000" w:sz="4" w:space="0"/>
            </w:tcBorders>
            <w:shd w:val="clear" w:color="auto" w:fill="auto"/>
            <w:vAlign w:val="bottom"/>
          </w:tcPr>
          <w:p w14:paraId="0071A007">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1．CPU≥Intel  I5第12代或以上性能配置，内存≥ 8GB DDR4。硬盘≥256GB SSD固态硬盘。</w:t>
            </w:r>
          </w:p>
        </w:tc>
        <w:tc>
          <w:tcPr>
            <w:tcW w:w="598" w:type="dxa"/>
            <w:vMerge w:val="restart"/>
            <w:tcBorders>
              <w:top w:val="single" w:color="000000" w:sz="4" w:space="0"/>
              <w:left w:val="nil"/>
              <w:bottom w:val="single" w:color="000000" w:sz="4" w:space="0"/>
              <w:right w:val="single" w:color="000000" w:sz="4" w:space="0"/>
            </w:tcBorders>
            <w:shd w:val="clear" w:color="auto" w:fill="auto"/>
            <w:vAlign w:val="center"/>
          </w:tcPr>
          <w:p w14:paraId="0306F8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块</w:t>
            </w:r>
          </w:p>
        </w:tc>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ECF4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r>
      <w:tr w14:paraId="2CCE3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F25ED6A">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50ED25B4">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3A50D889">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2．和整机的连接采用万兆级接口，传输速率≥10Gbps。</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2F55124F">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8A749">
            <w:pPr>
              <w:jc w:val="center"/>
              <w:rPr>
                <w:rFonts w:hint="eastAsia" w:asciiTheme="minorEastAsia" w:hAnsiTheme="minorEastAsia" w:eastAsiaTheme="minorEastAsia" w:cstheme="minorEastAsia"/>
                <w:i w:val="0"/>
                <w:iCs w:val="0"/>
                <w:color w:val="000000"/>
                <w:sz w:val="18"/>
                <w:szCs w:val="18"/>
                <w:u w:val="none"/>
              </w:rPr>
            </w:pPr>
          </w:p>
        </w:tc>
      </w:tr>
      <w:tr w14:paraId="4A3F3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D78CE2C">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54FFA012">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6F9A27F4">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3．采用按压式卡扣，无需工具就可快速拆卸电脑模块。</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5F9E400C">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676E2">
            <w:pPr>
              <w:jc w:val="center"/>
              <w:rPr>
                <w:rFonts w:hint="eastAsia" w:asciiTheme="minorEastAsia" w:hAnsiTheme="minorEastAsia" w:eastAsiaTheme="minorEastAsia" w:cstheme="minorEastAsia"/>
                <w:i w:val="0"/>
                <w:iCs w:val="0"/>
                <w:color w:val="000000"/>
                <w:sz w:val="18"/>
                <w:szCs w:val="18"/>
                <w:u w:val="none"/>
              </w:rPr>
            </w:pPr>
          </w:p>
        </w:tc>
      </w:tr>
      <w:tr w14:paraId="198E1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9F11884">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038CEAF5">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40FCCC39">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4．PC 模块可抽拉式插入整机，可实现无单独接线的拔插。</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64EAA495">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41D11">
            <w:pPr>
              <w:jc w:val="center"/>
              <w:rPr>
                <w:rFonts w:hint="eastAsia" w:asciiTheme="minorEastAsia" w:hAnsiTheme="minorEastAsia" w:eastAsiaTheme="minorEastAsia" w:cstheme="minorEastAsia"/>
                <w:i w:val="0"/>
                <w:iCs w:val="0"/>
                <w:color w:val="000000"/>
                <w:sz w:val="18"/>
                <w:szCs w:val="18"/>
                <w:u w:val="none"/>
              </w:rPr>
            </w:pPr>
          </w:p>
        </w:tc>
      </w:tr>
      <w:tr w14:paraId="6C23E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7088167">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03DFAD9E">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single" w:color="000000" w:sz="4" w:space="0"/>
              <w:right w:val="single" w:color="000000" w:sz="4" w:space="0"/>
            </w:tcBorders>
            <w:shd w:val="clear" w:color="auto" w:fill="auto"/>
            <w:vAlign w:val="bottom"/>
          </w:tcPr>
          <w:p w14:paraId="11D96849">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5．具有标准 PC 防盗锁孔，确保电脑模块安全防盗。</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50556BB5">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A100F">
            <w:pPr>
              <w:jc w:val="center"/>
              <w:rPr>
                <w:rFonts w:hint="eastAsia" w:asciiTheme="minorEastAsia" w:hAnsiTheme="minorEastAsia" w:eastAsiaTheme="minorEastAsia" w:cstheme="minorEastAsia"/>
                <w:i w:val="0"/>
                <w:iCs w:val="0"/>
                <w:color w:val="000000"/>
                <w:sz w:val="18"/>
                <w:szCs w:val="18"/>
                <w:u w:val="none"/>
              </w:rPr>
            </w:pPr>
          </w:p>
        </w:tc>
      </w:tr>
      <w:tr w14:paraId="4684B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3"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4B5665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577" w:type="dxa"/>
            <w:vMerge w:val="restart"/>
            <w:tcBorders>
              <w:top w:val="single" w:color="000000" w:sz="4" w:space="0"/>
              <w:left w:val="single" w:color="000000" w:sz="4" w:space="0"/>
              <w:bottom w:val="single" w:color="000000" w:sz="4" w:space="0"/>
              <w:right w:val="nil"/>
            </w:tcBorders>
            <w:shd w:val="clear" w:color="auto" w:fill="auto"/>
            <w:vAlign w:val="center"/>
          </w:tcPr>
          <w:p w14:paraId="64CBC0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不良信息过滤软件</w:t>
            </w:r>
          </w:p>
        </w:tc>
        <w:tc>
          <w:tcPr>
            <w:tcW w:w="7101" w:type="dxa"/>
            <w:tcBorders>
              <w:top w:val="single" w:color="000000" w:sz="4" w:space="0"/>
              <w:left w:val="single" w:color="000000" w:sz="4" w:space="0"/>
              <w:bottom w:val="nil"/>
              <w:right w:val="single" w:color="000000" w:sz="4" w:space="0"/>
            </w:tcBorders>
            <w:shd w:val="clear" w:color="auto" w:fill="auto"/>
            <w:vAlign w:val="bottom"/>
          </w:tcPr>
          <w:p w14:paraId="7488653B">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1.产品具备信息过滤、网址过滤、图像过滤、网址库、网页内容信息过滤、网页内容信息过滤扩展、审计日志生成、审计日志保存、审计日志管理、设备使用管理等功能。</w:t>
            </w:r>
          </w:p>
        </w:tc>
        <w:tc>
          <w:tcPr>
            <w:tcW w:w="598" w:type="dxa"/>
            <w:vMerge w:val="restart"/>
            <w:tcBorders>
              <w:top w:val="single" w:color="000000" w:sz="4" w:space="0"/>
              <w:left w:val="nil"/>
              <w:bottom w:val="single" w:color="000000" w:sz="4" w:space="0"/>
              <w:right w:val="single" w:color="000000" w:sz="4" w:space="0"/>
            </w:tcBorders>
            <w:shd w:val="clear" w:color="auto" w:fill="auto"/>
            <w:vAlign w:val="center"/>
          </w:tcPr>
          <w:p w14:paraId="7018E8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C614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r>
      <w:tr w14:paraId="1AB17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5B0E9E4">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73A2258E">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1FD7B732">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2.产品支持对终端系统广告弹窗实时进行内容及特征分析，并对包含低俗信息的广告弹窗进行拦载处理，全面护航教学设备绿色上网，保障教师的正常授课环境。</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11A8894F">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F1D48">
            <w:pPr>
              <w:jc w:val="center"/>
              <w:rPr>
                <w:rFonts w:hint="eastAsia" w:asciiTheme="minorEastAsia" w:hAnsiTheme="minorEastAsia" w:eastAsiaTheme="minorEastAsia" w:cstheme="minorEastAsia"/>
                <w:i w:val="0"/>
                <w:iCs w:val="0"/>
                <w:color w:val="000000"/>
                <w:sz w:val="18"/>
                <w:szCs w:val="18"/>
                <w:u w:val="none"/>
              </w:rPr>
            </w:pPr>
          </w:p>
        </w:tc>
      </w:tr>
      <w:tr w14:paraId="68027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81C8763">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21A0154D">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368CBE49">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3.产品支持对终端运行的游戏进行策略管理，不允许运行的游戏会直接拦截游戏运行。</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71F01B78">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AC06D">
            <w:pPr>
              <w:jc w:val="center"/>
              <w:rPr>
                <w:rFonts w:hint="eastAsia" w:asciiTheme="minorEastAsia" w:hAnsiTheme="minorEastAsia" w:eastAsiaTheme="minorEastAsia" w:cstheme="minorEastAsia"/>
                <w:i w:val="0"/>
                <w:iCs w:val="0"/>
                <w:color w:val="000000"/>
                <w:sz w:val="18"/>
                <w:szCs w:val="18"/>
                <w:u w:val="none"/>
              </w:rPr>
            </w:pPr>
          </w:p>
        </w:tc>
      </w:tr>
      <w:tr w14:paraId="191EE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3204AF3">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200CCB59">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18F65ACB">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4.产品提供日志管理功能，详细记录操作者每次浏览的网上内容和上网时间，以及拦截黄色图像的次数和时间，可随时记录用户上网浏览内容和时间。</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0B77679F">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ECD15">
            <w:pPr>
              <w:jc w:val="center"/>
              <w:rPr>
                <w:rFonts w:hint="eastAsia" w:asciiTheme="minorEastAsia" w:hAnsiTheme="minorEastAsia" w:eastAsiaTheme="minorEastAsia" w:cstheme="minorEastAsia"/>
                <w:i w:val="0"/>
                <w:iCs w:val="0"/>
                <w:color w:val="000000"/>
                <w:sz w:val="18"/>
                <w:szCs w:val="18"/>
                <w:u w:val="none"/>
              </w:rPr>
            </w:pPr>
          </w:p>
        </w:tc>
      </w:tr>
      <w:tr w14:paraId="73A82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CE7671B">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525FC071">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single" w:color="000000" w:sz="4" w:space="0"/>
              <w:right w:val="single" w:color="000000" w:sz="4" w:space="0"/>
            </w:tcBorders>
            <w:shd w:val="clear" w:color="auto" w:fill="auto"/>
            <w:vAlign w:val="bottom"/>
          </w:tcPr>
          <w:p w14:paraId="075DEB96">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5.产品支持用户手动设置黑白名单及关键字，用户自定义的资源过滤时优先级最高。</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5489AF67">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308E5">
            <w:pPr>
              <w:jc w:val="center"/>
              <w:rPr>
                <w:rFonts w:hint="eastAsia" w:asciiTheme="minorEastAsia" w:hAnsiTheme="minorEastAsia" w:eastAsiaTheme="minorEastAsia" w:cstheme="minorEastAsia"/>
                <w:i w:val="0"/>
                <w:iCs w:val="0"/>
                <w:color w:val="000000"/>
                <w:sz w:val="18"/>
                <w:szCs w:val="18"/>
                <w:u w:val="none"/>
              </w:rPr>
            </w:pPr>
          </w:p>
        </w:tc>
      </w:tr>
      <w:tr w14:paraId="70C6C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3"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B8CDA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577" w:type="dxa"/>
            <w:vMerge w:val="restart"/>
            <w:tcBorders>
              <w:top w:val="single" w:color="000000" w:sz="4" w:space="0"/>
              <w:left w:val="single" w:color="000000" w:sz="4" w:space="0"/>
              <w:bottom w:val="single" w:color="000000" w:sz="4" w:space="0"/>
              <w:right w:val="nil"/>
            </w:tcBorders>
            <w:shd w:val="clear" w:color="auto" w:fill="auto"/>
            <w:vAlign w:val="center"/>
          </w:tcPr>
          <w:p w14:paraId="04B923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智慧教学平台</w:t>
            </w:r>
          </w:p>
        </w:tc>
        <w:tc>
          <w:tcPr>
            <w:tcW w:w="7101" w:type="dxa"/>
            <w:tcBorders>
              <w:top w:val="single" w:color="000000" w:sz="4" w:space="0"/>
              <w:left w:val="single" w:color="000000" w:sz="4" w:space="0"/>
              <w:bottom w:val="nil"/>
              <w:right w:val="single" w:color="000000" w:sz="4" w:space="0"/>
            </w:tcBorders>
            <w:shd w:val="clear" w:color="auto" w:fill="auto"/>
            <w:vAlign w:val="bottom"/>
          </w:tcPr>
          <w:p w14:paraId="7E6D914C">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1、教学平台为全校/教师提供可扩展，易于学校管理，安全可靠的云存储空间，根据每名教师使用时长与教学资料制作频率提供可扩展升级至不小于200G的个人云空间。</w:t>
            </w:r>
          </w:p>
        </w:tc>
        <w:tc>
          <w:tcPr>
            <w:tcW w:w="598" w:type="dxa"/>
            <w:vMerge w:val="restart"/>
            <w:tcBorders>
              <w:top w:val="single" w:color="000000" w:sz="4" w:space="0"/>
              <w:left w:val="nil"/>
              <w:bottom w:val="single" w:color="000000" w:sz="4" w:space="0"/>
              <w:right w:val="single" w:color="000000" w:sz="4" w:space="0"/>
            </w:tcBorders>
            <w:shd w:val="clear" w:color="auto" w:fill="auto"/>
            <w:vAlign w:val="center"/>
          </w:tcPr>
          <w:p w14:paraId="120B5E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28F2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r>
      <w:tr w14:paraId="69C94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B1FAEE6">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51E1F5F6">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08762709">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教学平台须为使用方全体教师配备个人账号，形成一体的信息化教学账号体系；根据教师账号信息将教师云空间匹配至对应学校、学科校本资源库。支持通过数字账号、微信二维码、硬件密钥方式登录教师个人账号；</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7F69ADAB">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93CAC">
            <w:pPr>
              <w:jc w:val="center"/>
              <w:rPr>
                <w:rFonts w:hint="eastAsia" w:asciiTheme="minorEastAsia" w:hAnsiTheme="minorEastAsia" w:eastAsiaTheme="minorEastAsia" w:cstheme="minorEastAsia"/>
                <w:i w:val="0"/>
                <w:iCs w:val="0"/>
                <w:color w:val="000000"/>
                <w:sz w:val="18"/>
                <w:szCs w:val="18"/>
                <w:u w:val="none"/>
              </w:rPr>
            </w:pPr>
          </w:p>
        </w:tc>
      </w:tr>
      <w:tr w14:paraId="06E67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B537263">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17F16FAA">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5E50F308">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2、互动教学课件支持定向精准分享：分享者可将互动课件、课件组精准推送至指定接收方账号云空间，接收方可在云空间接收并打开分享课件；</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5F9A5E18">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2F9B5">
            <w:pPr>
              <w:jc w:val="center"/>
              <w:rPr>
                <w:rFonts w:hint="eastAsia" w:asciiTheme="minorEastAsia" w:hAnsiTheme="minorEastAsia" w:eastAsiaTheme="minorEastAsia" w:cstheme="minorEastAsia"/>
                <w:i w:val="0"/>
                <w:iCs w:val="0"/>
                <w:color w:val="000000"/>
                <w:sz w:val="18"/>
                <w:szCs w:val="18"/>
                <w:u w:val="none"/>
              </w:rPr>
            </w:pPr>
          </w:p>
        </w:tc>
      </w:tr>
      <w:tr w14:paraId="260C6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1D83BA8">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738AC331">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1E42E38C">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3、上传下载一体化云存储：备课时支持将云空间中存储图片、音频、视频、Flash等素材插入课件，同时支持将课件中的图片、音频、视频、Flash、PPT等素材右键上传至云空间。</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76EE7BFB">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6B500">
            <w:pPr>
              <w:jc w:val="center"/>
              <w:rPr>
                <w:rFonts w:hint="eastAsia" w:asciiTheme="minorEastAsia" w:hAnsiTheme="minorEastAsia" w:eastAsiaTheme="minorEastAsia" w:cstheme="minorEastAsia"/>
                <w:i w:val="0"/>
                <w:iCs w:val="0"/>
                <w:color w:val="000000"/>
                <w:sz w:val="18"/>
                <w:szCs w:val="18"/>
                <w:u w:val="none"/>
              </w:rPr>
            </w:pPr>
          </w:p>
        </w:tc>
      </w:tr>
      <w:tr w14:paraId="52D0A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063BD4A">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344BFF33">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6FC3BDD0">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互动教学课件支持开放式云分享：分享者可将互动课件、课件组以公开或加密的web链接和二维码形式进行分享，分享链接可设置访问有效期；</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2F547C8A">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B5A10">
            <w:pPr>
              <w:jc w:val="center"/>
              <w:rPr>
                <w:rFonts w:hint="eastAsia" w:asciiTheme="minorEastAsia" w:hAnsiTheme="minorEastAsia" w:eastAsiaTheme="minorEastAsia" w:cstheme="minorEastAsia"/>
                <w:i w:val="0"/>
                <w:iCs w:val="0"/>
                <w:color w:val="000000"/>
                <w:sz w:val="18"/>
                <w:szCs w:val="18"/>
                <w:u w:val="none"/>
              </w:rPr>
            </w:pPr>
          </w:p>
        </w:tc>
      </w:tr>
      <w:tr w14:paraId="4CC28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47E841A">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1C45F8AE">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0A69CA1C">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4、互动教学课件支持分享至学校校本资源库，学段学科根据教师个人信息自动匹配，分享后课件全校教师可见，并可直接下载使用。校本资源库支持按学科、学段进行快速查找，同时支持关键词精准检索；</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2AAE9E72">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2C218">
            <w:pPr>
              <w:jc w:val="center"/>
              <w:rPr>
                <w:rFonts w:hint="eastAsia" w:asciiTheme="minorEastAsia" w:hAnsiTheme="minorEastAsia" w:eastAsiaTheme="minorEastAsia" w:cstheme="minorEastAsia"/>
                <w:i w:val="0"/>
                <w:iCs w:val="0"/>
                <w:color w:val="000000"/>
                <w:sz w:val="18"/>
                <w:szCs w:val="18"/>
                <w:u w:val="none"/>
              </w:rPr>
            </w:pPr>
          </w:p>
        </w:tc>
      </w:tr>
      <w:tr w14:paraId="07F02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5F277D4">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47343111">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54147C13">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5、接收方通过web链接或二维码的课件分享入口可预览互动课件内容并可触控课件互动元素，并能将互动课件转存至个人云空间，登陆云空间即可接收并打开互动课件；</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485FF700">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D049B">
            <w:pPr>
              <w:jc w:val="center"/>
              <w:rPr>
                <w:rFonts w:hint="eastAsia" w:asciiTheme="minorEastAsia" w:hAnsiTheme="minorEastAsia" w:eastAsiaTheme="minorEastAsia" w:cstheme="minorEastAsia"/>
                <w:i w:val="0"/>
                <w:iCs w:val="0"/>
                <w:color w:val="000000"/>
                <w:sz w:val="18"/>
                <w:szCs w:val="18"/>
                <w:u w:val="none"/>
              </w:rPr>
            </w:pPr>
          </w:p>
        </w:tc>
      </w:tr>
      <w:tr w14:paraId="263B3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C9D1DEC">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5E327061">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0D3C1C4A">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6、可在备课平台直接边写教案，教案为云端存储，支持文本、图片、视频、公式的插入；7、可将教案关联至教师课件，支持课件同时关联多份教案，关联后教师可在备课界面调用查看教案，便于教研工作开展；</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5CD305EC">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9E32F">
            <w:pPr>
              <w:jc w:val="center"/>
              <w:rPr>
                <w:rFonts w:hint="eastAsia" w:asciiTheme="minorEastAsia" w:hAnsiTheme="minorEastAsia" w:eastAsiaTheme="minorEastAsia" w:cstheme="minorEastAsia"/>
                <w:i w:val="0"/>
                <w:iCs w:val="0"/>
                <w:color w:val="000000"/>
                <w:sz w:val="18"/>
                <w:szCs w:val="18"/>
                <w:u w:val="none"/>
              </w:rPr>
            </w:pPr>
          </w:p>
        </w:tc>
      </w:tr>
      <w:tr w14:paraId="0060B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8"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E0F5095">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19A04956">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7486CE40">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8、教案支持插入图片、视频、表格，并支持链接分享。</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78E85A45">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0E5EB">
            <w:pPr>
              <w:jc w:val="center"/>
              <w:rPr>
                <w:rFonts w:hint="eastAsia" w:asciiTheme="minorEastAsia" w:hAnsiTheme="minorEastAsia" w:eastAsiaTheme="minorEastAsia" w:cstheme="minorEastAsia"/>
                <w:i w:val="0"/>
                <w:iCs w:val="0"/>
                <w:color w:val="000000"/>
                <w:sz w:val="18"/>
                <w:szCs w:val="18"/>
                <w:u w:val="none"/>
              </w:rPr>
            </w:pPr>
          </w:p>
        </w:tc>
      </w:tr>
      <w:tr w14:paraId="6ECD1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34344C1">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7AE59760">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1EAAF224">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9、教案支持一键打印和导出为PDF文件</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508CA260">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E391B">
            <w:pPr>
              <w:jc w:val="center"/>
              <w:rPr>
                <w:rFonts w:hint="eastAsia" w:asciiTheme="minorEastAsia" w:hAnsiTheme="minorEastAsia" w:eastAsiaTheme="minorEastAsia" w:cstheme="minorEastAsia"/>
                <w:i w:val="0"/>
                <w:iCs w:val="0"/>
                <w:color w:val="000000"/>
                <w:sz w:val="18"/>
                <w:szCs w:val="18"/>
                <w:u w:val="none"/>
              </w:rPr>
            </w:pPr>
          </w:p>
        </w:tc>
      </w:tr>
      <w:tr w14:paraId="5C077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C14AAAB">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09CC74B4">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670327DD">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10、教案支持单份和批量导入word格式并自动转换解析为云端教案格式。</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7922577F">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49969">
            <w:pPr>
              <w:jc w:val="center"/>
              <w:rPr>
                <w:rFonts w:hint="eastAsia" w:asciiTheme="minorEastAsia" w:hAnsiTheme="minorEastAsia" w:eastAsiaTheme="minorEastAsia" w:cstheme="minorEastAsia"/>
                <w:i w:val="0"/>
                <w:iCs w:val="0"/>
                <w:color w:val="000000"/>
                <w:sz w:val="18"/>
                <w:szCs w:val="18"/>
                <w:u w:val="none"/>
              </w:rPr>
            </w:pPr>
          </w:p>
        </w:tc>
      </w:tr>
      <w:tr w14:paraId="73AB6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D2C2FF8">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6EE75522">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0BDDEA0C">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提供互动式教学课件资源，包含学科教育各学段教材版本全部教学章节、专题教育多个主题教育、特殊教育三大分类的不少于150000份的交互式课件。课件支持直接预览并下载，预览时支持拖动课堂活动、形状、几何、文本等元素；下载时课件可同步至教师个人云课件存储空间；课件支持教师在线评分；</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4DDB2F91">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D7F4A">
            <w:pPr>
              <w:jc w:val="center"/>
              <w:rPr>
                <w:rFonts w:hint="eastAsia" w:asciiTheme="minorEastAsia" w:hAnsiTheme="minorEastAsia" w:eastAsiaTheme="minorEastAsia" w:cstheme="minorEastAsia"/>
                <w:i w:val="0"/>
                <w:iCs w:val="0"/>
                <w:color w:val="000000"/>
                <w:sz w:val="18"/>
                <w:szCs w:val="18"/>
                <w:u w:val="none"/>
              </w:rPr>
            </w:pPr>
          </w:p>
        </w:tc>
      </w:tr>
      <w:tr w14:paraId="7D69E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C144E68">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4A1D9E14">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42FF7266">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12、提供由专业教师团队打造的集课件、教案、说课为一体的资源包不少于600份，教师可一键获取到云课件列表直接授课使用，资源包内的教案和说课和课件可相互对照查看。</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63725CCB">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5D8BD">
            <w:pPr>
              <w:jc w:val="center"/>
              <w:rPr>
                <w:rFonts w:hint="eastAsia" w:asciiTheme="minorEastAsia" w:hAnsiTheme="minorEastAsia" w:eastAsiaTheme="minorEastAsia" w:cstheme="minorEastAsia"/>
                <w:i w:val="0"/>
                <w:iCs w:val="0"/>
                <w:color w:val="000000"/>
                <w:sz w:val="18"/>
                <w:szCs w:val="18"/>
                <w:u w:val="none"/>
              </w:rPr>
            </w:pPr>
          </w:p>
        </w:tc>
      </w:tr>
      <w:tr w14:paraId="67856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4285B54">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30AED899">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5B2CF521">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课件按照智能AI算法排序，并提供按照下载量、更新时间等规则手动排序；</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296A9BAB">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FA70E">
            <w:pPr>
              <w:jc w:val="center"/>
              <w:rPr>
                <w:rFonts w:hint="eastAsia" w:asciiTheme="minorEastAsia" w:hAnsiTheme="minorEastAsia" w:eastAsiaTheme="minorEastAsia" w:cstheme="minorEastAsia"/>
                <w:i w:val="0"/>
                <w:iCs w:val="0"/>
                <w:color w:val="000000"/>
                <w:sz w:val="18"/>
                <w:szCs w:val="18"/>
                <w:u w:val="none"/>
              </w:rPr>
            </w:pPr>
          </w:p>
        </w:tc>
      </w:tr>
      <w:tr w14:paraId="1EF01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AB0C924">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16D5513F">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04DEAD66">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13、采用备授课一体化框架设计，教师可根据教学场景自由切换类PPT界面的备课模式与触控交互教学模式，适用于教室、办公室等不同教学环境，便于教师教学使用；</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49F8C01A">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21652">
            <w:pPr>
              <w:jc w:val="center"/>
              <w:rPr>
                <w:rFonts w:hint="eastAsia" w:asciiTheme="minorEastAsia" w:hAnsiTheme="minorEastAsia" w:eastAsiaTheme="minorEastAsia" w:cstheme="minorEastAsia"/>
                <w:i w:val="0"/>
                <w:iCs w:val="0"/>
                <w:color w:val="000000"/>
                <w:sz w:val="18"/>
                <w:szCs w:val="18"/>
                <w:u w:val="none"/>
              </w:rPr>
            </w:pPr>
          </w:p>
        </w:tc>
      </w:tr>
      <w:tr w14:paraId="49F97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C052D27">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6EA5E4EA">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6F2FB209">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互动课件与多媒体素材的云空间相互独立，互不干扰；教师可新建课件组或素材文件夹对教学资源进行个性化的分类与标记，便于管理；多媒体素材库内的素材可随时插入互动课件，互动课件内的多媒体素材可在课件内直接上传至多媒体素材存储空间，便于教师调用、采集教学素材；</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0ED12BED">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89F23">
            <w:pPr>
              <w:jc w:val="center"/>
              <w:rPr>
                <w:rFonts w:hint="eastAsia" w:asciiTheme="minorEastAsia" w:hAnsiTheme="minorEastAsia" w:eastAsiaTheme="minorEastAsia" w:cstheme="minorEastAsia"/>
                <w:i w:val="0"/>
                <w:iCs w:val="0"/>
                <w:color w:val="000000"/>
                <w:sz w:val="18"/>
                <w:szCs w:val="18"/>
                <w:u w:val="none"/>
              </w:rPr>
            </w:pPr>
          </w:p>
        </w:tc>
      </w:tr>
      <w:tr w14:paraId="1E3DF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9D6D5E8">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191C9739">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1F1682DB">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15、互动课件内容的编辑修改无需人为保存即可自动同步至云空间，可根据教师需要调整云空间自动同步的时间间隔，避免教学资源的损坏、遗失；</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57B52BF7">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A7C48">
            <w:pPr>
              <w:jc w:val="center"/>
              <w:rPr>
                <w:rFonts w:hint="eastAsia" w:asciiTheme="minorEastAsia" w:hAnsiTheme="minorEastAsia" w:eastAsiaTheme="minorEastAsia" w:cstheme="minorEastAsia"/>
                <w:i w:val="0"/>
                <w:iCs w:val="0"/>
                <w:color w:val="000000"/>
                <w:sz w:val="18"/>
                <w:szCs w:val="18"/>
                <w:u w:val="none"/>
              </w:rPr>
            </w:pPr>
          </w:p>
        </w:tc>
      </w:tr>
      <w:tr w14:paraId="41349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FBCB673">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34A2A1A3">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2FBB503A">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16、编辑多份互动课件时，教师可一键将所有处于编辑状态的课件同步到互动课件云空间；</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26871580">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C72AF">
            <w:pPr>
              <w:jc w:val="center"/>
              <w:rPr>
                <w:rFonts w:hint="eastAsia" w:asciiTheme="minorEastAsia" w:hAnsiTheme="minorEastAsia" w:eastAsiaTheme="minorEastAsia" w:cstheme="minorEastAsia"/>
                <w:i w:val="0"/>
                <w:iCs w:val="0"/>
                <w:color w:val="000000"/>
                <w:sz w:val="18"/>
                <w:szCs w:val="18"/>
                <w:u w:val="none"/>
              </w:rPr>
            </w:pPr>
          </w:p>
        </w:tc>
      </w:tr>
      <w:tr w14:paraId="47C81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DDB8888">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220C57E1">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224A37AC">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AI智能备课助手，提供备课场景中搜索课件库课件资源，涵盖15w+课件资源，支持整份课件或按照课件页插入课件中；支持按照教学环节筛选对应课件页一键插入课件中，例如导入新课、作者简介等等；支持按照元素类型如思维导图、课堂活动等等，用户可按需所取，在查看部分课件的同时支持查看对应整份课件，了解作者整体教学思路，便于教师积木式补充课件缺失部分；</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630BAABA">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13837">
            <w:pPr>
              <w:jc w:val="center"/>
              <w:rPr>
                <w:rFonts w:hint="eastAsia" w:asciiTheme="minorEastAsia" w:hAnsiTheme="minorEastAsia" w:eastAsiaTheme="minorEastAsia" w:cstheme="minorEastAsia"/>
                <w:i w:val="0"/>
                <w:iCs w:val="0"/>
                <w:color w:val="000000"/>
                <w:sz w:val="18"/>
                <w:szCs w:val="18"/>
                <w:u w:val="none"/>
              </w:rPr>
            </w:pPr>
          </w:p>
        </w:tc>
      </w:tr>
      <w:tr w14:paraId="34E69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73796C7">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5A28EAF3">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08C0C1AA">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18、AI智能纠错：软件内置的AI智能语义分析模块，可对输入的英文文本的拼写、句型、语法进行错误检查，并支持一键纠错；</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16269AC4">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8F6B8">
            <w:pPr>
              <w:jc w:val="center"/>
              <w:rPr>
                <w:rFonts w:hint="eastAsia" w:asciiTheme="minorEastAsia" w:hAnsiTheme="minorEastAsia" w:eastAsiaTheme="minorEastAsia" w:cstheme="minorEastAsia"/>
                <w:i w:val="0"/>
                <w:iCs w:val="0"/>
                <w:color w:val="000000"/>
                <w:sz w:val="18"/>
                <w:szCs w:val="18"/>
                <w:u w:val="none"/>
              </w:rPr>
            </w:pPr>
          </w:p>
        </w:tc>
      </w:tr>
      <w:tr w14:paraId="37033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6227869">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1F366B9C">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6D6A600B">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AI智能生成课堂活动，智能填写课堂竞赛游戏：课堂活动智能填写功能，支持选词填空、判断对错和趣味选择三大课堂活动。区别于之前机械化按照结构逐条补充题目；智能填写支持输入文本后一键解析，自动将文本内容结构化填充至题干和正确选项，快速完成课堂活动的制作，提高老师制作课堂活动的效率；</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035612E9">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CDCEB">
            <w:pPr>
              <w:jc w:val="center"/>
              <w:rPr>
                <w:rFonts w:hint="eastAsia" w:asciiTheme="minorEastAsia" w:hAnsiTheme="minorEastAsia" w:eastAsiaTheme="minorEastAsia" w:cstheme="minorEastAsia"/>
                <w:i w:val="0"/>
                <w:iCs w:val="0"/>
                <w:color w:val="000000"/>
                <w:sz w:val="18"/>
                <w:szCs w:val="18"/>
                <w:u w:val="none"/>
              </w:rPr>
            </w:pPr>
          </w:p>
        </w:tc>
      </w:tr>
      <w:tr w14:paraId="2C6F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7B0D8B4">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7B53E55D">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2427B4A3">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20、具备图形自由创作工具，教师可自由绘制复杂的任意多边图形及曲边图形；教师自主创作的图形可存储至个人云空间便于后续使用；</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4A2D1262">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5B1F9">
            <w:pPr>
              <w:jc w:val="center"/>
              <w:rPr>
                <w:rFonts w:hint="eastAsia" w:asciiTheme="minorEastAsia" w:hAnsiTheme="minorEastAsia" w:eastAsiaTheme="minorEastAsia" w:cstheme="minorEastAsia"/>
                <w:i w:val="0"/>
                <w:iCs w:val="0"/>
                <w:color w:val="000000"/>
                <w:sz w:val="18"/>
                <w:szCs w:val="18"/>
                <w:u w:val="none"/>
              </w:rPr>
            </w:pPr>
          </w:p>
        </w:tc>
      </w:tr>
      <w:tr w14:paraId="45FB1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1FF99DF">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072CA9A1">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2CAA5C61">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21、教学平台内置图片处理功能，无需借助专业图片处理软件即可对课件内的图21、片进行快速抠图，图片主体处理后边缘无明显毛边，且处理后的图片可直接上传至教师云空间供后续复用；</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6456776E">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9EACD">
            <w:pPr>
              <w:jc w:val="center"/>
              <w:rPr>
                <w:rFonts w:hint="eastAsia" w:asciiTheme="minorEastAsia" w:hAnsiTheme="minorEastAsia" w:eastAsiaTheme="minorEastAsia" w:cstheme="minorEastAsia"/>
                <w:i w:val="0"/>
                <w:iCs w:val="0"/>
                <w:color w:val="000000"/>
                <w:sz w:val="18"/>
                <w:szCs w:val="18"/>
                <w:u w:val="none"/>
              </w:rPr>
            </w:pPr>
          </w:p>
        </w:tc>
      </w:tr>
      <w:tr w14:paraId="4FBFF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1536D08">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5BAE71E6">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0D1966E7">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22、支持对任意课件元素自定义路径动画，可自由绘制动画移动轨迹使课件元素沿轨迹路径进行移动。支持对任意课件元素添加10个以上的动画；</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75844422">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A53BB">
            <w:pPr>
              <w:jc w:val="center"/>
              <w:rPr>
                <w:rFonts w:hint="eastAsia" w:asciiTheme="minorEastAsia" w:hAnsiTheme="minorEastAsia" w:eastAsiaTheme="minorEastAsia" w:cstheme="minorEastAsia"/>
                <w:i w:val="0"/>
                <w:iCs w:val="0"/>
                <w:color w:val="000000"/>
                <w:sz w:val="18"/>
                <w:szCs w:val="18"/>
                <w:u w:val="none"/>
              </w:rPr>
            </w:pPr>
          </w:p>
        </w:tc>
      </w:tr>
      <w:tr w14:paraId="1DD8E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928C7E5">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33D8B5B2">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3FBA29AE">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23、支持对音频、视频文件进行关键帧标记，可在音、视频进度条任意位置自由设置关键帧播放节点，便于快速定位讲解关键教学内容；</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438AE8C4">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19ED6">
            <w:pPr>
              <w:jc w:val="center"/>
              <w:rPr>
                <w:rFonts w:hint="eastAsia" w:asciiTheme="minorEastAsia" w:hAnsiTheme="minorEastAsia" w:eastAsiaTheme="minorEastAsia" w:cstheme="minorEastAsia"/>
                <w:i w:val="0"/>
                <w:iCs w:val="0"/>
                <w:color w:val="000000"/>
                <w:sz w:val="18"/>
                <w:szCs w:val="18"/>
                <w:u w:val="none"/>
              </w:rPr>
            </w:pPr>
          </w:p>
        </w:tc>
      </w:tr>
      <w:tr w14:paraId="5F854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D0621D6">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7F8D7644">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5316545A">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判断题竞赛游戏：支持创建判断题竞赛游戏，教师可设置正确项／干扰项，让两组学生进行判断对错游戏竞争。提供简单、中等、困难难度及多种预设游戏背景模版，模版样式支持自定义修改。支持记录和展示学生作答结果，便于课堂知识点对比讲解。</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20BC0D50">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7DC82">
            <w:pPr>
              <w:jc w:val="center"/>
              <w:rPr>
                <w:rFonts w:hint="eastAsia" w:asciiTheme="minorEastAsia" w:hAnsiTheme="minorEastAsia" w:eastAsiaTheme="minorEastAsia" w:cstheme="minorEastAsia"/>
                <w:i w:val="0"/>
                <w:iCs w:val="0"/>
                <w:color w:val="000000"/>
                <w:sz w:val="18"/>
                <w:szCs w:val="18"/>
                <w:u w:val="none"/>
              </w:rPr>
            </w:pPr>
          </w:p>
        </w:tc>
      </w:tr>
      <w:tr w14:paraId="4204F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F7386FE">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53C670DE">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48DCC3A1">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25、提供柱状图、扇形图、折线图等互动图表，每类图表预置不少于5种样式，支持图表文字、背景、透明度设置；柱状图、折线图可一键转置互换坐标轴类别；图表支持三维模式旋转展示，生动形象；</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17F132C0">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EEFB0">
            <w:pPr>
              <w:jc w:val="center"/>
              <w:rPr>
                <w:rFonts w:hint="eastAsia" w:asciiTheme="minorEastAsia" w:hAnsiTheme="minorEastAsia" w:eastAsiaTheme="minorEastAsia" w:cstheme="minorEastAsia"/>
                <w:i w:val="0"/>
                <w:iCs w:val="0"/>
                <w:color w:val="000000"/>
                <w:sz w:val="18"/>
                <w:szCs w:val="18"/>
                <w:u w:val="none"/>
              </w:rPr>
            </w:pPr>
          </w:p>
        </w:tc>
      </w:tr>
      <w:tr w14:paraId="11E8A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7B8CFDD">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09C90258">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65C7B2BF">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26、数学工具：</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69A01B70">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90546">
            <w:pPr>
              <w:jc w:val="center"/>
              <w:rPr>
                <w:rFonts w:hint="eastAsia" w:asciiTheme="minorEastAsia" w:hAnsiTheme="minorEastAsia" w:eastAsiaTheme="minorEastAsia" w:cstheme="minorEastAsia"/>
                <w:i w:val="0"/>
                <w:iCs w:val="0"/>
                <w:color w:val="000000"/>
                <w:sz w:val="18"/>
                <w:szCs w:val="18"/>
                <w:u w:val="none"/>
              </w:rPr>
            </w:pPr>
          </w:p>
        </w:tc>
      </w:tr>
      <w:tr w14:paraId="47E5F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536D120">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01D7E960">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7CF16F96">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（1）立体几何工具：可自由绘制长方体、立方体、圆柱体、圆锥等立体几何图形。任意调节几何体的大小尺寸，支持几何图形按比例放大缩小和通过单独调整长宽高（半径/高）改变几何体大小；</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69280B4A">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9A70E">
            <w:pPr>
              <w:jc w:val="center"/>
              <w:rPr>
                <w:rFonts w:hint="eastAsia" w:asciiTheme="minorEastAsia" w:hAnsiTheme="minorEastAsia" w:eastAsiaTheme="minorEastAsia" w:cstheme="minorEastAsia"/>
                <w:i w:val="0"/>
                <w:iCs w:val="0"/>
                <w:color w:val="000000"/>
                <w:sz w:val="18"/>
                <w:szCs w:val="18"/>
                <w:u w:val="none"/>
              </w:rPr>
            </w:pPr>
          </w:p>
        </w:tc>
      </w:tr>
      <w:tr w14:paraId="5E666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669BCF5">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1CC1F823">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33069DA0">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支持为长方体、圆柱体、圆锥等几何体的各面、棱分别填涂颜色，并且可通过360°旋转观察涂色面与未涂色面；几何体支持平面展开，预置长方体、立方体“141、132、222、33”型展开方式，展开后可对涂色面进行查看，有助于学生的空间想象；</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31790C28">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343F4">
            <w:pPr>
              <w:jc w:val="center"/>
              <w:rPr>
                <w:rFonts w:hint="eastAsia" w:asciiTheme="minorEastAsia" w:hAnsiTheme="minorEastAsia" w:eastAsiaTheme="minorEastAsia" w:cstheme="minorEastAsia"/>
                <w:i w:val="0"/>
                <w:iCs w:val="0"/>
                <w:color w:val="000000"/>
                <w:sz w:val="18"/>
                <w:szCs w:val="18"/>
                <w:u w:val="none"/>
              </w:rPr>
            </w:pPr>
          </w:p>
        </w:tc>
      </w:tr>
      <w:tr w14:paraId="7E945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3D38576">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0312D1EB">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5BAD1634">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（3）具备几何体智能吸附功能：同类几何体相互靠近时，可智能识别吸附；</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72DC5AD5">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3FAF4">
            <w:pPr>
              <w:jc w:val="center"/>
              <w:rPr>
                <w:rFonts w:hint="eastAsia" w:asciiTheme="minorEastAsia" w:hAnsiTheme="minorEastAsia" w:eastAsiaTheme="minorEastAsia" w:cstheme="minorEastAsia"/>
                <w:i w:val="0"/>
                <w:iCs w:val="0"/>
                <w:color w:val="000000"/>
                <w:sz w:val="18"/>
                <w:szCs w:val="18"/>
                <w:u w:val="none"/>
              </w:rPr>
            </w:pPr>
          </w:p>
        </w:tc>
      </w:tr>
      <w:tr w14:paraId="08C40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34E1E33">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53A598B3">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1B0F9CC7">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27、地理工具：</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1F1CC836">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2059D">
            <w:pPr>
              <w:jc w:val="center"/>
              <w:rPr>
                <w:rFonts w:hint="eastAsia" w:asciiTheme="minorEastAsia" w:hAnsiTheme="minorEastAsia" w:eastAsiaTheme="minorEastAsia" w:cstheme="minorEastAsia"/>
                <w:i w:val="0"/>
                <w:iCs w:val="0"/>
                <w:color w:val="000000"/>
                <w:sz w:val="18"/>
                <w:szCs w:val="18"/>
                <w:u w:val="none"/>
              </w:rPr>
            </w:pPr>
          </w:p>
        </w:tc>
      </w:tr>
      <w:tr w14:paraId="02E46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D362E70">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24174270">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213A761B">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（1）书写工具具备地图图示（如铁路、城墙、山峰、港口、机场等）笔迹，可直接进行图示标注；</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6DDE3F2E">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F13A3">
            <w:pPr>
              <w:jc w:val="center"/>
              <w:rPr>
                <w:rFonts w:hint="eastAsia" w:asciiTheme="minorEastAsia" w:hAnsiTheme="minorEastAsia" w:eastAsiaTheme="minorEastAsia" w:cstheme="minorEastAsia"/>
                <w:i w:val="0"/>
                <w:iCs w:val="0"/>
                <w:color w:val="000000"/>
                <w:sz w:val="18"/>
                <w:szCs w:val="18"/>
                <w:u w:val="none"/>
              </w:rPr>
            </w:pPr>
          </w:p>
        </w:tc>
      </w:tr>
      <w:tr w14:paraId="4CE59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9"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BB2F73E">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4614907C">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094880A1">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提供三维立体星球模型，内含太阳系全览模型、行星模型、卫星模型，支持360°自由旋转、缩放。太阳系全览模型、行星、卫星使用模型嵌套设计，无需切换界面，可从太阳系逐层定位至卫星；提供丰富的地理教学图集，可查看行星的详细数据信息（包括名称、赤道直径、质量、自转周期、日心轨道周期、表面重力、温度等）和内部结构信息（地壳、地幔、外核、内核等），支持地球模型直接进行平面/立体转换，清晰展现地球表面的六大板块、降水分布、气温分布、气候分布、人口分布、表层洋流、陆地自然带、海平面等压线等内容，方便教学；</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1C050238">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104EC">
            <w:pPr>
              <w:jc w:val="center"/>
              <w:rPr>
                <w:rFonts w:hint="eastAsia" w:asciiTheme="minorEastAsia" w:hAnsiTheme="minorEastAsia" w:eastAsiaTheme="minorEastAsia" w:cstheme="minorEastAsia"/>
                <w:i w:val="0"/>
                <w:iCs w:val="0"/>
                <w:color w:val="000000"/>
                <w:sz w:val="18"/>
                <w:szCs w:val="18"/>
                <w:u w:val="none"/>
              </w:rPr>
            </w:pPr>
          </w:p>
        </w:tc>
      </w:tr>
      <w:tr w14:paraId="78F69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1AF1339">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7EB9DA2A">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1FF42D35">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28、多学科题库：提供涵盖小学、初中、高中的总知识点不少于9000个，试题数量不少于30万道试题，中学题库需包含语文、数学、英语、物理、化学、生物、政治、历史、地理等多个学科，包含选择、填空、判断、诗歌阅读、完形填空、阅读理解、辨析题、材料题、实验题、作图题等丰富题型。可批量选择试题以交互试题卡的形式插入课件。试题卡包含题干、答案和解析，并可一键展开收起答案和解析；</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2E6E8062">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56188">
            <w:pPr>
              <w:jc w:val="center"/>
              <w:rPr>
                <w:rFonts w:hint="eastAsia" w:asciiTheme="minorEastAsia" w:hAnsiTheme="minorEastAsia" w:eastAsiaTheme="minorEastAsia" w:cstheme="minorEastAsia"/>
                <w:i w:val="0"/>
                <w:iCs w:val="0"/>
                <w:color w:val="000000"/>
                <w:sz w:val="18"/>
                <w:szCs w:val="18"/>
                <w:u w:val="none"/>
              </w:rPr>
            </w:pPr>
          </w:p>
        </w:tc>
      </w:tr>
      <w:tr w14:paraId="65BC5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35"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D204214">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6C0F7D1E">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005FEBEF">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29、微课视频：提供涵盖小学、初中、高中超过2000个微课程视频，每个学段的微课视频内容应不少于三个主要学科。微课内容可在线点播，下载至课件播放。微课视频支持视频关键帧打点标记，播放过程中可一键跳转至标记位置，同时支持一键对视频内容进行截图插入课件；</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0200522A">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E841B">
            <w:pPr>
              <w:jc w:val="center"/>
              <w:rPr>
                <w:rFonts w:hint="eastAsia" w:asciiTheme="minorEastAsia" w:hAnsiTheme="minorEastAsia" w:eastAsiaTheme="minorEastAsia" w:cstheme="minorEastAsia"/>
                <w:i w:val="0"/>
                <w:iCs w:val="0"/>
                <w:color w:val="000000"/>
                <w:sz w:val="18"/>
                <w:szCs w:val="18"/>
                <w:u w:val="none"/>
              </w:rPr>
            </w:pPr>
          </w:p>
        </w:tc>
      </w:tr>
      <w:tr w14:paraId="14621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8"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0D5712C">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3D252BAE">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5B117702">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30、支持对图形样式设置：图形颜色、阴影、倒影、透明度、边框等样式设置；支持图形旋转中心调整，便于教学使用；</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2870D013">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B9836">
            <w:pPr>
              <w:jc w:val="center"/>
              <w:rPr>
                <w:rFonts w:hint="eastAsia" w:asciiTheme="minorEastAsia" w:hAnsiTheme="minorEastAsia" w:eastAsiaTheme="minorEastAsia" w:cstheme="minorEastAsia"/>
                <w:i w:val="0"/>
                <w:iCs w:val="0"/>
                <w:color w:val="000000"/>
                <w:sz w:val="18"/>
                <w:szCs w:val="18"/>
                <w:u w:val="none"/>
              </w:rPr>
            </w:pPr>
          </w:p>
        </w:tc>
      </w:tr>
      <w:tr w14:paraId="3586D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3582326">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2999A4BD">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7A20E2AE">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32、语文工具：</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70920693">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16130">
            <w:pPr>
              <w:jc w:val="center"/>
              <w:rPr>
                <w:rFonts w:hint="eastAsia" w:asciiTheme="minorEastAsia" w:hAnsiTheme="minorEastAsia" w:eastAsiaTheme="minorEastAsia" w:cstheme="minorEastAsia"/>
                <w:i w:val="0"/>
                <w:iCs w:val="0"/>
                <w:color w:val="000000"/>
                <w:sz w:val="18"/>
                <w:szCs w:val="18"/>
                <w:u w:val="none"/>
              </w:rPr>
            </w:pPr>
          </w:p>
        </w:tc>
      </w:tr>
      <w:tr w14:paraId="45DB4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9"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1670B90">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4CD72A1D">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7B1234B9">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提供覆盖初中、高中的古诗词、古文教学资源：包含原文、翻译、背景介绍、作者介绍、朗诵音频。内嵌诗词百科链接，一键跳转展示诗词及作者详细背景介绍；全部古诗词资源按照年级学段、朝代、诗人进行精细分类，教师仅需点击分类关键词即可快速跳转至对应诗词资源，无需输入诗词名称即可快速检索，支持教师直接搜索诗词、古文名称或作者名称进行查找；支持教师自由添加古诗词教学资源，教师可使用模板三步创建古诗词内容和翻译自主创建的古诗词，并自动保存至云端供教学复用。备课时可对原文进行注释、标重点等操作；提供原文朗读音频，全部诗词、古文均配备专业朗读配音，朗读音频支持关键帧打点标记；</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72D398BE">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6AA94">
            <w:pPr>
              <w:jc w:val="center"/>
              <w:rPr>
                <w:rFonts w:hint="eastAsia" w:asciiTheme="minorEastAsia" w:hAnsiTheme="minorEastAsia" w:eastAsiaTheme="minorEastAsia" w:cstheme="minorEastAsia"/>
                <w:i w:val="0"/>
                <w:iCs w:val="0"/>
                <w:color w:val="000000"/>
                <w:sz w:val="18"/>
                <w:szCs w:val="18"/>
                <w:u w:val="none"/>
              </w:rPr>
            </w:pPr>
          </w:p>
        </w:tc>
      </w:tr>
      <w:tr w14:paraId="0D12A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E367A48">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2FE8C065">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2936BB29">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33、数学工具：</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5C819493">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5A6BF">
            <w:pPr>
              <w:jc w:val="center"/>
              <w:rPr>
                <w:rFonts w:hint="eastAsia" w:asciiTheme="minorEastAsia" w:hAnsiTheme="minorEastAsia" w:eastAsiaTheme="minorEastAsia" w:cstheme="minorEastAsia"/>
                <w:i w:val="0"/>
                <w:iCs w:val="0"/>
                <w:color w:val="000000"/>
                <w:sz w:val="18"/>
                <w:szCs w:val="18"/>
                <w:u w:val="none"/>
              </w:rPr>
            </w:pPr>
          </w:p>
        </w:tc>
      </w:tr>
      <w:tr w14:paraId="020EE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8E769D8">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2EB70280">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30CD8238">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（1）数学画板：</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564457F9">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FA7C4">
            <w:pPr>
              <w:jc w:val="center"/>
              <w:rPr>
                <w:rFonts w:hint="eastAsia" w:asciiTheme="minorEastAsia" w:hAnsiTheme="minorEastAsia" w:eastAsiaTheme="minorEastAsia" w:cstheme="minorEastAsia"/>
                <w:i w:val="0"/>
                <w:iCs w:val="0"/>
                <w:color w:val="000000"/>
                <w:sz w:val="18"/>
                <w:szCs w:val="18"/>
                <w:u w:val="none"/>
              </w:rPr>
            </w:pPr>
          </w:p>
        </w:tc>
      </w:tr>
      <w:tr w14:paraId="15E2D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BAB4AE9">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598FDE12">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797C46AE">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① 支持课件中插入在线数学画板，授课时一键打开使用；</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4DC1CDDD">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6E609">
            <w:pPr>
              <w:jc w:val="center"/>
              <w:rPr>
                <w:rFonts w:hint="eastAsia" w:asciiTheme="minorEastAsia" w:hAnsiTheme="minorEastAsia" w:eastAsiaTheme="minorEastAsia" w:cstheme="minorEastAsia"/>
                <w:i w:val="0"/>
                <w:iCs w:val="0"/>
                <w:color w:val="000000"/>
                <w:sz w:val="18"/>
                <w:szCs w:val="18"/>
                <w:u w:val="none"/>
              </w:rPr>
            </w:pPr>
          </w:p>
        </w:tc>
      </w:tr>
      <w:tr w14:paraId="34A2C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3BC23FA">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676BE739">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25142959">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② 提供不少于500个数学画板资源，按照小学、初中、高中学段数学学科主要知识点分类，便于教师查找使用；</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08B08BFA">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D8FEB">
            <w:pPr>
              <w:jc w:val="center"/>
              <w:rPr>
                <w:rFonts w:hint="eastAsia" w:asciiTheme="minorEastAsia" w:hAnsiTheme="minorEastAsia" w:eastAsiaTheme="minorEastAsia" w:cstheme="minorEastAsia"/>
                <w:i w:val="0"/>
                <w:iCs w:val="0"/>
                <w:color w:val="000000"/>
                <w:sz w:val="18"/>
                <w:szCs w:val="18"/>
                <w:u w:val="none"/>
              </w:rPr>
            </w:pPr>
          </w:p>
        </w:tc>
      </w:tr>
      <w:tr w14:paraId="1C4A5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313510D">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7CCA2708">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5556FB77">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③ 内置画板课件展示生动直观，可动态展示平面几何的变化：如小学几何四边形，可动态演示四边形的不同形态间的变化；中学函数的平方差公式讲解，可将平方差公式通过图形具象展示其计算原理；</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4D98EFCA">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BA416">
            <w:pPr>
              <w:jc w:val="center"/>
              <w:rPr>
                <w:rFonts w:hint="eastAsia" w:asciiTheme="minorEastAsia" w:hAnsiTheme="minorEastAsia" w:eastAsiaTheme="minorEastAsia" w:cstheme="minorEastAsia"/>
                <w:i w:val="0"/>
                <w:iCs w:val="0"/>
                <w:color w:val="000000"/>
                <w:sz w:val="18"/>
                <w:szCs w:val="18"/>
                <w:u w:val="none"/>
              </w:rPr>
            </w:pPr>
          </w:p>
        </w:tc>
      </w:tr>
      <w:tr w14:paraId="2A5A6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0D47525">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2F7ECD2B">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4EF2DE5A">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④ 提供个人画板供教师自由创作，具备点、线、面等基础元素和线段中点、椭圆焦点、极坐标方程等数十种数学常用工具。创建后可一键将画板无缝嵌入课件；</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41CFF206">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4CEB8">
            <w:pPr>
              <w:jc w:val="center"/>
              <w:rPr>
                <w:rFonts w:hint="eastAsia" w:asciiTheme="minorEastAsia" w:hAnsiTheme="minorEastAsia" w:eastAsiaTheme="minorEastAsia" w:cstheme="minorEastAsia"/>
                <w:i w:val="0"/>
                <w:iCs w:val="0"/>
                <w:color w:val="000000"/>
                <w:sz w:val="18"/>
                <w:szCs w:val="18"/>
                <w:u w:val="none"/>
              </w:rPr>
            </w:pPr>
          </w:p>
        </w:tc>
      </w:tr>
      <w:tr w14:paraId="30231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8"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C9EDD25">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038F1578">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64D4C8C0">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34、化学工具：</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2F642AA1">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CBD7F">
            <w:pPr>
              <w:jc w:val="center"/>
              <w:rPr>
                <w:rFonts w:hint="eastAsia" w:asciiTheme="minorEastAsia" w:hAnsiTheme="minorEastAsia" w:eastAsiaTheme="minorEastAsia" w:cstheme="minorEastAsia"/>
                <w:i w:val="0"/>
                <w:iCs w:val="0"/>
                <w:color w:val="000000"/>
                <w:sz w:val="18"/>
                <w:szCs w:val="18"/>
                <w:u w:val="none"/>
              </w:rPr>
            </w:pPr>
          </w:p>
        </w:tc>
      </w:tr>
      <w:tr w14:paraId="70F1F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5825C71">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1F58257C">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52B08B8E">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化学方程式编辑器：提供化学方程式快速编辑工具，当输入一个化学元素时，软件界面将自动显示出和该元素相关的多个常用化学反应方程式，可直接选择使用。插入后的化学方程式可重新编辑；</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3558F4ED">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EF592">
            <w:pPr>
              <w:jc w:val="center"/>
              <w:rPr>
                <w:rFonts w:hint="eastAsia" w:asciiTheme="minorEastAsia" w:hAnsiTheme="minorEastAsia" w:eastAsiaTheme="minorEastAsia" w:cstheme="minorEastAsia"/>
                <w:i w:val="0"/>
                <w:iCs w:val="0"/>
                <w:color w:val="000000"/>
                <w:sz w:val="18"/>
                <w:szCs w:val="18"/>
                <w:u w:val="none"/>
              </w:rPr>
            </w:pPr>
          </w:p>
        </w:tc>
      </w:tr>
      <w:tr w14:paraId="0544E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BD95720">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677915FE">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62E69885">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35、平面几何工具：可自由绘制线条、线段及射线；可自由绘制任意边数及角度的图形，自动显示内角角度，支持编辑内角角度对图形进行精细调整；可自由绘制扇形及圆形，并显示圆心角、圆周角角度；可自由标注几何图形的顶点字母，支持大小写字母输入，便于授课讲解。提供具有智能吸附的辅助线工具，教师可快速自由绘制所需辅助线；</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7697B833">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4EDE7">
            <w:pPr>
              <w:jc w:val="center"/>
              <w:rPr>
                <w:rFonts w:hint="eastAsia" w:asciiTheme="minorEastAsia" w:hAnsiTheme="minorEastAsia" w:eastAsiaTheme="minorEastAsia" w:cstheme="minorEastAsia"/>
                <w:i w:val="0"/>
                <w:iCs w:val="0"/>
                <w:color w:val="000000"/>
                <w:sz w:val="18"/>
                <w:szCs w:val="18"/>
                <w:u w:val="none"/>
              </w:rPr>
            </w:pPr>
          </w:p>
        </w:tc>
      </w:tr>
      <w:tr w14:paraId="00676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B14B76F">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394C8DAC">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21DE6ACB">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36、英语工具：</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0B36C585">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756A8">
            <w:pPr>
              <w:jc w:val="center"/>
              <w:rPr>
                <w:rFonts w:hint="eastAsia" w:asciiTheme="minorEastAsia" w:hAnsiTheme="minorEastAsia" w:eastAsiaTheme="minorEastAsia" w:cstheme="minorEastAsia"/>
                <w:i w:val="0"/>
                <w:iCs w:val="0"/>
                <w:color w:val="000000"/>
                <w:sz w:val="18"/>
                <w:szCs w:val="18"/>
                <w:u w:val="none"/>
              </w:rPr>
            </w:pPr>
          </w:p>
        </w:tc>
      </w:tr>
      <w:tr w14:paraId="3855C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714A276">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1CFEC33C">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71CEDA53">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四线三格：配置英语学科四线三格，可直接键入人教版英语辅助教材配套的手写字体。</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71DDAB66">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8212E">
            <w:pPr>
              <w:jc w:val="center"/>
              <w:rPr>
                <w:rFonts w:hint="eastAsia" w:asciiTheme="minorEastAsia" w:hAnsiTheme="minorEastAsia" w:eastAsiaTheme="minorEastAsia" w:cstheme="minorEastAsia"/>
                <w:i w:val="0"/>
                <w:iCs w:val="0"/>
                <w:color w:val="000000"/>
                <w:sz w:val="18"/>
                <w:szCs w:val="18"/>
                <w:u w:val="none"/>
              </w:rPr>
            </w:pPr>
          </w:p>
        </w:tc>
      </w:tr>
      <w:tr w14:paraId="6BCE0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4C74247">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1269FB6D">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0E584B5F">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听写：配置英语学科听写工具，覆盖小初高不少于8000个英语单词，支持自定义选择单词，根据单词智能生成读音；支持自定义听写频率和次数，一键生成听写卡；授课模式支持一键开启听写朗读；</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188DEE4D">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B40D9">
            <w:pPr>
              <w:jc w:val="center"/>
              <w:rPr>
                <w:rFonts w:hint="eastAsia" w:asciiTheme="minorEastAsia" w:hAnsiTheme="minorEastAsia" w:eastAsiaTheme="minorEastAsia" w:cstheme="minorEastAsia"/>
                <w:i w:val="0"/>
                <w:iCs w:val="0"/>
                <w:color w:val="000000"/>
                <w:sz w:val="18"/>
                <w:szCs w:val="18"/>
                <w:u w:val="none"/>
              </w:rPr>
            </w:pPr>
          </w:p>
        </w:tc>
      </w:tr>
      <w:tr w14:paraId="0B08D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00807CC">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4B9A3B35">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0FE2A711">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37、擦除：提供精细点擦除、笔迹全屏清除，手势擦除方式。手势擦除面积可根据教师手掌与屏幕的接触面积自动判定调整擦除面积大小；</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52521C5D">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71CFD">
            <w:pPr>
              <w:jc w:val="center"/>
              <w:rPr>
                <w:rFonts w:hint="eastAsia" w:asciiTheme="minorEastAsia" w:hAnsiTheme="minorEastAsia" w:eastAsiaTheme="minorEastAsia" w:cstheme="minorEastAsia"/>
                <w:i w:val="0"/>
                <w:iCs w:val="0"/>
                <w:color w:val="000000"/>
                <w:sz w:val="18"/>
                <w:szCs w:val="18"/>
                <w:u w:val="none"/>
              </w:rPr>
            </w:pPr>
          </w:p>
        </w:tc>
      </w:tr>
      <w:tr w14:paraId="4E340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3"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B8D51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577" w:type="dxa"/>
            <w:vMerge w:val="restart"/>
            <w:tcBorders>
              <w:top w:val="single" w:color="000000" w:sz="4" w:space="0"/>
              <w:left w:val="single" w:color="000000" w:sz="4" w:space="0"/>
              <w:bottom w:val="single" w:color="000000" w:sz="4" w:space="0"/>
              <w:right w:val="nil"/>
            </w:tcBorders>
            <w:shd w:val="clear" w:color="auto" w:fill="auto"/>
            <w:vAlign w:val="center"/>
          </w:tcPr>
          <w:p w14:paraId="69442A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集控运维管理平台</w:t>
            </w:r>
          </w:p>
        </w:tc>
        <w:tc>
          <w:tcPr>
            <w:tcW w:w="7101" w:type="dxa"/>
            <w:tcBorders>
              <w:top w:val="single" w:color="000000" w:sz="4" w:space="0"/>
              <w:left w:val="single" w:color="000000" w:sz="4" w:space="0"/>
              <w:bottom w:val="nil"/>
              <w:right w:val="single" w:color="000000" w:sz="4" w:space="0"/>
            </w:tcBorders>
            <w:shd w:val="clear" w:color="auto" w:fill="auto"/>
            <w:vAlign w:val="bottom"/>
          </w:tcPr>
          <w:p w14:paraId="4A6A2080">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1、系统基于SaaS布局，应用界面采用B/S架构设计，支持学校管理员在Windows、Linux、Android、IOS等多种不同的操作系统上通过网页浏览器登录进行所有管理指令操作。</w:t>
            </w:r>
          </w:p>
        </w:tc>
        <w:tc>
          <w:tcPr>
            <w:tcW w:w="598" w:type="dxa"/>
            <w:vMerge w:val="restart"/>
            <w:tcBorders>
              <w:top w:val="single" w:color="000000" w:sz="4" w:space="0"/>
              <w:left w:val="nil"/>
              <w:bottom w:val="single" w:color="000000" w:sz="4" w:space="0"/>
              <w:right w:val="single" w:color="000000" w:sz="4" w:space="0"/>
            </w:tcBorders>
            <w:shd w:val="clear" w:color="auto" w:fill="auto"/>
            <w:vAlign w:val="center"/>
          </w:tcPr>
          <w:p w14:paraId="618E46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07B2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r>
      <w:tr w14:paraId="122DE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4256C20">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47B0B856">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0BF19759">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2、系统支持多类型设备接入，集中运维。包含班班通设备、录播设备、班牌设备、校园屏显设备、学生平板设备。</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726A8246">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D68BF">
            <w:pPr>
              <w:jc w:val="center"/>
              <w:rPr>
                <w:rFonts w:hint="eastAsia" w:asciiTheme="minorEastAsia" w:hAnsiTheme="minorEastAsia" w:eastAsiaTheme="minorEastAsia" w:cstheme="minorEastAsia"/>
                <w:i w:val="0"/>
                <w:iCs w:val="0"/>
                <w:color w:val="000000"/>
                <w:sz w:val="18"/>
                <w:szCs w:val="18"/>
                <w:u w:val="none"/>
              </w:rPr>
            </w:pPr>
          </w:p>
        </w:tc>
      </w:tr>
      <w:tr w14:paraId="55CDF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DC01196">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44F71073">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606AA8C4">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为方便维护，软件可以实现批量关联：支持通过设备辅助管理软件，在单台班班通设备关联学校代码后，自动发现并关联同网段下其他班班通设备。（提供国家广播电视产品质量监督检验中心所出具的权威检测报告）</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31BC4D35">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B7C8F">
            <w:pPr>
              <w:jc w:val="center"/>
              <w:rPr>
                <w:rFonts w:hint="eastAsia" w:asciiTheme="minorEastAsia" w:hAnsiTheme="minorEastAsia" w:eastAsiaTheme="minorEastAsia" w:cstheme="minorEastAsia"/>
                <w:i w:val="0"/>
                <w:iCs w:val="0"/>
                <w:color w:val="000000"/>
                <w:sz w:val="18"/>
                <w:szCs w:val="18"/>
                <w:u w:val="none"/>
              </w:rPr>
            </w:pPr>
          </w:p>
        </w:tc>
      </w:tr>
      <w:tr w14:paraId="2ACBB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D1874BC">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5D232398">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48C85905">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4、登录方式多样性：支持账号/密码、手机扫码登录。扫码登录：用户首次登录时绑定微信用户ID与账号的对应关系，之后即可通过微信扫一扫安全登录。</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55662042">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EEA83">
            <w:pPr>
              <w:jc w:val="center"/>
              <w:rPr>
                <w:rFonts w:hint="eastAsia" w:asciiTheme="minorEastAsia" w:hAnsiTheme="minorEastAsia" w:eastAsiaTheme="minorEastAsia" w:cstheme="minorEastAsia"/>
                <w:i w:val="0"/>
                <w:iCs w:val="0"/>
                <w:color w:val="000000"/>
                <w:sz w:val="18"/>
                <w:szCs w:val="18"/>
                <w:u w:val="none"/>
              </w:rPr>
            </w:pPr>
          </w:p>
        </w:tc>
      </w:tr>
      <w:tr w14:paraId="7E0B4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7177A2A">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1D9963F7">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2AF58405">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5、系统自定义：支持自定义系统logo和系统名称，适用于校园定制系统。</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6BD7F795">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121AB">
            <w:pPr>
              <w:jc w:val="center"/>
              <w:rPr>
                <w:rFonts w:hint="eastAsia" w:asciiTheme="minorEastAsia" w:hAnsiTheme="minorEastAsia" w:eastAsiaTheme="minorEastAsia" w:cstheme="minorEastAsia"/>
                <w:i w:val="0"/>
                <w:iCs w:val="0"/>
                <w:color w:val="000000"/>
                <w:sz w:val="18"/>
                <w:szCs w:val="18"/>
                <w:u w:val="none"/>
              </w:rPr>
            </w:pPr>
          </w:p>
        </w:tc>
      </w:tr>
      <w:tr w14:paraId="146B6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91FBE15">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02AB127B">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523BDB08">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6、并行管理：支持实时展示不少于20台设备的运行画面，并支持切换画面模式/列表模式，方便管理员根据实际管理需要选择管理模式。</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1401A87E">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5AABE">
            <w:pPr>
              <w:jc w:val="center"/>
              <w:rPr>
                <w:rFonts w:hint="eastAsia" w:asciiTheme="minorEastAsia" w:hAnsiTheme="minorEastAsia" w:eastAsiaTheme="minorEastAsia" w:cstheme="minorEastAsia"/>
                <w:i w:val="0"/>
                <w:iCs w:val="0"/>
                <w:color w:val="000000"/>
                <w:sz w:val="18"/>
                <w:szCs w:val="18"/>
                <w:u w:val="none"/>
              </w:rPr>
            </w:pPr>
          </w:p>
        </w:tc>
      </w:tr>
      <w:tr w14:paraId="4B0C6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09DF8CE">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6D083293">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53678F0D">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7、详情管理：支持查看单台设备的当日开机次数、开机时间分布情况、设备已安装软件列表及使用情况、内存/硬盘占用情况、基础参数；并支持远程修改设备关联信息。</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56FAD26A">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2E62F">
            <w:pPr>
              <w:jc w:val="center"/>
              <w:rPr>
                <w:rFonts w:hint="eastAsia" w:asciiTheme="minorEastAsia" w:hAnsiTheme="minorEastAsia" w:eastAsiaTheme="minorEastAsia" w:cstheme="minorEastAsia"/>
                <w:i w:val="0"/>
                <w:iCs w:val="0"/>
                <w:color w:val="000000"/>
                <w:sz w:val="18"/>
                <w:szCs w:val="18"/>
                <w:u w:val="none"/>
              </w:rPr>
            </w:pPr>
          </w:p>
        </w:tc>
      </w:tr>
      <w:tr w14:paraId="4ED3E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7092483">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5EEE3C70">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1D069E3C">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8、分组管理：支持根据设备类型、设备所属年级/场地/自定义分组、设备开关机状态进行分组管理；支持文字检索设备名称，快速定位对应设备进行定向精准管理。</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46C8F453">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EB5A3">
            <w:pPr>
              <w:jc w:val="center"/>
              <w:rPr>
                <w:rFonts w:hint="eastAsia" w:asciiTheme="minorEastAsia" w:hAnsiTheme="minorEastAsia" w:eastAsiaTheme="minorEastAsia" w:cstheme="minorEastAsia"/>
                <w:i w:val="0"/>
                <w:iCs w:val="0"/>
                <w:color w:val="000000"/>
                <w:sz w:val="18"/>
                <w:szCs w:val="18"/>
                <w:u w:val="none"/>
              </w:rPr>
            </w:pPr>
          </w:p>
        </w:tc>
      </w:tr>
      <w:tr w14:paraId="72B6D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1"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09F4CD4">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1669AA59">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10A684D6">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多场景锁屏：支持一键下课锁屏、开机自动锁屏、无网络时验证身份解锁。其中“下课锁屏”功能开启后，老师授课结束后可在班班通设备上点击“下课锁屏”按钮即可锁屏，保证班班通设备的使用秩序；其中“开机自动锁屏”可根据用户实际管理习惯，灵活设置不同分组的设备，开机后自动锁屏，以便于学校不同年级间分段管理；设备锁屏后，支持无网络情况下，使用者通过手机微信扫一扫验证身份后获取唯一临时解锁密码进行解锁使用，以防止设备被学生违规使用，影响设备性能。</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70CE641C">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44C84">
            <w:pPr>
              <w:jc w:val="center"/>
              <w:rPr>
                <w:rFonts w:hint="eastAsia" w:asciiTheme="minorEastAsia" w:hAnsiTheme="minorEastAsia" w:eastAsiaTheme="minorEastAsia" w:cstheme="minorEastAsia"/>
                <w:i w:val="0"/>
                <w:iCs w:val="0"/>
                <w:color w:val="000000"/>
                <w:sz w:val="18"/>
                <w:szCs w:val="18"/>
                <w:u w:val="none"/>
              </w:rPr>
            </w:pPr>
          </w:p>
        </w:tc>
      </w:tr>
      <w:tr w14:paraId="18616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F63ED15">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5D9AF41C">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11CB88AC">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10、消息通知：支持发送提醒类通知、全局弹窗类紧急通知、桌面常驻类公告通知。支持设置常用通知消息模板，便于快捷发布。</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55F2F778">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3B372">
            <w:pPr>
              <w:jc w:val="center"/>
              <w:rPr>
                <w:rFonts w:hint="eastAsia" w:asciiTheme="minorEastAsia" w:hAnsiTheme="minorEastAsia" w:eastAsiaTheme="minorEastAsia" w:cstheme="minorEastAsia"/>
                <w:i w:val="0"/>
                <w:iCs w:val="0"/>
                <w:color w:val="000000"/>
                <w:sz w:val="18"/>
                <w:szCs w:val="18"/>
                <w:u w:val="none"/>
              </w:rPr>
            </w:pPr>
          </w:p>
        </w:tc>
      </w:tr>
      <w:tr w14:paraId="7526C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73AFDB6">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77CEE98E">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280E500C">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领导视窗：支持同时查看8个教室的实时摄像头画面、设备屏幕画面，其中摄像头画面可直接使用班班通自带摄像头，无需额外购置，方便且实惠。单台设备巡视时，发现有违规违纪行为时，可远程发消息、发语音直接干预，也可记录备注，事后教育。支持记录所有管理员的巡视记录，方便回溯。</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5387BE3C">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B2107">
            <w:pPr>
              <w:jc w:val="center"/>
              <w:rPr>
                <w:rFonts w:hint="eastAsia" w:asciiTheme="minorEastAsia" w:hAnsiTheme="minorEastAsia" w:eastAsiaTheme="minorEastAsia" w:cstheme="minorEastAsia"/>
                <w:i w:val="0"/>
                <w:iCs w:val="0"/>
                <w:color w:val="000000"/>
                <w:sz w:val="18"/>
                <w:szCs w:val="18"/>
                <w:u w:val="none"/>
              </w:rPr>
            </w:pPr>
          </w:p>
        </w:tc>
      </w:tr>
      <w:tr w14:paraId="13A9A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9B87852">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170A9120">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109F3730">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12、软件静默安装：支持用户自主上传官方正版软件，经过人工封装软件后，批量将软件发送至班班通设备安装，整个安装过程完全无感，不影响正常教学。</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5FD6E74F">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B0719">
            <w:pPr>
              <w:jc w:val="center"/>
              <w:rPr>
                <w:rFonts w:hint="eastAsia" w:asciiTheme="minorEastAsia" w:hAnsiTheme="minorEastAsia" w:eastAsiaTheme="minorEastAsia" w:cstheme="minorEastAsia"/>
                <w:i w:val="0"/>
                <w:iCs w:val="0"/>
                <w:color w:val="000000"/>
                <w:sz w:val="18"/>
                <w:szCs w:val="18"/>
                <w:u w:val="none"/>
              </w:rPr>
            </w:pPr>
          </w:p>
        </w:tc>
      </w:tr>
      <w:tr w14:paraId="025F8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B29580D">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3DD3C958">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6910CAB6">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弹窗AI拦截：支持一键开启全校班班通设备的不良弹窗AI拦截过滤能力，设备辅助管理软件实时监测弹出窗口，当有窗口弹出时，会自动使用“不良弹窗AI模型”判断，判断为不良弹窗时，自动拦截该窗口，以保证课堂教学稳定进行。</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6932E60C">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EFB3B">
            <w:pPr>
              <w:jc w:val="center"/>
              <w:rPr>
                <w:rFonts w:hint="eastAsia" w:asciiTheme="minorEastAsia" w:hAnsiTheme="minorEastAsia" w:eastAsiaTheme="minorEastAsia" w:cstheme="minorEastAsia"/>
                <w:i w:val="0"/>
                <w:iCs w:val="0"/>
                <w:color w:val="000000"/>
                <w:sz w:val="18"/>
                <w:szCs w:val="18"/>
                <w:u w:val="none"/>
              </w:rPr>
            </w:pPr>
          </w:p>
        </w:tc>
      </w:tr>
      <w:tr w14:paraId="001D4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DC314C2">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60644EB2">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753F1BA5">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冰点穿透：支持远程向已冰冻的设备发送指令、安装软件、传输大文件，设备接收到后会立即执行，并在设备正常关机时触发穿透动作，穿透完成后，设备即可永久性使用已安装软件、已传输文件、执行已接收指令，且穿透过程中无需人为解冻。</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331CA44F">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4DB17">
            <w:pPr>
              <w:jc w:val="center"/>
              <w:rPr>
                <w:rFonts w:hint="eastAsia" w:asciiTheme="minorEastAsia" w:hAnsiTheme="minorEastAsia" w:eastAsiaTheme="minorEastAsia" w:cstheme="minorEastAsia"/>
                <w:i w:val="0"/>
                <w:iCs w:val="0"/>
                <w:color w:val="000000"/>
                <w:sz w:val="18"/>
                <w:szCs w:val="18"/>
                <w:u w:val="none"/>
              </w:rPr>
            </w:pPr>
          </w:p>
        </w:tc>
      </w:tr>
      <w:tr w14:paraId="11005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CC40B34">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34DD9FFD">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63D8DD39">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15、冰点还原：支持远程批量设置设备的冰冻状态；支持实时监测设备冰点存在的风险，并提供对应解决方案。</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45C5E083">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E0BA6">
            <w:pPr>
              <w:jc w:val="center"/>
              <w:rPr>
                <w:rFonts w:hint="eastAsia" w:asciiTheme="minorEastAsia" w:hAnsiTheme="minorEastAsia" w:eastAsiaTheme="minorEastAsia" w:cstheme="minorEastAsia"/>
                <w:i w:val="0"/>
                <w:iCs w:val="0"/>
                <w:color w:val="000000"/>
                <w:sz w:val="18"/>
                <w:szCs w:val="18"/>
                <w:u w:val="none"/>
              </w:rPr>
            </w:pPr>
          </w:p>
        </w:tc>
      </w:tr>
      <w:tr w14:paraId="290EC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AD95235">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099E677D">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074BE1D8">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音视频直播：支持多位老师同时向不同设备发起直播，直播方式包含纯桌面直播、视频直播、音频直播、桌面+视频直播方式；直播过程中支持增、删接收直播观看的班班通设备；支持实时查看收看端教室画面；支持切换直播画质清晰度；支持实时了解直播质量，包含直播源码率、FPS数据，实时掌握直播稳定情况。</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719B0B48">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AEA5F">
            <w:pPr>
              <w:jc w:val="center"/>
              <w:rPr>
                <w:rFonts w:hint="eastAsia" w:asciiTheme="minorEastAsia" w:hAnsiTheme="minorEastAsia" w:eastAsiaTheme="minorEastAsia" w:cstheme="minorEastAsia"/>
                <w:i w:val="0"/>
                <w:iCs w:val="0"/>
                <w:color w:val="000000"/>
                <w:sz w:val="18"/>
                <w:szCs w:val="18"/>
                <w:u w:val="none"/>
              </w:rPr>
            </w:pPr>
          </w:p>
        </w:tc>
      </w:tr>
      <w:tr w14:paraId="69B3A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EC21181">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323FCB1F">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17187DFC">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17、智慧管控：支持设备长时间无人使用时，自动进入屏保、锁屏、息屏、关机状态，保护显示器，延长班班通使用寿命。</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20C99397">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B04CA">
            <w:pPr>
              <w:jc w:val="center"/>
              <w:rPr>
                <w:rFonts w:hint="eastAsia" w:asciiTheme="minorEastAsia" w:hAnsiTheme="minorEastAsia" w:eastAsiaTheme="minorEastAsia" w:cstheme="minorEastAsia"/>
                <w:i w:val="0"/>
                <w:iCs w:val="0"/>
                <w:color w:val="000000"/>
                <w:sz w:val="18"/>
                <w:szCs w:val="18"/>
                <w:u w:val="none"/>
              </w:rPr>
            </w:pPr>
          </w:p>
        </w:tc>
      </w:tr>
      <w:tr w14:paraId="33588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906EBC7">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260D62FD">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74A39704">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弹窗管理：支持查看学校当前已上报的所有疑似风险窗口和上报次数，并支持拦截某个应用所有窗口、某个进程所有窗口、某个具体窗口，以减少教学过程中不良窗口弹出对教学氛围的影响；支持将某个应用、某个进程、某个具体窗口加入白名单，以确保正常授课软件中的窗口可正常访问。</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0EBF8A50">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F4AA3">
            <w:pPr>
              <w:jc w:val="center"/>
              <w:rPr>
                <w:rFonts w:hint="eastAsia" w:asciiTheme="minorEastAsia" w:hAnsiTheme="minorEastAsia" w:eastAsiaTheme="minorEastAsia" w:cstheme="minorEastAsia"/>
                <w:i w:val="0"/>
                <w:iCs w:val="0"/>
                <w:color w:val="000000"/>
                <w:sz w:val="18"/>
                <w:szCs w:val="18"/>
                <w:u w:val="none"/>
              </w:rPr>
            </w:pPr>
          </w:p>
        </w:tc>
      </w:tr>
      <w:tr w14:paraId="73B67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F085396">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423290B6">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372FD5CB">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数据分析：支持实时查看和导出学校设备整体使用数据，并支持精确查看具体设备数据。数据包含设备的使用时长、活跃次数、常用软件使用时长和次数、教学应用使用情况、设备健康度分析、弹窗拦截次数、老师使用班班通设备教学情况。</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0886E742">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6EBDF">
            <w:pPr>
              <w:jc w:val="center"/>
              <w:rPr>
                <w:rFonts w:hint="eastAsia" w:asciiTheme="minorEastAsia" w:hAnsiTheme="minorEastAsia" w:eastAsiaTheme="minorEastAsia" w:cstheme="minorEastAsia"/>
                <w:i w:val="0"/>
                <w:iCs w:val="0"/>
                <w:color w:val="000000"/>
                <w:sz w:val="18"/>
                <w:szCs w:val="18"/>
                <w:u w:val="none"/>
              </w:rPr>
            </w:pPr>
          </w:p>
        </w:tc>
      </w:tr>
      <w:tr w14:paraId="0D634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95FDD5A">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59F852A6">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196C724F">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移动端管理：支持通过微信小程序，实时查看设备运行状态、异常情况；支持向在线设备下发指令，并可查看每个指令的执行情况；支持查看设备及教室内摄像头的实时画面及声音，当发现教室内有违纪行为时，可通过远程发消息、喊话直接干预；支持查看设备的基础使用数据，包含设备日均开机时长分布、设备活跃趋势分析、软件活跃度分析、软件使用时长排行、设备健康度排行。</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7C221D1E">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98E66">
            <w:pPr>
              <w:jc w:val="center"/>
              <w:rPr>
                <w:rFonts w:hint="eastAsia" w:asciiTheme="minorEastAsia" w:hAnsiTheme="minorEastAsia" w:eastAsiaTheme="minorEastAsia" w:cstheme="minorEastAsia"/>
                <w:i w:val="0"/>
                <w:iCs w:val="0"/>
                <w:color w:val="000000"/>
                <w:sz w:val="18"/>
                <w:szCs w:val="18"/>
                <w:u w:val="none"/>
              </w:rPr>
            </w:pPr>
          </w:p>
        </w:tc>
      </w:tr>
      <w:tr w14:paraId="75EBC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5772363">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1F094306">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single" w:color="000000" w:sz="4" w:space="0"/>
              <w:right w:val="single" w:color="000000" w:sz="4" w:space="0"/>
            </w:tcBorders>
            <w:shd w:val="clear" w:color="auto" w:fill="auto"/>
            <w:vAlign w:val="bottom"/>
          </w:tcPr>
          <w:p w14:paraId="2928990B">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精确管理：支持根据设备直播状态、录制状态、开关机状态进行分组管理；支持文字检索设备名称，快速定位对应设备进行定向精准管理。并支持查看单设备的直播状态、录制状态、CPU占用情况、磁盘空间情况、内存情况、网络速度。</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171C44A2">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225AF">
            <w:pPr>
              <w:jc w:val="center"/>
              <w:rPr>
                <w:rFonts w:hint="eastAsia" w:asciiTheme="minorEastAsia" w:hAnsiTheme="minorEastAsia" w:eastAsiaTheme="minorEastAsia" w:cstheme="minorEastAsia"/>
                <w:i w:val="0"/>
                <w:iCs w:val="0"/>
                <w:color w:val="000000"/>
                <w:sz w:val="18"/>
                <w:szCs w:val="18"/>
                <w:u w:val="none"/>
              </w:rPr>
            </w:pPr>
          </w:p>
        </w:tc>
      </w:tr>
      <w:tr w14:paraId="23CBD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3"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C9FC3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577" w:type="dxa"/>
            <w:vMerge w:val="restart"/>
            <w:tcBorders>
              <w:top w:val="single" w:color="000000" w:sz="4" w:space="0"/>
              <w:left w:val="single" w:color="000000" w:sz="4" w:space="0"/>
              <w:bottom w:val="single" w:color="000000" w:sz="4" w:space="0"/>
              <w:right w:val="nil"/>
            </w:tcBorders>
            <w:shd w:val="clear" w:color="auto" w:fill="auto"/>
            <w:vAlign w:val="center"/>
          </w:tcPr>
          <w:p w14:paraId="18D5FE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信息化教学数据分析管理软件</w:t>
            </w:r>
          </w:p>
        </w:tc>
        <w:tc>
          <w:tcPr>
            <w:tcW w:w="7101" w:type="dxa"/>
            <w:tcBorders>
              <w:top w:val="single" w:color="000000" w:sz="4" w:space="0"/>
              <w:left w:val="single" w:color="000000" w:sz="4" w:space="0"/>
              <w:bottom w:val="nil"/>
              <w:right w:val="single" w:color="000000" w:sz="4" w:space="0"/>
            </w:tcBorders>
            <w:shd w:val="clear" w:color="auto" w:fill="auto"/>
            <w:vAlign w:val="bottom"/>
          </w:tcPr>
          <w:p w14:paraId="5A52B8A6">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为学校提供教研全流程管理服务，包含教学计划、电子教案、听课评课、校本资源、班级氛围的流程管理和数据分析，方便学校统筹管理教学、教研活动进展，收集数据反馈和评价，了解全校教师的教学教研产出。</w:t>
            </w:r>
          </w:p>
        </w:tc>
        <w:tc>
          <w:tcPr>
            <w:tcW w:w="598" w:type="dxa"/>
            <w:vMerge w:val="restart"/>
            <w:tcBorders>
              <w:top w:val="single" w:color="000000" w:sz="4" w:space="0"/>
              <w:left w:val="nil"/>
              <w:bottom w:val="single" w:color="000000" w:sz="4" w:space="0"/>
              <w:right w:val="single" w:color="000000" w:sz="4" w:space="0"/>
            </w:tcBorders>
            <w:shd w:val="clear" w:color="auto" w:fill="auto"/>
            <w:vAlign w:val="center"/>
          </w:tcPr>
          <w:p w14:paraId="5F0900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F2A9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r>
      <w:tr w14:paraId="2812B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7EEBBBE">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43CB69B7">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6247162A">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2.学校目标与计划：可以在系统中录入学校教学计划，计划可以和教案的课时数相关联，方便管理者掌握学校教学进度。</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3AB8C213">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A26B4">
            <w:pPr>
              <w:jc w:val="center"/>
              <w:rPr>
                <w:rFonts w:hint="eastAsia" w:asciiTheme="minorEastAsia" w:hAnsiTheme="minorEastAsia" w:eastAsiaTheme="minorEastAsia" w:cstheme="minorEastAsia"/>
                <w:i w:val="0"/>
                <w:iCs w:val="0"/>
                <w:color w:val="000000"/>
                <w:sz w:val="18"/>
                <w:szCs w:val="18"/>
                <w:u w:val="none"/>
              </w:rPr>
            </w:pPr>
          </w:p>
        </w:tc>
      </w:tr>
      <w:tr w14:paraId="0707E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55F40E7">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634ADDAF">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66EC6F3A">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3.教研组计划：以不同学科不同年级教研组为单位，可以在系统中录入教研组教学计划，计划可以和教案的课时数相关联，方便教研组管理教学进度。</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6E981045">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EC6B9">
            <w:pPr>
              <w:jc w:val="center"/>
              <w:rPr>
                <w:rFonts w:hint="eastAsia" w:asciiTheme="minorEastAsia" w:hAnsiTheme="minorEastAsia" w:eastAsiaTheme="minorEastAsia" w:cstheme="minorEastAsia"/>
                <w:i w:val="0"/>
                <w:iCs w:val="0"/>
                <w:color w:val="000000"/>
                <w:sz w:val="18"/>
                <w:szCs w:val="18"/>
                <w:u w:val="none"/>
              </w:rPr>
            </w:pPr>
          </w:p>
        </w:tc>
      </w:tr>
      <w:tr w14:paraId="59DEF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8"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F9ED025">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56A91C19">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6D9D19C0">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4.教案模板管理：支持管理者自定义学校的教案模板，可以设置必填项和选填项，有效规范教师教案的编写。</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16BE2846">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EEDC8">
            <w:pPr>
              <w:jc w:val="center"/>
              <w:rPr>
                <w:rFonts w:hint="eastAsia" w:asciiTheme="minorEastAsia" w:hAnsiTheme="minorEastAsia" w:eastAsiaTheme="minorEastAsia" w:cstheme="minorEastAsia"/>
                <w:i w:val="0"/>
                <w:iCs w:val="0"/>
                <w:color w:val="000000"/>
                <w:sz w:val="18"/>
                <w:szCs w:val="18"/>
                <w:u w:val="none"/>
              </w:rPr>
            </w:pPr>
          </w:p>
        </w:tc>
      </w:tr>
      <w:tr w14:paraId="1EAE8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0824A17">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3F3259F1">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0E12ABB2">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5.校本课件管理：可统一审核发布、删除教师上传至校本库的课件，支持查看更新时间、大小、下载次数等数据。校本课件支持文件夹分组，方便各学科课件的分组管理。同时支持课件的批量移动、删除。</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6F84DB19">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B5364">
            <w:pPr>
              <w:jc w:val="center"/>
              <w:rPr>
                <w:rFonts w:hint="eastAsia" w:asciiTheme="minorEastAsia" w:hAnsiTheme="minorEastAsia" w:eastAsiaTheme="minorEastAsia" w:cstheme="minorEastAsia"/>
                <w:i w:val="0"/>
                <w:iCs w:val="0"/>
                <w:color w:val="000000"/>
                <w:sz w:val="18"/>
                <w:szCs w:val="18"/>
                <w:u w:val="none"/>
              </w:rPr>
            </w:pPr>
          </w:p>
        </w:tc>
      </w:tr>
      <w:tr w14:paraId="74FC4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00B9738">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4FDE661C">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7DB1793B">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6.校本课件预览：校本课件支持直接预览课件及该课件的教案，方便课件、教案的检查。  </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62B89E27">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4C129">
            <w:pPr>
              <w:jc w:val="center"/>
              <w:rPr>
                <w:rFonts w:hint="eastAsia" w:asciiTheme="minorEastAsia" w:hAnsiTheme="minorEastAsia" w:eastAsiaTheme="minorEastAsia" w:cstheme="minorEastAsia"/>
                <w:i w:val="0"/>
                <w:iCs w:val="0"/>
                <w:color w:val="000000"/>
                <w:sz w:val="18"/>
                <w:szCs w:val="18"/>
                <w:u w:val="none"/>
              </w:rPr>
            </w:pPr>
          </w:p>
        </w:tc>
      </w:tr>
      <w:tr w14:paraId="1A4C5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BDCC671">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01556A8E">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510D6089">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7.评课表管理：支持自定义设置学校专属评课表，系统预置中央电教馆“一师一优课，一课一名师”模板供使用。点评支持评分题和主观题，支持发布多张评课表，方便同时开展多学科、多个评课活动。</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7167B413">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125A6">
            <w:pPr>
              <w:jc w:val="center"/>
              <w:rPr>
                <w:rFonts w:hint="eastAsia" w:asciiTheme="minorEastAsia" w:hAnsiTheme="minorEastAsia" w:eastAsiaTheme="minorEastAsia" w:cstheme="minorEastAsia"/>
                <w:i w:val="0"/>
                <w:iCs w:val="0"/>
                <w:color w:val="000000"/>
                <w:sz w:val="18"/>
                <w:szCs w:val="18"/>
                <w:u w:val="none"/>
              </w:rPr>
            </w:pPr>
          </w:p>
        </w:tc>
      </w:tr>
      <w:tr w14:paraId="5BEA8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27A5E9F">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04C38286">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11C61F15">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教案数据：支持查看全校教案总数、教师课件总数、校本课件总数。同时支持按本周、本月、本学期、自定义时间段查看教案制作数量的排行，查看全校教师的教案，方便进行教案检查；同时支持按年级、学科对比教师编写教案的数量，方便管理者总览全校教案编写情况。</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4F1425AD">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6F2B6">
            <w:pPr>
              <w:jc w:val="center"/>
              <w:rPr>
                <w:rFonts w:hint="eastAsia" w:asciiTheme="minorEastAsia" w:hAnsiTheme="minorEastAsia" w:eastAsiaTheme="minorEastAsia" w:cstheme="minorEastAsia"/>
                <w:i w:val="0"/>
                <w:iCs w:val="0"/>
                <w:color w:val="000000"/>
                <w:sz w:val="18"/>
                <w:szCs w:val="18"/>
                <w:u w:val="none"/>
              </w:rPr>
            </w:pPr>
          </w:p>
        </w:tc>
      </w:tr>
      <w:tr w14:paraId="44900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63EB7C2">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5E1AA7EB">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5F4CCA2C">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课件制作数据：支持按本周、本月、本学期、自定义时间查看全校教师课件制作的数据排行，教师榜单支持按照课件数、上传校本课件数、校本课件热度进行排序。课件数据支持按学科对比，方便总览全校课件制作情况。</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242AC146">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6BB07">
            <w:pPr>
              <w:jc w:val="center"/>
              <w:rPr>
                <w:rFonts w:hint="eastAsia" w:asciiTheme="minorEastAsia" w:hAnsiTheme="minorEastAsia" w:eastAsiaTheme="minorEastAsia" w:cstheme="minorEastAsia"/>
                <w:i w:val="0"/>
                <w:iCs w:val="0"/>
                <w:color w:val="000000"/>
                <w:sz w:val="18"/>
                <w:szCs w:val="18"/>
                <w:u w:val="none"/>
              </w:rPr>
            </w:pPr>
          </w:p>
        </w:tc>
      </w:tr>
      <w:tr w14:paraId="6CC8B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0E2DDA0">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44E4D29D">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78BFDE09">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10.校本课件榜单：支持查看校本课件各维度的榜单，包含最多分享教师榜单、最受欢迎课件榜单、最受欢迎教师榜单，可以查看数据详情，支持一键获取课件。</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25BA1223">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8D75D">
            <w:pPr>
              <w:jc w:val="center"/>
              <w:rPr>
                <w:rFonts w:hint="eastAsia" w:asciiTheme="minorEastAsia" w:hAnsiTheme="minorEastAsia" w:eastAsiaTheme="minorEastAsia" w:cstheme="minorEastAsia"/>
                <w:i w:val="0"/>
                <w:iCs w:val="0"/>
                <w:color w:val="000000"/>
                <w:sz w:val="18"/>
                <w:szCs w:val="18"/>
                <w:u w:val="none"/>
              </w:rPr>
            </w:pPr>
          </w:p>
        </w:tc>
      </w:tr>
      <w:tr w14:paraId="20478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0C4174C">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6D4D425E">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4698ADAF">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11.校本课件数据详情：支持查看校本课件数据，包括新增数据，各年级和学科的对比，可查看校本课件列表，校本课件列表可按累计被下载数排序。</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7142D282">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A0123">
            <w:pPr>
              <w:jc w:val="center"/>
              <w:rPr>
                <w:rFonts w:hint="eastAsia" w:asciiTheme="minorEastAsia" w:hAnsiTheme="minorEastAsia" w:eastAsiaTheme="minorEastAsia" w:cstheme="minorEastAsia"/>
                <w:i w:val="0"/>
                <w:iCs w:val="0"/>
                <w:color w:val="000000"/>
                <w:sz w:val="18"/>
                <w:szCs w:val="18"/>
                <w:u w:val="none"/>
              </w:rPr>
            </w:pPr>
          </w:p>
        </w:tc>
      </w:tr>
      <w:tr w14:paraId="1C87D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FF52D81">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12648A50">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191153B1">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12.班级氛围数据概况：支持查看不同时间段班级氛围数据的概况，数据包含家长入班率，教师对学生的新增点评数，教师参与度，表现突出的教师前三名。</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576AA142">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1E953">
            <w:pPr>
              <w:jc w:val="center"/>
              <w:rPr>
                <w:rFonts w:hint="eastAsia" w:asciiTheme="minorEastAsia" w:hAnsiTheme="minorEastAsia" w:eastAsiaTheme="minorEastAsia" w:cstheme="minorEastAsia"/>
                <w:i w:val="0"/>
                <w:iCs w:val="0"/>
                <w:color w:val="000000"/>
                <w:sz w:val="18"/>
                <w:szCs w:val="18"/>
                <w:u w:val="none"/>
              </w:rPr>
            </w:pPr>
          </w:p>
        </w:tc>
      </w:tr>
      <w:tr w14:paraId="11320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420AEFC">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21FCF5EF">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421432FE">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13.班级氛围数据详情：支持查看班级点评分数数据，包含班级总分榜、当月班级分数榜、教师点评榜、最热点评维度，可以按年级进行柱状图分析对比，方便了解全校班级管理情况。</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39079E41">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405E5">
            <w:pPr>
              <w:jc w:val="center"/>
              <w:rPr>
                <w:rFonts w:hint="eastAsia" w:asciiTheme="minorEastAsia" w:hAnsiTheme="minorEastAsia" w:eastAsiaTheme="minorEastAsia" w:cstheme="minorEastAsia"/>
                <w:i w:val="0"/>
                <w:iCs w:val="0"/>
                <w:color w:val="000000"/>
                <w:sz w:val="18"/>
                <w:szCs w:val="18"/>
                <w:u w:val="none"/>
              </w:rPr>
            </w:pPr>
          </w:p>
        </w:tc>
      </w:tr>
      <w:tr w14:paraId="4EE84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8718A37">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4D5E914E">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789B464D">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14.听课评课概览：展示教研组听评课数据概况，数据包含教研组授课节数、听课人数、优秀课例前三名，教师得分榜前三名。支持获取查看优秀课例，可查看教师评课维度得分详情。</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66E7E9AF">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28240">
            <w:pPr>
              <w:jc w:val="center"/>
              <w:rPr>
                <w:rFonts w:hint="eastAsia" w:asciiTheme="minorEastAsia" w:hAnsiTheme="minorEastAsia" w:eastAsiaTheme="minorEastAsia" w:cstheme="minorEastAsia"/>
                <w:i w:val="0"/>
                <w:iCs w:val="0"/>
                <w:color w:val="000000"/>
                <w:sz w:val="18"/>
                <w:szCs w:val="18"/>
                <w:u w:val="none"/>
              </w:rPr>
            </w:pPr>
          </w:p>
        </w:tc>
      </w:tr>
      <w:tr w14:paraId="299AA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221B589">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74544F3D">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33A8CDD4">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15.听评课数据详情：全校听评课数据统一汇总，数据包含全校评课平均分，累计评课数量，本周新增评课数量，听课人数，方便了解听评课教研活动的开展情况。</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6D29CA69">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B9903">
            <w:pPr>
              <w:jc w:val="center"/>
              <w:rPr>
                <w:rFonts w:hint="eastAsia" w:asciiTheme="minorEastAsia" w:hAnsiTheme="minorEastAsia" w:eastAsiaTheme="minorEastAsia" w:cstheme="minorEastAsia"/>
                <w:i w:val="0"/>
                <w:iCs w:val="0"/>
                <w:color w:val="000000"/>
                <w:sz w:val="18"/>
                <w:szCs w:val="18"/>
                <w:u w:val="none"/>
              </w:rPr>
            </w:pPr>
          </w:p>
        </w:tc>
      </w:tr>
      <w:tr w14:paraId="00D75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CD9D1A3">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475D72C7">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3542C6F4">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16.听评课排行榜：全校听评课排行榜，有教师得分榜、课例排行榜、听课排行榜，并支持按年级、学科查看全校榜单详细数据。</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47391585">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CACE1">
            <w:pPr>
              <w:jc w:val="center"/>
              <w:rPr>
                <w:rFonts w:hint="eastAsia" w:asciiTheme="minorEastAsia" w:hAnsiTheme="minorEastAsia" w:eastAsiaTheme="minorEastAsia" w:cstheme="minorEastAsia"/>
                <w:i w:val="0"/>
                <w:iCs w:val="0"/>
                <w:color w:val="000000"/>
                <w:sz w:val="18"/>
                <w:szCs w:val="18"/>
                <w:u w:val="none"/>
              </w:rPr>
            </w:pPr>
          </w:p>
        </w:tc>
      </w:tr>
      <w:tr w14:paraId="63A6E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E8952F1">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189C1C91">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3901D609">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17.听评课数据统计导出：支持对不同评课维度得分进行统计，计算平均分并找出评分薄弱项，方便管理者针对性优化教学策略，同时支持查看全校的评课记录和得分详情，并可一键导出Excel表格，方便整理。</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7B449E2A">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360E3">
            <w:pPr>
              <w:jc w:val="center"/>
              <w:rPr>
                <w:rFonts w:hint="eastAsia" w:asciiTheme="minorEastAsia" w:hAnsiTheme="minorEastAsia" w:eastAsiaTheme="minorEastAsia" w:cstheme="minorEastAsia"/>
                <w:i w:val="0"/>
                <w:iCs w:val="0"/>
                <w:color w:val="000000"/>
                <w:sz w:val="18"/>
                <w:szCs w:val="18"/>
                <w:u w:val="none"/>
              </w:rPr>
            </w:pPr>
          </w:p>
        </w:tc>
      </w:tr>
      <w:tr w14:paraId="64BDF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04D0ADA">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02D7F9D2">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1D507850">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教师的教学教研一站式服务平台，为教师提供教学计划与教案设计、资源中心、个人云空间、教学数据分析模块，覆盖老师课前、课中、课后的教学场景，方便课前制定教学计划并完成电子备课，课中使用教学资源进行互动教学，课后收集教学数据及评价反馈。通过一站式服务，提高老师教学工作效率，使教学过程全记录，教学数据全打通。</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185ECF81">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A37FD">
            <w:pPr>
              <w:jc w:val="center"/>
              <w:rPr>
                <w:rFonts w:hint="eastAsia" w:asciiTheme="minorEastAsia" w:hAnsiTheme="minorEastAsia" w:eastAsiaTheme="minorEastAsia" w:cstheme="minorEastAsia"/>
                <w:i w:val="0"/>
                <w:iCs w:val="0"/>
                <w:color w:val="000000"/>
                <w:sz w:val="18"/>
                <w:szCs w:val="18"/>
                <w:u w:val="none"/>
              </w:rPr>
            </w:pPr>
          </w:p>
        </w:tc>
      </w:tr>
      <w:tr w14:paraId="30BFA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4CB86E3">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5128D8AB">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700C9A0F">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19.支持老师阅览学校计划、本学科组计划，并根据上级计划制定个人教学计划，同时支持实时查看、对比教研组计划及个人计划的进展，掌握教学进度。</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5B7D01C8">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CEA4A">
            <w:pPr>
              <w:jc w:val="center"/>
              <w:rPr>
                <w:rFonts w:hint="eastAsia" w:asciiTheme="minorEastAsia" w:hAnsiTheme="minorEastAsia" w:eastAsiaTheme="minorEastAsia" w:cstheme="minorEastAsia"/>
                <w:i w:val="0"/>
                <w:iCs w:val="0"/>
                <w:color w:val="000000"/>
                <w:sz w:val="18"/>
                <w:szCs w:val="18"/>
                <w:u w:val="none"/>
              </w:rPr>
            </w:pPr>
          </w:p>
        </w:tc>
      </w:tr>
      <w:tr w14:paraId="62E36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C155820">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682B5218">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1ACF342D">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20.电子教案：教师可以在个人空间直接编写教案，编写教案时可以关联课件，支持教师在个人空间、配套备授课工具查看课件以及教案，方便教师进行教学设计。</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17DDEBE9">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8968D">
            <w:pPr>
              <w:jc w:val="center"/>
              <w:rPr>
                <w:rFonts w:hint="eastAsia" w:asciiTheme="minorEastAsia" w:hAnsiTheme="minorEastAsia" w:eastAsiaTheme="minorEastAsia" w:cstheme="minorEastAsia"/>
                <w:i w:val="0"/>
                <w:iCs w:val="0"/>
                <w:color w:val="000000"/>
                <w:sz w:val="18"/>
                <w:szCs w:val="18"/>
                <w:u w:val="none"/>
              </w:rPr>
            </w:pPr>
          </w:p>
        </w:tc>
      </w:tr>
      <w:tr w14:paraId="1FE7F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9738FD1">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74526364">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single" w:color="000000" w:sz="4" w:space="0"/>
              <w:right w:val="single" w:color="000000" w:sz="4" w:space="0"/>
            </w:tcBorders>
            <w:shd w:val="clear" w:color="auto" w:fill="auto"/>
            <w:vAlign w:val="bottom"/>
          </w:tcPr>
          <w:p w14:paraId="7D0BA4DD">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21.教师个人教案数据实时统计，包含教师累计课件数、本周制作课件数。</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00B72992">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9CD8F">
            <w:pPr>
              <w:jc w:val="center"/>
              <w:rPr>
                <w:rFonts w:hint="eastAsia" w:asciiTheme="minorEastAsia" w:hAnsiTheme="minorEastAsia" w:eastAsiaTheme="minorEastAsia" w:cstheme="minorEastAsia"/>
                <w:i w:val="0"/>
                <w:iCs w:val="0"/>
                <w:color w:val="000000"/>
                <w:sz w:val="18"/>
                <w:szCs w:val="18"/>
                <w:u w:val="none"/>
              </w:rPr>
            </w:pPr>
          </w:p>
        </w:tc>
      </w:tr>
      <w:tr w14:paraId="68A21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3"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5F869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w:t>
            </w:r>
          </w:p>
        </w:tc>
        <w:tc>
          <w:tcPr>
            <w:tcW w:w="577" w:type="dxa"/>
            <w:vMerge w:val="restart"/>
            <w:tcBorders>
              <w:top w:val="single" w:color="000000" w:sz="4" w:space="0"/>
              <w:left w:val="single" w:color="000000" w:sz="4" w:space="0"/>
              <w:bottom w:val="single" w:color="000000" w:sz="4" w:space="0"/>
              <w:right w:val="nil"/>
            </w:tcBorders>
            <w:shd w:val="clear" w:color="auto" w:fill="auto"/>
            <w:vAlign w:val="center"/>
          </w:tcPr>
          <w:p w14:paraId="29118E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视频展台</w:t>
            </w:r>
          </w:p>
        </w:tc>
        <w:tc>
          <w:tcPr>
            <w:tcW w:w="7101" w:type="dxa"/>
            <w:tcBorders>
              <w:top w:val="single" w:color="000000" w:sz="4" w:space="0"/>
              <w:left w:val="single" w:color="000000" w:sz="4" w:space="0"/>
              <w:bottom w:val="nil"/>
              <w:right w:val="single" w:color="000000" w:sz="4" w:space="0"/>
            </w:tcBorders>
            <w:shd w:val="clear" w:color="auto" w:fill="auto"/>
            <w:vAlign w:val="bottom"/>
          </w:tcPr>
          <w:p w14:paraId="42D87508">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1．采用≥800万像素摄像头；采用 USB五伏电源直接供电，无需额外配置电源适配器，环保无辐射；箱内USB连线采用隐藏式设计，箱内无可见连线且USB口下出，有效防止积尘，且方便布线和返修。</w:t>
            </w:r>
          </w:p>
        </w:tc>
        <w:tc>
          <w:tcPr>
            <w:tcW w:w="598" w:type="dxa"/>
            <w:vMerge w:val="restart"/>
            <w:tcBorders>
              <w:top w:val="single" w:color="000000" w:sz="4" w:space="0"/>
              <w:left w:val="nil"/>
              <w:bottom w:val="single" w:color="000000" w:sz="4" w:space="0"/>
              <w:right w:val="single" w:color="000000" w:sz="4" w:space="0"/>
            </w:tcBorders>
            <w:shd w:val="clear" w:color="auto" w:fill="auto"/>
            <w:vAlign w:val="center"/>
          </w:tcPr>
          <w:p w14:paraId="342AFA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422D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r>
      <w:tr w14:paraId="4BBD0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960CECD">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043CF779">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5E3881D3">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2.A4大小拍摄幅面，1080P动态视频预览达到30帧/秒；托板及挂墙部分采用金属加强，托板可承重3kg，整机壁挂式安装。</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17936B17">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6156E">
            <w:pPr>
              <w:jc w:val="center"/>
              <w:rPr>
                <w:rFonts w:hint="eastAsia" w:asciiTheme="minorEastAsia" w:hAnsiTheme="minorEastAsia" w:eastAsiaTheme="minorEastAsia" w:cstheme="minorEastAsia"/>
                <w:i w:val="0"/>
                <w:iCs w:val="0"/>
                <w:color w:val="000000"/>
                <w:sz w:val="18"/>
                <w:szCs w:val="18"/>
                <w:u w:val="none"/>
              </w:rPr>
            </w:pPr>
          </w:p>
        </w:tc>
      </w:tr>
      <w:tr w14:paraId="4CEA1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20A2F7C">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68B04672">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438D3F84">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3．支持展台成像画面实时批注，预设多种笔划粗细及颜色供选择，且支持对展台成像画面联同批注内容进行同步缩放、移动。</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0CD72173">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4B851">
            <w:pPr>
              <w:jc w:val="center"/>
              <w:rPr>
                <w:rFonts w:hint="eastAsia" w:asciiTheme="minorEastAsia" w:hAnsiTheme="minorEastAsia" w:eastAsiaTheme="minorEastAsia" w:cstheme="minorEastAsia"/>
                <w:i w:val="0"/>
                <w:iCs w:val="0"/>
                <w:color w:val="000000"/>
                <w:sz w:val="18"/>
                <w:szCs w:val="18"/>
                <w:u w:val="none"/>
              </w:rPr>
            </w:pPr>
          </w:p>
        </w:tc>
      </w:tr>
      <w:tr w14:paraId="2A85F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F4D680A">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566D2AC1">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254F2CFC">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4．整机采用圆弧式设计，无锐角；同时托板采用磁吸吸附式机构，防止托板打落，方便打开及固定，避免机械式锁具故障率高的问题。</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424AF3A2">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14B6E">
            <w:pPr>
              <w:jc w:val="center"/>
              <w:rPr>
                <w:rFonts w:hint="eastAsia" w:asciiTheme="minorEastAsia" w:hAnsiTheme="minorEastAsia" w:eastAsiaTheme="minorEastAsia" w:cstheme="minorEastAsia"/>
                <w:i w:val="0"/>
                <w:iCs w:val="0"/>
                <w:color w:val="000000"/>
                <w:sz w:val="18"/>
                <w:szCs w:val="18"/>
                <w:u w:val="none"/>
              </w:rPr>
            </w:pPr>
          </w:p>
        </w:tc>
      </w:tr>
      <w:tr w14:paraId="071AD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01080A1">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5FC0783E">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1F9D573E">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5．展示托板正上方具备LED补光灯，保证展示区域的亮度及展示效果，补光灯开关采用触摸按键设计，同时可通过交互智能平板中的软件直接控制开关。</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48E7508F">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973AB">
            <w:pPr>
              <w:jc w:val="center"/>
              <w:rPr>
                <w:rFonts w:hint="eastAsia" w:asciiTheme="minorEastAsia" w:hAnsiTheme="minorEastAsia" w:eastAsiaTheme="minorEastAsia" w:cstheme="minorEastAsia"/>
                <w:i w:val="0"/>
                <w:iCs w:val="0"/>
                <w:color w:val="000000"/>
                <w:sz w:val="18"/>
                <w:szCs w:val="18"/>
                <w:u w:val="none"/>
              </w:rPr>
            </w:pPr>
          </w:p>
        </w:tc>
      </w:tr>
      <w:tr w14:paraId="73EEF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CC74A8A">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7A6A2B07">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nil"/>
              <w:right w:val="single" w:color="000000" w:sz="4" w:space="0"/>
            </w:tcBorders>
            <w:shd w:val="clear" w:color="auto" w:fill="auto"/>
            <w:vAlign w:val="bottom"/>
          </w:tcPr>
          <w:p w14:paraId="183437FE">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6．带自动对焦摄像头；外壳在摄像头部分带保护镜片密封，防止灰尘沾染摄像头。</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166B01DE">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C702D">
            <w:pPr>
              <w:jc w:val="center"/>
              <w:rPr>
                <w:rFonts w:hint="eastAsia" w:asciiTheme="minorEastAsia" w:hAnsiTheme="minorEastAsia" w:eastAsiaTheme="minorEastAsia" w:cstheme="minorEastAsia"/>
                <w:i w:val="0"/>
                <w:iCs w:val="0"/>
                <w:color w:val="000000"/>
                <w:sz w:val="18"/>
                <w:szCs w:val="18"/>
                <w:u w:val="none"/>
              </w:rPr>
            </w:pPr>
          </w:p>
        </w:tc>
      </w:tr>
      <w:tr w14:paraId="4471B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36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0EC0222">
            <w:pPr>
              <w:jc w:val="center"/>
              <w:rPr>
                <w:rFonts w:hint="eastAsia" w:asciiTheme="minorEastAsia" w:hAnsiTheme="minorEastAsia" w:eastAsiaTheme="minorEastAsia" w:cstheme="minorEastAsia"/>
                <w:i w:val="0"/>
                <w:iCs w:val="0"/>
                <w:color w:val="000000"/>
                <w:sz w:val="18"/>
                <w:szCs w:val="18"/>
                <w:u w:val="none"/>
              </w:rPr>
            </w:pPr>
          </w:p>
        </w:tc>
        <w:tc>
          <w:tcPr>
            <w:tcW w:w="577" w:type="dxa"/>
            <w:vMerge w:val="continue"/>
            <w:tcBorders>
              <w:top w:val="single" w:color="000000" w:sz="4" w:space="0"/>
              <w:left w:val="single" w:color="000000" w:sz="4" w:space="0"/>
              <w:bottom w:val="single" w:color="000000" w:sz="4" w:space="0"/>
              <w:right w:val="nil"/>
            </w:tcBorders>
            <w:shd w:val="clear" w:color="auto" w:fill="auto"/>
            <w:vAlign w:val="center"/>
          </w:tcPr>
          <w:p w14:paraId="7019879C">
            <w:pPr>
              <w:jc w:val="center"/>
              <w:rPr>
                <w:rFonts w:hint="eastAsia" w:asciiTheme="minorEastAsia" w:hAnsiTheme="minorEastAsia" w:eastAsiaTheme="minorEastAsia" w:cstheme="minorEastAsia"/>
                <w:i w:val="0"/>
                <w:iCs w:val="0"/>
                <w:color w:val="000000"/>
                <w:sz w:val="18"/>
                <w:szCs w:val="18"/>
                <w:u w:val="none"/>
              </w:rPr>
            </w:pPr>
          </w:p>
        </w:tc>
        <w:tc>
          <w:tcPr>
            <w:tcW w:w="7101" w:type="dxa"/>
            <w:tcBorders>
              <w:top w:val="nil"/>
              <w:left w:val="single" w:color="000000" w:sz="4" w:space="0"/>
              <w:bottom w:val="single" w:color="000000" w:sz="4" w:space="0"/>
              <w:right w:val="single" w:color="000000" w:sz="4" w:space="0"/>
            </w:tcBorders>
            <w:shd w:val="clear" w:color="auto" w:fill="auto"/>
            <w:vAlign w:val="bottom"/>
          </w:tcPr>
          <w:p w14:paraId="74A22377">
            <w:pPr>
              <w:keepNext w:val="0"/>
              <w:keepLines w:val="0"/>
              <w:widowControl/>
              <w:suppressLineNumbers w:val="0"/>
              <w:jc w:val="left"/>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7．具有故障自动检测功能：在调用展台却无法出现镜头采集画面信号时，可自动出现检测链接，并给出导致性原因。</w:t>
            </w:r>
          </w:p>
        </w:tc>
        <w:tc>
          <w:tcPr>
            <w:tcW w:w="598" w:type="dxa"/>
            <w:vMerge w:val="continue"/>
            <w:tcBorders>
              <w:top w:val="single" w:color="000000" w:sz="4" w:space="0"/>
              <w:left w:val="nil"/>
              <w:bottom w:val="single" w:color="000000" w:sz="4" w:space="0"/>
              <w:right w:val="single" w:color="000000" w:sz="4" w:space="0"/>
            </w:tcBorders>
            <w:shd w:val="clear" w:color="auto" w:fill="auto"/>
            <w:vAlign w:val="center"/>
          </w:tcPr>
          <w:p w14:paraId="2A11583F">
            <w:pPr>
              <w:jc w:val="center"/>
              <w:rPr>
                <w:rFonts w:hint="eastAsia" w:asciiTheme="minorEastAsia" w:hAnsiTheme="minorEastAsia" w:eastAsiaTheme="minorEastAsia" w:cstheme="minorEastAsia"/>
                <w:i w:val="0"/>
                <w:iCs w:val="0"/>
                <w:color w:val="000000"/>
                <w:sz w:val="18"/>
                <w:szCs w:val="18"/>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2A41E">
            <w:pPr>
              <w:jc w:val="center"/>
              <w:rPr>
                <w:rFonts w:hint="eastAsia" w:asciiTheme="minorEastAsia" w:hAnsiTheme="minorEastAsia" w:eastAsiaTheme="minorEastAsia" w:cstheme="minorEastAsia"/>
                <w:i w:val="0"/>
                <w:iCs w:val="0"/>
                <w:color w:val="000000"/>
                <w:sz w:val="18"/>
                <w:szCs w:val="18"/>
                <w:u w:val="none"/>
              </w:rPr>
            </w:pPr>
          </w:p>
        </w:tc>
      </w:tr>
      <w:tr w14:paraId="67690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36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00F53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577" w:type="dxa"/>
            <w:tcBorders>
              <w:top w:val="single" w:color="000000" w:sz="4" w:space="0"/>
              <w:left w:val="single" w:color="000000" w:sz="4" w:space="0"/>
              <w:bottom w:val="single" w:color="000000" w:sz="4" w:space="0"/>
              <w:right w:val="nil"/>
            </w:tcBorders>
            <w:shd w:val="clear" w:color="auto" w:fill="auto"/>
            <w:vAlign w:val="center"/>
          </w:tcPr>
          <w:p w14:paraId="3ECC5B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安装施工</w:t>
            </w:r>
          </w:p>
        </w:tc>
        <w:tc>
          <w:tcPr>
            <w:tcW w:w="7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A462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设备安装与系统调试，辅材及综合布线；</w:t>
            </w:r>
          </w:p>
        </w:tc>
        <w:tc>
          <w:tcPr>
            <w:tcW w:w="598" w:type="dxa"/>
            <w:tcBorders>
              <w:top w:val="single" w:color="000000" w:sz="4" w:space="0"/>
              <w:left w:val="nil"/>
              <w:bottom w:val="single" w:color="000000" w:sz="4" w:space="0"/>
              <w:right w:val="single" w:color="000000" w:sz="4" w:space="0"/>
            </w:tcBorders>
            <w:shd w:val="clear" w:color="auto" w:fill="auto"/>
            <w:vAlign w:val="center"/>
          </w:tcPr>
          <w:p w14:paraId="6258A4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CE2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r>
    </w:tbl>
    <w:p w14:paraId="5E86DC14">
      <w:pPr>
        <w:jc w:val="center"/>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val="en-US" w:eastAsia="zh-CN"/>
        </w:rPr>
        <w:t>2、打印机</w:t>
      </w:r>
    </w:p>
    <w:tbl>
      <w:tblPr>
        <w:tblStyle w:val="24"/>
        <w:tblW w:w="93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6"/>
        <w:gridCol w:w="836"/>
        <w:gridCol w:w="5774"/>
        <w:gridCol w:w="976"/>
        <w:gridCol w:w="976"/>
      </w:tblGrid>
      <w:tr w14:paraId="6021B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836" w:type="dxa"/>
            <w:tcBorders>
              <w:top w:val="single" w:color="000000" w:sz="8" w:space="0"/>
              <w:left w:val="single" w:color="000000" w:sz="8" w:space="0"/>
              <w:bottom w:val="single" w:color="000000" w:sz="4" w:space="0"/>
              <w:right w:val="single" w:color="000000" w:sz="4" w:space="0"/>
            </w:tcBorders>
            <w:shd w:val="clear" w:color="auto" w:fill="auto"/>
            <w:vAlign w:val="center"/>
          </w:tcPr>
          <w:p w14:paraId="6E2FA42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序号</w:t>
            </w:r>
          </w:p>
        </w:tc>
        <w:tc>
          <w:tcPr>
            <w:tcW w:w="836" w:type="dxa"/>
            <w:tcBorders>
              <w:top w:val="single" w:color="000000" w:sz="8" w:space="0"/>
              <w:left w:val="single" w:color="000000" w:sz="4" w:space="0"/>
              <w:bottom w:val="single" w:color="000000" w:sz="4" w:space="0"/>
              <w:right w:val="single" w:color="000000" w:sz="4" w:space="0"/>
            </w:tcBorders>
            <w:shd w:val="clear" w:color="auto" w:fill="auto"/>
            <w:vAlign w:val="center"/>
          </w:tcPr>
          <w:p w14:paraId="5E61E70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产品名称</w:t>
            </w:r>
          </w:p>
        </w:tc>
        <w:tc>
          <w:tcPr>
            <w:tcW w:w="5774" w:type="dxa"/>
            <w:tcBorders>
              <w:top w:val="single" w:color="000000" w:sz="8" w:space="0"/>
              <w:left w:val="single" w:color="000000" w:sz="4" w:space="0"/>
              <w:bottom w:val="single" w:color="000000" w:sz="4" w:space="0"/>
              <w:right w:val="single" w:color="000000" w:sz="4" w:space="0"/>
            </w:tcBorders>
            <w:shd w:val="clear" w:color="auto" w:fill="auto"/>
            <w:vAlign w:val="center"/>
          </w:tcPr>
          <w:p w14:paraId="06B0E45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参数</w:t>
            </w:r>
          </w:p>
        </w:tc>
        <w:tc>
          <w:tcPr>
            <w:tcW w:w="976" w:type="dxa"/>
            <w:tcBorders>
              <w:top w:val="single" w:color="000000" w:sz="8" w:space="0"/>
              <w:left w:val="single" w:color="000000" w:sz="4" w:space="0"/>
              <w:bottom w:val="single" w:color="000000" w:sz="4" w:space="0"/>
              <w:right w:val="single" w:color="000000" w:sz="4" w:space="0"/>
            </w:tcBorders>
            <w:shd w:val="clear" w:color="auto" w:fill="auto"/>
            <w:vAlign w:val="center"/>
          </w:tcPr>
          <w:p w14:paraId="4122CC9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单位</w:t>
            </w:r>
          </w:p>
        </w:tc>
        <w:tc>
          <w:tcPr>
            <w:tcW w:w="976" w:type="dxa"/>
            <w:tcBorders>
              <w:top w:val="single" w:color="000000" w:sz="8" w:space="0"/>
              <w:left w:val="single" w:color="000000" w:sz="4" w:space="0"/>
              <w:bottom w:val="single" w:color="000000" w:sz="4" w:space="0"/>
              <w:right w:val="single" w:color="000000" w:sz="4" w:space="0"/>
            </w:tcBorders>
            <w:shd w:val="clear" w:color="auto" w:fill="auto"/>
            <w:vAlign w:val="center"/>
          </w:tcPr>
          <w:p w14:paraId="4B76415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数量</w:t>
            </w:r>
          </w:p>
        </w:tc>
      </w:tr>
      <w:tr w14:paraId="1082A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2" w:hRule="atLeast"/>
        </w:trPr>
        <w:tc>
          <w:tcPr>
            <w:tcW w:w="836"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8E3DB9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352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打印机</w:t>
            </w:r>
          </w:p>
        </w:tc>
        <w:tc>
          <w:tcPr>
            <w:tcW w:w="5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D5CF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1）处理器：双核处理器，主频≥800MHz+133MHz；</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 内存≥512MB；</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3）接口类型：Hi-Speed USB 2.0、10Base-T/100Base-TX、IEEE 802.11b/g/n；</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4）打印速度(A4)≥26页/分钟(黑彩同速)，复印速度(A4)≥26页/分钟（黑彩同速）</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5) 标配自动双面打印，标配ADF输稿器，鼓粉分离耗材；</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6）打印分辨率: 600x600dpi;</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7）扫描分辨率：1200dpi ，19200 x 19200 dpi（最大）；</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8）白色机身；</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9）国产品牌；</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10）适配国产操作系统;</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11）一年全国免费上门服务</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12）3C，节能，环境</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C0E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F3E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w:t>
            </w:r>
          </w:p>
        </w:tc>
      </w:tr>
    </w:tbl>
    <w:p w14:paraId="7F5615F2"/>
    <w:p w14:paraId="5730BEE9"/>
    <w:p w14:paraId="6B1BEF75"/>
    <w:p w14:paraId="53A1CDD5">
      <w:pPr>
        <w:bidi w:val="0"/>
        <w:ind w:firstLine="268" w:firstLineChars="0"/>
        <w:jc w:val="left"/>
        <w:rPr>
          <w:rFonts w:asciiTheme="minorHAnsi" w:hAnsiTheme="minorHAnsi" w:eastAsiaTheme="minorEastAsia" w:cstheme="minorBidi"/>
          <w:kern w:val="2"/>
          <w:sz w:val="21"/>
          <w:szCs w:val="24"/>
          <w:lang w:val="en-US" w:eastAsia="zh-CN" w:bidi="ar-SA"/>
        </w:rPr>
      </w:pPr>
    </w:p>
    <w:p w14:paraId="35223F39">
      <w:pPr>
        <w:bidi w:val="0"/>
        <w:rPr>
          <w:rStyle w:val="58"/>
          <w:rFonts w:hint="eastAsia" w:ascii="黑体" w:hAnsi="黑体" w:eastAsia="黑体"/>
          <w:b w:val="0"/>
          <w:bCs w:val="0"/>
          <w:color w:val="000000"/>
        </w:rPr>
      </w:pPr>
    </w:p>
    <w:p w14:paraId="1D0A496B">
      <w:pPr>
        <w:bidi w:val="0"/>
        <w:rPr>
          <w:rStyle w:val="58"/>
          <w:rFonts w:hint="eastAsia" w:ascii="黑体" w:hAnsi="黑体" w:eastAsia="黑体"/>
          <w:b w:val="0"/>
          <w:bCs w:val="0"/>
          <w:color w:val="000000"/>
        </w:rPr>
      </w:pPr>
    </w:p>
    <w:p w14:paraId="614489AE">
      <w:pPr>
        <w:bidi w:val="0"/>
        <w:rPr>
          <w:rStyle w:val="58"/>
          <w:rFonts w:hint="eastAsia" w:ascii="黑体" w:hAnsi="黑体" w:eastAsia="黑体"/>
          <w:b w:val="0"/>
          <w:bCs w:val="0"/>
          <w:color w:val="000000"/>
        </w:rPr>
      </w:pPr>
    </w:p>
    <w:p w14:paraId="779E753F">
      <w:pPr>
        <w:bidi w:val="0"/>
        <w:rPr>
          <w:rStyle w:val="58"/>
          <w:rFonts w:hint="eastAsia" w:ascii="黑体" w:hAnsi="黑体" w:eastAsia="黑体"/>
          <w:b w:val="0"/>
          <w:bCs w:val="0"/>
          <w:color w:val="000000"/>
        </w:rPr>
      </w:pPr>
    </w:p>
    <w:p w14:paraId="3FA29ACB">
      <w:pPr>
        <w:bidi w:val="0"/>
        <w:rPr>
          <w:rStyle w:val="58"/>
          <w:rFonts w:hint="eastAsia" w:ascii="黑体" w:hAnsi="黑体" w:eastAsia="黑体"/>
          <w:b w:val="0"/>
          <w:bCs w:val="0"/>
          <w:color w:val="000000"/>
        </w:rPr>
      </w:pPr>
    </w:p>
    <w:p w14:paraId="50EC4E49">
      <w:pPr>
        <w:bidi w:val="0"/>
        <w:rPr>
          <w:rStyle w:val="58"/>
          <w:rFonts w:hint="eastAsia" w:ascii="黑体" w:hAnsi="黑体" w:eastAsia="黑体"/>
          <w:b w:val="0"/>
          <w:bCs w:val="0"/>
          <w:color w:val="000000"/>
        </w:rPr>
      </w:pPr>
    </w:p>
    <w:p w14:paraId="4914ECAF">
      <w:pPr>
        <w:bidi w:val="0"/>
        <w:rPr>
          <w:rStyle w:val="58"/>
          <w:rFonts w:hint="eastAsia" w:ascii="黑体" w:hAnsi="黑体" w:eastAsia="黑体"/>
          <w:b w:val="0"/>
          <w:bCs w:val="0"/>
          <w:color w:val="000000"/>
        </w:rPr>
      </w:pPr>
    </w:p>
    <w:p w14:paraId="5A13DE42">
      <w:pPr>
        <w:bidi w:val="0"/>
        <w:rPr>
          <w:rStyle w:val="58"/>
          <w:rFonts w:hint="eastAsia" w:ascii="黑体" w:hAnsi="黑体" w:eastAsia="黑体"/>
          <w:b w:val="0"/>
          <w:bCs w:val="0"/>
          <w:color w:val="000000"/>
        </w:rPr>
      </w:pPr>
    </w:p>
    <w:p w14:paraId="528E4E9E">
      <w:pPr>
        <w:bidi w:val="0"/>
        <w:rPr>
          <w:rStyle w:val="58"/>
          <w:rFonts w:hint="eastAsia" w:ascii="黑体" w:hAnsi="黑体" w:eastAsia="黑体"/>
          <w:b w:val="0"/>
          <w:bCs w:val="0"/>
          <w:color w:val="000000"/>
        </w:rPr>
      </w:pPr>
    </w:p>
    <w:p w14:paraId="06353CC4">
      <w:pPr>
        <w:bidi w:val="0"/>
        <w:rPr>
          <w:rStyle w:val="58"/>
          <w:rFonts w:hint="eastAsia" w:ascii="黑体" w:hAnsi="黑体" w:eastAsia="黑体"/>
          <w:b w:val="0"/>
          <w:bCs w:val="0"/>
          <w:color w:val="000000"/>
        </w:rPr>
      </w:pPr>
    </w:p>
    <w:p w14:paraId="6650EB7A">
      <w:pPr>
        <w:bidi w:val="0"/>
        <w:rPr>
          <w:rStyle w:val="58"/>
          <w:rFonts w:hint="eastAsia" w:ascii="黑体" w:hAnsi="黑体" w:eastAsia="黑体"/>
          <w:b w:val="0"/>
          <w:bCs w:val="0"/>
          <w:color w:val="000000"/>
        </w:rPr>
      </w:pPr>
    </w:p>
    <w:p w14:paraId="65C239CA">
      <w:pPr>
        <w:pStyle w:val="2"/>
        <w:jc w:val="center"/>
        <w:rPr>
          <w:rFonts w:ascii="黑体" w:hAnsi="黑体" w:eastAsia="黑体"/>
        </w:rPr>
      </w:pPr>
      <w:bookmarkStart w:id="553" w:name="_Toc20430"/>
      <w:r>
        <w:rPr>
          <w:rStyle w:val="58"/>
          <w:rFonts w:hint="eastAsia" w:ascii="黑体" w:hAnsi="黑体" w:eastAsia="黑体"/>
          <w:b w:val="0"/>
          <w:bCs w:val="0"/>
          <w:color w:val="000000"/>
        </w:rPr>
        <w:t xml:space="preserve">第六章  </w:t>
      </w:r>
      <w:r>
        <w:rPr>
          <w:rStyle w:val="58"/>
          <w:rFonts w:hint="eastAsia" w:ascii="黑体" w:hAnsi="黑体" w:eastAsia="黑体"/>
          <w:b w:val="0"/>
          <w:bCs w:val="0"/>
        </w:rPr>
        <w:t>投标文件格</w:t>
      </w:r>
      <w:r>
        <w:rPr>
          <w:rStyle w:val="58"/>
          <w:rFonts w:hint="eastAsia" w:ascii="黑体" w:hAnsi="黑体" w:eastAsia="黑体"/>
          <w:b w:val="0"/>
          <w:bCs w:val="0"/>
          <w:color w:val="000000"/>
        </w:rPr>
        <w:t>式</w:t>
      </w:r>
      <w:bookmarkEnd w:id="553"/>
    </w:p>
    <w:p w14:paraId="32937B8E">
      <w:pPr>
        <w:jc w:val="center"/>
        <w:outlineLvl w:val="0"/>
        <w:rPr>
          <w:rFonts w:ascii="宋体" w:hAnsi="宋体"/>
          <w:sz w:val="28"/>
          <w:szCs w:val="28"/>
        </w:rPr>
      </w:pPr>
    </w:p>
    <w:p w14:paraId="546DD4AF">
      <w:pPr>
        <w:jc w:val="center"/>
        <w:outlineLvl w:val="0"/>
        <w:rPr>
          <w:rFonts w:ascii="宋体" w:hAnsi="宋体"/>
          <w:sz w:val="28"/>
          <w:szCs w:val="28"/>
        </w:rPr>
      </w:pPr>
    </w:p>
    <w:p w14:paraId="24C2ADE5">
      <w:pPr>
        <w:jc w:val="center"/>
        <w:outlineLvl w:val="0"/>
        <w:rPr>
          <w:rFonts w:ascii="宋体" w:hAnsi="宋体"/>
          <w:sz w:val="28"/>
          <w:szCs w:val="28"/>
        </w:rPr>
      </w:pPr>
    </w:p>
    <w:p w14:paraId="7F31AD2B">
      <w:pPr>
        <w:jc w:val="center"/>
        <w:outlineLvl w:val="0"/>
        <w:rPr>
          <w:rFonts w:ascii="宋体" w:hAnsi="宋体"/>
          <w:sz w:val="28"/>
          <w:szCs w:val="28"/>
        </w:rPr>
      </w:pPr>
    </w:p>
    <w:p w14:paraId="7241D542">
      <w:pPr>
        <w:jc w:val="center"/>
        <w:outlineLvl w:val="0"/>
        <w:rPr>
          <w:rFonts w:ascii="宋体" w:hAnsi="宋体"/>
          <w:sz w:val="28"/>
          <w:szCs w:val="28"/>
        </w:rPr>
      </w:pPr>
    </w:p>
    <w:p w14:paraId="3901C939">
      <w:pPr>
        <w:jc w:val="center"/>
        <w:outlineLvl w:val="0"/>
        <w:rPr>
          <w:rFonts w:ascii="宋体" w:hAnsi="宋体"/>
          <w:sz w:val="28"/>
          <w:szCs w:val="28"/>
        </w:rPr>
      </w:pPr>
    </w:p>
    <w:p w14:paraId="3D4A0564">
      <w:pPr>
        <w:jc w:val="center"/>
        <w:outlineLvl w:val="0"/>
        <w:rPr>
          <w:rFonts w:ascii="宋体" w:hAnsi="宋体"/>
          <w:sz w:val="28"/>
          <w:szCs w:val="28"/>
        </w:rPr>
      </w:pPr>
    </w:p>
    <w:p w14:paraId="5D4E57EA">
      <w:pPr>
        <w:jc w:val="center"/>
        <w:outlineLvl w:val="0"/>
        <w:rPr>
          <w:rFonts w:ascii="宋体" w:hAnsi="宋体"/>
          <w:sz w:val="28"/>
          <w:szCs w:val="28"/>
        </w:rPr>
      </w:pPr>
    </w:p>
    <w:p w14:paraId="1D2CEB4C">
      <w:pPr>
        <w:jc w:val="center"/>
        <w:outlineLvl w:val="0"/>
        <w:rPr>
          <w:rFonts w:ascii="宋体" w:hAnsi="宋体"/>
          <w:sz w:val="28"/>
          <w:szCs w:val="28"/>
        </w:rPr>
      </w:pPr>
    </w:p>
    <w:p w14:paraId="69DD7D50">
      <w:pPr>
        <w:jc w:val="center"/>
        <w:outlineLvl w:val="0"/>
        <w:rPr>
          <w:rFonts w:ascii="宋体" w:hAnsi="宋体"/>
          <w:sz w:val="28"/>
          <w:szCs w:val="28"/>
        </w:rPr>
      </w:pPr>
    </w:p>
    <w:p w14:paraId="70188D78">
      <w:pPr>
        <w:jc w:val="center"/>
        <w:outlineLvl w:val="0"/>
        <w:rPr>
          <w:rFonts w:ascii="宋体" w:hAnsi="宋体"/>
          <w:sz w:val="28"/>
          <w:szCs w:val="28"/>
        </w:rPr>
      </w:pPr>
    </w:p>
    <w:p w14:paraId="6D17E363">
      <w:pPr>
        <w:jc w:val="center"/>
        <w:outlineLvl w:val="0"/>
        <w:rPr>
          <w:rFonts w:ascii="宋体" w:hAnsi="宋体"/>
          <w:sz w:val="28"/>
          <w:szCs w:val="28"/>
        </w:rPr>
      </w:pPr>
    </w:p>
    <w:p w14:paraId="1EA9F941">
      <w:pPr>
        <w:pStyle w:val="22"/>
        <w:ind w:firstLine="210"/>
      </w:pPr>
    </w:p>
    <w:p w14:paraId="0183FA9D">
      <w:pPr>
        <w:pStyle w:val="23"/>
        <w:ind w:firstLine="560"/>
      </w:pPr>
    </w:p>
    <w:p w14:paraId="6AED3A95">
      <w:pPr>
        <w:pStyle w:val="23"/>
        <w:ind w:firstLine="560"/>
      </w:pPr>
    </w:p>
    <w:p w14:paraId="6493E2F8">
      <w:pPr>
        <w:pStyle w:val="23"/>
        <w:ind w:firstLine="560"/>
      </w:pPr>
    </w:p>
    <w:p w14:paraId="0658BF4B">
      <w:pPr>
        <w:pStyle w:val="23"/>
        <w:ind w:firstLine="560"/>
      </w:pPr>
    </w:p>
    <w:p w14:paraId="10C475BA">
      <w:pPr>
        <w:pStyle w:val="23"/>
        <w:ind w:firstLine="560"/>
      </w:pPr>
    </w:p>
    <w:p w14:paraId="3171BD09">
      <w:pPr>
        <w:pStyle w:val="23"/>
        <w:ind w:firstLine="560"/>
      </w:pPr>
    </w:p>
    <w:p w14:paraId="38A8EB3C">
      <w:pPr>
        <w:spacing w:line="360" w:lineRule="auto"/>
        <w:ind w:firstLine="220" w:firstLineChars="200"/>
        <w:jc w:val="left"/>
        <w:rPr>
          <w:rFonts w:ascii="宋体" w:hAnsi="宋体"/>
          <w:sz w:val="11"/>
          <w:szCs w:val="11"/>
        </w:rPr>
      </w:pPr>
    </w:p>
    <w:p w14:paraId="491DCA26">
      <w:pPr>
        <w:spacing w:line="360" w:lineRule="auto"/>
        <w:ind w:firstLine="480" w:firstLineChars="200"/>
        <w:jc w:val="left"/>
        <w:rPr>
          <w:rFonts w:ascii="宋体" w:hAnsi="宋体"/>
          <w:color w:val="000000"/>
          <w:sz w:val="24"/>
        </w:rPr>
      </w:pPr>
      <w:r>
        <w:rPr>
          <w:rFonts w:hint="eastAsia"/>
          <w:sz w:val="24"/>
        </w:rPr>
        <w:t>投标</w:t>
      </w:r>
      <w:r>
        <w:rPr>
          <w:sz w:val="24"/>
        </w:rPr>
        <w:t>文件封面格式</w:t>
      </w:r>
    </w:p>
    <w:p w14:paraId="56C720D6">
      <w:pPr>
        <w:jc w:val="center"/>
        <w:rPr>
          <w:rFonts w:hint="default" w:ascii="宋体" w:hAnsi="宋体" w:eastAsia="宋体"/>
          <w:sz w:val="28"/>
          <w:szCs w:val="28"/>
          <w:lang w:val="en-US" w:eastAsia="zh-CN"/>
        </w:rPr>
      </w:pPr>
      <w:r>
        <w:rPr>
          <w:rFonts w:hint="eastAsia" w:ascii="宋体" w:hAnsi="宋体"/>
          <w:b/>
          <w:sz w:val="44"/>
          <w:szCs w:val="44"/>
          <w:lang w:val="en-US" w:eastAsia="zh-CN"/>
        </w:rPr>
        <w:t>杞县教育体育局设备采购项目</w:t>
      </w:r>
    </w:p>
    <w:p w14:paraId="24D986A0">
      <w:pPr>
        <w:rPr>
          <w:rFonts w:ascii="宋体" w:hAnsi="宋体"/>
          <w:sz w:val="28"/>
          <w:szCs w:val="28"/>
        </w:rPr>
      </w:pPr>
    </w:p>
    <w:p w14:paraId="73F327FA">
      <w:pPr>
        <w:pStyle w:val="22"/>
        <w:ind w:firstLine="210"/>
      </w:pPr>
    </w:p>
    <w:p w14:paraId="0DA7D7E2">
      <w:pPr>
        <w:pStyle w:val="23"/>
        <w:ind w:firstLine="560"/>
      </w:pPr>
    </w:p>
    <w:p w14:paraId="51997698">
      <w:pPr>
        <w:pStyle w:val="23"/>
        <w:ind w:firstLine="560"/>
      </w:pPr>
    </w:p>
    <w:p w14:paraId="26B000D0">
      <w:pPr>
        <w:pStyle w:val="23"/>
        <w:ind w:firstLine="560"/>
      </w:pPr>
    </w:p>
    <w:p w14:paraId="7832087D">
      <w:pPr>
        <w:pStyle w:val="23"/>
        <w:ind w:firstLine="560"/>
      </w:pPr>
    </w:p>
    <w:p w14:paraId="3C8920A3">
      <w:pPr>
        <w:pStyle w:val="23"/>
        <w:ind w:leftChars="457" w:firstLine="2660" w:firstLineChars="950"/>
      </w:pPr>
      <w:r>
        <w:rPr>
          <w:rFonts w:hint="eastAsia"/>
          <w:u w:val="single"/>
        </w:rPr>
        <w:t xml:space="preserve">          </w:t>
      </w:r>
      <w:r>
        <w:rPr>
          <w:rFonts w:hint="eastAsia"/>
        </w:rPr>
        <w:t>标段</w:t>
      </w:r>
    </w:p>
    <w:p w14:paraId="490AFED0">
      <w:pPr>
        <w:pStyle w:val="23"/>
        <w:ind w:firstLine="560"/>
      </w:pPr>
    </w:p>
    <w:p w14:paraId="5BBB06D3">
      <w:pPr>
        <w:jc w:val="center"/>
        <w:rPr>
          <w:rFonts w:ascii="宋体" w:hAnsi="宋体"/>
          <w:b/>
          <w:sz w:val="72"/>
          <w:szCs w:val="72"/>
        </w:rPr>
      </w:pPr>
      <w:r>
        <w:rPr>
          <w:rFonts w:ascii="宋体" w:hAnsi="宋体"/>
          <w:b/>
          <w:sz w:val="72"/>
          <w:szCs w:val="72"/>
        </w:rPr>
        <w:t>投  标  文  件</w:t>
      </w:r>
    </w:p>
    <w:p w14:paraId="4920C1CA">
      <w:pPr>
        <w:snapToGrid w:val="0"/>
        <w:spacing w:line="277" w:lineRule="atLeast"/>
        <w:jc w:val="center"/>
        <w:rPr>
          <w:rFonts w:ascii="宋体" w:hAnsi="宋体"/>
          <w:sz w:val="28"/>
          <w:szCs w:val="28"/>
        </w:rPr>
      </w:pPr>
    </w:p>
    <w:p w14:paraId="1592B2BC">
      <w:pPr>
        <w:snapToGrid w:val="0"/>
        <w:spacing w:line="459" w:lineRule="atLeast"/>
        <w:ind w:firstLine="481"/>
        <w:rPr>
          <w:rFonts w:ascii="宋体" w:hAnsi="宋体"/>
          <w:sz w:val="28"/>
          <w:szCs w:val="28"/>
        </w:rPr>
      </w:pPr>
    </w:p>
    <w:p w14:paraId="103B33D5">
      <w:pPr>
        <w:snapToGrid w:val="0"/>
        <w:spacing w:line="459" w:lineRule="atLeast"/>
        <w:ind w:firstLine="481"/>
        <w:rPr>
          <w:rFonts w:ascii="宋体" w:hAnsi="宋体"/>
          <w:sz w:val="28"/>
          <w:szCs w:val="28"/>
        </w:rPr>
      </w:pPr>
    </w:p>
    <w:p w14:paraId="3552DE2B">
      <w:pPr>
        <w:snapToGrid w:val="0"/>
        <w:spacing w:line="459" w:lineRule="atLeast"/>
        <w:ind w:firstLine="481"/>
        <w:rPr>
          <w:rFonts w:ascii="宋体" w:hAnsi="宋体"/>
          <w:sz w:val="28"/>
          <w:szCs w:val="28"/>
        </w:rPr>
      </w:pPr>
    </w:p>
    <w:p w14:paraId="13513DF0">
      <w:pPr>
        <w:snapToGrid w:val="0"/>
        <w:spacing w:line="459" w:lineRule="atLeast"/>
        <w:ind w:firstLine="481"/>
        <w:rPr>
          <w:rFonts w:ascii="宋体" w:hAnsi="宋体"/>
          <w:sz w:val="28"/>
          <w:szCs w:val="28"/>
        </w:rPr>
      </w:pPr>
      <w:r>
        <w:rPr>
          <w:rFonts w:ascii="宋体" w:hAnsi="宋体"/>
          <w:sz w:val="28"/>
          <w:szCs w:val="28"/>
        </w:rPr>
        <w:t xml:space="preserve">  投标人：</w:t>
      </w:r>
      <w:r>
        <w:rPr>
          <w:rFonts w:ascii="宋体" w:hAnsi="宋体"/>
          <w:sz w:val="28"/>
          <w:szCs w:val="28"/>
          <w:u w:val="single"/>
        </w:rPr>
        <w:t xml:space="preserve">                              </w:t>
      </w:r>
      <w:r>
        <w:rPr>
          <w:rFonts w:ascii="宋体" w:hAnsi="宋体"/>
          <w:sz w:val="28"/>
          <w:szCs w:val="28"/>
        </w:rPr>
        <w:t>（盖单位</w:t>
      </w:r>
      <w:r>
        <w:rPr>
          <w:rFonts w:hint="eastAsia" w:ascii="宋体" w:hAnsi="宋体"/>
          <w:sz w:val="28"/>
          <w:szCs w:val="28"/>
        </w:rPr>
        <w:t>电子</w:t>
      </w:r>
      <w:r>
        <w:rPr>
          <w:rFonts w:ascii="宋体" w:hAnsi="宋体"/>
          <w:sz w:val="28"/>
          <w:szCs w:val="28"/>
        </w:rPr>
        <w:t>章）</w:t>
      </w:r>
    </w:p>
    <w:p w14:paraId="129522EC">
      <w:pPr>
        <w:snapToGrid w:val="0"/>
        <w:spacing w:line="453" w:lineRule="atLeast"/>
        <w:ind w:left="708" w:firstLine="561"/>
        <w:rPr>
          <w:rFonts w:ascii="宋体" w:hAnsi="宋体"/>
          <w:sz w:val="28"/>
          <w:szCs w:val="28"/>
        </w:rPr>
      </w:pPr>
    </w:p>
    <w:p w14:paraId="5335D508">
      <w:pPr>
        <w:snapToGrid w:val="0"/>
        <w:spacing w:line="453" w:lineRule="atLeast"/>
        <w:ind w:left="708"/>
        <w:rPr>
          <w:rFonts w:ascii="宋体" w:hAnsi="宋体"/>
          <w:sz w:val="28"/>
          <w:szCs w:val="28"/>
        </w:rPr>
      </w:pPr>
      <w:r>
        <w:rPr>
          <w:rFonts w:ascii="宋体" w:hAnsi="宋体"/>
          <w:sz w:val="28"/>
          <w:szCs w:val="28"/>
        </w:rPr>
        <w:t>法定代表人或其委托代理人：</w:t>
      </w:r>
      <w:r>
        <w:rPr>
          <w:rFonts w:ascii="宋体" w:hAnsi="宋体"/>
          <w:sz w:val="28"/>
          <w:szCs w:val="28"/>
          <w:u w:val="single"/>
        </w:rPr>
        <w:t xml:space="preserve">            </w:t>
      </w:r>
      <w:r>
        <w:rPr>
          <w:rFonts w:ascii="宋体" w:hAnsi="宋体"/>
          <w:sz w:val="28"/>
          <w:szCs w:val="28"/>
        </w:rPr>
        <w:t>（</w:t>
      </w:r>
      <w:r>
        <w:rPr>
          <w:rFonts w:hint="eastAsia" w:ascii="宋体" w:hAnsi="宋体" w:cs="宋体"/>
          <w:sz w:val="28"/>
          <w:szCs w:val="28"/>
        </w:rPr>
        <w:t>盖电子印章或签名</w:t>
      </w:r>
      <w:r>
        <w:rPr>
          <w:rFonts w:ascii="宋体" w:hAnsi="宋体"/>
          <w:sz w:val="28"/>
          <w:szCs w:val="28"/>
        </w:rPr>
        <w:t>）</w:t>
      </w:r>
    </w:p>
    <w:p w14:paraId="3AE791F7">
      <w:pPr>
        <w:snapToGrid w:val="0"/>
        <w:spacing w:line="453" w:lineRule="atLeast"/>
        <w:ind w:left="708"/>
        <w:rPr>
          <w:rFonts w:ascii="宋体" w:hAnsi="宋体"/>
          <w:sz w:val="28"/>
          <w:szCs w:val="28"/>
        </w:rPr>
      </w:pPr>
    </w:p>
    <w:p w14:paraId="1EB0974B">
      <w:pPr>
        <w:snapToGrid w:val="0"/>
        <w:spacing w:line="453" w:lineRule="atLeast"/>
        <w:ind w:left="708"/>
        <w:rPr>
          <w:rFonts w:ascii="宋体" w:hAnsi="宋体"/>
          <w:sz w:val="28"/>
          <w:szCs w:val="28"/>
        </w:rPr>
      </w:pPr>
      <w:r>
        <w:rPr>
          <w:rFonts w:ascii="宋体" w:hAnsi="宋体"/>
          <w:sz w:val="28"/>
          <w:szCs w:val="28"/>
        </w:rPr>
        <w:t>详细地址：</w:t>
      </w:r>
    </w:p>
    <w:p w14:paraId="661AF5F0">
      <w:pPr>
        <w:snapToGrid w:val="0"/>
        <w:spacing w:line="453" w:lineRule="atLeast"/>
        <w:ind w:left="708"/>
        <w:rPr>
          <w:rFonts w:ascii="宋体" w:hAnsi="宋体"/>
          <w:sz w:val="28"/>
          <w:szCs w:val="28"/>
        </w:rPr>
      </w:pPr>
    </w:p>
    <w:p w14:paraId="01B258C5">
      <w:pPr>
        <w:snapToGrid w:val="0"/>
        <w:spacing w:line="453" w:lineRule="atLeast"/>
        <w:ind w:left="708"/>
        <w:rPr>
          <w:rFonts w:ascii="宋体" w:hAnsi="宋体"/>
          <w:sz w:val="28"/>
          <w:szCs w:val="28"/>
        </w:rPr>
      </w:pPr>
      <w:r>
        <w:rPr>
          <w:rFonts w:ascii="宋体" w:hAnsi="宋体"/>
          <w:sz w:val="28"/>
          <w:szCs w:val="28"/>
        </w:rPr>
        <w:t>联系电话：</w:t>
      </w:r>
    </w:p>
    <w:p w14:paraId="2EFC4AED">
      <w:pPr>
        <w:snapToGrid w:val="0"/>
        <w:spacing w:line="453" w:lineRule="atLeast"/>
        <w:ind w:firstLine="561"/>
        <w:rPr>
          <w:rFonts w:ascii="宋体" w:hAnsi="宋体"/>
          <w:sz w:val="28"/>
          <w:szCs w:val="28"/>
        </w:rPr>
      </w:pPr>
    </w:p>
    <w:p w14:paraId="3693FBDD">
      <w:pPr>
        <w:snapToGrid w:val="0"/>
        <w:spacing w:line="464" w:lineRule="atLeast"/>
        <w:ind w:firstLine="1678"/>
        <w:rPr>
          <w:rFonts w:ascii="宋体" w:hAnsi="宋体"/>
          <w:sz w:val="28"/>
          <w:szCs w:val="28"/>
        </w:rPr>
      </w:pPr>
      <w:r>
        <w:rPr>
          <w:rFonts w:ascii="宋体" w:hAnsi="宋体"/>
          <w:sz w:val="28"/>
          <w:szCs w:val="28"/>
        </w:rPr>
        <w:t xml:space="preserve">         年         月        日</w:t>
      </w:r>
    </w:p>
    <w:p w14:paraId="64D14FF4">
      <w:pPr>
        <w:spacing w:beforeLines="100" w:afterLines="100"/>
        <w:jc w:val="center"/>
        <w:rPr>
          <w:rFonts w:hint="eastAsia" w:ascii="宋体" w:hAnsi="宋体"/>
          <w:color w:val="000000"/>
          <w:sz w:val="28"/>
          <w:szCs w:val="28"/>
        </w:rPr>
      </w:pPr>
    </w:p>
    <w:p w14:paraId="0947C409">
      <w:pPr>
        <w:spacing w:beforeLines="100" w:afterLines="100"/>
        <w:jc w:val="center"/>
        <w:rPr>
          <w:rFonts w:ascii="宋体" w:hAnsi="宋体"/>
          <w:color w:val="000000"/>
          <w:sz w:val="28"/>
          <w:szCs w:val="28"/>
        </w:rPr>
      </w:pPr>
      <w:r>
        <w:rPr>
          <w:rFonts w:hint="eastAsia" w:ascii="宋体" w:hAnsi="宋体"/>
          <w:color w:val="000000"/>
          <w:sz w:val="28"/>
          <w:szCs w:val="28"/>
        </w:rPr>
        <w:t>目    录</w:t>
      </w:r>
    </w:p>
    <w:p w14:paraId="5D2F63CA">
      <w:pPr>
        <w:spacing w:line="600" w:lineRule="exact"/>
        <w:rPr>
          <w:rFonts w:ascii="宋体" w:hAnsi="宋体"/>
          <w:color w:val="000000"/>
          <w:sz w:val="28"/>
          <w:szCs w:val="28"/>
        </w:rPr>
      </w:pPr>
      <w:r>
        <w:rPr>
          <w:rFonts w:hint="eastAsia" w:ascii="宋体" w:hAnsi="宋体"/>
          <w:color w:val="000000"/>
          <w:sz w:val="28"/>
          <w:szCs w:val="28"/>
        </w:rPr>
        <w:t>一、投标函及投标函附录</w:t>
      </w:r>
    </w:p>
    <w:p w14:paraId="4B6FC116">
      <w:pPr>
        <w:spacing w:line="600" w:lineRule="exact"/>
        <w:rPr>
          <w:rFonts w:ascii="宋体" w:hAnsi="宋体"/>
          <w:color w:val="000000"/>
          <w:sz w:val="28"/>
          <w:szCs w:val="28"/>
        </w:rPr>
      </w:pPr>
      <w:r>
        <w:rPr>
          <w:rFonts w:hint="eastAsia" w:ascii="宋体" w:hAnsi="宋体"/>
          <w:color w:val="000000"/>
          <w:sz w:val="28"/>
          <w:szCs w:val="28"/>
        </w:rPr>
        <w:t>二、法定代表人身份证明</w:t>
      </w:r>
    </w:p>
    <w:p w14:paraId="746B4DC8">
      <w:pPr>
        <w:spacing w:line="600" w:lineRule="exact"/>
        <w:rPr>
          <w:rFonts w:ascii="宋体" w:hAnsi="宋体"/>
          <w:color w:val="000000"/>
          <w:sz w:val="28"/>
          <w:szCs w:val="28"/>
        </w:rPr>
      </w:pPr>
      <w:r>
        <w:rPr>
          <w:rFonts w:hint="eastAsia" w:ascii="宋体" w:hAnsi="宋体"/>
          <w:color w:val="000000"/>
          <w:sz w:val="28"/>
          <w:szCs w:val="28"/>
        </w:rPr>
        <w:t>三、法定代表人授权委托书</w:t>
      </w:r>
    </w:p>
    <w:p w14:paraId="519DBEA4">
      <w:pPr>
        <w:spacing w:line="600" w:lineRule="exact"/>
        <w:rPr>
          <w:rFonts w:ascii="宋体" w:hAnsi="宋体"/>
          <w:color w:val="000000"/>
          <w:sz w:val="28"/>
          <w:szCs w:val="28"/>
        </w:rPr>
      </w:pPr>
      <w:r>
        <w:rPr>
          <w:rFonts w:hint="eastAsia" w:ascii="宋体" w:hAnsi="宋体"/>
          <w:color w:val="000000"/>
          <w:sz w:val="28"/>
          <w:szCs w:val="28"/>
        </w:rPr>
        <w:t>四、资格审查资料</w:t>
      </w:r>
    </w:p>
    <w:p w14:paraId="7C9DEDB5">
      <w:pPr>
        <w:spacing w:line="600" w:lineRule="exact"/>
        <w:rPr>
          <w:rFonts w:ascii="宋体" w:hAnsi="宋体"/>
          <w:color w:val="000000"/>
          <w:sz w:val="28"/>
          <w:szCs w:val="28"/>
        </w:rPr>
      </w:pPr>
      <w:r>
        <w:rPr>
          <w:rFonts w:hint="eastAsia" w:ascii="宋体" w:hAnsi="宋体"/>
          <w:color w:val="000000"/>
          <w:sz w:val="28"/>
          <w:szCs w:val="28"/>
        </w:rPr>
        <w:t>五、技术部分</w:t>
      </w:r>
    </w:p>
    <w:p w14:paraId="466C599C">
      <w:pPr>
        <w:spacing w:line="600" w:lineRule="exact"/>
        <w:rPr>
          <w:rFonts w:ascii="宋体" w:hAnsi="宋体"/>
          <w:color w:val="000000"/>
          <w:sz w:val="28"/>
          <w:szCs w:val="28"/>
        </w:rPr>
      </w:pPr>
      <w:r>
        <w:rPr>
          <w:rFonts w:hint="eastAsia" w:ascii="宋体" w:hAnsi="宋体"/>
          <w:color w:val="000000"/>
          <w:sz w:val="28"/>
          <w:szCs w:val="28"/>
        </w:rPr>
        <w:t>六、商务部分</w:t>
      </w:r>
    </w:p>
    <w:p w14:paraId="6593244F">
      <w:pPr>
        <w:spacing w:line="600" w:lineRule="exact"/>
        <w:rPr>
          <w:rFonts w:ascii="宋体" w:hAnsi="宋体"/>
          <w:color w:val="000000"/>
          <w:sz w:val="28"/>
          <w:szCs w:val="28"/>
        </w:rPr>
      </w:pPr>
      <w:r>
        <w:rPr>
          <w:rFonts w:hint="eastAsia" w:ascii="宋体" w:hAnsi="宋体"/>
          <w:color w:val="000000"/>
          <w:sz w:val="28"/>
          <w:szCs w:val="28"/>
        </w:rPr>
        <w:t>七、其他资料</w:t>
      </w:r>
    </w:p>
    <w:p w14:paraId="5A7045EE">
      <w:pPr>
        <w:jc w:val="center"/>
        <w:rPr>
          <w:rFonts w:ascii="宋体" w:hAnsi="宋体"/>
          <w:color w:val="000000"/>
          <w:sz w:val="28"/>
          <w:szCs w:val="28"/>
        </w:rPr>
      </w:pPr>
    </w:p>
    <w:p w14:paraId="1B3953BF">
      <w:pPr>
        <w:jc w:val="center"/>
        <w:rPr>
          <w:rFonts w:ascii="宋体" w:hAnsi="宋体"/>
          <w:color w:val="000000"/>
          <w:sz w:val="28"/>
          <w:szCs w:val="28"/>
        </w:rPr>
      </w:pPr>
      <w:r>
        <w:rPr>
          <w:rFonts w:hint="eastAsia" w:ascii="宋体" w:hAnsi="宋体"/>
          <w:color w:val="000000"/>
          <w:sz w:val="28"/>
          <w:szCs w:val="28"/>
        </w:rPr>
        <w:t xml:space="preserve"> </w:t>
      </w:r>
    </w:p>
    <w:p w14:paraId="42EB412B">
      <w:pPr>
        <w:spacing w:line="360" w:lineRule="auto"/>
        <w:jc w:val="left"/>
        <w:rPr>
          <w:rFonts w:ascii="宋体" w:hAnsi="宋体"/>
          <w:b/>
          <w:bCs/>
          <w:color w:val="000000"/>
          <w:sz w:val="28"/>
          <w:szCs w:val="28"/>
        </w:rPr>
      </w:pPr>
      <w:r>
        <w:rPr>
          <w:rFonts w:hint="eastAsia" w:ascii="宋体" w:hAnsi="宋体"/>
          <w:b/>
          <w:bCs/>
          <w:color w:val="000000"/>
          <w:sz w:val="28"/>
          <w:szCs w:val="28"/>
        </w:rPr>
        <w:t>注：</w:t>
      </w:r>
    </w:p>
    <w:p w14:paraId="79E810F5">
      <w:pPr>
        <w:spacing w:line="360" w:lineRule="auto"/>
        <w:jc w:val="left"/>
        <w:rPr>
          <w:rFonts w:ascii="宋体" w:hAnsi="宋体"/>
          <w:b/>
          <w:bCs/>
          <w:color w:val="000000"/>
          <w:sz w:val="28"/>
          <w:szCs w:val="28"/>
        </w:rPr>
      </w:pPr>
      <w:r>
        <w:rPr>
          <w:rFonts w:hint="eastAsia" w:ascii="宋体" w:hAnsi="宋体"/>
          <w:b/>
          <w:bCs/>
          <w:color w:val="000000"/>
          <w:sz w:val="28"/>
          <w:szCs w:val="28"/>
        </w:rPr>
        <w:t>1、招标文件中要求附资料的复印件或扫描件须加盖单位公章。</w:t>
      </w:r>
    </w:p>
    <w:p w14:paraId="5944AF78">
      <w:pPr>
        <w:spacing w:line="360" w:lineRule="auto"/>
        <w:jc w:val="left"/>
        <w:rPr>
          <w:rFonts w:ascii="宋体" w:hAnsi="宋体"/>
          <w:b/>
          <w:bCs/>
          <w:color w:val="000000"/>
          <w:sz w:val="28"/>
          <w:szCs w:val="28"/>
        </w:rPr>
      </w:pPr>
      <w:r>
        <w:rPr>
          <w:rFonts w:hint="eastAsia" w:ascii="宋体" w:hAnsi="宋体"/>
          <w:b/>
          <w:bCs/>
          <w:color w:val="000000"/>
          <w:sz w:val="28"/>
          <w:szCs w:val="28"/>
        </w:rPr>
        <w:t>2、投标文件应按本章提供的格式编制，如有本章未提供的，投标人可自行添加编制。</w:t>
      </w:r>
    </w:p>
    <w:p w14:paraId="0A72D69C">
      <w:pPr>
        <w:pStyle w:val="3"/>
      </w:pPr>
      <w:r>
        <w:rPr>
          <w:rFonts w:hint="eastAsia"/>
        </w:rPr>
        <w:br w:type="page"/>
      </w:r>
      <w:bookmarkStart w:id="554" w:name="_Toc15829"/>
      <w:bookmarkEnd w:id="554"/>
      <w:bookmarkStart w:id="555" w:name="_Toc11732"/>
      <w:bookmarkStart w:id="556" w:name="_Toc23133"/>
      <w:bookmarkStart w:id="557" w:name="_Toc17775"/>
      <w:bookmarkStart w:id="558" w:name="_Toc243607937"/>
      <w:bookmarkStart w:id="559" w:name="_Toc234035302"/>
      <w:bookmarkStart w:id="560" w:name="_Toc15593"/>
      <w:r>
        <w:rPr>
          <w:rFonts w:hint="eastAsia"/>
        </w:rPr>
        <w:t>一、投标函及投标函附录</w:t>
      </w:r>
      <w:bookmarkEnd w:id="555"/>
    </w:p>
    <w:p w14:paraId="4A3CB97E">
      <w:pPr>
        <w:jc w:val="center"/>
        <w:rPr>
          <w:sz w:val="32"/>
          <w:szCs w:val="32"/>
        </w:rPr>
      </w:pPr>
      <w:r>
        <w:rPr>
          <w:rFonts w:hint="eastAsia"/>
          <w:sz w:val="32"/>
          <w:szCs w:val="32"/>
        </w:rPr>
        <w:t>（一）、投标函</w:t>
      </w:r>
      <w:bookmarkEnd w:id="556"/>
      <w:bookmarkEnd w:id="557"/>
    </w:p>
    <w:bookmarkEnd w:id="558"/>
    <w:bookmarkEnd w:id="559"/>
    <w:p w14:paraId="49C1BE79">
      <w:pPr>
        <w:spacing w:line="520" w:lineRule="exact"/>
        <w:rPr>
          <w:rFonts w:ascii="宋体" w:hAnsi="宋体" w:cs="仿宋_GB2312"/>
          <w:sz w:val="28"/>
          <w:szCs w:val="28"/>
        </w:rPr>
      </w:pPr>
      <w:bookmarkStart w:id="561" w:name="_Toc234035303"/>
      <w:bookmarkStart w:id="562" w:name="_Toc243607938"/>
      <w:bookmarkStart w:id="563" w:name="_Toc28340"/>
      <w:bookmarkStart w:id="564" w:name="_Toc24717"/>
      <w:r>
        <w:rPr>
          <w:rFonts w:hint="eastAsia" w:ascii="宋体" w:hAnsi="宋体" w:cs="仿宋_GB2312"/>
          <w:sz w:val="28"/>
          <w:szCs w:val="28"/>
        </w:rPr>
        <w:t>致：</w:t>
      </w:r>
      <w:r>
        <w:rPr>
          <w:rFonts w:hint="eastAsia" w:ascii="宋体" w:hAnsi="宋体" w:cs="仿宋_GB2312"/>
          <w:sz w:val="28"/>
          <w:szCs w:val="28"/>
          <w:u w:val="single"/>
        </w:rPr>
        <w:t xml:space="preserve">   （采购人）</w:t>
      </w:r>
      <w:r>
        <w:rPr>
          <w:rFonts w:hint="eastAsia" w:ascii="宋体" w:hAnsi="宋体" w:cs="仿宋_GB2312"/>
          <w:sz w:val="28"/>
          <w:szCs w:val="28"/>
        </w:rPr>
        <w:t xml:space="preserve">  </w:t>
      </w:r>
    </w:p>
    <w:p w14:paraId="0FF6CD43">
      <w:pPr>
        <w:spacing w:line="520" w:lineRule="exact"/>
        <w:ind w:firstLine="280" w:firstLineChars="100"/>
        <w:jc w:val="left"/>
        <w:rPr>
          <w:rFonts w:ascii="宋体" w:hAnsi="宋体" w:cs="仿宋_GB2312"/>
          <w:sz w:val="28"/>
          <w:szCs w:val="28"/>
        </w:rPr>
      </w:pPr>
      <w:r>
        <w:rPr>
          <w:rFonts w:hint="eastAsia" w:ascii="宋体" w:hAnsi="宋体" w:cs="仿宋_GB2312"/>
          <w:sz w:val="28"/>
          <w:szCs w:val="28"/>
        </w:rPr>
        <w:t>我们收到了</w:t>
      </w:r>
      <w:r>
        <w:rPr>
          <w:rFonts w:hint="eastAsia" w:ascii="宋体" w:hAnsi="宋体" w:cs="仿宋_GB2312"/>
          <w:sz w:val="28"/>
          <w:szCs w:val="28"/>
          <w:u w:val="single"/>
        </w:rPr>
        <w:t xml:space="preserve">     </w:t>
      </w:r>
      <w:r>
        <w:rPr>
          <w:rFonts w:hint="eastAsia" w:ascii="宋体" w:hAnsi="宋体" w:cs="仿宋_GB2312"/>
          <w:b/>
          <w:bCs/>
          <w:kern w:val="0"/>
          <w:sz w:val="28"/>
          <w:szCs w:val="28"/>
          <w:u w:val="single"/>
        </w:rPr>
        <w:t xml:space="preserve">                      </w:t>
      </w:r>
      <w:r>
        <w:rPr>
          <w:rFonts w:hint="eastAsia" w:ascii="宋体" w:hAnsi="宋体" w:cs="仿宋_GB2312"/>
          <w:kern w:val="0"/>
          <w:sz w:val="28"/>
          <w:szCs w:val="28"/>
        </w:rPr>
        <w:t>（项目名称）</w:t>
      </w:r>
      <w:r>
        <w:rPr>
          <w:rFonts w:hint="eastAsia" w:ascii="宋体" w:hAnsi="宋体" w:cs="仿宋_GB2312"/>
          <w:kern w:val="0"/>
          <w:sz w:val="28"/>
          <w:szCs w:val="28"/>
          <w:u w:val="single"/>
        </w:rPr>
        <w:t xml:space="preserve">     </w:t>
      </w:r>
      <w:r>
        <w:rPr>
          <w:rFonts w:hint="eastAsia" w:ascii="宋体" w:hAnsi="宋体" w:cs="仿宋_GB2312"/>
          <w:kern w:val="0"/>
          <w:sz w:val="28"/>
          <w:szCs w:val="28"/>
        </w:rPr>
        <w:t>标段</w:t>
      </w:r>
      <w:r>
        <w:rPr>
          <w:rFonts w:hint="eastAsia" w:ascii="宋体" w:hAnsi="宋体" w:cs="仿宋_GB2312"/>
          <w:sz w:val="28"/>
          <w:szCs w:val="28"/>
        </w:rPr>
        <w:t>的招标文件，经详细研究，我们决定参加该项目的投标，我们郑重声明以下诸点并负法律责任。</w:t>
      </w:r>
    </w:p>
    <w:p w14:paraId="762D29FF">
      <w:pPr>
        <w:spacing w:line="520" w:lineRule="exact"/>
        <w:jc w:val="left"/>
        <w:rPr>
          <w:rFonts w:ascii="宋体" w:hAnsi="宋体" w:cs="仿宋_GB2312"/>
          <w:sz w:val="28"/>
          <w:szCs w:val="28"/>
        </w:rPr>
      </w:pPr>
      <w:r>
        <w:rPr>
          <w:rFonts w:hint="eastAsia" w:ascii="宋体" w:hAnsi="宋体" w:cs="仿宋_GB2312"/>
          <w:sz w:val="28"/>
          <w:szCs w:val="28"/>
        </w:rPr>
        <w:t>1、愿按照招标文件中的条款和要求，进行供货、安装及相关服务，总报价为大写：</w:t>
      </w:r>
      <w:r>
        <w:rPr>
          <w:rFonts w:hint="eastAsia" w:ascii="宋体" w:hAnsi="宋体" w:cs="仿宋_GB2312"/>
          <w:sz w:val="28"/>
          <w:szCs w:val="28"/>
          <w:u w:val="single"/>
        </w:rPr>
        <w:t xml:space="preserve">               （小写：         ）</w:t>
      </w:r>
      <w:r>
        <w:rPr>
          <w:rFonts w:hint="eastAsia" w:ascii="宋体" w:hAnsi="宋体" w:cs="仿宋_GB2312"/>
          <w:sz w:val="28"/>
          <w:szCs w:val="28"/>
        </w:rPr>
        <w:t>。详见“投标函附录”。</w:t>
      </w:r>
    </w:p>
    <w:p w14:paraId="0CD5D389">
      <w:pPr>
        <w:spacing w:line="520" w:lineRule="exact"/>
        <w:rPr>
          <w:rFonts w:ascii="宋体" w:hAnsi="宋体" w:cs="仿宋_GB2312"/>
          <w:sz w:val="28"/>
          <w:szCs w:val="28"/>
        </w:rPr>
      </w:pPr>
      <w:r>
        <w:rPr>
          <w:rFonts w:hint="eastAsia" w:ascii="宋体" w:hAnsi="宋体" w:cs="仿宋_GB2312"/>
          <w:sz w:val="28"/>
          <w:szCs w:val="28"/>
        </w:rPr>
        <w:t>2、如果我们的投标文件被接受，我们将履行招标文件中规定的各项要求。</w:t>
      </w:r>
    </w:p>
    <w:p w14:paraId="74684375">
      <w:pPr>
        <w:spacing w:line="520" w:lineRule="exact"/>
        <w:rPr>
          <w:rFonts w:ascii="宋体" w:hAnsi="宋体" w:cs="仿宋_GB2312"/>
          <w:sz w:val="28"/>
          <w:szCs w:val="28"/>
        </w:rPr>
      </w:pPr>
      <w:r>
        <w:rPr>
          <w:rFonts w:hint="eastAsia" w:ascii="宋体" w:hAnsi="宋体" w:cs="仿宋_GB2312"/>
          <w:sz w:val="28"/>
          <w:szCs w:val="28"/>
        </w:rPr>
        <w:t>3、我们同意按招标文件中的规定，本投标文件的有效期为投标截止之日起</w:t>
      </w:r>
      <w:r>
        <w:rPr>
          <w:rFonts w:hint="eastAsia" w:ascii="宋体" w:hAnsi="宋体" w:cs="仿宋_GB2312"/>
          <w:sz w:val="28"/>
          <w:szCs w:val="28"/>
          <w:u w:val="single"/>
        </w:rPr>
        <w:t xml:space="preserve">          </w:t>
      </w:r>
      <w:r>
        <w:rPr>
          <w:rFonts w:hint="eastAsia" w:ascii="宋体" w:hAnsi="宋体" w:cs="仿宋_GB2312"/>
          <w:sz w:val="28"/>
          <w:szCs w:val="28"/>
        </w:rPr>
        <w:t>天。如果成交，有效期延长至合同终止日止。</w:t>
      </w:r>
    </w:p>
    <w:p w14:paraId="49BE7B3C">
      <w:pPr>
        <w:spacing w:line="520" w:lineRule="exact"/>
        <w:rPr>
          <w:rFonts w:ascii="宋体" w:hAnsi="宋体" w:cs="仿宋_GB2312"/>
          <w:sz w:val="28"/>
          <w:szCs w:val="28"/>
        </w:rPr>
      </w:pPr>
      <w:r>
        <w:rPr>
          <w:rFonts w:hint="eastAsia" w:ascii="宋体" w:hAnsi="宋体" w:cs="仿宋_GB2312"/>
          <w:sz w:val="28"/>
          <w:szCs w:val="28"/>
        </w:rPr>
        <w:t>4、我们愿提供招标文件中要求的所有文件资料。由于我方提供资料不实而造成的责任和后果由我方承担。</w:t>
      </w:r>
    </w:p>
    <w:p w14:paraId="333E0F3A">
      <w:pPr>
        <w:spacing w:line="520" w:lineRule="exact"/>
        <w:rPr>
          <w:rFonts w:ascii="宋体" w:hAnsi="宋体" w:cs="仿宋_GB2312"/>
          <w:sz w:val="28"/>
          <w:szCs w:val="28"/>
          <w:u w:val="single"/>
        </w:rPr>
      </w:pPr>
      <w:r>
        <w:rPr>
          <w:rFonts w:hint="eastAsia" w:ascii="宋体" w:hAnsi="宋体" w:cs="仿宋_GB2312"/>
          <w:sz w:val="28"/>
          <w:szCs w:val="28"/>
        </w:rPr>
        <w:t>5、我们承诺的交货及安装时间是合同签订后</w:t>
      </w:r>
      <w:r>
        <w:rPr>
          <w:rFonts w:hint="eastAsia" w:ascii="宋体" w:hAnsi="宋体" w:cs="仿宋_GB2312"/>
          <w:sz w:val="28"/>
          <w:szCs w:val="28"/>
          <w:u w:val="single"/>
        </w:rPr>
        <w:t xml:space="preserve">                  </w:t>
      </w:r>
      <w:r>
        <w:rPr>
          <w:rFonts w:hint="eastAsia" w:ascii="宋体" w:hAnsi="宋体" w:cs="仿宋_GB2312"/>
          <w:sz w:val="28"/>
          <w:szCs w:val="28"/>
        </w:rPr>
        <w:t>天。</w:t>
      </w:r>
    </w:p>
    <w:p w14:paraId="0EC23FFB">
      <w:pPr>
        <w:spacing w:line="520" w:lineRule="exact"/>
        <w:rPr>
          <w:rFonts w:ascii="宋体" w:hAnsi="宋体" w:cs="仿宋_GB2312"/>
          <w:sz w:val="28"/>
          <w:szCs w:val="28"/>
        </w:rPr>
      </w:pPr>
      <w:r>
        <w:rPr>
          <w:rFonts w:hint="eastAsia" w:ascii="宋体" w:hAnsi="宋体" w:cs="仿宋_GB2312"/>
          <w:sz w:val="28"/>
          <w:szCs w:val="28"/>
        </w:rPr>
        <w:t>6、我们已经详细审阅了全部招标文件，包括修改、补充的文件（如果有的话）和参考资料及有关附件，我们完全理解并同意放弃对这方面有不明及误解的权利。</w:t>
      </w:r>
    </w:p>
    <w:p w14:paraId="01EE9EAE">
      <w:pPr>
        <w:spacing w:line="520" w:lineRule="exact"/>
        <w:rPr>
          <w:rFonts w:ascii="宋体" w:hAnsi="宋体" w:cs="仿宋_GB2312"/>
          <w:sz w:val="28"/>
          <w:szCs w:val="28"/>
        </w:rPr>
      </w:pPr>
      <w:r>
        <w:rPr>
          <w:rFonts w:hint="eastAsia" w:ascii="宋体" w:hAnsi="宋体" w:cs="仿宋_GB2312"/>
          <w:sz w:val="28"/>
          <w:szCs w:val="28"/>
        </w:rPr>
        <w:t>7、 如我方成交，我方愿意按招标文件要求</w:t>
      </w:r>
      <w:r>
        <w:rPr>
          <w:rFonts w:hint="eastAsia" w:ascii="宋体" w:hAnsi="宋体" w:cs="仿宋_GB2312"/>
          <w:color w:val="000000"/>
          <w:sz w:val="28"/>
          <w:szCs w:val="28"/>
        </w:rPr>
        <w:t>一次性向</w:t>
      </w:r>
      <w:r>
        <w:rPr>
          <w:rFonts w:hint="eastAsia" w:ascii="宋体" w:hAnsi="宋体" w:cs="仿宋_GB2312"/>
          <w:sz w:val="28"/>
          <w:szCs w:val="28"/>
        </w:rPr>
        <w:t>代理机构支付本次招标代理服务费。</w:t>
      </w:r>
    </w:p>
    <w:p w14:paraId="7F4B2762">
      <w:pPr>
        <w:spacing w:line="520" w:lineRule="exact"/>
        <w:rPr>
          <w:rFonts w:ascii="宋体" w:hAnsi="宋体" w:cs="仿宋_GB2312"/>
          <w:sz w:val="28"/>
          <w:szCs w:val="28"/>
        </w:rPr>
      </w:pPr>
      <w:r>
        <w:rPr>
          <w:rFonts w:hint="eastAsia" w:ascii="宋体" w:hAnsi="宋体" w:cs="仿宋_GB2312"/>
          <w:sz w:val="28"/>
          <w:szCs w:val="28"/>
        </w:rPr>
        <w:t>8、我们愿按《中华人民共和国民法典》履行自己的全部责任。</w:t>
      </w:r>
    </w:p>
    <w:p w14:paraId="138D9E74">
      <w:pPr>
        <w:tabs>
          <w:tab w:val="left" w:pos="1155"/>
        </w:tabs>
        <w:spacing w:line="520" w:lineRule="exact"/>
        <w:rPr>
          <w:rFonts w:ascii="宋体" w:hAnsi="宋体" w:cs="仿宋_GB2312"/>
          <w:sz w:val="28"/>
          <w:szCs w:val="28"/>
        </w:rPr>
      </w:pPr>
      <w:r>
        <w:rPr>
          <w:rFonts w:hint="eastAsia" w:ascii="宋体" w:hAnsi="宋体" w:cs="仿宋_GB2312"/>
          <w:sz w:val="28"/>
          <w:szCs w:val="28"/>
        </w:rPr>
        <w:t xml:space="preserve">     </w:t>
      </w:r>
    </w:p>
    <w:p w14:paraId="65A39E12">
      <w:pPr>
        <w:tabs>
          <w:tab w:val="left" w:pos="1155"/>
        </w:tabs>
        <w:spacing w:line="520" w:lineRule="exact"/>
        <w:ind w:firstLine="700" w:firstLineChars="250"/>
        <w:jc w:val="center"/>
        <w:rPr>
          <w:rFonts w:ascii="宋体" w:hAnsi="宋体" w:cs="仿宋_GB2312"/>
          <w:sz w:val="28"/>
          <w:szCs w:val="28"/>
        </w:rPr>
      </w:pPr>
      <w:r>
        <w:rPr>
          <w:rFonts w:hint="eastAsia" w:ascii="宋体" w:hAnsi="宋体" w:cs="仿宋_GB2312"/>
          <w:sz w:val="28"/>
          <w:szCs w:val="28"/>
        </w:rPr>
        <w:t xml:space="preserve">              供应商名称：（盖单位电子章）</w:t>
      </w:r>
    </w:p>
    <w:p w14:paraId="60B218C5">
      <w:pPr>
        <w:tabs>
          <w:tab w:val="left" w:pos="1155"/>
        </w:tabs>
        <w:spacing w:line="520" w:lineRule="exact"/>
        <w:ind w:firstLine="700" w:firstLineChars="250"/>
        <w:jc w:val="right"/>
        <w:rPr>
          <w:rFonts w:ascii="宋体" w:hAnsi="宋体" w:cs="仿宋_GB2312"/>
          <w:sz w:val="28"/>
          <w:szCs w:val="28"/>
        </w:rPr>
      </w:pPr>
      <w:r>
        <w:rPr>
          <w:rFonts w:hint="eastAsia" w:ascii="宋体" w:hAnsi="宋体" w:cs="仿宋_GB2312"/>
          <w:sz w:val="28"/>
          <w:szCs w:val="28"/>
        </w:rPr>
        <w:t>法定代表人或授权代理人：（</w:t>
      </w:r>
      <w:r>
        <w:rPr>
          <w:rFonts w:hint="eastAsia" w:ascii="宋体" w:hAnsi="宋体" w:cs="宋体"/>
          <w:sz w:val="28"/>
          <w:szCs w:val="28"/>
        </w:rPr>
        <w:t>盖电子印章或签名</w:t>
      </w:r>
      <w:r>
        <w:rPr>
          <w:rFonts w:hint="eastAsia" w:ascii="宋体" w:hAnsi="宋体" w:cs="仿宋_GB2312"/>
          <w:sz w:val="28"/>
          <w:szCs w:val="28"/>
        </w:rPr>
        <w:t>）</w:t>
      </w:r>
    </w:p>
    <w:p w14:paraId="69CB0A1C">
      <w:pPr>
        <w:spacing w:line="520" w:lineRule="exact"/>
        <w:ind w:firstLine="700" w:firstLineChars="250"/>
        <w:rPr>
          <w:rFonts w:ascii="宋体" w:hAnsi="宋体" w:cs="仿宋_GB2312"/>
          <w:sz w:val="28"/>
          <w:szCs w:val="28"/>
        </w:rPr>
      </w:pPr>
    </w:p>
    <w:p w14:paraId="3B1D2218">
      <w:pPr>
        <w:spacing w:line="520" w:lineRule="exact"/>
        <w:jc w:val="right"/>
        <w:rPr>
          <w:rFonts w:ascii="宋体" w:hAnsi="宋体" w:cs="仿宋_GB2312"/>
          <w:sz w:val="28"/>
          <w:szCs w:val="28"/>
        </w:rPr>
      </w:pPr>
      <w:r>
        <w:rPr>
          <w:rFonts w:hint="eastAsia" w:ascii="宋体" w:hAnsi="宋体" w:cs="仿宋_GB2312"/>
          <w:sz w:val="28"/>
          <w:szCs w:val="28"/>
        </w:rPr>
        <w:t xml:space="preserve"> 年    月    日</w:t>
      </w:r>
    </w:p>
    <w:p w14:paraId="60248C73">
      <w:pPr>
        <w:numPr>
          <w:ilvl w:val="0"/>
          <w:numId w:val="5"/>
        </w:numPr>
        <w:jc w:val="center"/>
        <w:rPr>
          <w:rFonts w:hint="eastAsia"/>
          <w:sz w:val="32"/>
          <w:szCs w:val="32"/>
        </w:rPr>
      </w:pPr>
      <w:r>
        <w:rPr>
          <w:rFonts w:hint="eastAsia" w:cs="宋体"/>
        </w:rPr>
        <w:br w:type="page"/>
      </w:r>
      <w:r>
        <w:rPr>
          <w:sz w:val="32"/>
          <w:szCs w:val="32"/>
        </w:rPr>
        <w:t>投标函附</w:t>
      </w:r>
      <w:bookmarkEnd w:id="561"/>
      <w:bookmarkEnd w:id="562"/>
      <w:r>
        <w:rPr>
          <w:rFonts w:hint="eastAsia"/>
          <w:sz w:val="32"/>
          <w:szCs w:val="32"/>
        </w:rPr>
        <w:t>录</w:t>
      </w:r>
      <w:bookmarkEnd w:id="563"/>
      <w:bookmarkEnd w:id="564"/>
    </w:p>
    <w:p w14:paraId="1C931E90">
      <w:pPr>
        <w:pStyle w:val="22"/>
        <w:numPr>
          <w:ilvl w:val="0"/>
          <w:numId w:val="0"/>
        </w:numPr>
        <w:jc w:val="right"/>
      </w:pPr>
      <w:r>
        <w:rPr>
          <w:rFonts w:hint="eastAsia" w:ascii="宋体" w:hAnsi="宋体" w:cs="仿宋_GB2312"/>
        </w:rPr>
        <w:t xml:space="preserve">（价格单位：元人民币）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237"/>
      </w:tblGrid>
      <w:tr w14:paraId="08962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809" w:type="dxa"/>
            <w:vAlign w:val="center"/>
          </w:tcPr>
          <w:p w14:paraId="318D862E">
            <w:pPr>
              <w:autoSpaceDE w:val="0"/>
              <w:autoSpaceDN w:val="0"/>
              <w:adjustRightInd w:val="0"/>
              <w:spacing w:line="360" w:lineRule="auto"/>
              <w:jc w:val="center"/>
              <w:rPr>
                <w:rFonts w:ascii="宋体" w:hAnsi="宋体" w:cs="仿宋_GB2312"/>
              </w:rPr>
            </w:pPr>
            <w:r>
              <w:rPr>
                <w:rFonts w:hint="eastAsia" w:ascii="宋体" w:hAnsi="宋体" w:cs="仿宋_GB2312"/>
              </w:rPr>
              <w:t>项目名称</w:t>
            </w:r>
          </w:p>
        </w:tc>
        <w:tc>
          <w:tcPr>
            <w:tcW w:w="7237" w:type="dxa"/>
            <w:vAlign w:val="center"/>
          </w:tcPr>
          <w:p w14:paraId="48AA56B9">
            <w:pPr>
              <w:autoSpaceDE w:val="0"/>
              <w:autoSpaceDN w:val="0"/>
              <w:adjustRightInd w:val="0"/>
              <w:spacing w:line="360" w:lineRule="auto"/>
              <w:jc w:val="center"/>
              <w:rPr>
                <w:rFonts w:ascii="宋体" w:hAnsi="宋体" w:cs="仿宋_GB2312"/>
              </w:rPr>
            </w:pPr>
          </w:p>
        </w:tc>
      </w:tr>
      <w:tr w14:paraId="32689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809" w:type="dxa"/>
            <w:vAlign w:val="center"/>
          </w:tcPr>
          <w:p w14:paraId="18D0CB03">
            <w:pPr>
              <w:autoSpaceDE w:val="0"/>
              <w:autoSpaceDN w:val="0"/>
              <w:adjustRightInd w:val="0"/>
              <w:spacing w:line="360" w:lineRule="auto"/>
              <w:jc w:val="center"/>
              <w:rPr>
                <w:rFonts w:ascii="宋体" w:hAnsi="宋体" w:cs="仿宋_GB2312"/>
              </w:rPr>
            </w:pPr>
            <w:r>
              <w:rPr>
                <w:rFonts w:hint="eastAsia" w:ascii="宋体" w:hAnsi="宋体" w:cs="仿宋_GB2312"/>
              </w:rPr>
              <w:t>标段</w:t>
            </w:r>
          </w:p>
        </w:tc>
        <w:tc>
          <w:tcPr>
            <w:tcW w:w="7237" w:type="dxa"/>
            <w:vAlign w:val="center"/>
          </w:tcPr>
          <w:p w14:paraId="2C7D8B88">
            <w:pPr>
              <w:autoSpaceDE w:val="0"/>
              <w:autoSpaceDN w:val="0"/>
              <w:adjustRightInd w:val="0"/>
              <w:spacing w:line="360" w:lineRule="auto"/>
              <w:jc w:val="center"/>
              <w:rPr>
                <w:rFonts w:ascii="宋体" w:hAnsi="宋体" w:cs="仿宋_GB2312"/>
              </w:rPr>
            </w:pPr>
          </w:p>
        </w:tc>
      </w:tr>
      <w:tr w14:paraId="4C3EA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809" w:type="dxa"/>
            <w:vAlign w:val="center"/>
          </w:tcPr>
          <w:p w14:paraId="663107FE">
            <w:pPr>
              <w:autoSpaceDE w:val="0"/>
              <w:autoSpaceDN w:val="0"/>
              <w:adjustRightInd w:val="0"/>
              <w:spacing w:line="360" w:lineRule="auto"/>
              <w:jc w:val="center"/>
              <w:rPr>
                <w:rFonts w:ascii="宋体" w:hAnsi="宋体" w:cs="仿宋_GB2312"/>
              </w:rPr>
            </w:pPr>
            <w:r>
              <w:rPr>
                <w:rFonts w:hint="eastAsia" w:ascii="宋体" w:hAnsi="宋体" w:cs="仿宋_GB2312"/>
              </w:rPr>
              <w:t>投标人</w:t>
            </w:r>
          </w:p>
        </w:tc>
        <w:tc>
          <w:tcPr>
            <w:tcW w:w="7237" w:type="dxa"/>
            <w:vAlign w:val="center"/>
          </w:tcPr>
          <w:p w14:paraId="149B00A2">
            <w:pPr>
              <w:autoSpaceDE w:val="0"/>
              <w:autoSpaceDN w:val="0"/>
              <w:adjustRightInd w:val="0"/>
              <w:spacing w:line="360" w:lineRule="auto"/>
              <w:jc w:val="center"/>
              <w:rPr>
                <w:rFonts w:ascii="宋体" w:hAnsi="宋体" w:cs="仿宋_GB2312"/>
              </w:rPr>
            </w:pPr>
          </w:p>
        </w:tc>
      </w:tr>
      <w:tr w14:paraId="41ED5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809" w:type="dxa"/>
            <w:vAlign w:val="center"/>
          </w:tcPr>
          <w:p w14:paraId="29DA28BF">
            <w:pPr>
              <w:autoSpaceDE w:val="0"/>
              <w:autoSpaceDN w:val="0"/>
              <w:adjustRightInd w:val="0"/>
              <w:spacing w:line="360" w:lineRule="auto"/>
              <w:jc w:val="center"/>
              <w:rPr>
                <w:rFonts w:ascii="宋体" w:hAnsi="宋体" w:cs="仿宋_GB2312"/>
              </w:rPr>
            </w:pPr>
            <w:r>
              <w:rPr>
                <w:rFonts w:hint="eastAsia" w:ascii="宋体" w:hAnsi="宋体" w:cs="仿宋_GB2312"/>
              </w:rPr>
              <w:t>投标内容</w:t>
            </w:r>
          </w:p>
        </w:tc>
        <w:tc>
          <w:tcPr>
            <w:tcW w:w="7237" w:type="dxa"/>
            <w:vAlign w:val="center"/>
          </w:tcPr>
          <w:p w14:paraId="0A4E0A44">
            <w:pPr>
              <w:autoSpaceDE w:val="0"/>
              <w:autoSpaceDN w:val="0"/>
              <w:adjustRightInd w:val="0"/>
              <w:spacing w:line="360" w:lineRule="auto"/>
              <w:jc w:val="center"/>
              <w:rPr>
                <w:rFonts w:ascii="宋体" w:hAnsi="宋体" w:cs="仿宋_GB2312"/>
              </w:rPr>
            </w:pPr>
          </w:p>
        </w:tc>
      </w:tr>
      <w:tr w14:paraId="04D4F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809" w:type="dxa"/>
            <w:vAlign w:val="center"/>
          </w:tcPr>
          <w:p w14:paraId="33D5C1A2">
            <w:pPr>
              <w:autoSpaceDE w:val="0"/>
              <w:autoSpaceDN w:val="0"/>
              <w:adjustRightInd w:val="0"/>
              <w:spacing w:line="360" w:lineRule="auto"/>
              <w:jc w:val="center"/>
              <w:rPr>
                <w:rFonts w:ascii="宋体" w:hAnsi="宋体" w:cs="仿宋_GB2312"/>
              </w:rPr>
            </w:pPr>
            <w:r>
              <w:rPr>
                <w:rFonts w:hint="eastAsia" w:ascii="宋体" w:hAnsi="宋体" w:cs="仿宋_GB2312"/>
              </w:rPr>
              <w:t>投标报价</w:t>
            </w:r>
          </w:p>
        </w:tc>
        <w:tc>
          <w:tcPr>
            <w:tcW w:w="7237" w:type="dxa"/>
            <w:vAlign w:val="center"/>
          </w:tcPr>
          <w:p w14:paraId="6AF7BE3D">
            <w:pPr>
              <w:autoSpaceDE w:val="0"/>
              <w:autoSpaceDN w:val="0"/>
              <w:adjustRightInd w:val="0"/>
              <w:spacing w:line="360" w:lineRule="auto"/>
              <w:rPr>
                <w:rFonts w:ascii="宋体" w:hAnsi="宋体" w:cs="仿宋_GB2312"/>
                <w:u w:val="single"/>
              </w:rPr>
            </w:pPr>
            <w:r>
              <w:rPr>
                <w:rFonts w:hint="eastAsia" w:ascii="宋体" w:hAnsi="宋体" w:cs="仿宋_GB2312"/>
              </w:rPr>
              <w:t>大写：</w:t>
            </w:r>
            <w:r>
              <w:rPr>
                <w:rFonts w:hint="eastAsia" w:ascii="宋体" w:hAnsi="宋体" w:cs="仿宋_GB2312"/>
                <w:u w:val="single"/>
              </w:rPr>
              <w:t xml:space="preserve">                    </w:t>
            </w:r>
          </w:p>
          <w:p w14:paraId="1114C820">
            <w:pPr>
              <w:pStyle w:val="22"/>
              <w:ind w:firstLine="0" w:firstLineChars="0"/>
              <w:rPr>
                <w:rFonts w:hint="eastAsia" w:eastAsia="宋体"/>
                <w:u w:val="single"/>
                <w:lang w:val="en-US" w:eastAsia="zh-CN"/>
              </w:rPr>
            </w:pPr>
            <w:r>
              <w:rPr>
                <w:rFonts w:hint="eastAsia"/>
              </w:rPr>
              <w:t>小写：</w:t>
            </w:r>
            <w:r>
              <w:rPr>
                <w:rFonts w:hint="eastAsia"/>
                <w:u w:val="single"/>
              </w:rPr>
              <w:t xml:space="preserve">                   </w:t>
            </w:r>
            <w:r>
              <w:rPr>
                <w:rFonts w:hint="eastAsia"/>
                <w:u w:val="single"/>
                <w:lang w:val="en-US" w:eastAsia="zh-CN"/>
              </w:rPr>
              <w:t xml:space="preserve"> </w:t>
            </w:r>
          </w:p>
        </w:tc>
      </w:tr>
      <w:tr w14:paraId="4EA1F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809" w:type="dxa"/>
            <w:vAlign w:val="center"/>
          </w:tcPr>
          <w:p w14:paraId="36508F06">
            <w:pPr>
              <w:autoSpaceDE w:val="0"/>
              <w:autoSpaceDN w:val="0"/>
              <w:adjustRightInd w:val="0"/>
              <w:spacing w:line="360" w:lineRule="auto"/>
              <w:jc w:val="center"/>
              <w:rPr>
                <w:rFonts w:ascii="宋体" w:hAnsi="宋体" w:cs="仿宋_GB2312"/>
              </w:rPr>
            </w:pPr>
            <w:r>
              <w:rPr>
                <w:rFonts w:hint="eastAsia" w:ascii="宋体" w:hAnsi="宋体" w:cs="仿宋_GB2312"/>
              </w:rPr>
              <w:t>交货及安装时间</w:t>
            </w:r>
          </w:p>
        </w:tc>
        <w:tc>
          <w:tcPr>
            <w:tcW w:w="7237" w:type="dxa"/>
            <w:vAlign w:val="center"/>
          </w:tcPr>
          <w:p w14:paraId="335573D9">
            <w:pPr>
              <w:autoSpaceDE w:val="0"/>
              <w:autoSpaceDN w:val="0"/>
              <w:adjustRightInd w:val="0"/>
              <w:spacing w:line="360" w:lineRule="auto"/>
              <w:jc w:val="center"/>
              <w:rPr>
                <w:rFonts w:ascii="宋体" w:hAnsi="宋体" w:cs="仿宋_GB2312"/>
              </w:rPr>
            </w:pPr>
          </w:p>
        </w:tc>
      </w:tr>
      <w:tr w14:paraId="5A2E6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809" w:type="dxa"/>
            <w:vAlign w:val="center"/>
          </w:tcPr>
          <w:p w14:paraId="503B91B2">
            <w:pPr>
              <w:autoSpaceDE w:val="0"/>
              <w:autoSpaceDN w:val="0"/>
              <w:adjustRightInd w:val="0"/>
              <w:spacing w:line="360" w:lineRule="auto"/>
              <w:jc w:val="center"/>
              <w:rPr>
                <w:rFonts w:ascii="宋体" w:hAnsi="宋体" w:cs="仿宋_GB2312"/>
              </w:rPr>
            </w:pPr>
            <w:r>
              <w:rPr>
                <w:rFonts w:hint="eastAsia" w:ascii="宋体" w:hAnsi="宋体" w:cs="仿宋_GB2312"/>
              </w:rPr>
              <w:t>投标有效期</w:t>
            </w:r>
          </w:p>
        </w:tc>
        <w:tc>
          <w:tcPr>
            <w:tcW w:w="7237" w:type="dxa"/>
            <w:vAlign w:val="center"/>
          </w:tcPr>
          <w:p w14:paraId="7D628A16">
            <w:pPr>
              <w:autoSpaceDE w:val="0"/>
              <w:autoSpaceDN w:val="0"/>
              <w:adjustRightInd w:val="0"/>
              <w:spacing w:line="360" w:lineRule="auto"/>
              <w:jc w:val="center"/>
              <w:rPr>
                <w:rFonts w:ascii="宋体" w:hAnsi="宋体" w:cs="仿宋_GB2312"/>
              </w:rPr>
            </w:pPr>
          </w:p>
        </w:tc>
      </w:tr>
      <w:tr w14:paraId="1D058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809" w:type="dxa"/>
            <w:vAlign w:val="center"/>
          </w:tcPr>
          <w:p w14:paraId="0410282F">
            <w:pPr>
              <w:autoSpaceDE w:val="0"/>
              <w:autoSpaceDN w:val="0"/>
              <w:adjustRightInd w:val="0"/>
              <w:spacing w:line="360" w:lineRule="auto"/>
              <w:jc w:val="center"/>
              <w:rPr>
                <w:rFonts w:ascii="宋体" w:hAnsi="宋体" w:cs="仿宋_GB2312"/>
              </w:rPr>
            </w:pPr>
            <w:r>
              <w:rPr>
                <w:rFonts w:hint="eastAsia" w:ascii="宋体" w:hAnsi="宋体" w:cs="仿宋_GB2312"/>
              </w:rPr>
              <w:t>质量要求</w:t>
            </w:r>
          </w:p>
        </w:tc>
        <w:tc>
          <w:tcPr>
            <w:tcW w:w="7237" w:type="dxa"/>
            <w:vAlign w:val="center"/>
          </w:tcPr>
          <w:p w14:paraId="051D2FAB">
            <w:pPr>
              <w:autoSpaceDE w:val="0"/>
              <w:autoSpaceDN w:val="0"/>
              <w:adjustRightInd w:val="0"/>
              <w:spacing w:line="360" w:lineRule="auto"/>
              <w:jc w:val="center"/>
              <w:rPr>
                <w:rFonts w:ascii="宋体" w:hAnsi="宋体" w:cs="仿宋_GB2312"/>
              </w:rPr>
            </w:pPr>
          </w:p>
        </w:tc>
      </w:tr>
      <w:tr w14:paraId="3C555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9046" w:type="dxa"/>
            <w:gridSpan w:val="2"/>
            <w:vAlign w:val="center"/>
          </w:tcPr>
          <w:p w14:paraId="61B28C4C">
            <w:pPr>
              <w:autoSpaceDE w:val="0"/>
              <w:autoSpaceDN w:val="0"/>
              <w:adjustRightInd w:val="0"/>
              <w:spacing w:line="360" w:lineRule="auto"/>
              <w:jc w:val="left"/>
              <w:rPr>
                <w:rFonts w:ascii="宋体" w:hAnsi="宋体" w:cs="仿宋_GB2312"/>
              </w:rPr>
            </w:pPr>
            <w:r>
              <w:rPr>
                <w:rFonts w:hint="eastAsia" w:ascii="宋体" w:hAnsi="宋体" w:cs="仿宋_GB2312"/>
              </w:rPr>
              <w:t>补充内容（如有）</w:t>
            </w:r>
          </w:p>
        </w:tc>
      </w:tr>
    </w:tbl>
    <w:p w14:paraId="28CF3890">
      <w:pPr>
        <w:spacing w:line="360" w:lineRule="auto"/>
        <w:jc w:val="center"/>
        <w:rPr>
          <w:rFonts w:ascii="宋体" w:hAnsi="宋体"/>
          <w:sz w:val="28"/>
          <w:szCs w:val="28"/>
        </w:rPr>
      </w:pPr>
    </w:p>
    <w:p w14:paraId="478E5076">
      <w:pPr>
        <w:spacing w:line="360" w:lineRule="auto"/>
        <w:rPr>
          <w:rFonts w:ascii="宋体" w:hAnsi="宋体"/>
          <w:sz w:val="28"/>
          <w:szCs w:val="28"/>
        </w:rPr>
      </w:pPr>
    </w:p>
    <w:p w14:paraId="1CFF206D">
      <w:pPr>
        <w:tabs>
          <w:tab w:val="left" w:pos="1155"/>
        </w:tabs>
        <w:spacing w:line="520" w:lineRule="exact"/>
        <w:ind w:firstLine="700" w:firstLineChars="250"/>
        <w:jc w:val="center"/>
        <w:rPr>
          <w:rFonts w:ascii="宋体" w:hAnsi="宋体" w:cs="仿宋_GB2312"/>
          <w:sz w:val="28"/>
          <w:szCs w:val="28"/>
        </w:rPr>
      </w:pPr>
      <w:bookmarkStart w:id="565" w:name="_Toc19951"/>
      <w:bookmarkStart w:id="566" w:name="_Toc243607939"/>
      <w:bookmarkStart w:id="567" w:name="_Toc234035305"/>
      <w:r>
        <w:rPr>
          <w:rFonts w:hint="eastAsia" w:ascii="宋体" w:hAnsi="宋体" w:cs="仿宋_GB2312"/>
          <w:sz w:val="28"/>
          <w:szCs w:val="28"/>
        </w:rPr>
        <w:t>供应商名称：（盖单位电子章）</w:t>
      </w:r>
    </w:p>
    <w:p w14:paraId="67EE753F">
      <w:pPr>
        <w:tabs>
          <w:tab w:val="left" w:pos="1155"/>
        </w:tabs>
        <w:spacing w:line="520" w:lineRule="exact"/>
        <w:ind w:firstLine="700" w:firstLineChars="250"/>
        <w:jc w:val="right"/>
        <w:rPr>
          <w:rFonts w:ascii="宋体" w:hAnsi="宋体" w:cs="仿宋_GB2312"/>
          <w:sz w:val="28"/>
          <w:szCs w:val="28"/>
        </w:rPr>
      </w:pPr>
      <w:r>
        <w:rPr>
          <w:rFonts w:hint="eastAsia" w:ascii="宋体" w:hAnsi="宋体" w:cs="仿宋_GB2312"/>
          <w:sz w:val="28"/>
          <w:szCs w:val="28"/>
        </w:rPr>
        <w:t>法定代表人或授权代理人：（</w:t>
      </w:r>
      <w:r>
        <w:rPr>
          <w:rFonts w:hint="eastAsia" w:ascii="宋体" w:hAnsi="宋体" w:cs="宋体"/>
          <w:sz w:val="28"/>
          <w:szCs w:val="28"/>
        </w:rPr>
        <w:t>盖电子印章或签名</w:t>
      </w:r>
      <w:r>
        <w:rPr>
          <w:rFonts w:hint="eastAsia" w:ascii="宋体" w:hAnsi="宋体" w:cs="仿宋_GB2312"/>
          <w:sz w:val="28"/>
          <w:szCs w:val="28"/>
        </w:rPr>
        <w:t>）</w:t>
      </w:r>
    </w:p>
    <w:p w14:paraId="2E0572A8">
      <w:pPr>
        <w:spacing w:line="360" w:lineRule="auto"/>
        <w:ind w:firstLine="560" w:firstLineChars="200"/>
        <w:jc w:val="right"/>
        <w:rPr>
          <w:rFonts w:ascii="宋体" w:hAnsi="宋体" w:cs="仿宋_GB2312"/>
          <w:sz w:val="28"/>
          <w:szCs w:val="28"/>
          <w:u w:val="single"/>
        </w:rPr>
      </w:pPr>
    </w:p>
    <w:p w14:paraId="1321A2A4">
      <w:pPr>
        <w:jc w:val="center"/>
        <w:rPr>
          <w:rFonts w:ascii="宋体" w:hAnsi="宋体" w:cs="仿宋_GB2312"/>
          <w:sz w:val="28"/>
          <w:szCs w:val="28"/>
        </w:rPr>
      </w:pPr>
      <w:r>
        <w:rPr>
          <w:rFonts w:hint="eastAsia" w:ascii="宋体" w:hAnsi="宋体" w:cs="仿宋_GB2312"/>
          <w:sz w:val="28"/>
          <w:szCs w:val="28"/>
        </w:rPr>
        <w:t xml:space="preserve">                                   年    月    日 </w:t>
      </w:r>
    </w:p>
    <w:p w14:paraId="3F812AC1">
      <w:pPr>
        <w:pStyle w:val="22"/>
        <w:ind w:firstLine="210"/>
        <w:sectPr>
          <w:headerReference r:id="rId6" w:type="default"/>
          <w:pgSz w:w="11906" w:h="16838"/>
          <w:pgMar w:top="1418" w:right="1418" w:bottom="1418" w:left="1418" w:header="850" w:footer="992" w:gutter="0"/>
          <w:cols w:space="720" w:num="1"/>
          <w:docGrid w:type="lines" w:linePitch="312" w:charSpace="0"/>
        </w:sectPr>
      </w:pPr>
    </w:p>
    <w:p w14:paraId="270CCD5A">
      <w:pPr>
        <w:jc w:val="center"/>
        <w:rPr>
          <w:color w:val="FF0000"/>
          <w:sz w:val="32"/>
          <w:szCs w:val="32"/>
        </w:rPr>
      </w:pPr>
      <w:bookmarkStart w:id="568" w:name="_Toc23070"/>
      <w:r>
        <w:rPr>
          <w:rFonts w:hint="eastAsia"/>
          <w:sz w:val="32"/>
          <w:szCs w:val="32"/>
        </w:rPr>
        <w:t>（三）</w:t>
      </w:r>
      <w:r>
        <w:rPr>
          <w:rFonts w:hint="eastAsia"/>
          <w:color w:val="000000" w:themeColor="text1"/>
          <w:sz w:val="32"/>
          <w:szCs w:val="32"/>
        </w:rPr>
        <w:t>报价明细表</w:t>
      </w:r>
    </w:p>
    <w:p w14:paraId="48B5BFB0">
      <w:pPr>
        <w:ind w:left="5985" w:leftChars="350" w:hanging="5250" w:hangingChars="2500"/>
        <w:rPr>
          <w:rFonts w:ascii="宋体" w:hAnsi="宋体" w:cs="仿宋_GB2312"/>
        </w:rPr>
      </w:pPr>
      <w:r>
        <w:rPr>
          <w:rFonts w:hint="eastAsia" w:ascii="宋体" w:hAnsi="宋体" w:cs="仿宋_GB2312"/>
        </w:rPr>
        <w:t xml:space="preserve">                                                                                                （价格单位：元人民币）                          </w:t>
      </w:r>
    </w:p>
    <w:tbl>
      <w:tblPr>
        <w:tblStyle w:val="24"/>
        <w:tblW w:w="12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2693"/>
        <w:gridCol w:w="1843"/>
        <w:gridCol w:w="1559"/>
        <w:gridCol w:w="1606"/>
        <w:gridCol w:w="1134"/>
        <w:gridCol w:w="1134"/>
        <w:gridCol w:w="1134"/>
      </w:tblGrid>
      <w:tr w14:paraId="636A7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8" w:type="dxa"/>
            <w:tcBorders>
              <w:top w:val="single" w:color="auto" w:sz="4" w:space="0"/>
              <w:left w:val="single" w:color="auto" w:sz="4" w:space="0"/>
              <w:bottom w:val="single" w:color="auto" w:sz="4" w:space="0"/>
              <w:right w:val="single" w:color="auto" w:sz="4" w:space="0"/>
            </w:tcBorders>
          </w:tcPr>
          <w:p w14:paraId="34EBD143">
            <w:pPr>
              <w:spacing w:line="360" w:lineRule="auto"/>
              <w:jc w:val="center"/>
              <w:rPr>
                <w:rFonts w:ascii="宋体" w:hAnsi="宋体" w:cs="仿宋_GB2312"/>
                <w:bCs/>
              </w:rPr>
            </w:pPr>
            <w:r>
              <w:rPr>
                <w:rFonts w:hint="eastAsia" w:ascii="宋体" w:hAnsi="宋体" w:cs="仿宋_GB2312"/>
                <w:bCs/>
              </w:rPr>
              <w:t>序号</w:t>
            </w:r>
          </w:p>
        </w:tc>
        <w:tc>
          <w:tcPr>
            <w:tcW w:w="2693" w:type="dxa"/>
            <w:tcBorders>
              <w:top w:val="single" w:color="auto" w:sz="4" w:space="0"/>
              <w:left w:val="single" w:color="auto" w:sz="4" w:space="0"/>
              <w:bottom w:val="single" w:color="auto" w:sz="4" w:space="0"/>
              <w:right w:val="single" w:color="auto" w:sz="4" w:space="0"/>
            </w:tcBorders>
          </w:tcPr>
          <w:p w14:paraId="21EAC3BC">
            <w:pPr>
              <w:spacing w:line="360" w:lineRule="auto"/>
              <w:jc w:val="center"/>
              <w:rPr>
                <w:rFonts w:hint="default" w:ascii="宋体" w:hAnsi="宋体" w:eastAsia="宋体" w:cs="仿宋_GB2312"/>
                <w:bCs/>
                <w:lang w:val="en-US" w:eastAsia="zh-CN"/>
              </w:rPr>
            </w:pPr>
            <w:r>
              <w:rPr>
                <w:rFonts w:hint="eastAsia" w:ascii="宋体" w:hAnsi="宋体" w:cs="仿宋_GB2312"/>
                <w:bCs/>
                <w:lang w:val="en-US" w:eastAsia="zh-CN"/>
              </w:rPr>
              <w:t>货物名称</w:t>
            </w:r>
          </w:p>
        </w:tc>
        <w:tc>
          <w:tcPr>
            <w:tcW w:w="1843" w:type="dxa"/>
            <w:tcBorders>
              <w:top w:val="single" w:color="auto" w:sz="4" w:space="0"/>
              <w:left w:val="single" w:color="auto" w:sz="4" w:space="0"/>
              <w:bottom w:val="single" w:color="auto" w:sz="4" w:space="0"/>
              <w:right w:val="single" w:color="auto" w:sz="4" w:space="0"/>
            </w:tcBorders>
          </w:tcPr>
          <w:p w14:paraId="4FA9D463">
            <w:pPr>
              <w:spacing w:line="360" w:lineRule="auto"/>
              <w:jc w:val="center"/>
              <w:rPr>
                <w:rFonts w:ascii="宋体" w:hAnsi="宋体" w:cs="仿宋_GB2312"/>
                <w:bCs/>
              </w:rPr>
            </w:pPr>
            <w:r>
              <w:rPr>
                <w:rFonts w:hint="eastAsia" w:ascii="宋体" w:hAnsi="宋体" w:cs="仿宋_GB2312"/>
                <w:bCs/>
              </w:rPr>
              <w:t>品牌（如有）</w:t>
            </w:r>
          </w:p>
        </w:tc>
        <w:tc>
          <w:tcPr>
            <w:tcW w:w="1559" w:type="dxa"/>
            <w:tcBorders>
              <w:top w:val="single" w:color="auto" w:sz="4" w:space="0"/>
              <w:left w:val="single" w:color="auto" w:sz="4" w:space="0"/>
              <w:bottom w:val="single" w:color="auto" w:sz="4" w:space="0"/>
              <w:right w:val="single" w:color="auto" w:sz="4" w:space="0"/>
            </w:tcBorders>
          </w:tcPr>
          <w:p w14:paraId="73930274">
            <w:pPr>
              <w:spacing w:line="360" w:lineRule="auto"/>
              <w:jc w:val="center"/>
              <w:rPr>
                <w:rFonts w:hint="eastAsia" w:ascii="宋体" w:hAnsi="宋体" w:eastAsia="宋体" w:cs="仿宋_GB2312"/>
                <w:bCs/>
                <w:lang w:eastAsia="zh-CN"/>
              </w:rPr>
            </w:pPr>
            <w:r>
              <w:rPr>
                <w:rFonts w:hint="eastAsia" w:ascii="宋体" w:hAnsi="宋体" w:cs="仿宋_GB2312"/>
                <w:bCs/>
                <w:lang w:val="en-US" w:eastAsia="zh-CN"/>
              </w:rPr>
              <w:t>参数</w:t>
            </w:r>
          </w:p>
        </w:tc>
        <w:tc>
          <w:tcPr>
            <w:tcW w:w="1606" w:type="dxa"/>
            <w:tcBorders>
              <w:top w:val="single" w:color="auto" w:sz="4" w:space="0"/>
              <w:left w:val="single" w:color="auto" w:sz="4" w:space="0"/>
              <w:bottom w:val="single" w:color="auto" w:sz="4" w:space="0"/>
              <w:right w:val="single" w:color="auto" w:sz="4" w:space="0"/>
            </w:tcBorders>
          </w:tcPr>
          <w:p w14:paraId="6BF88F74">
            <w:pPr>
              <w:spacing w:line="360" w:lineRule="auto"/>
              <w:jc w:val="center"/>
              <w:rPr>
                <w:rFonts w:ascii="宋体" w:hAnsi="宋体" w:cs="仿宋_GB2312"/>
                <w:bCs/>
              </w:rPr>
            </w:pPr>
            <w:r>
              <w:rPr>
                <w:rFonts w:hint="eastAsia" w:ascii="宋体" w:hAnsi="宋体" w:cs="仿宋_GB2312"/>
                <w:bCs/>
              </w:rPr>
              <w:t>生产厂家\产地（如有）</w:t>
            </w:r>
          </w:p>
        </w:tc>
        <w:tc>
          <w:tcPr>
            <w:tcW w:w="1134" w:type="dxa"/>
            <w:tcBorders>
              <w:top w:val="single" w:color="auto" w:sz="4" w:space="0"/>
              <w:left w:val="single" w:color="auto" w:sz="4" w:space="0"/>
              <w:bottom w:val="single" w:color="auto" w:sz="4" w:space="0"/>
              <w:right w:val="single" w:color="auto" w:sz="4" w:space="0"/>
            </w:tcBorders>
          </w:tcPr>
          <w:p w14:paraId="6C8C86F4">
            <w:pPr>
              <w:spacing w:line="360" w:lineRule="auto"/>
              <w:jc w:val="center"/>
              <w:rPr>
                <w:rFonts w:ascii="宋体" w:hAnsi="宋体" w:cs="仿宋_GB2312"/>
                <w:bCs/>
              </w:rPr>
            </w:pPr>
            <w:r>
              <w:rPr>
                <w:rFonts w:hint="eastAsia" w:ascii="宋体" w:hAnsi="宋体" w:cs="仿宋_GB2312"/>
                <w:bCs/>
              </w:rPr>
              <w:t>数量</w:t>
            </w:r>
          </w:p>
        </w:tc>
        <w:tc>
          <w:tcPr>
            <w:tcW w:w="1134" w:type="dxa"/>
            <w:tcBorders>
              <w:top w:val="single" w:color="auto" w:sz="4" w:space="0"/>
              <w:left w:val="single" w:color="auto" w:sz="4" w:space="0"/>
              <w:bottom w:val="single" w:color="auto" w:sz="4" w:space="0"/>
              <w:right w:val="single" w:color="auto" w:sz="4" w:space="0"/>
            </w:tcBorders>
          </w:tcPr>
          <w:p w14:paraId="587D097C">
            <w:pPr>
              <w:spacing w:line="360" w:lineRule="auto"/>
              <w:jc w:val="center"/>
              <w:rPr>
                <w:rFonts w:ascii="宋体" w:hAnsi="宋体" w:cs="仿宋_GB2312"/>
                <w:bCs/>
              </w:rPr>
            </w:pPr>
            <w:r>
              <w:rPr>
                <w:rFonts w:hint="eastAsia" w:ascii="宋体" w:hAnsi="宋体" w:cs="仿宋_GB2312"/>
                <w:bCs/>
              </w:rPr>
              <w:t>单价</w:t>
            </w:r>
          </w:p>
        </w:tc>
        <w:tc>
          <w:tcPr>
            <w:tcW w:w="1134" w:type="dxa"/>
            <w:tcBorders>
              <w:top w:val="single" w:color="auto" w:sz="4" w:space="0"/>
              <w:left w:val="single" w:color="auto" w:sz="4" w:space="0"/>
              <w:bottom w:val="single" w:color="auto" w:sz="4" w:space="0"/>
              <w:right w:val="single" w:color="auto" w:sz="4" w:space="0"/>
            </w:tcBorders>
          </w:tcPr>
          <w:p w14:paraId="4A7DC4F6">
            <w:pPr>
              <w:spacing w:line="360" w:lineRule="auto"/>
              <w:jc w:val="center"/>
              <w:rPr>
                <w:rFonts w:ascii="宋体" w:hAnsi="宋体" w:cs="仿宋_GB2312"/>
                <w:bCs/>
              </w:rPr>
            </w:pPr>
            <w:r>
              <w:rPr>
                <w:rFonts w:hint="eastAsia" w:ascii="宋体" w:hAnsi="宋体" w:cs="仿宋_GB2312"/>
                <w:bCs/>
              </w:rPr>
              <w:t>合价</w:t>
            </w:r>
          </w:p>
        </w:tc>
      </w:tr>
      <w:tr w14:paraId="3C126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14:paraId="1FC46CD4">
            <w:pPr>
              <w:spacing w:line="360" w:lineRule="auto"/>
              <w:jc w:val="center"/>
              <w:rPr>
                <w:rFonts w:ascii="宋体" w:hAnsi="宋体" w:cs="仿宋_GB2312"/>
                <w:bCs/>
              </w:rPr>
            </w:pPr>
            <w:r>
              <w:rPr>
                <w:rFonts w:hint="eastAsia" w:ascii="宋体" w:hAnsi="宋体" w:cs="仿宋_GB2312"/>
                <w:bCs/>
              </w:rPr>
              <w:t>1</w:t>
            </w:r>
          </w:p>
        </w:tc>
        <w:tc>
          <w:tcPr>
            <w:tcW w:w="2693" w:type="dxa"/>
            <w:tcBorders>
              <w:top w:val="single" w:color="auto" w:sz="4" w:space="0"/>
              <w:left w:val="single" w:color="auto" w:sz="4" w:space="0"/>
              <w:bottom w:val="single" w:color="auto" w:sz="4" w:space="0"/>
              <w:right w:val="single" w:color="auto" w:sz="4" w:space="0"/>
            </w:tcBorders>
            <w:vAlign w:val="center"/>
          </w:tcPr>
          <w:p w14:paraId="016A2D49">
            <w:pPr>
              <w:spacing w:line="360" w:lineRule="auto"/>
              <w:jc w:val="center"/>
              <w:rPr>
                <w:rFonts w:ascii="宋体" w:hAnsi="宋体" w:cs="仿宋_GB2312"/>
                <w:bCs/>
              </w:rPr>
            </w:pPr>
          </w:p>
        </w:tc>
        <w:tc>
          <w:tcPr>
            <w:tcW w:w="1843" w:type="dxa"/>
            <w:tcBorders>
              <w:top w:val="single" w:color="auto" w:sz="4" w:space="0"/>
              <w:left w:val="single" w:color="auto" w:sz="4" w:space="0"/>
              <w:bottom w:val="single" w:color="auto" w:sz="4" w:space="0"/>
              <w:right w:val="single" w:color="auto" w:sz="4" w:space="0"/>
            </w:tcBorders>
            <w:vAlign w:val="center"/>
          </w:tcPr>
          <w:p w14:paraId="539FDE8D">
            <w:pPr>
              <w:spacing w:line="360" w:lineRule="auto"/>
              <w:jc w:val="center"/>
              <w:rPr>
                <w:rFonts w:ascii="宋体" w:hAnsi="宋体" w:cs="仿宋_GB2312"/>
                <w:bCs/>
              </w:rPr>
            </w:pPr>
          </w:p>
        </w:tc>
        <w:tc>
          <w:tcPr>
            <w:tcW w:w="1559" w:type="dxa"/>
            <w:tcBorders>
              <w:top w:val="single" w:color="auto" w:sz="4" w:space="0"/>
              <w:left w:val="single" w:color="auto" w:sz="4" w:space="0"/>
              <w:bottom w:val="single" w:color="auto" w:sz="4" w:space="0"/>
              <w:right w:val="single" w:color="auto" w:sz="4" w:space="0"/>
            </w:tcBorders>
            <w:vAlign w:val="center"/>
          </w:tcPr>
          <w:p w14:paraId="2A77B44C">
            <w:pPr>
              <w:spacing w:line="360" w:lineRule="auto"/>
              <w:jc w:val="center"/>
              <w:rPr>
                <w:rFonts w:ascii="宋体" w:hAnsi="宋体" w:cs="仿宋_GB2312"/>
                <w:bCs/>
              </w:rPr>
            </w:pPr>
          </w:p>
        </w:tc>
        <w:tc>
          <w:tcPr>
            <w:tcW w:w="1606" w:type="dxa"/>
            <w:tcBorders>
              <w:top w:val="single" w:color="auto" w:sz="4" w:space="0"/>
              <w:left w:val="single" w:color="auto" w:sz="4" w:space="0"/>
              <w:bottom w:val="single" w:color="auto" w:sz="4" w:space="0"/>
              <w:right w:val="single" w:color="auto" w:sz="4" w:space="0"/>
            </w:tcBorders>
            <w:vAlign w:val="center"/>
          </w:tcPr>
          <w:p w14:paraId="26F7BEB1">
            <w:pPr>
              <w:spacing w:line="360" w:lineRule="auto"/>
              <w:jc w:val="center"/>
              <w:rPr>
                <w:rFonts w:ascii="宋体" w:hAnsi="宋体" w:cs="仿宋_GB2312"/>
                <w:bCs/>
              </w:rPr>
            </w:pPr>
          </w:p>
        </w:tc>
        <w:tc>
          <w:tcPr>
            <w:tcW w:w="1134" w:type="dxa"/>
            <w:tcBorders>
              <w:top w:val="single" w:color="auto" w:sz="4" w:space="0"/>
              <w:left w:val="single" w:color="auto" w:sz="4" w:space="0"/>
              <w:bottom w:val="single" w:color="auto" w:sz="4" w:space="0"/>
              <w:right w:val="single" w:color="auto" w:sz="4" w:space="0"/>
            </w:tcBorders>
            <w:vAlign w:val="center"/>
          </w:tcPr>
          <w:p w14:paraId="67CB3479">
            <w:pPr>
              <w:spacing w:line="360" w:lineRule="auto"/>
              <w:jc w:val="center"/>
              <w:rPr>
                <w:rFonts w:ascii="宋体" w:hAnsi="宋体" w:cs="仿宋_GB2312"/>
                <w:bCs/>
              </w:rPr>
            </w:pPr>
          </w:p>
        </w:tc>
        <w:tc>
          <w:tcPr>
            <w:tcW w:w="1134" w:type="dxa"/>
            <w:tcBorders>
              <w:top w:val="single" w:color="auto" w:sz="4" w:space="0"/>
              <w:left w:val="single" w:color="auto" w:sz="4" w:space="0"/>
              <w:bottom w:val="single" w:color="auto" w:sz="4" w:space="0"/>
              <w:right w:val="single" w:color="auto" w:sz="4" w:space="0"/>
            </w:tcBorders>
            <w:vAlign w:val="center"/>
          </w:tcPr>
          <w:p w14:paraId="7D98F406">
            <w:pPr>
              <w:spacing w:line="360" w:lineRule="auto"/>
              <w:jc w:val="center"/>
              <w:rPr>
                <w:rFonts w:ascii="宋体" w:hAnsi="宋体" w:cs="仿宋_GB2312"/>
                <w:bCs/>
              </w:rPr>
            </w:pPr>
          </w:p>
        </w:tc>
        <w:tc>
          <w:tcPr>
            <w:tcW w:w="1134" w:type="dxa"/>
            <w:tcBorders>
              <w:top w:val="single" w:color="auto" w:sz="4" w:space="0"/>
              <w:left w:val="single" w:color="auto" w:sz="4" w:space="0"/>
              <w:bottom w:val="single" w:color="auto" w:sz="4" w:space="0"/>
              <w:right w:val="single" w:color="auto" w:sz="4" w:space="0"/>
            </w:tcBorders>
            <w:vAlign w:val="center"/>
          </w:tcPr>
          <w:p w14:paraId="1A2AB2B5">
            <w:pPr>
              <w:spacing w:line="360" w:lineRule="auto"/>
              <w:jc w:val="center"/>
              <w:rPr>
                <w:rFonts w:ascii="宋体" w:hAnsi="宋体" w:cs="仿宋_GB2312"/>
                <w:bCs/>
              </w:rPr>
            </w:pPr>
          </w:p>
        </w:tc>
      </w:tr>
      <w:tr w14:paraId="4A389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14:paraId="0E17A6A6">
            <w:pPr>
              <w:spacing w:line="360" w:lineRule="auto"/>
              <w:jc w:val="center"/>
              <w:rPr>
                <w:rFonts w:ascii="宋体" w:hAnsi="宋体" w:cs="仿宋_GB2312"/>
                <w:bCs/>
              </w:rPr>
            </w:pPr>
            <w:r>
              <w:rPr>
                <w:rFonts w:hint="eastAsia" w:ascii="宋体" w:hAnsi="宋体" w:cs="仿宋_GB2312"/>
                <w:bCs/>
              </w:rPr>
              <w:t>2</w:t>
            </w:r>
          </w:p>
        </w:tc>
        <w:tc>
          <w:tcPr>
            <w:tcW w:w="2693" w:type="dxa"/>
            <w:tcBorders>
              <w:top w:val="single" w:color="auto" w:sz="4" w:space="0"/>
              <w:left w:val="single" w:color="auto" w:sz="4" w:space="0"/>
              <w:bottom w:val="single" w:color="auto" w:sz="4" w:space="0"/>
              <w:right w:val="single" w:color="auto" w:sz="4" w:space="0"/>
            </w:tcBorders>
            <w:vAlign w:val="center"/>
          </w:tcPr>
          <w:p w14:paraId="53F0C530">
            <w:pPr>
              <w:spacing w:line="360" w:lineRule="auto"/>
              <w:jc w:val="center"/>
              <w:rPr>
                <w:rFonts w:ascii="宋体" w:hAnsi="宋体" w:cs="仿宋_GB2312"/>
                <w:bCs/>
              </w:rPr>
            </w:pPr>
          </w:p>
        </w:tc>
        <w:tc>
          <w:tcPr>
            <w:tcW w:w="1843" w:type="dxa"/>
            <w:tcBorders>
              <w:top w:val="single" w:color="auto" w:sz="4" w:space="0"/>
              <w:left w:val="single" w:color="auto" w:sz="4" w:space="0"/>
              <w:bottom w:val="single" w:color="auto" w:sz="4" w:space="0"/>
              <w:right w:val="single" w:color="auto" w:sz="4" w:space="0"/>
            </w:tcBorders>
            <w:vAlign w:val="center"/>
          </w:tcPr>
          <w:p w14:paraId="36981981">
            <w:pPr>
              <w:spacing w:line="360" w:lineRule="auto"/>
              <w:jc w:val="center"/>
              <w:rPr>
                <w:rFonts w:ascii="宋体" w:hAnsi="宋体" w:cs="仿宋_GB2312"/>
                <w:bCs/>
              </w:rPr>
            </w:pPr>
          </w:p>
        </w:tc>
        <w:tc>
          <w:tcPr>
            <w:tcW w:w="1559" w:type="dxa"/>
            <w:tcBorders>
              <w:top w:val="single" w:color="auto" w:sz="4" w:space="0"/>
              <w:left w:val="single" w:color="auto" w:sz="4" w:space="0"/>
              <w:bottom w:val="single" w:color="auto" w:sz="4" w:space="0"/>
              <w:right w:val="single" w:color="auto" w:sz="4" w:space="0"/>
            </w:tcBorders>
            <w:vAlign w:val="center"/>
          </w:tcPr>
          <w:p w14:paraId="7E22393F">
            <w:pPr>
              <w:spacing w:line="360" w:lineRule="auto"/>
              <w:jc w:val="center"/>
              <w:rPr>
                <w:rFonts w:ascii="宋体" w:hAnsi="宋体" w:cs="仿宋_GB2312"/>
                <w:bCs/>
              </w:rPr>
            </w:pPr>
          </w:p>
        </w:tc>
        <w:tc>
          <w:tcPr>
            <w:tcW w:w="1606" w:type="dxa"/>
            <w:tcBorders>
              <w:top w:val="single" w:color="auto" w:sz="4" w:space="0"/>
              <w:left w:val="single" w:color="auto" w:sz="4" w:space="0"/>
              <w:bottom w:val="single" w:color="auto" w:sz="4" w:space="0"/>
              <w:right w:val="single" w:color="auto" w:sz="4" w:space="0"/>
            </w:tcBorders>
            <w:vAlign w:val="center"/>
          </w:tcPr>
          <w:p w14:paraId="047BA25B">
            <w:pPr>
              <w:spacing w:line="360" w:lineRule="auto"/>
              <w:jc w:val="center"/>
              <w:rPr>
                <w:rFonts w:ascii="宋体" w:hAnsi="宋体" w:cs="仿宋_GB2312"/>
                <w:bCs/>
              </w:rPr>
            </w:pPr>
          </w:p>
        </w:tc>
        <w:tc>
          <w:tcPr>
            <w:tcW w:w="1134" w:type="dxa"/>
            <w:tcBorders>
              <w:top w:val="single" w:color="auto" w:sz="4" w:space="0"/>
              <w:left w:val="single" w:color="auto" w:sz="4" w:space="0"/>
              <w:bottom w:val="single" w:color="auto" w:sz="4" w:space="0"/>
              <w:right w:val="single" w:color="auto" w:sz="4" w:space="0"/>
            </w:tcBorders>
            <w:vAlign w:val="center"/>
          </w:tcPr>
          <w:p w14:paraId="0C155612">
            <w:pPr>
              <w:spacing w:line="360" w:lineRule="auto"/>
              <w:jc w:val="center"/>
              <w:rPr>
                <w:rFonts w:ascii="宋体" w:hAnsi="宋体" w:cs="仿宋_GB2312"/>
                <w:bCs/>
              </w:rPr>
            </w:pPr>
          </w:p>
        </w:tc>
        <w:tc>
          <w:tcPr>
            <w:tcW w:w="1134" w:type="dxa"/>
            <w:tcBorders>
              <w:top w:val="single" w:color="auto" w:sz="4" w:space="0"/>
              <w:left w:val="single" w:color="auto" w:sz="4" w:space="0"/>
              <w:bottom w:val="single" w:color="auto" w:sz="4" w:space="0"/>
              <w:right w:val="single" w:color="auto" w:sz="4" w:space="0"/>
            </w:tcBorders>
            <w:vAlign w:val="center"/>
          </w:tcPr>
          <w:p w14:paraId="2F1A218C">
            <w:pPr>
              <w:spacing w:line="360" w:lineRule="auto"/>
              <w:jc w:val="center"/>
              <w:rPr>
                <w:rFonts w:ascii="宋体" w:hAnsi="宋体" w:cs="仿宋_GB2312"/>
                <w:bCs/>
              </w:rPr>
            </w:pPr>
          </w:p>
        </w:tc>
        <w:tc>
          <w:tcPr>
            <w:tcW w:w="1134" w:type="dxa"/>
            <w:tcBorders>
              <w:top w:val="single" w:color="auto" w:sz="4" w:space="0"/>
              <w:left w:val="single" w:color="auto" w:sz="4" w:space="0"/>
              <w:bottom w:val="single" w:color="auto" w:sz="4" w:space="0"/>
              <w:right w:val="single" w:color="auto" w:sz="4" w:space="0"/>
            </w:tcBorders>
            <w:vAlign w:val="center"/>
          </w:tcPr>
          <w:p w14:paraId="45BE8645">
            <w:pPr>
              <w:spacing w:line="360" w:lineRule="auto"/>
              <w:jc w:val="center"/>
              <w:rPr>
                <w:rFonts w:ascii="宋体" w:hAnsi="宋体" w:cs="仿宋_GB2312"/>
                <w:bCs/>
              </w:rPr>
            </w:pPr>
          </w:p>
        </w:tc>
      </w:tr>
      <w:tr w14:paraId="6A348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14:paraId="4930893E">
            <w:pPr>
              <w:spacing w:line="360" w:lineRule="auto"/>
              <w:jc w:val="center"/>
              <w:rPr>
                <w:rFonts w:ascii="宋体" w:hAnsi="宋体" w:cs="仿宋_GB2312"/>
                <w:bCs/>
              </w:rPr>
            </w:pPr>
            <w:r>
              <w:rPr>
                <w:rFonts w:hint="eastAsia" w:ascii="宋体" w:hAnsi="宋体" w:cs="仿宋_GB2312"/>
                <w:bCs/>
              </w:rPr>
              <w:t>3</w:t>
            </w:r>
          </w:p>
        </w:tc>
        <w:tc>
          <w:tcPr>
            <w:tcW w:w="2693" w:type="dxa"/>
            <w:tcBorders>
              <w:top w:val="single" w:color="auto" w:sz="4" w:space="0"/>
              <w:left w:val="single" w:color="auto" w:sz="4" w:space="0"/>
              <w:bottom w:val="single" w:color="auto" w:sz="4" w:space="0"/>
              <w:right w:val="single" w:color="auto" w:sz="4" w:space="0"/>
            </w:tcBorders>
            <w:vAlign w:val="center"/>
          </w:tcPr>
          <w:p w14:paraId="05902ACF">
            <w:pPr>
              <w:spacing w:line="360" w:lineRule="auto"/>
              <w:jc w:val="center"/>
              <w:rPr>
                <w:rFonts w:ascii="宋体" w:hAnsi="宋体" w:cs="仿宋_GB2312"/>
                <w:bCs/>
              </w:rPr>
            </w:pPr>
          </w:p>
        </w:tc>
        <w:tc>
          <w:tcPr>
            <w:tcW w:w="1843" w:type="dxa"/>
            <w:tcBorders>
              <w:top w:val="single" w:color="auto" w:sz="4" w:space="0"/>
              <w:left w:val="single" w:color="auto" w:sz="4" w:space="0"/>
              <w:bottom w:val="single" w:color="auto" w:sz="4" w:space="0"/>
              <w:right w:val="single" w:color="auto" w:sz="4" w:space="0"/>
            </w:tcBorders>
            <w:vAlign w:val="center"/>
          </w:tcPr>
          <w:p w14:paraId="2164D639">
            <w:pPr>
              <w:spacing w:line="360" w:lineRule="auto"/>
              <w:jc w:val="center"/>
              <w:rPr>
                <w:rFonts w:ascii="宋体" w:hAnsi="宋体" w:cs="仿宋_GB2312"/>
                <w:bCs/>
              </w:rPr>
            </w:pPr>
          </w:p>
        </w:tc>
        <w:tc>
          <w:tcPr>
            <w:tcW w:w="1559" w:type="dxa"/>
            <w:tcBorders>
              <w:top w:val="single" w:color="auto" w:sz="4" w:space="0"/>
              <w:left w:val="single" w:color="auto" w:sz="4" w:space="0"/>
              <w:bottom w:val="single" w:color="auto" w:sz="4" w:space="0"/>
              <w:right w:val="single" w:color="auto" w:sz="4" w:space="0"/>
            </w:tcBorders>
            <w:vAlign w:val="center"/>
          </w:tcPr>
          <w:p w14:paraId="2ED9A3C5">
            <w:pPr>
              <w:spacing w:line="360" w:lineRule="auto"/>
              <w:jc w:val="center"/>
              <w:rPr>
                <w:rFonts w:ascii="宋体" w:hAnsi="宋体" w:cs="仿宋_GB2312"/>
                <w:bCs/>
              </w:rPr>
            </w:pPr>
          </w:p>
        </w:tc>
        <w:tc>
          <w:tcPr>
            <w:tcW w:w="1606" w:type="dxa"/>
            <w:tcBorders>
              <w:top w:val="single" w:color="auto" w:sz="4" w:space="0"/>
              <w:left w:val="single" w:color="auto" w:sz="4" w:space="0"/>
              <w:bottom w:val="single" w:color="auto" w:sz="4" w:space="0"/>
              <w:right w:val="single" w:color="auto" w:sz="4" w:space="0"/>
            </w:tcBorders>
            <w:vAlign w:val="center"/>
          </w:tcPr>
          <w:p w14:paraId="0C4D3135">
            <w:pPr>
              <w:spacing w:line="360" w:lineRule="auto"/>
              <w:jc w:val="center"/>
              <w:rPr>
                <w:rFonts w:ascii="宋体" w:hAnsi="宋体" w:cs="仿宋_GB2312"/>
                <w:bCs/>
              </w:rPr>
            </w:pPr>
          </w:p>
        </w:tc>
        <w:tc>
          <w:tcPr>
            <w:tcW w:w="1134" w:type="dxa"/>
            <w:tcBorders>
              <w:top w:val="single" w:color="auto" w:sz="4" w:space="0"/>
              <w:left w:val="single" w:color="auto" w:sz="4" w:space="0"/>
              <w:bottom w:val="single" w:color="auto" w:sz="4" w:space="0"/>
              <w:right w:val="single" w:color="auto" w:sz="4" w:space="0"/>
            </w:tcBorders>
            <w:vAlign w:val="center"/>
          </w:tcPr>
          <w:p w14:paraId="00AF0DDA">
            <w:pPr>
              <w:spacing w:line="360" w:lineRule="auto"/>
              <w:jc w:val="center"/>
              <w:rPr>
                <w:rFonts w:ascii="宋体" w:hAnsi="宋体" w:cs="仿宋_GB2312"/>
                <w:bCs/>
              </w:rPr>
            </w:pPr>
          </w:p>
        </w:tc>
        <w:tc>
          <w:tcPr>
            <w:tcW w:w="1134" w:type="dxa"/>
            <w:tcBorders>
              <w:top w:val="single" w:color="auto" w:sz="4" w:space="0"/>
              <w:left w:val="single" w:color="auto" w:sz="4" w:space="0"/>
              <w:bottom w:val="single" w:color="auto" w:sz="4" w:space="0"/>
              <w:right w:val="single" w:color="auto" w:sz="4" w:space="0"/>
            </w:tcBorders>
            <w:vAlign w:val="center"/>
          </w:tcPr>
          <w:p w14:paraId="4CB44ACF">
            <w:pPr>
              <w:spacing w:line="360" w:lineRule="auto"/>
              <w:jc w:val="center"/>
              <w:rPr>
                <w:rFonts w:ascii="宋体" w:hAnsi="宋体" w:cs="仿宋_GB2312"/>
                <w:bCs/>
              </w:rPr>
            </w:pPr>
          </w:p>
        </w:tc>
        <w:tc>
          <w:tcPr>
            <w:tcW w:w="1134" w:type="dxa"/>
            <w:tcBorders>
              <w:top w:val="single" w:color="auto" w:sz="4" w:space="0"/>
              <w:left w:val="single" w:color="auto" w:sz="4" w:space="0"/>
              <w:bottom w:val="single" w:color="auto" w:sz="4" w:space="0"/>
              <w:right w:val="single" w:color="auto" w:sz="4" w:space="0"/>
            </w:tcBorders>
            <w:vAlign w:val="center"/>
          </w:tcPr>
          <w:p w14:paraId="383C3141">
            <w:pPr>
              <w:spacing w:line="360" w:lineRule="auto"/>
              <w:jc w:val="center"/>
              <w:rPr>
                <w:rFonts w:ascii="宋体" w:hAnsi="宋体" w:cs="仿宋_GB2312"/>
                <w:bCs/>
              </w:rPr>
            </w:pPr>
          </w:p>
        </w:tc>
      </w:tr>
      <w:tr w14:paraId="08871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14:paraId="6CFA1620">
            <w:pPr>
              <w:spacing w:line="360" w:lineRule="auto"/>
              <w:jc w:val="center"/>
              <w:rPr>
                <w:rFonts w:ascii="宋体" w:hAnsi="宋体" w:cs="仿宋_GB2312"/>
                <w:bCs/>
              </w:rPr>
            </w:pPr>
            <w:r>
              <w:rPr>
                <w:rFonts w:ascii="宋体" w:hAnsi="宋体" w:cs="仿宋_GB2312"/>
                <w:bCs/>
              </w:rPr>
              <w:t>…</w:t>
            </w:r>
          </w:p>
        </w:tc>
        <w:tc>
          <w:tcPr>
            <w:tcW w:w="2693" w:type="dxa"/>
            <w:tcBorders>
              <w:top w:val="single" w:color="auto" w:sz="4" w:space="0"/>
              <w:left w:val="single" w:color="auto" w:sz="4" w:space="0"/>
              <w:bottom w:val="single" w:color="auto" w:sz="4" w:space="0"/>
              <w:right w:val="single" w:color="auto" w:sz="4" w:space="0"/>
            </w:tcBorders>
            <w:vAlign w:val="center"/>
          </w:tcPr>
          <w:p w14:paraId="050C9F31">
            <w:pPr>
              <w:spacing w:line="360" w:lineRule="auto"/>
              <w:jc w:val="center"/>
              <w:rPr>
                <w:rFonts w:ascii="宋体" w:hAnsi="宋体" w:cs="仿宋_GB2312"/>
                <w:bCs/>
              </w:rPr>
            </w:pPr>
            <w:r>
              <w:rPr>
                <w:rFonts w:hint="eastAsia" w:ascii="宋体" w:hAnsi="宋体" w:cs="仿宋_GB2312"/>
                <w:bCs/>
              </w:rPr>
              <w:t>...</w:t>
            </w:r>
          </w:p>
        </w:tc>
        <w:tc>
          <w:tcPr>
            <w:tcW w:w="1843" w:type="dxa"/>
            <w:tcBorders>
              <w:top w:val="single" w:color="auto" w:sz="4" w:space="0"/>
              <w:left w:val="single" w:color="auto" w:sz="4" w:space="0"/>
              <w:bottom w:val="single" w:color="auto" w:sz="4" w:space="0"/>
              <w:right w:val="single" w:color="auto" w:sz="4" w:space="0"/>
            </w:tcBorders>
            <w:vAlign w:val="center"/>
          </w:tcPr>
          <w:p w14:paraId="73549827">
            <w:pPr>
              <w:spacing w:line="360" w:lineRule="auto"/>
              <w:jc w:val="center"/>
              <w:rPr>
                <w:rFonts w:ascii="宋体" w:hAnsi="宋体" w:cs="仿宋_GB2312"/>
                <w:bCs/>
              </w:rPr>
            </w:pPr>
            <w:r>
              <w:rPr>
                <w:rFonts w:hint="eastAsia" w:ascii="宋体" w:hAnsi="宋体" w:cs="仿宋_GB2312"/>
                <w:bCs/>
              </w:rPr>
              <w:t>...</w:t>
            </w:r>
          </w:p>
        </w:tc>
        <w:tc>
          <w:tcPr>
            <w:tcW w:w="1559" w:type="dxa"/>
            <w:tcBorders>
              <w:top w:val="single" w:color="auto" w:sz="4" w:space="0"/>
              <w:left w:val="single" w:color="auto" w:sz="4" w:space="0"/>
              <w:bottom w:val="single" w:color="auto" w:sz="4" w:space="0"/>
              <w:right w:val="single" w:color="auto" w:sz="4" w:space="0"/>
            </w:tcBorders>
            <w:vAlign w:val="center"/>
          </w:tcPr>
          <w:p w14:paraId="6BAED367">
            <w:pPr>
              <w:spacing w:line="360" w:lineRule="auto"/>
              <w:jc w:val="center"/>
              <w:rPr>
                <w:rFonts w:ascii="宋体" w:hAnsi="宋体" w:cs="仿宋_GB2312"/>
                <w:bCs/>
              </w:rPr>
            </w:pPr>
            <w:r>
              <w:rPr>
                <w:rFonts w:ascii="宋体" w:hAnsi="宋体" w:cs="仿宋_GB2312"/>
                <w:bCs/>
              </w:rPr>
              <w:t>…</w:t>
            </w:r>
          </w:p>
        </w:tc>
        <w:tc>
          <w:tcPr>
            <w:tcW w:w="1606" w:type="dxa"/>
            <w:tcBorders>
              <w:top w:val="single" w:color="auto" w:sz="4" w:space="0"/>
              <w:left w:val="single" w:color="auto" w:sz="4" w:space="0"/>
              <w:bottom w:val="single" w:color="auto" w:sz="4" w:space="0"/>
              <w:right w:val="single" w:color="auto" w:sz="4" w:space="0"/>
            </w:tcBorders>
            <w:vAlign w:val="center"/>
          </w:tcPr>
          <w:p w14:paraId="0FA3E1D0">
            <w:pPr>
              <w:spacing w:line="360" w:lineRule="auto"/>
              <w:jc w:val="center"/>
              <w:rPr>
                <w:rFonts w:ascii="宋体" w:hAnsi="宋体" w:cs="仿宋_GB2312"/>
                <w:bCs/>
              </w:rPr>
            </w:pPr>
            <w:r>
              <w:rPr>
                <w:rFonts w:hint="eastAsia" w:ascii="宋体" w:hAnsi="宋体" w:cs="仿宋_GB2312"/>
                <w:bCs/>
              </w:rPr>
              <w:t>...</w:t>
            </w:r>
          </w:p>
        </w:tc>
        <w:tc>
          <w:tcPr>
            <w:tcW w:w="1134" w:type="dxa"/>
            <w:tcBorders>
              <w:top w:val="single" w:color="auto" w:sz="4" w:space="0"/>
              <w:left w:val="single" w:color="auto" w:sz="4" w:space="0"/>
              <w:bottom w:val="single" w:color="auto" w:sz="4" w:space="0"/>
              <w:right w:val="single" w:color="auto" w:sz="4" w:space="0"/>
            </w:tcBorders>
            <w:vAlign w:val="center"/>
          </w:tcPr>
          <w:p w14:paraId="3F5B03C5">
            <w:pPr>
              <w:spacing w:line="360" w:lineRule="auto"/>
              <w:jc w:val="center"/>
              <w:rPr>
                <w:rFonts w:ascii="宋体" w:hAnsi="宋体" w:cs="仿宋_GB2312"/>
                <w:bCs/>
              </w:rPr>
            </w:pPr>
            <w:r>
              <w:rPr>
                <w:rFonts w:hint="eastAsia" w:ascii="宋体" w:hAnsi="宋体" w:cs="仿宋_GB2312"/>
                <w:bCs/>
              </w:rPr>
              <w:t>...</w:t>
            </w:r>
          </w:p>
        </w:tc>
        <w:tc>
          <w:tcPr>
            <w:tcW w:w="1134" w:type="dxa"/>
            <w:tcBorders>
              <w:top w:val="single" w:color="auto" w:sz="4" w:space="0"/>
              <w:left w:val="single" w:color="auto" w:sz="4" w:space="0"/>
              <w:bottom w:val="single" w:color="auto" w:sz="4" w:space="0"/>
              <w:right w:val="single" w:color="auto" w:sz="4" w:space="0"/>
            </w:tcBorders>
            <w:vAlign w:val="center"/>
          </w:tcPr>
          <w:p w14:paraId="13E1AE22">
            <w:pPr>
              <w:spacing w:line="360" w:lineRule="auto"/>
              <w:jc w:val="center"/>
              <w:rPr>
                <w:rFonts w:ascii="宋体" w:hAnsi="宋体" w:cs="仿宋_GB2312"/>
                <w:bCs/>
              </w:rPr>
            </w:pPr>
            <w:r>
              <w:rPr>
                <w:rFonts w:ascii="宋体" w:hAnsi="宋体" w:cs="仿宋_GB2312"/>
                <w:bCs/>
              </w:rPr>
              <w:t>…</w:t>
            </w:r>
          </w:p>
        </w:tc>
        <w:tc>
          <w:tcPr>
            <w:tcW w:w="1134" w:type="dxa"/>
            <w:tcBorders>
              <w:top w:val="single" w:color="auto" w:sz="4" w:space="0"/>
              <w:left w:val="single" w:color="auto" w:sz="4" w:space="0"/>
              <w:bottom w:val="single" w:color="auto" w:sz="4" w:space="0"/>
              <w:right w:val="single" w:color="auto" w:sz="4" w:space="0"/>
            </w:tcBorders>
            <w:vAlign w:val="center"/>
          </w:tcPr>
          <w:p w14:paraId="75B314EA">
            <w:pPr>
              <w:spacing w:line="360" w:lineRule="auto"/>
              <w:jc w:val="center"/>
              <w:rPr>
                <w:rFonts w:ascii="宋体" w:hAnsi="宋体" w:cs="仿宋_GB2312"/>
                <w:bCs/>
              </w:rPr>
            </w:pPr>
            <w:r>
              <w:rPr>
                <w:rFonts w:ascii="宋体" w:hAnsi="宋体" w:cs="仿宋_GB2312"/>
                <w:bCs/>
              </w:rPr>
              <w:t>…</w:t>
            </w:r>
          </w:p>
        </w:tc>
      </w:tr>
      <w:tr w14:paraId="273E4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14:paraId="3B5444A3">
            <w:pPr>
              <w:spacing w:line="360" w:lineRule="auto"/>
              <w:jc w:val="center"/>
              <w:rPr>
                <w:rFonts w:ascii="宋体" w:hAnsi="宋体" w:cs="仿宋_GB2312"/>
                <w:bCs/>
              </w:rPr>
            </w:pPr>
            <w:r>
              <w:rPr>
                <w:rFonts w:hint="eastAsia" w:ascii="宋体" w:hAnsi="宋体" w:cs="仿宋_GB2312"/>
                <w:bCs/>
              </w:rPr>
              <w:t>其他费用</w:t>
            </w:r>
          </w:p>
        </w:tc>
        <w:tc>
          <w:tcPr>
            <w:tcW w:w="11103" w:type="dxa"/>
            <w:gridSpan w:val="7"/>
            <w:tcBorders>
              <w:top w:val="single" w:color="auto" w:sz="4" w:space="0"/>
              <w:left w:val="single" w:color="auto" w:sz="4" w:space="0"/>
              <w:bottom w:val="single" w:color="auto" w:sz="4" w:space="0"/>
              <w:right w:val="single" w:color="auto" w:sz="4" w:space="0"/>
            </w:tcBorders>
          </w:tcPr>
          <w:p w14:paraId="648BCAFB">
            <w:pPr>
              <w:spacing w:line="360" w:lineRule="auto"/>
              <w:jc w:val="center"/>
              <w:rPr>
                <w:rFonts w:ascii="宋体" w:hAnsi="宋体" w:cs="仿宋_GB2312"/>
                <w:bCs/>
              </w:rPr>
            </w:pPr>
          </w:p>
        </w:tc>
      </w:tr>
      <w:tr w14:paraId="76B7D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14:paraId="204DEA82">
            <w:pPr>
              <w:spacing w:line="360" w:lineRule="auto"/>
              <w:jc w:val="center"/>
              <w:rPr>
                <w:rFonts w:ascii="宋体" w:hAnsi="宋体" w:cs="仿宋_GB2312"/>
                <w:bCs/>
              </w:rPr>
            </w:pPr>
            <w:r>
              <w:rPr>
                <w:rFonts w:hint="eastAsia" w:ascii="宋体" w:hAnsi="宋体" w:cs="仿宋_GB2312"/>
                <w:bCs/>
              </w:rPr>
              <w:t>金额合计</w:t>
            </w:r>
          </w:p>
        </w:tc>
        <w:tc>
          <w:tcPr>
            <w:tcW w:w="11103" w:type="dxa"/>
            <w:gridSpan w:val="7"/>
            <w:tcBorders>
              <w:top w:val="single" w:color="auto" w:sz="4" w:space="0"/>
              <w:left w:val="single" w:color="auto" w:sz="4" w:space="0"/>
              <w:bottom w:val="single" w:color="auto" w:sz="4" w:space="0"/>
              <w:right w:val="single" w:color="auto" w:sz="4" w:space="0"/>
            </w:tcBorders>
          </w:tcPr>
          <w:p w14:paraId="24708918">
            <w:pPr>
              <w:spacing w:line="360" w:lineRule="auto"/>
              <w:jc w:val="center"/>
              <w:rPr>
                <w:rFonts w:ascii="宋体" w:hAnsi="宋体" w:cs="仿宋_GB2312"/>
                <w:bCs/>
              </w:rPr>
            </w:pPr>
            <w:r>
              <w:rPr>
                <w:rFonts w:ascii="宋体" w:hAnsi="宋体" w:cs="仿宋_GB2312"/>
                <w:bCs/>
              </w:rPr>
              <w:t>￥</w:t>
            </w:r>
            <w:r>
              <w:rPr>
                <w:rFonts w:hint="eastAsia" w:ascii="宋体" w:hAnsi="宋体" w:cs="仿宋_GB2312"/>
                <w:bCs/>
              </w:rPr>
              <w:t>：</w:t>
            </w:r>
          </w:p>
        </w:tc>
      </w:tr>
    </w:tbl>
    <w:p w14:paraId="4268F3ED">
      <w:pPr>
        <w:spacing w:line="360" w:lineRule="auto"/>
        <w:ind w:firstLine="840" w:firstLineChars="350"/>
        <w:jc w:val="left"/>
        <w:rPr>
          <w:rFonts w:ascii="宋体" w:hAnsi="宋体" w:cs="仿宋_GB2312"/>
          <w:bCs/>
          <w:sz w:val="24"/>
        </w:rPr>
      </w:pPr>
      <w:r>
        <w:rPr>
          <w:rFonts w:hint="eastAsia" w:ascii="宋体" w:hAnsi="宋体" w:cs="仿宋_GB2312"/>
          <w:bCs/>
          <w:sz w:val="24"/>
        </w:rPr>
        <w:t>注：1.不提供详细报价明细表视为没有实质性响应采购文件；</w:t>
      </w:r>
    </w:p>
    <w:p w14:paraId="2C50C8E9">
      <w:pPr>
        <w:spacing w:line="360" w:lineRule="auto"/>
        <w:jc w:val="left"/>
        <w:rPr>
          <w:rFonts w:ascii="宋体" w:hAnsi="宋体" w:cs="仿宋_GB2312"/>
          <w:bCs/>
          <w:sz w:val="24"/>
        </w:rPr>
      </w:pPr>
      <w:r>
        <w:rPr>
          <w:rFonts w:hint="eastAsia" w:ascii="宋体" w:hAnsi="宋体" w:cs="仿宋_GB2312"/>
          <w:bCs/>
          <w:sz w:val="24"/>
        </w:rPr>
        <w:t xml:space="preserve">       2.此表的合计总价应与“投标函附录”总报价相一致；</w:t>
      </w:r>
    </w:p>
    <w:p w14:paraId="31B1E5DF">
      <w:pPr>
        <w:spacing w:line="360" w:lineRule="auto"/>
        <w:jc w:val="left"/>
        <w:rPr>
          <w:rFonts w:ascii="宋体" w:hAnsi="宋体" w:cs="仿宋_GB2312"/>
          <w:bCs/>
          <w:sz w:val="24"/>
        </w:rPr>
      </w:pPr>
      <w:r>
        <w:rPr>
          <w:rFonts w:hint="eastAsia" w:ascii="宋体" w:hAnsi="宋体" w:cs="仿宋_GB2312"/>
          <w:bCs/>
          <w:sz w:val="24"/>
        </w:rPr>
        <w:t xml:space="preserve">       3.后附所投标货物详细技术参数、性能、配置详细内容（如有）；</w:t>
      </w:r>
    </w:p>
    <w:p w14:paraId="0ED07F87">
      <w:pPr>
        <w:tabs>
          <w:tab w:val="right" w:pos="9070"/>
        </w:tabs>
        <w:spacing w:line="360" w:lineRule="auto"/>
        <w:jc w:val="left"/>
        <w:rPr>
          <w:rFonts w:ascii="宋体" w:hAnsi="宋体" w:cs="仿宋_GB2312"/>
          <w:bCs/>
          <w:sz w:val="24"/>
        </w:rPr>
      </w:pPr>
      <w:r>
        <w:rPr>
          <w:rFonts w:hint="eastAsia" w:ascii="宋体" w:hAnsi="宋体" w:cs="仿宋_GB2312"/>
          <w:bCs/>
          <w:sz w:val="24"/>
        </w:rPr>
        <w:t xml:space="preserve">       4. 此表仅提供了表格形式，供应商应根据需要准备足够数量的表格来填写。</w:t>
      </w:r>
    </w:p>
    <w:p w14:paraId="3DEDEEFD">
      <w:pPr>
        <w:tabs>
          <w:tab w:val="left" w:pos="1155"/>
        </w:tabs>
        <w:spacing w:line="520" w:lineRule="exact"/>
        <w:ind w:firstLine="700" w:firstLineChars="250"/>
        <w:jc w:val="center"/>
        <w:rPr>
          <w:rFonts w:ascii="宋体" w:hAnsi="宋体" w:cs="仿宋_GB2312"/>
          <w:sz w:val="28"/>
          <w:szCs w:val="28"/>
        </w:rPr>
      </w:pPr>
      <w:r>
        <w:rPr>
          <w:rFonts w:hint="eastAsia" w:ascii="宋体" w:hAnsi="宋体" w:cs="仿宋_GB2312"/>
          <w:sz w:val="28"/>
          <w:szCs w:val="28"/>
        </w:rPr>
        <w:t>供应商名称：（盖单位电子章）</w:t>
      </w:r>
    </w:p>
    <w:p w14:paraId="6BE30FFA">
      <w:pPr>
        <w:tabs>
          <w:tab w:val="left" w:pos="1155"/>
        </w:tabs>
        <w:spacing w:line="520" w:lineRule="exact"/>
        <w:ind w:right="560" w:firstLine="3780" w:firstLineChars="1350"/>
        <w:rPr>
          <w:rFonts w:ascii="宋体" w:hAnsi="宋体" w:cs="仿宋_GB2312"/>
          <w:sz w:val="28"/>
          <w:szCs w:val="28"/>
        </w:rPr>
      </w:pPr>
      <w:r>
        <w:rPr>
          <w:rFonts w:hint="eastAsia" w:ascii="宋体" w:hAnsi="宋体" w:cs="仿宋_GB2312"/>
          <w:sz w:val="28"/>
          <w:szCs w:val="28"/>
        </w:rPr>
        <w:t>法定代表人或授权代理人：（</w:t>
      </w:r>
      <w:r>
        <w:rPr>
          <w:rFonts w:hint="eastAsia" w:ascii="宋体" w:hAnsi="宋体" w:cs="宋体"/>
          <w:sz w:val="28"/>
          <w:szCs w:val="28"/>
        </w:rPr>
        <w:t>盖电子印章或签名</w:t>
      </w:r>
      <w:r>
        <w:rPr>
          <w:rFonts w:hint="eastAsia" w:ascii="宋体" w:hAnsi="宋体" w:cs="仿宋_GB2312"/>
          <w:sz w:val="28"/>
          <w:szCs w:val="28"/>
        </w:rPr>
        <w:t>）</w:t>
      </w:r>
    </w:p>
    <w:p w14:paraId="089FF403">
      <w:pPr>
        <w:pStyle w:val="23"/>
        <w:ind w:firstLine="560"/>
      </w:pPr>
      <w:r>
        <w:rPr>
          <w:rFonts w:hint="eastAsia" w:ascii="宋体" w:hAnsi="宋体" w:cs="仿宋_GB2312"/>
        </w:rPr>
        <w:t xml:space="preserve">                                   年    月    日</w:t>
      </w:r>
    </w:p>
    <w:p w14:paraId="66301251">
      <w:pPr>
        <w:pStyle w:val="23"/>
        <w:ind w:firstLine="560"/>
        <w:sectPr>
          <w:pgSz w:w="16838" w:h="11906" w:orient="landscape"/>
          <w:pgMar w:top="1418" w:right="1418" w:bottom="1418" w:left="1418" w:header="850" w:footer="992" w:gutter="0"/>
          <w:cols w:space="720" w:num="1"/>
          <w:docGrid w:type="lines" w:linePitch="312" w:charSpace="0"/>
        </w:sectPr>
      </w:pPr>
    </w:p>
    <w:p w14:paraId="02C78C36">
      <w:pPr>
        <w:pStyle w:val="3"/>
        <w:rPr>
          <w:b w:val="0"/>
          <w:sz w:val="32"/>
          <w:szCs w:val="32"/>
        </w:rPr>
      </w:pPr>
      <w:bookmarkStart w:id="569" w:name="_Toc30427"/>
      <w:r>
        <w:rPr>
          <w:rFonts w:hint="eastAsia"/>
          <w:b w:val="0"/>
          <w:sz w:val="32"/>
          <w:szCs w:val="32"/>
        </w:rPr>
        <w:t>二</w:t>
      </w:r>
      <w:r>
        <w:rPr>
          <w:b w:val="0"/>
          <w:sz w:val="32"/>
          <w:szCs w:val="32"/>
        </w:rPr>
        <w:t>、</w:t>
      </w:r>
      <w:bookmarkEnd w:id="565"/>
      <w:bookmarkEnd w:id="568"/>
      <w:bookmarkStart w:id="570" w:name="_Toc35524161"/>
      <w:r>
        <w:rPr>
          <w:rFonts w:hint="eastAsia"/>
          <w:b w:val="0"/>
          <w:sz w:val="32"/>
          <w:szCs w:val="32"/>
        </w:rPr>
        <w:t>法定代表人身份证明</w:t>
      </w:r>
      <w:bookmarkEnd w:id="569"/>
      <w:bookmarkEnd w:id="570"/>
    </w:p>
    <w:p w14:paraId="61E6A768">
      <w:pPr>
        <w:tabs>
          <w:tab w:val="left" w:pos="3945"/>
        </w:tabs>
        <w:spacing w:line="360" w:lineRule="auto"/>
        <w:rPr>
          <w:rFonts w:ascii="宋体" w:hAnsi="宋体" w:cs="仿宋_GB2312"/>
          <w:sz w:val="28"/>
          <w:szCs w:val="28"/>
        </w:rPr>
      </w:pPr>
      <w:r>
        <w:rPr>
          <w:rFonts w:ascii="宋体" w:hAnsi="宋体" w:cs="仿宋_GB2312"/>
          <w:sz w:val="28"/>
          <w:szCs w:val="28"/>
        </w:rPr>
        <w:tab/>
      </w:r>
    </w:p>
    <w:p w14:paraId="226ACC89">
      <w:pPr>
        <w:spacing w:line="360" w:lineRule="auto"/>
        <w:rPr>
          <w:rFonts w:ascii="宋体" w:hAnsi="宋体" w:cs="仿宋_GB2312"/>
          <w:sz w:val="28"/>
          <w:szCs w:val="28"/>
          <w:u w:val="single"/>
        </w:rPr>
      </w:pPr>
      <w:r>
        <w:rPr>
          <w:rFonts w:hint="eastAsia" w:ascii="宋体" w:hAnsi="宋体" w:cs="仿宋_GB2312"/>
          <w:sz w:val="28"/>
          <w:szCs w:val="28"/>
        </w:rPr>
        <w:t xml:space="preserve">    供应商名称：</w:t>
      </w:r>
      <w:r>
        <w:rPr>
          <w:rFonts w:hint="eastAsia" w:ascii="宋体" w:hAnsi="宋体" w:cs="仿宋_GB2312"/>
          <w:sz w:val="28"/>
          <w:szCs w:val="28"/>
          <w:u w:val="single"/>
        </w:rPr>
        <w:t xml:space="preserve">                                     </w:t>
      </w:r>
    </w:p>
    <w:p w14:paraId="390BD01E">
      <w:pPr>
        <w:spacing w:line="360" w:lineRule="auto"/>
        <w:ind w:firstLine="574" w:firstLineChars="205"/>
        <w:jc w:val="left"/>
        <w:rPr>
          <w:rFonts w:ascii="宋体" w:hAnsi="宋体" w:cs="仿宋_GB2312"/>
          <w:sz w:val="28"/>
          <w:szCs w:val="28"/>
          <w:u w:val="single"/>
        </w:rPr>
      </w:pPr>
      <w:r>
        <w:rPr>
          <w:rFonts w:hint="eastAsia" w:ascii="宋体" w:hAnsi="宋体" w:cs="仿宋_GB2312"/>
          <w:sz w:val="28"/>
          <w:szCs w:val="28"/>
        </w:rPr>
        <w:t>单位性质：</w:t>
      </w:r>
      <w:r>
        <w:rPr>
          <w:rFonts w:hint="eastAsia" w:ascii="宋体" w:hAnsi="宋体" w:cs="仿宋_GB2312"/>
          <w:sz w:val="28"/>
          <w:szCs w:val="28"/>
          <w:u w:val="single"/>
        </w:rPr>
        <w:t xml:space="preserve">                                       </w:t>
      </w:r>
    </w:p>
    <w:p w14:paraId="6F60829E">
      <w:pPr>
        <w:spacing w:line="360" w:lineRule="auto"/>
        <w:ind w:firstLine="574" w:firstLineChars="205"/>
        <w:jc w:val="left"/>
        <w:rPr>
          <w:rFonts w:ascii="宋体" w:hAnsi="宋体" w:cs="仿宋_GB2312"/>
          <w:sz w:val="28"/>
          <w:szCs w:val="28"/>
          <w:u w:val="single"/>
        </w:rPr>
      </w:pPr>
      <w:r>
        <w:rPr>
          <w:rFonts w:hint="eastAsia" w:ascii="宋体" w:hAnsi="宋体" w:cs="仿宋_GB2312"/>
          <w:sz w:val="28"/>
          <w:szCs w:val="28"/>
        </w:rPr>
        <w:t>地    址：</w:t>
      </w:r>
      <w:r>
        <w:rPr>
          <w:rFonts w:hint="eastAsia" w:ascii="宋体" w:hAnsi="宋体" w:cs="仿宋_GB2312"/>
          <w:sz w:val="28"/>
          <w:szCs w:val="28"/>
          <w:u w:val="single"/>
        </w:rPr>
        <w:t xml:space="preserve">                                       </w:t>
      </w:r>
    </w:p>
    <w:p w14:paraId="7731DFF9">
      <w:pPr>
        <w:spacing w:line="360" w:lineRule="auto"/>
        <w:ind w:firstLine="574" w:firstLineChars="205"/>
        <w:jc w:val="left"/>
        <w:rPr>
          <w:rFonts w:ascii="宋体" w:hAnsi="宋体" w:cs="仿宋_GB2312"/>
          <w:sz w:val="28"/>
          <w:szCs w:val="28"/>
        </w:rPr>
      </w:pPr>
      <w:r>
        <w:rPr>
          <w:rFonts w:hint="eastAsia" w:ascii="宋体" w:hAnsi="宋体" w:cs="仿宋_GB2312"/>
          <w:sz w:val="28"/>
          <w:szCs w:val="28"/>
        </w:rPr>
        <w:t>成立时间：</w:t>
      </w:r>
      <w:r>
        <w:rPr>
          <w:rFonts w:hint="eastAsia" w:ascii="宋体" w:hAnsi="宋体" w:cs="仿宋_GB2312"/>
          <w:sz w:val="28"/>
          <w:szCs w:val="28"/>
          <w:u w:val="single"/>
        </w:rPr>
        <w:t xml:space="preserve">         </w:t>
      </w:r>
      <w:r>
        <w:rPr>
          <w:rFonts w:hint="eastAsia" w:ascii="宋体" w:hAnsi="宋体" w:cs="仿宋_GB2312"/>
          <w:sz w:val="28"/>
          <w:szCs w:val="28"/>
        </w:rPr>
        <w:t>年</w:t>
      </w:r>
      <w:r>
        <w:rPr>
          <w:rFonts w:hint="eastAsia" w:ascii="宋体" w:hAnsi="宋体" w:cs="仿宋_GB2312"/>
          <w:sz w:val="28"/>
          <w:szCs w:val="28"/>
          <w:u w:val="single"/>
        </w:rPr>
        <w:t xml:space="preserve">      </w:t>
      </w:r>
      <w:r>
        <w:rPr>
          <w:rFonts w:hint="eastAsia" w:ascii="宋体" w:hAnsi="宋体" w:cs="仿宋_GB2312"/>
          <w:sz w:val="28"/>
          <w:szCs w:val="28"/>
        </w:rPr>
        <w:t>月</w:t>
      </w:r>
      <w:r>
        <w:rPr>
          <w:rFonts w:hint="eastAsia" w:ascii="宋体" w:hAnsi="宋体" w:cs="仿宋_GB2312"/>
          <w:sz w:val="28"/>
          <w:szCs w:val="28"/>
          <w:u w:val="single"/>
        </w:rPr>
        <w:t xml:space="preserve">     </w:t>
      </w:r>
      <w:r>
        <w:rPr>
          <w:rFonts w:hint="eastAsia" w:ascii="宋体" w:hAnsi="宋体" w:cs="仿宋_GB2312"/>
          <w:sz w:val="28"/>
          <w:szCs w:val="28"/>
        </w:rPr>
        <w:t>日</w:t>
      </w:r>
    </w:p>
    <w:p w14:paraId="43B11C9B">
      <w:pPr>
        <w:spacing w:line="360" w:lineRule="auto"/>
        <w:ind w:firstLine="574" w:firstLineChars="205"/>
        <w:jc w:val="left"/>
        <w:rPr>
          <w:rFonts w:ascii="宋体" w:hAnsi="宋体" w:cs="仿宋_GB2312"/>
          <w:sz w:val="28"/>
          <w:szCs w:val="28"/>
          <w:u w:val="single"/>
        </w:rPr>
      </w:pPr>
      <w:r>
        <w:rPr>
          <w:rFonts w:hint="eastAsia" w:ascii="宋体" w:hAnsi="宋体" w:cs="仿宋_GB2312"/>
          <w:sz w:val="28"/>
          <w:szCs w:val="28"/>
        </w:rPr>
        <w:t>经营期限：</w:t>
      </w:r>
      <w:r>
        <w:rPr>
          <w:rFonts w:hint="eastAsia" w:ascii="宋体" w:hAnsi="宋体" w:cs="仿宋_GB2312"/>
          <w:sz w:val="28"/>
          <w:szCs w:val="28"/>
          <w:u w:val="single"/>
        </w:rPr>
        <w:t xml:space="preserve">                                    </w:t>
      </w:r>
    </w:p>
    <w:p w14:paraId="42125D4D">
      <w:pPr>
        <w:spacing w:line="360" w:lineRule="auto"/>
        <w:ind w:firstLine="574" w:firstLineChars="205"/>
        <w:jc w:val="left"/>
        <w:rPr>
          <w:rFonts w:ascii="宋体" w:hAnsi="宋体" w:cs="仿宋_GB2312"/>
          <w:sz w:val="28"/>
          <w:szCs w:val="28"/>
        </w:rPr>
      </w:pPr>
      <w:r>
        <w:rPr>
          <w:rFonts w:hint="eastAsia" w:ascii="宋体" w:hAnsi="宋体" w:cs="仿宋_GB2312"/>
          <w:sz w:val="28"/>
          <w:szCs w:val="28"/>
        </w:rPr>
        <w:t>姓名：</w:t>
      </w:r>
      <w:r>
        <w:rPr>
          <w:rFonts w:hint="eastAsia" w:ascii="宋体" w:hAnsi="宋体" w:cs="仿宋_GB2312"/>
          <w:sz w:val="28"/>
          <w:szCs w:val="28"/>
          <w:u w:val="single"/>
        </w:rPr>
        <w:t xml:space="preserve">             </w:t>
      </w:r>
      <w:r>
        <w:rPr>
          <w:rFonts w:hint="eastAsia" w:ascii="宋体" w:hAnsi="宋体" w:cs="仿宋_GB2312"/>
          <w:sz w:val="28"/>
          <w:szCs w:val="28"/>
        </w:rPr>
        <w:t>性别：</w:t>
      </w:r>
      <w:r>
        <w:rPr>
          <w:rFonts w:hint="eastAsia" w:ascii="宋体" w:hAnsi="宋体" w:cs="仿宋_GB2312"/>
          <w:sz w:val="28"/>
          <w:szCs w:val="28"/>
          <w:u w:val="single"/>
        </w:rPr>
        <w:t xml:space="preserve">      </w:t>
      </w:r>
      <w:r>
        <w:rPr>
          <w:rFonts w:hint="eastAsia" w:ascii="宋体" w:hAnsi="宋体" w:cs="仿宋_GB2312"/>
          <w:sz w:val="28"/>
          <w:szCs w:val="28"/>
        </w:rPr>
        <w:t xml:space="preserve">年龄 </w:t>
      </w:r>
      <w:r>
        <w:rPr>
          <w:rFonts w:hint="eastAsia" w:ascii="宋体" w:hAnsi="宋体" w:cs="仿宋_GB2312"/>
          <w:sz w:val="28"/>
          <w:szCs w:val="28"/>
          <w:u w:val="single"/>
        </w:rPr>
        <w:t xml:space="preserve">      </w:t>
      </w:r>
      <w:r>
        <w:rPr>
          <w:rFonts w:hint="eastAsia" w:ascii="宋体" w:hAnsi="宋体" w:cs="仿宋_GB2312"/>
          <w:sz w:val="28"/>
          <w:szCs w:val="28"/>
        </w:rPr>
        <w:t>职务</w:t>
      </w:r>
      <w:r>
        <w:rPr>
          <w:rFonts w:hint="eastAsia" w:ascii="宋体" w:hAnsi="宋体" w:cs="仿宋_GB2312"/>
          <w:sz w:val="28"/>
          <w:szCs w:val="28"/>
          <w:u w:val="single"/>
        </w:rPr>
        <w:t xml:space="preserve">             </w:t>
      </w:r>
      <w:r>
        <w:rPr>
          <w:rFonts w:hint="eastAsia" w:ascii="宋体" w:hAnsi="宋体" w:cs="仿宋_GB2312"/>
          <w:sz w:val="28"/>
          <w:szCs w:val="28"/>
        </w:rPr>
        <w:t xml:space="preserve">    </w:t>
      </w:r>
    </w:p>
    <w:p w14:paraId="2151A832">
      <w:pPr>
        <w:spacing w:line="360" w:lineRule="auto"/>
        <w:ind w:firstLine="574" w:firstLineChars="205"/>
        <w:jc w:val="left"/>
        <w:rPr>
          <w:rFonts w:ascii="宋体" w:hAnsi="宋体" w:cs="仿宋_GB2312"/>
          <w:sz w:val="28"/>
          <w:szCs w:val="28"/>
        </w:rPr>
      </w:pPr>
      <w:r>
        <w:rPr>
          <w:rFonts w:hint="eastAsia" w:ascii="宋体" w:hAnsi="宋体" w:cs="仿宋_GB2312"/>
          <w:sz w:val="28"/>
          <w:szCs w:val="28"/>
        </w:rPr>
        <w:t>系</w:t>
      </w:r>
      <w:r>
        <w:rPr>
          <w:rFonts w:hint="eastAsia" w:ascii="宋体" w:hAnsi="宋体" w:cs="仿宋_GB2312"/>
          <w:sz w:val="28"/>
          <w:szCs w:val="28"/>
          <w:u w:val="single"/>
        </w:rPr>
        <w:t xml:space="preserve">     （供应商名称）     </w:t>
      </w:r>
      <w:r>
        <w:rPr>
          <w:rFonts w:hint="eastAsia" w:ascii="宋体" w:hAnsi="宋体" w:cs="仿宋_GB2312"/>
          <w:sz w:val="28"/>
          <w:szCs w:val="28"/>
        </w:rPr>
        <w:t>的法定代表人。</w:t>
      </w:r>
    </w:p>
    <w:p w14:paraId="030C15D8">
      <w:pPr>
        <w:spacing w:line="360" w:lineRule="auto"/>
        <w:ind w:firstLine="574" w:firstLineChars="205"/>
        <w:jc w:val="left"/>
        <w:rPr>
          <w:rFonts w:ascii="宋体" w:hAnsi="宋体" w:cs="仿宋_GB2312"/>
          <w:sz w:val="28"/>
          <w:szCs w:val="28"/>
        </w:rPr>
      </w:pPr>
      <w:r>
        <w:rPr>
          <w:rFonts w:hint="eastAsia" w:ascii="宋体" w:hAnsi="宋体" w:cs="仿宋_GB2312"/>
          <w:sz w:val="28"/>
          <w:szCs w:val="28"/>
        </w:rPr>
        <w:t>特此证明。</w:t>
      </w:r>
    </w:p>
    <w:p w14:paraId="29D78C1F">
      <w:pPr>
        <w:spacing w:line="360" w:lineRule="auto"/>
        <w:ind w:firstLine="574" w:firstLineChars="205"/>
        <w:jc w:val="left"/>
        <w:rPr>
          <w:rFonts w:ascii="宋体" w:hAnsi="宋体" w:cs="仿宋_GB2312"/>
          <w:sz w:val="28"/>
          <w:szCs w:val="28"/>
        </w:rPr>
      </w:pPr>
      <w:r>
        <w:rPr>
          <w:rFonts w:hint="eastAsia" w:ascii="宋体" w:hAnsi="宋体" w:cs="仿宋_GB2312"/>
          <w:sz w:val="28"/>
          <w:szCs w:val="28"/>
        </w:rPr>
        <w:t>附：法定代表人身份证扫描件</w:t>
      </w:r>
    </w:p>
    <w:p w14:paraId="58C3C376">
      <w:pPr>
        <w:spacing w:line="360" w:lineRule="auto"/>
        <w:ind w:firstLine="630" w:firstLineChars="225"/>
        <w:jc w:val="left"/>
        <w:rPr>
          <w:rFonts w:ascii="宋体" w:hAnsi="宋体" w:cs="仿宋_GB2312"/>
          <w:sz w:val="28"/>
          <w:szCs w:val="28"/>
        </w:rPr>
      </w:pPr>
    </w:p>
    <w:p w14:paraId="5C45F55D">
      <w:pPr>
        <w:spacing w:line="360" w:lineRule="auto"/>
        <w:ind w:firstLine="574" w:firstLineChars="205"/>
        <w:jc w:val="left"/>
        <w:rPr>
          <w:rFonts w:ascii="宋体" w:hAnsi="宋体" w:cs="仿宋_GB2312"/>
          <w:sz w:val="28"/>
          <w:szCs w:val="28"/>
        </w:rPr>
      </w:pPr>
    </w:p>
    <w:p w14:paraId="2A1D1A7A">
      <w:pPr>
        <w:spacing w:line="360" w:lineRule="auto"/>
        <w:ind w:firstLine="6734" w:firstLineChars="2405"/>
        <w:jc w:val="left"/>
        <w:rPr>
          <w:rFonts w:ascii="宋体" w:hAnsi="宋体" w:cs="仿宋_GB2312"/>
          <w:sz w:val="28"/>
          <w:szCs w:val="28"/>
        </w:rPr>
      </w:pPr>
    </w:p>
    <w:p w14:paraId="02C3A955">
      <w:pPr>
        <w:spacing w:line="360" w:lineRule="auto"/>
        <w:ind w:firstLine="6734" w:firstLineChars="2405"/>
        <w:jc w:val="left"/>
        <w:rPr>
          <w:rFonts w:ascii="宋体" w:hAnsi="宋体" w:cs="仿宋_GB2312"/>
          <w:sz w:val="28"/>
          <w:szCs w:val="28"/>
        </w:rPr>
      </w:pPr>
    </w:p>
    <w:p w14:paraId="3100B3D7">
      <w:pPr>
        <w:pStyle w:val="22"/>
        <w:ind w:firstLine="210"/>
      </w:pPr>
    </w:p>
    <w:p w14:paraId="16A554F8">
      <w:pPr>
        <w:tabs>
          <w:tab w:val="left" w:pos="1155"/>
        </w:tabs>
        <w:spacing w:line="520" w:lineRule="exact"/>
        <w:ind w:firstLine="700" w:firstLineChars="250"/>
        <w:jc w:val="center"/>
        <w:rPr>
          <w:rFonts w:ascii="宋体" w:hAnsi="宋体" w:cs="仿宋_GB2312"/>
          <w:sz w:val="28"/>
          <w:szCs w:val="28"/>
        </w:rPr>
      </w:pPr>
      <w:r>
        <w:rPr>
          <w:rFonts w:hint="eastAsia" w:ascii="宋体" w:hAnsi="宋体" w:cs="仿宋_GB2312"/>
          <w:sz w:val="28"/>
          <w:szCs w:val="28"/>
        </w:rPr>
        <w:t xml:space="preserve">                        供应商名称：（盖单位电子章）</w:t>
      </w:r>
    </w:p>
    <w:p w14:paraId="3FD2D402">
      <w:pPr>
        <w:spacing w:line="360" w:lineRule="auto"/>
        <w:ind w:firstLine="560" w:firstLineChars="200"/>
        <w:jc w:val="right"/>
        <w:rPr>
          <w:rFonts w:ascii="宋体" w:hAnsi="宋体" w:cs="仿宋_GB2312"/>
          <w:sz w:val="28"/>
          <w:szCs w:val="28"/>
          <w:u w:val="single"/>
        </w:rPr>
      </w:pPr>
    </w:p>
    <w:p w14:paraId="3086CFFA">
      <w:pPr>
        <w:jc w:val="center"/>
        <w:rPr>
          <w:sz w:val="32"/>
          <w:szCs w:val="32"/>
        </w:rPr>
      </w:pPr>
      <w:r>
        <w:rPr>
          <w:rFonts w:hint="eastAsia" w:ascii="宋体" w:hAnsi="宋体" w:cs="仿宋_GB2312"/>
          <w:sz w:val="28"/>
          <w:szCs w:val="28"/>
        </w:rPr>
        <w:t xml:space="preserve">                                   年    月    日 </w:t>
      </w:r>
    </w:p>
    <w:p w14:paraId="5FFEB5C6">
      <w:pPr>
        <w:spacing w:line="360" w:lineRule="auto"/>
        <w:rPr>
          <w:rFonts w:ascii="宋体" w:hAnsi="宋体"/>
          <w:sz w:val="28"/>
          <w:szCs w:val="28"/>
        </w:rPr>
      </w:pPr>
    </w:p>
    <w:p w14:paraId="3F2A90A6">
      <w:pPr>
        <w:pStyle w:val="11"/>
        <w:adjustRightInd w:val="0"/>
        <w:snapToGrid w:val="0"/>
        <w:spacing w:line="360" w:lineRule="auto"/>
        <w:rPr>
          <w:rFonts w:hAnsi="宋体"/>
          <w:sz w:val="28"/>
          <w:szCs w:val="28"/>
        </w:rPr>
      </w:pPr>
    </w:p>
    <w:p w14:paraId="1AEF6755">
      <w:pPr>
        <w:pStyle w:val="11"/>
        <w:adjustRightInd w:val="0"/>
        <w:snapToGrid w:val="0"/>
        <w:spacing w:line="360" w:lineRule="auto"/>
        <w:rPr>
          <w:rFonts w:hAnsi="宋体"/>
          <w:sz w:val="28"/>
          <w:szCs w:val="28"/>
        </w:rPr>
      </w:pPr>
    </w:p>
    <w:p w14:paraId="06E619E6">
      <w:pPr>
        <w:pStyle w:val="3"/>
      </w:pPr>
      <w:bookmarkStart w:id="571" w:name="_Toc35524162"/>
      <w:bookmarkStart w:id="572" w:name="_Toc14445"/>
      <w:bookmarkStart w:id="573" w:name="_Toc23191"/>
      <w:bookmarkStart w:id="574" w:name="_Toc11522"/>
      <w:r>
        <w:rPr>
          <w:rFonts w:hint="eastAsia"/>
        </w:rPr>
        <w:t>三、法定代表人授权委托书</w:t>
      </w:r>
      <w:bookmarkEnd w:id="571"/>
      <w:bookmarkEnd w:id="572"/>
    </w:p>
    <w:p w14:paraId="317E134D">
      <w:pPr>
        <w:spacing w:line="360" w:lineRule="auto"/>
        <w:jc w:val="center"/>
        <w:rPr>
          <w:rFonts w:ascii="宋体" w:hAnsi="宋体" w:cs="仿宋_GB2312"/>
          <w:sz w:val="28"/>
          <w:szCs w:val="28"/>
        </w:rPr>
      </w:pPr>
    </w:p>
    <w:p w14:paraId="2D2BD5D9">
      <w:pPr>
        <w:spacing w:line="360" w:lineRule="auto"/>
        <w:ind w:firstLine="588" w:firstLineChars="210"/>
        <w:rPr>
          <w:rFonts w:ascii="宋体" w:hAnsi="宋体" w:cs="仿宋_GB2312"/>
          <w:sz w:val="28"/>
          <w:szCs w:val="28"/>
        </w:rPr>
      </w:pPr>
      <w:r>
        <w:rPr>
          <w:rFonts w:hint="eastAsia" w:ascii="宋体" w:hAnsi="宋体" w:cs="仿宋_GB2312"/>
          <w:sz w:val="28"/>
          <w:szCs w:val="28"/>
        </w:rPr>
        <w:t>本授权委托书声明：我</w:t>
      </w:r>
      <w:r>
        <w:rPr>
          <w:rFonts w:hint="eastAsia" w:ascii="宋体" w:hAnsi="宋体" w:cs="仿宋_GB2312"/>
          <w:sz w:val="28"/>
          <w:szCs w:val="28"/>
          <w:u w:val="single"/>
        </w:rPr>
        <w:t xml:space="preserve">         </w:t>
      </w:r>
      <w:r>
        <w:rPr>
          <w:rFonts w:hint="eastAsia" w:ascii="宋体" w:hAnsi="宋体" w:cs="仿宋_GB2312"/>
          <w:sz w:val="28"/>
          <w:szCs w:val="28"/>
        </w:rPr>
        <w:t>（姓名）系</w:t>
      </w:r>
      <w:r>
        <w:rPr>
          <w:rFonts w:hint="eastAsia" w:ascii="宋体" w:hAnsi="宋体" w:cs="仿宋_GB2312"/>
          <w:sz w:val="28"/>
          <w:szCs w:val="28"/>
          <w:u w:val="single"/>
        </w:rPr>
        <w:t xml:space="preserve">                  </w:t>
      </w:r>
      <w:r>
        <w:rPr>
          <w:rFonts w:hint="eastAsia" w:ascii="宋体" w:hAnsi="宋体" w:cs="仿宋_GB2312"/>
          <w:sz w:val="28"/>
          <w:szCs w:val="28"/>
        </w:rPr>
        <w:t>（供应商名称）的法定代表人，现授权委托</w:t>
      </w:r>
      <w:r>
        <w:rPr>
          <w:rFonts w:hint="eastAsia" w:ascii="宋体" w:hAnsi="宋体" w:cs="仿宋_GB2312"/>
          <w:sz w:val="28"/>
          <w:szCs w:val="28"/>
          <w:u w:val="single"/>
        </w:rPr>
        <w:t xml:space="preserve">         </w:t>
      </w:r>
      <w:r>
        <w:rPr>
          <w:rFonts w:hint="eastAsia" w:ascii="宋体" w:hAnsi="宋体" w:cs="仿宋_GB2312"/>
          <w:sz w:val="28"/>
          <w:szCs w:val="28"/>
        </w:rPr>
        <w:t>（姓名）为我方代理人。代理人根据授权，以我方名义签署、澄清、说明、补正、递交、撤回、修改</w:t>
      </w:r>
      <w:r>
        <w:rPr>
          <w:rFonts w:hint="eastAsia" w:ascii="宋体" w:hAnsi="宋体" w:cs="仿宋_GB2312"/>
          <w:sz w:val="28"/>
          <w:szCs w:val="28"/>
          <w:u w:val="single"/>
        </w:rPr>
        <w:t xml:space="preserve">                         </w:t>
      </w:r>
      <w:r>
        <w:rPr>
          <w:rFonts w:hint="eastAsia" w:ascii="宋体" w:hAnsi="宋体" w:cs="仿宋_GB2312"/>
          <w:sz w:val="28"/>
          <w:szCs w:val="28"/>
        </w:rPr>
        <w:t>（项目名称）</w:t>
      </w:r>
      <w:r>
        <w:rPr>
          <w:rFonts w:hint="eastAsia" w:ascii="宋体" w:hAnsi="宋体" w:cs="仿宋_GB2312"/>
          <w:sz w:val="28"/>
          <w:szCs w:val="28"/>
          <w:u w:val="single"/>
        </w:rPr>
        <w:t xml:space="preserve">       </w:t>
      </w:r>
      <w:r>
        <w:rPr>
          <w:rFonts w:hint="eastAsia" w:ascii="宋体" w:hAnsi="宋体" w:cs="仿宋_GB2312"/>
          <w:sz w:val="28"/>
          <w:szCs w:val="28"/>
        </w:rPr>
        <w:t>标段投标文件、签订合同和处理有关事宜，其法律后果由我方承担。</w:t>
      </w:r>
    </w:p>
    <w:p w14:paraId="51FC4954">
      <w:pPr>
        <w:spacing w:line="360" w:lineRule="auto"/>
        <w:ind w:firstLine="588" w:firstLineChars="210"/>
        <w:rPr>
          <w:rFonts w:ascii="宋体" w:hAnsi="宋体" w:cs="仿宋_GB2312"/>
          <w:sz w:val="28"/>
          <w:szCs w:val="28"/>
          <w:u w:val="single"/>
        </w:rPr>
      </w:pPr>
      <w:r>
        <w:rPr>
          <w:rFonts w:hint="eastAsia" w:ascii="宋体" w:hAnsi="宋体" w:cs="仿宋_GB2312"/>
          <w:sz w:val="28"/>
          <w:szCs w:val="28"/>
        </w:rPr>
        <w:t>委托期限：</w:t>
      </w:r>
      <w:r>
        <w:rPr>
          <w:rFonts w:hint="eastAsia" w:ascii="宋体" w:hAnsi="宋体" w:cs="仿宋_GB2312"/>
          <w:sz w:val="28"/>
          <w:szCs w:val="28"/>
          <w:u w:val="single"/>
        </w:rPr>
        <w:t xml:space="preserve">                             </w:t>
      </w:r>
    </w:p>
    <w:p w14:paraId="7AD279C8">
      <w:pPr>
        <w:spacing w:line="360" w:lineRule="auto"/>
        <w:ind w:firstLine="630" w:firstLineChars="225"/>
        <w:jc w:val="left"/>
        <w:rPr>
          <w:rFonts w:ascii="宋体" w:hAnsi="宋体" w:cs="仿宋_GB2312"/>
          <w:sz w:val="28"/>
          <w:szCs w:val="28"/>
        </w:rPr>
      </w:pPr>
      <w:r>
        <w:rPr>
          <w:rFonts w:hint="eastAsia" w:ascii="宋体" w:hAnsi="宋体" w:cs="仿宋_GB2312"/>
          <w:sz w:val="28"/>
          <w:szCs w:val="28"/>
        </w:rPr>
        <w:t>代理人无转委托权。</w:t>
      </w:r>
    </w:p>
    <w:p w14:paraId="3A3011E8">
      <w:pPr>
        <w:spacing w:line="360" w:lineRule="auto"/>
        <w:ind w:firstLine="700" w:firstLineChars="250"/>
        <w:jc w:val="left"/>
        <w:rPr>
          <w:rFonts w:ascii="宋体" w:hAnsi="宋体" w:cs="仿宋_GB2312"/>
          <w:sz w:val="28"/>
          <w:szCs w:val="28"/>
        </w:rPr>
      </w:pPr>
      <w:r>
        <w:rPr>
          <w:rFonts w:hint="eastAsia" w:ascii="宋体" w:hAnsi="宋体" w:cs="仿宋_GB2312"/>
          <w:sz w:val="28"/>
          <w:szCs w:val="28"/>
        </w:rPr>
        <w:t>附：委托代理人身份证明</w:t>
      </w:r>
    </w:p>
    <w:p w14:paraId="5CA4D680">
      <w:pPr>
        <w:spacing w:line="360" w:lineRule="auto"/>
        <w:ind w:right="920" w:firstLine="2380" w:firstLineChars="850"/>
        <w:rPr>
          <w:rFonts w:ascii="宋体" w:hAnsi="宋体" w:cs="仿宋_GB2312"/>
          <w:sz w:val="28"/>
          <w:szCs w:val="28"/>
        </w:rPr>
      </w:pPr>
      <w:r>
        <w:rPr>
          <w:rFonts w:hint="eastAsia" w:ascii="宋体" w:hAnsi="宋体" w:cs="仿宋_GB2312"/>
          <w:sz w:val="28"/>
          <w:szCs w:val="28"/>
        </w:rPr>
        <w:t>供应商：</w:t>
      </w:r>
      <w:r>
        <w:rPr>
          <w:rFonts w:hint="eastAsia" w:ascii="宋体" w:hAnsi="宋体" w:cs="仿宋_GB2312"/>
          <w:sz w:val="28"/>
          <w:szCs w:val="28"/>
          <w:u w:val="single"/>
        </w:rPr>
        <w:t>　　 　　　　　　</w:t>
      </w:r>
      <w:r>
        <w:rPr>
          <w:rFonts w:hint="eastAsia" w:ascii="宋体" w:hAnsi="宋体" w:cs="仿宋_GB2312"/>
          <w:sz w:val="28"/>
          <w:szCs w:val="28"/>
        </w:rPr>
        <w:t>（盖单位电子章）</w:t>
      </w:r>
    </w:p>
    <w:p w14:paraId="6333CB3D">
      <w:pPr>
        <w:spacing w:line="360" w:lineRule="auto"/>
        <w:ind w:right="560" w:firstLine="2240" w:firstLineChars="800"/>
        <w:rPr>
          <w:rFonts w:ascii="宋体" w:hAnsi="宋体" w:cs="仿宋_GB2312"/>
          <w:sz w:val="28"/>
          <w:szCs w:val="28"/>
        </w:rPr>
      </w:pPr>
      <w:r>
        <w:rPr>
          <w:rFonts w:hint="eastAsia" w:ascii="宋体" w:hAnsi="宋体" w:cs="仿宋_GB2312"/>
          <w:sz w:val="28"/>
          <w:szCs w:val="28"/>
        </w:rPr>
        <w:t>法定代表人：</w:t>
      </w:r>
      <w:r>
        <w:rPr>
          <w:rFonts w:hint="eastAsia" w:ascii="宋体" w:hAnsi="宋体" w:cs="仿宋_GB2312"/>
          <w:sz w:val="28"/>
          <w:szCs w:val="28"/>
          <w:u w:val="single"/>
        </w:rPr>
        <w:t xml:space="preserve"> 　　　　　　</w:t>
      </w:r>
      <w:r>
        <w:rPr>
          <w:rFonts w:hint="eastAsia" w:ascii="宋体" w:hAnsi="宋体" w:cs="仿宋_GB2312"/>
          <w:sz w:val="28"/>
          <w:szCs w:val="28"/>
        </w:rPr>
        <w:t>（</w:t>
      </w:r>
      <w:r>
        <w:rPr>
          <w:rFonts w:hint="eastAsia" w:ascii="宋体" w:hAnsi="宋体" w:cs="宋体"/>
          <w:sz w:val="28"/>
          <w:szCs w:val="28"/>
        </w:rPr>
        <w:t>盖电子印章或签名</w:t>
      </w:r>
      <w:r>
        <w:rPr>
          <w:rFonts w:hint="eastAsia" w:ascii="宋体" w:hAnsi="宋体" w:cs="仿宋_GB2312"/>
          <w:sz w:val="28"/>
          <w:szCs w:val="28"/>
        </w:rPr>
        <w:t>）</w:t>
      </w:r>
    </w:p>
    <w:p w14:paraId="371DB02E">
      <w:pPr>
        <w:spacing w:line="360" w:lineRule="auto"/>
        <w:ind w:firstLine="2240" w:firstLineChars="800"/>
        <w:rPr>
          <w:rFonts w:ascii="宋体" w:hAnsi="宋体" w:cs="仿宋_GB2312"/>
          <w:sz w:val="28"/>
          <w:szCs w:val="28"/>
        </w:rPr>
      </w:pPr>
      <w:r>
        <w:rPr>
          <w:rFonts w:hint="eastAsia" w:ascii="宋体" w:hAnsi="宋体" w:cs="仿宋_GB2312"/>
          <w:sz w:val="28"/>
          <w:szCs w:val="28"/>
        </w:rPr>
        <w:t>身份证号码：</w:t>
      </w:r>
      <w:r>
        <w:rPr>
          <w:rFonts w:hint="eastAsia" w:ascii="宋体" w:hAnsi="宋体" w:cs="仿宋_GB2312"/>
          <w:sz w:val="28"/>
          <w:szCs w:val="28"/>
          <w:u w:val="single"/>
        </w:rPr>
        <w:t xml:space="preserve">　　　　　　　     </w:t>
      </w:r>
    </w:p>
    <w:p w14:paraId="4E1EF8E9">
      <w:pPr>
        <w:spacing w:line="360" w:lineRule="auto"/>
        <w:ind w:right="560" w:firstLine="2380" w:firstLineChars="850"/>
        <w:rPr>
          <w:rFonts w:ascii="宋体" w:hAnsi="宋体" w:cs="仿宋_GB2312"/>
          <w:sz w:val="28"/>
          <w:szCs w:val="28"/>
        </w:rPr>
      </w:pPr>
      <w:r>
        <w:rPr>
          <w:rFonts w:hint="eastAsia" w:ascii="宋体" w:hAnsi="宋体" w:cs="仿宋_GB2312"/>
          <w:sz w:val="28"/>
          <w:szCs w:val="28"/>
        </w:rPr>
        <w:t>委托代理人：</w:t>
      </w:r>
      <w:r>
        <w:rPr>
          <w:rFonts w:hint="eastAsia" w:ascii="宋体" w:hAnsi="宋体" w:cs="仿宋_GB2312"/>
          <w:sz w:val="28"/>
          <w:szCs w:val="28"/>
          <w:u w:val="single"/>
        </w:rPr>
        <w:t xml:space="preserve">　　　　　   </w:t>
      </w:r>
      <w:r>
        <w:rPr>
          <w:rFonts w:hint="eastAsia" w:ascii="宋体" w:hAnsi="宋体" w:cs="仿宋_GB2312"/>
          <w:sz w:val="28"/>
          <w:szCs w:val="28"/>
        </w:rPr>
        <w:t>（</w:t>
      </w:r>
      <w:r>
        <w:rPr>
          <w:rFonts w:hint="eastAsia" w:ascii="宋体" w:hAnsi="宋体" w:cs="宋体"/>
          <w:sz w:val="28"/>
          <w:szCs w:val="28"/>
        </w:rPr>
        <w:t>盖电子印章或签名</w:t>
      </w:r>
      <w:r>
        <w:rPr>
          <w:rFonts w:hint="eastAsia" w:ascii="宋体" w:hAnsi="宋体" w:cs="仿宋_GB2312"/>
          <w:sz w:val="28"/>
          <w:szCs w:val="28"/>
        </w:rPr>
        <w:t>）</w:t>
      </w:r>
    </w:p>
    <w:p w14:paraId="2DE5AB4D">
      <w:pPr>
        <w:spacing w:line="360" w:lineRule="auto"/>
        <w:ind w:firstLine="2380" w:firstLineChars="850"/>
        <w:rPr>
          <w:rFonts w:ascii="宋体" w:hAnsi="宋体" w:cs="仿宋_GB2312"/>
          <w:sz w:val="28"/>
          <w:szCs w:val="28"/>
        </w:rPr>
      </w:pPr>
      <w:r>
        <w:rPr>
          <w:rFonts w:hint="eastAsia" w:ascii="宋体" w:hAnsi="宋体" w:cs="仿宋_GB2312"/>
          <w:sz w:val="28"/>
          <w:szCs w:val="28"/>
        </w:rPr>
        <w:t>身份证号码：</w:t>
      </w:r>
      <w:r>
        <w:rPr>
          <w:rFonts w:hint="eastAsia" w:ascii="宋体" w:hAnsi="宋体" w:cs="仿宋_GB2312"/>
          <w:sz w:val="28"/>
          <w:szCs w:val="28"/>
          <w:u w:val="single"/>
        </w:rPr>
        <w:t xml:space="preserve">　　　　　　　     </w:t>
      </w:r>
    </w:p>
    <w:p w14:paraId="44876A5F">
      <w:pPr>
        <w:spacing w:line="360" w:lineRule="auto"/>
        <w:ind w:firstLine="560" w:firstLineChars="200"/>
        <w:jc w:val="right"/>
        <w:rPr>
          <w:rFonts w:ascii="宋体" w:hAnsi="宋体" w:cs="仿宋_GB2312"/>
          <w:sz w:val="28"/>
          <w:szCs w:val="28"/>
          <w:u w:val="single"/>
        </w:rPr>
      </w:pPr>
    </w:p>
    <w:p w14:paraId="46A256BE">
      <w:pPr>
        <w:jc w:val="center"/>
        <w:rPr>
          <w:sz w:val="32"/>
          <w:szCs w:val="32"/>
        </w:rPr>
      </w:pPr>
      <w:r>
        <w:rPr>
          <w:rFonts w:hint="eastAsia" w:ascii="宋体" w:hAnsi="宋体" w:cs="仿宋_GB2312"/>
          <w:sz w:val="28"/>
          <w:szCs w:val="28"/>
        </w:rPr>
        <w:t xml:space="preserve">                                   年    月    日 </w:t>
      </w:r>
    </w:p>
    <w:p w14:paraId="577A189A">
      <w:pPr>
        <w:pStyle w:val="23"/>
        <w:ind w:left="0" w:right="560" w:firstLine="0" w:firstLineChars="0"/>
        <w:rPr>
          <w:rFonts w:ascii="宋体" w:hAnsi="宋体" w:cs="仿宋_GB2312"/>
          <w:b/>
          <w:kern w:val="2"/>
          <w:sz w:val="21"/>
          <w:szCs w:val="21"/>
        </w:rPr>
      </w:pPr>
      <w:r>
        <w:rPr>
          <w:rFonts w:hint="eastAsia" w:ascii="宋体" w:hAnsi="宋体" w:cs="仿宋_GB2312"/>
          <w:b/>
          <w:kern w:val="2"/>
          <w:sz w:val="21"/>
          <w:szCs w:val="21"/>
        </w:rPr>
        <w:t>注：</w:t>
      </w:r>
    </w:p>
    <w:p w14:paraId="7AAD7BEC">
      <w:pPr>
        <w:pStyle w:val="23"/>
        <w:ind w:left="0" w:firstLine="0" w:firstLineChars="0"/>
        <w:rPr>
          <w:rFonts w:ascii="宋体" w:hAnsi="宋体" w:cs="仿宋_GB2312"/>
          <w:b/>
          <w:kern w:val="2"/>
          <w:sz w:val="21"/>
          <w:szCs w:val="21"/>
        </w:rPr>
      </w:pPr>
      <w:r>
        <w:rPr>
          <w:rFonts w:hint="eastAsia" w:ascii="宋体" w:hAnsi="宋体" w:cs="仿宋_GB2312"/>
          <w:b/>
          <w:kern w:val="2"/>
          <w:sz w:val="21"/>
          <w:szCs w:val="21"/>
        </w:rPr>
        <w:t>1、如果由法定代表人签署响应文件，则无需填写该授权委托书。</w:t>
      </w:r>
    </w:p>
    <w:p w14:paraId="5F4199A5">
      <w:pPr>
        <w:spacing w:line="360" w:lineRule="auto"/>
        <w:jc w:val="left"/>
        <w:rPr>
          <w:rFonts w:ascii="宋体" w:hAnsi="宋体" w:cs="仿宋_GB2312"/>
          <w:sz w:val="28"/>
          <w:szCs w:val="28"/>
        </w:rPr>
      </w:pPr>
      <w:r>
        <w:rPr>
          <w:rFonts w:hint="eastAsia" w:ascii="宋体" w:hAnsi="宋体" w:cs="仿宋_GB2312"/>
          <w:b/>
        </w:rPr>
        <w:t>2、如果由委托代理人签署响应文件，被授权人须为本单位正式员工，在本公司参加社会保险（提供社会保险证明必须是网上下载的网页的单位整体缴纳清单或个人缴费明细表，或由当地社保部门出具的查询明细表原件并加盖社保部门印章，或个人、集体对账单，除此之外的证明无效）。</w:t>
      </w:r>
    </w:p>
    <w:p w14:paraId="31636656">
      <w:pPr>
        <w:pStyle w:val="22"/>
        <w:ind w:firstLine="210"/>
      </w:pPr>
    </w:p>
    <w:bookmarkEnd w:id="566"/>
    <w:bookmarkEnd w:id="567"/>
    <w:bookmarkEnd w:id="573"/>
    <w:bookmarkEnd w:id="574"/>
    <w:p w14:paraId="10EE2E78">
      <w:pPr>
        <w:pStyle w:val="3"/>
      </w:pPr>
      <w:bookmarkStart w:id="575" w:name="_Toc6485"/>
      <w:bookmarkStart w:id="576" w:name="_Toc3061"/>
      <w:bookmarkStart w:id="577" w:name="_Toc15035"/>
      <w:bookmarkStart w:id="578" w:name="_Toc234035315"/>
      <w:bookmarkStart w:id="579" w:name="_Toc243607949"/>
      <w:r>
        <w:rPr>
          <w:rFonts w:hint="eastAsia"/>
        </w:rPr>
        <w:t>四、资格审查资料</w:t>
      </w:r>
      <w:bookmarkEnd w:id="575"/>
      <w:bookmarkEnd w:id="576"/>
      <w:bookmarkEnd w:id="577"/>
    </w:p>
    <w:bookmarkEnd w:id="578"/>
    <w:bookmarkEnd w:id="579"/>
    <w:p w14:paraId="3121C1C3">
      <w:pPr>
        <w:jc w:val="center"/>
        <w:rPr>
          <w:sz w:val="32"/>
          <w:szCs w:val="32"/>
        </w:rPr>
      </w:pPr>
      <w:r>
        <w:rPr>
          <w:rFonts w:hint="eastAsia"/>
          <w:sz w:val="32"/>
          <w:szCs w:val="32"/>
        </w:rPr>
        <w:t>（1）投标人基本情况表</w:t>
      </w:r>
    </w:p>
    <w:tbl>
      <w:tblPr>
        <w:tblStyle w:val="24"/>
        <w:tblW w:w="9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089"/>
        <w:gridCol w:w="176"/>
        <w:gridCol w:w="723"/>
        <w:gridCol w:w="1430"/>
      </w:tblGrid>
      <w:tr w14:paraId="57474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39185FDA">
            <w:pPr>
              <w:spacing w:line="360" w:lineRule="auto"/>
              <w:jc w:val="center"/>
              <w:rPr>
                <w:rFonts w:ascii="宋体" w:hAnsi="宋体" w:cs="仿宋_GB2312"/>
                <w:color w:val="000000"/>
              </w:rPr>
            </w:pPr>
            <w:r>
              <w:rPr>
                <w:rFonts w:hint="eastAsia" w:ascii="宋体" w:hAnsi="宋体" w:cs="仿宋_GB2312"/>
                <w:color w:val="000000"/>
              </w:rPr>
              <w:t>供应商名称</w:t>
            </w:r>
          </w:p>
        </w:tc>
        <w:tc>
          <w:tcPr>
            <w:tcW w:w="7550" w:type="dxa"/>
            <w:gridSpan w:val="8"/>
            <w:tcBorders>
              <w:top w:val="single" w:color="auto" w:sz="4" w:space="0"/>
              <w:left w:val="single" w:color="auto" w:sz="4" w:space="0"/>
              <w:bottom w:val="single" w:color="auto" w:sz="4" w:space="0"/>
              <w:right w:val="single" w:color="auto" w:sz="4" w:space="0"/>
            </w:tcBorders>
            <w:vAlign w:val="center"/>
          </w:tcPr>
          <w:p w14:paraId="75ADDB7C">
            <w:pPr>
              <w:spacing w:line="360" w:lineRule="auto"/>
              <w:jc w:val="center"/>
              <w:rPr>
                <w:rFonts w:ascii="宋体" w:hAnsi="宋体" w:cs="仿宋_GB2312"/>
                <w:color w:val="000000"/>
              </w:rPr>
            </w:pPr>
          </w:p>
        </w:tc>
      </w:tr>
      <w:tr w14:paraId="6D7C9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63EE1436">
            <w:pPr>
              <w:spacing w:line="360" w:lineRule="auto"/>
              <w:jc w:val="center"/>
              <w:rPr>
                <w:rFonts w:ascii="宋体" w:hAnsi="宋体" w:cs="仿宋_GB2312"/>
                <w:color w:val="000000"/>
              </w:rPr>
            </w:pPr>
            <w:r>
              <w:rPr>
                <w:rFonts w:hint="eastAsia" w:ascii="宋体" w:hAnsi="宋体" w:cs="仿宋_GB2312"/>
                <w:color w:val="000000"/>
              </w:rPr>
              <w:t>注册地址</w:t>
            </w:r>
          </w:p>
        </w:tc>
        <w:tc>
          <w:tcPr>
            <w:tcW w:w="4132" w:type="dxa"/>
            <w:gridSpan w:val="4"/>
            <w:tcBorders>
              <w:top w:val="single" w:color="auto" w:sz="4" w:space="0"/>
              <w:left w:val="single" w:color="auto" w:sz="4" w:space="0"/>
              <w:bottom w:val="single" w:color="auto" w:sz="4" w:space="0"/>
              <w:right w:val="single" w:color="auto" w:sz="4" w:space="0"/>
            </w:tcBorders>
            <w:vAlign w:val="center"/>
          </w:tcPr>
          <w:p w14:paraId="23E4B321">
            <w:pPr>
              <w:spacing w:line="360" w:lineRule="auto"/>
              <w:jc w:val="center"/>
              <w:rPr>
                <w:rFonts w:ascii="宋体" w:hAnsi="宋体" w:cs="仿宋_GB2312"/>
                <w:color w:val="000000"/>
              </w:rPr>
            </w:pPr>
          </w:p>
        </w:tc>
        <w:tc>
          <w:tcPr>
            <w:tcW w:w="1089" w:type="dxa"/>
            <w:tcBorders>
              <w:top w:val="single" w:color="auto" w:sz="4" w:space="0"/>
              <w:left w:val="single" w:color="auto" w:sz="4" w:space="0"/>
              <w:bottom w:val="single" w:color="auto" w:sz="4" w:space="0"/>
              <w:right w:val="single" w:color="auto" w:sz="4" w:space="0"/>
            </w:tcBorders>
            <w:vAlign w:val="center"/>
          </w:tcPr>
          <w:p w14:paraId="1217DB2A">
            <w:pPr>
              <w:spacing w:line="360" w:lineRule="auto"/>
              <w:jc w:val="center"/>
              <w:rPr>
                <w:rFonts w:ascii="宋体" w:hAnsi="宋体" w:cs="仿宋_GB2312"/>
                <w:color w:val="000000"/>
              </w:rPr>
            </w:pPr>
            <w:r>
              <w:rPr>
                <w:rFonts w:hint="eastAsia" w:ascii="宋体" w:hAnsi="宋体" w:cs="仿宋_GB2312"/>
                <w:color w:val="000000"/>
              </w:rPr>
              <w:t>邮政编码</w:t>
            </w:r>
          </w:p>
        </w:tc>
        <w:tc>
          <w:tcPr>
            <w:tcW w:w="2329" w:type="dxa"/>
            <w:gridSpan w:val="3"/>
            <w:tcBorders>
              <w:top w:val="single" w:color="auto" w:sz="4" w:space="0"/>
              <w:left w:val="single" w:color="auto" w:sz="4" w:space="0"/>
              <w:bottom w:val="single" w:color="auto" w:sz="4" w:space="0"/>
              <w:right w:val="single" w:color="auto" w:sz="4" w:space="0"/>
            </w:tcBorders>
            <w:vAlign w:val="center"/>
          </w:tcPr>
          <w:p w14:paraId="0B601E2F">
            <w:pPr>
              <w:spacing w:line="360" w:lineRule="auto"/>
              <w:jc w:val="center"/>
              <w:rPr>
                <w:rFonts w:ascii="宋体" w:hAnsi="宋体" w:cs="仿宋_GB2312"/>
                <w:color w:val="000000"/>
              </w:rPr>
            </w:pPr>
          </w:p>
        </w:tc>
      </w:tr>
      <w:tr w14:paraId="48C92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tcBorders>
              <w:top w:val="single" w:color="auto" w:sz="4" w:space="0"/>
              <w:left w:val="single" w:color="auto" w:sz="4" w:space="0"/>
              <w:bottom w:val="single" w:color="auto" w:sz="4" w:space="0"/>
              <w:right w:val="single" w:color="auto" w:sz="4" w:space="0"/>
            </w:tcBorders>
            <w:vAlign w:val="center"/>
          </w:tcPr>
          <w:p w14:paraId="69EF4BC7">
            <w:pPr>
              <w:spacing w:line="360" w:lineRule="auto"/>
              <w:jc w:val="center"/>
              <w:rPr>
                <w:rFonts w:ascii="宋体" w:hAnsi="宋体" w:cs="仿宋_GB2312"/>
                <w:color w:val="000000"/>
              </w:rPr>
            </w:pPr>
            <w:r>
              <w:rPr>
                <w:rFonts w:hint="eastAsia" w:ascii="宋体" w:hAnsi="宋体" w:cs="仿宋_GB2312"/>
                <w:color w:val="000000"/>
              </w:rPr>
              <w:t>联系方式</w:t>
            </w:r>
          </w:p>
        </w:tc>
        <w:tc>
          <w:tcPr>
            <w:tcW w:w="1077" w:type="dxa"/>
            <w:tcBorders>
              <w:top w:val="single" w:color="auto" w:sz="4" w:space="0"/>
              <w:left w:val="single" w:color="auto" w:sz="4" w:space="0"/>
              <w:bottom w:val="single" w:color="auto" w:sz="4" w:space="0"/>
              <w:right w:val="single" w:color="auto" w:sz="4" w:space="0"/>
            </w:tcBorders>
            <w:vAlign w:val="center"/>
          </w:tcPr>
          <w:p w14:paraId="015C87F3">
            <w:pPr>
              <w:spacing w:line="360" w:lineRule="auto"/>
              <w:jc w:val="center"/>
              <w:rPr>
                <w:rFonts w:ascii="宋体" w:hAnsi="宋体" w:cs="仿宋_GB2312"/>
                <w:color w:val="000000"/>
              </w:rPr>
            </w:pPr>
            <w:r>
              <w:rPr>
                <w:rFonts w:hint="eastAsia" w:ascii="宋体" w:hAnsi="宋体" w:cs="仿宋_GB2312"/>
                <w:color w:val="000000"/>
              </w:rPr>
              <w:t>联系人</w:t>
            </w:r>
          </w:p>
        </w:tc>
        <w:tc>
          <w:tcPr>
            <w:tcW w:w="3055" w:type="dxa"/>
            <w:gridSpan w:val="3"/>
            <w:tcBorders>
              <w:top w:val="single" w:color="auto" w:sz="4" w:space="0"/>
              <w:left w:val="single" w:color="auto" w:sz="4" w:space="0"/>
              <w:bottom w:val="single" w:color="auto" w:sz="4" w:space="0"/>
              <w:right w:val="single" w:color="auto" w:sz="4" w:space="0"/>
            </w:tcBorders>
            <w:vAlign w:val="center"/>
          </w:tcPr>
          <w:p w14:paraId="20DF0E11">
            <w:pPr>
              <w:spacing w:line="360" w:lineRule="auto"/>
              <w:jc w:val="center"/>
              <w:rPr>
                <w:rFonts w:ascii="宋体" w:hAnsi="宋体" w:cs="仿宋_GB2312"/>
                <w:color w:val="000000"/>
              </w:rPr>
            </w:pPr>
          </w:p>
        </w:tc>
        <w:tc>
          <w:tcPr>
            <w:tcW w:w="1089" w:type="dxa"/>
            <w:tcBorders>
              <w:top w:val="single" w:color="auto" w:sz="4" w:space="0"/>
              <w:left w:val="single" w:color="auto" w:sz="4" w:space="0"/>
              <w:bottom w:val="single" w:color="auto" w:sz="4" w:space="0"/>
              <w:right w:val="single" w:color="auto" w:sz="4" w:space="0"/>
            </w:tcBorders>
            <w:vAlign w:val="center"/>
          </w:tcPr>
          <w:p w14:paraId="14C53C27">
            <w:pPr>
              <w:spacing w:line="360" w:lineRule="auto"/>
              <w:jc w:val="center"/>
              <w:rPr>
                <w:rFonts w:ascii="宋体" w:hAnsi="宋体" w:cs="仿宋_GB2312"/>
                <w:color w:val="000000"/>
              </w:rPr>
            </w:pPr>
            <w:r>
              <w:rPr>
                <w:rFonts w:hint="eastAsia" w:ascii="宋体" w:hAnsi="宋体" w:cs="仿宋_GB2312"/>
                <w:color w:val="000000"/>
              </w:rPr>
              <w:t>电话</w:t>
            </w:r>
          </w:p>
        </w:tc>
        <w:tc>
          <w:tcPr>
            <w:tcW w:w="2329" w:type="dxa"/>
            <w:gridSpan w:val="3"/>
            <w:tcBorders>
              <w:top w:val="single" w:color="auto" w:sz="4" w:space="0"/>
              <w:left w:val="single" w:color="auto" w:sz="4" w:space="0"/>
              <w:bottom w:val="single" w:color="auto" w:sz="4" w:space="0"/>
              <w:right w:val="single" w:color="auto" w:sz="4" w:space="0"/>
            </w:tcBorders>
            <w:vAlign w:val="center"/>
          </w:tcPr>
          <w:p w14:paraId="7C940109">
            <w:pPr>
              <w:spacing w:line="360" w:lineRule="auto"/>
              <w:jc w:val="center"/>
              <w:rPr>
                <w:rFonts w:ascii="宋体" w:hAnsi="宋体" w:cs="仿宋_GB2312"/>
                <w:color w:val="000000"/>
              </w:rPr>
            </w:pPr>
          </w:p>
        </w:tc>
      </w:tr>
      <w:tr w14:paraId="1A613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14:paraId="43156A02">
            <w:pPr>
              <w:widowControl/>
              <w:jc w:val="left"/>
              <w:rPr>
                <w:rFonts w:ascii="宋体" w:hAnsi="宋体" w:cs="仿宋_GB2312"/>
                <w:color w:val="000000"/>
              </w:rPr>
            </w:pPr>
          </w:p>
        </w:tc>
        <w:tc>
          <w:tcPr>
            <w:tcW w:w="1077" w:type="dxa"/>
            <w:tcBorders>
              <w:top w:val="single" w:color="auto" w:sz="4" w:space="0"/>
              <w:left w:val="single" w:color="auto" w:sz="4" w:space="0"/>
              <w:bottom w:val="single" w:color="auto" w:sz="4" w:space="0"/>
              <w:right w:val="single" w:color="auto" w:sz="4" w:space="0"/>
            </w:tcBorders>
            <w:vAlign w:val="center"/>
          </w:tcPr>
          <w:p w14:paraId="7D270E12">
            <w:pPr>
              <w:spacing w:line="360" w:lineRule="auto"/>
              <w:jc w:val="center"/>
              <w:rPr>
                <w:rFonts w:ascii="宋体" w:hAnsi="宋体" w:cs="仿宋_GB2312"/>
                <w:color w:val="000000"/>
              </w:rPr>
            </w:pPr>
            <w:r>
              <w:rPr>
                <w:rFonts w:hint="eastAsia" w:ascii="宋体" w:hAnsi="宋体" w:cs="仿宋_GB2312"/>
                <w:color w:val="000000"/>
              </w:rPr>
              <w:t>传真</w:t>
            </w:r>
          </w:p>
        </w:tc>
        <w:tc>
          <w:tcPr>
            <w:tcW w:w="3055" w:type="dxa"/>
            <w:gridSpan w:val="3"/>
            <w:tcBorders>
              <w:top w:val="single" w:color="auto" w:sz="4" w:space="0"/>
              <w:left w:val="single" w:color="auto" w:sz="4" w:space="0"/>
              <w:bottom w:val="single" w:color="auto" w:sz="4" w:space="0"/>
              <w:right w:val="single" w:color="auto" w:sz="4" w:space="0"/>
            </w:tcBorders>
            <w:vAlign w:val="center"/>
          </w:tcPr>
          <w:p w14:paraId="3AB1295F">
            <w:pPr>
              <w:spacing w:line="360" w:lineRule="auto"/>
              <w:jc w:val="center"/>
              <w:rPr>
                <w:rFonts w:ascii="宋体" w:hAnsi="宋体" w:cs="仿宋_GB2312"/>
                <w:color w:val="000000"/>
              </w:rPr>
            </w:pPr>
          </w:p>
        </w:tc>
        <w:tc>
          <w:tcPr>
            <w:tcW w:w="1089" w:type="dxa"/>
            <w:tcBorders>
              <w:top w:val="single" w:color="auto" w:sz="4" w:space="0"/>
              <w:left w:val="single" w:color="auto" w:sz="4" w:space="0"/>
              <w:bottom w:val="single" w:color="auto" w:sz="4" w:space="0"/>
              <w:right w:val="single" w:color="auto" w:sz="4" w:space="0"/>
            </w:tcBorders>
            <w:vAlign w:val="center"/>
          </w:tcPr>
          <w:p w14:paraId="0A1F2832">
            <w:pPr>
              <w:spacing w:line="360" w:lineRule="auto"/>
              <w:jc w:val="center"/>
              <w:rPr>
                <w:rFonts w:ascii="宋体" w:hAnsi="宋体" w:cs="仿宋_GB2312"/>
                <w:color w:val="000000"/>
              </w:rPr>
            </w:pPr>
            <w:r>
              <w:rPr>
                <w:rFonts w:hint="eastAsia" w:ascii="宋体" w:hAnsi="宋体" w:cs="仿宋_GB2312"/>
                <w:color w:val="000000"/>
              </w:rPr>
              <w:t>网址</w:t>
            </w:r>
          </w:p>
        </w:tc>
        <w:tc>
          <w:tcPr>
            <w:tcW w:w="2329" w:type="dxa"/>
            <w:gridSpan w:val="3"/>
            <w:tcBorders>
              <w:top w:val="single" w:color="auto" w:sz="4" w:space="0"/>
              <w:left w:val="single" w:color="auto" w:sz="4" w:space="0"/>
              <w:bottom w:val="single" w:color="auto" w:sz="4" w:space="0"/>
              <w:right w:val="single" w:color="auto" w:sz="4" w:space="0"/>
            </w:tcBorders>
            <w:vAlign w:val="center"/>
          </w:tcPr>
          <w:p w14:paraId="7ACB671F">
            <w:pPr>
              <w:spacing w:line="360" w:lineRule="auto"/>
              <w:jc w:val="center"/>
              <w:rPr>
                <w:rFonts w:ascii="宋体" w:hAnsi="宋体" w:cs="仿宋_GB2312"/>
                <w:color w:val="000000"/>
              </w:rPr>
            </w:pPr>
          </w:p>
        </w:tc>
      </w:tr>
      <w:tr w14:paraId="78344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2D1FCBE1">
            <w:pPr>
              <w:spacing w:line="360" w:lineRule="auto"/>
              <w:jc w:val="center"/>
              <w:rPr>
                <w:rFonts w:ascii="宋体" w:hAnsi="宋体" w:cs="仿宋_GB2312"/>
                <w:color w:val="000000"/>
              </w:rPr>
            </w:pPr>
            <w:r>
              <w:rPr>
                <w:rFonts w:hint="eastAsia" w:ascii="宋体" w:hAnsi="宋体" w:cs="仿宋_GB2312"/>
                <w:color w:val="000000"/>
              </w:rPr>
              <w:t>组织结构</w:t>
            </w:r>
          </w:p>
        </w:tc>
        <w:tc>
          <w:tcPr>
            <w:tcW w:w="7550" w:type="dxa"/>
            <w:gridSpan w:val="8"/>
            <w:tcBorders>
              <w:top w:val="single" w:color="auto" w:sz="4" w:space="0"/>
              <w:left w:val="single" w:color="auto" w:sz="4" w:space="0"/>
              <w:bottom w:val="single" w:color="auto" w:sz="4" w:space="0"/>
              <w:right w:val="single" w:color="auto" w:sz="4" w:space="0"/>
            </w:tcBorders>
            <w:vAlign w:val="center"/>
          </w:tcPr>
          <w:p w14:paraId="2B22A34E">
            <w:pPr>
              <w:spacing w:line="360" w:lineRule="auto"/>
              <w:jc w:val="center"/>
              <w:rPr>
                <w:rFonts w:ascii="宋体" w:hAnsi="宋体" w:cs="仿宋_GB2312"/>
                <w:color w:val="000000"/>
              </w:rPr>
            </w:pPr>
          </w:p>
        </w:tc>
      </w:tr>
      <w:tr w14:paraId="50B1F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3E72E07D">
            <w:pPr>
              <w:spacing w:line="360" w:lineRule="auto"/>
              <w:jc w:val="center"/>
              <w:rPr>
                <w:rFonts w:ascii="宋体" w:hAnsi="宋体" w:cs="仿宋_GB2312"/>
                <w:color w:val="000000"/>
              </w:rPr>
            </w:pPr>
            <w:r>
              <w:rPr>
                <w:rFonts w:hint="eastAsia" w:ascii="宋体" w:hAnsi="宋体" w:cs="仿宋_GB2312"/>
                <w:color w:val="000000"/>
              </w:rPr>
              <w:t>法定代表人</w:t>
            </w:r>
          </w:p>
        </w:tc>
        <w:tc>
          <w:tcPr>
            <w:tcW w:w="1077" w:type="dxa"/>
            <w:tcBorders>
              <w:top w:val="single" w:color="auto" w:sz="4" w:space="0"/>
              <w:left w:val="single" w:color="auto" w:sz="4" w:space="0"/>
              <w:bottom w:val="single" w:color="auto" w:sz="4" w:space="0"/>
              <w:right w:val="single" w:color="auto" w:sz="4" w:space="0"/>
            </w:tcBorders>
            <w:vAlign w:val="center"/>
          </w:tcPr>
          <w:p w14:paraId="132EB8FE">
            <w:pPr>
              <w:spacing w:line="360" w:lineRule="auto"/>
              <w:jc w:val="center"/>
              <w:rPr>
                <w:rFonts w:ascii="宋体" w:hAnsi="宋体" w:cs="仿宋_GB2312"/>
                <w:color w:val="000000"/>
              </w:rPr>
            </w:pPr>
            <w:r>
              <w:rPr>
                <w:rFonts w:hint="eastAsia" w:ascii="宋体" w:hAnsi="宋体" w:cs="仿宋_GB2312"/>
                <w:color w:val="000000"/>
              </w:rPr>
              <w:t>姓名</w:t>
            </w:r>
          </w:p>
        </w:tc>
        <w:tc>
          <w:tcPr>
            <w:tcW w:w="1803" w:type="dxa"/>
            <w:tcBorders>
              <w:top w:val="single" w:color="auto" w:sz="4" w:space="0"/>
              <w:left w:val="single" w:color="auto" w:sz="4" w:space="0"/>
              <w:bottom w:val="single" w:color="auto" w:sz="4" w:space="0"/>
              <w:right w:val="single" w:color="auto" w:sz="4" w:space="0"/>
            </w:tcBorders>
            <w:vAlign w:val="center"/>
          </w:tcPr>
          <w:p w14:paraId="2BFC28A5">
            <w:pPr>
              <w:spacing w:line="360" w:lineRule="auto"/>
              <w:jc w:val="center"/>
              <w:rPr>
                <w:rFonts w:ascii="宋体" w:hAnsi="宋体" w:cs="仿宋_GB2312"/>
                <w:color w:val="000000"/>
              </w:rPr>
            </w:pPr>
          </w:p>
        </w:tc>
        <w:tc>
          <w:tcPr>
            <w:tcW w:w="1252" w:type="dxa"/>
            <w:gridSpan w:val="2"/>
            <w:tcBorders>
              <w:top w:val="single" w:color="auto" w:sz="4" w:space="0"/>
              <w:left w:val="single" w:color="auto" w:sz="4" w:space="0"/>
              <w:bottom w:val="single" w:color="auto" w:sz="4" w:space="0"/>
              <w:right w:val="single" w:color="auto" w:sz="4" w:space="0"/>
            </w:tcBorders>
            <w:vAlign w:val="center"/>
          </w:tcPr>
          <w:p w14:paraId="3176DB2A">
            <w:pPr>
              <w:spacing w:line="360" w:lineRule="auto"/>
              <w:jc w:val="center"/>
              <w:rPr>
                <w:rFonts w:ascii="宋体" w:hAnsi="宋体" w:cs="仿宋_GB2312"/>
                <w:color w:val="000000"/>
              </w:rPr>
            </w:pPr>
            <w:r>
              <w:rPr>
                <w:rFonts w:hint="eastAsia" w:ascii="宋体" w:hAnsi="宋体" w:cs="仿宋_GB2312"/>
                <w:color w:val="000000"/>
              </w:rPr>
              <w:t>技术职称</w:t>
            </w:r>
          </w:p>
        </w:tc>
        <w:tc>
          <w:tcPr>
            <w:tcW w:w="1265" w:type="dxa"/>
            <w:gridSpan w:val="2"/>
            <w:tcBorders>
              <w:top w:val="single" w:color="auto" w:sz="4" w:space="0"/>
              <w:left w:val="single" w:color="auto" w:sz="4" w:space="0"/>
              <w:bottom w:val="single" w:color="auto" w:sz="4" w:space="0"/>
              <w:right w:val="single" w:color="auto" w:sz="4" w:space="0"/>
            </w:tcBorders>
            <w:vAlign w:val="center"/>
          </w:tcPr>
          <w:p w14:paraId="5FA817FD">
            <w:pPr>
              <w:spacing w:line="360" w:lineRule="auto"/>
              <w:jc w:val="center"/>
              <w:rPr>
                <w:rFonts w:ascii="宋体" w:hAnsi="宋体" w:cs="仿宋_GB2312"/>
                <w:color w:val="000000"/>
              </w:rPr>
            </w:pPr>
          </w:p>
        </w:tc>
        <w:tc>
          <w:tcPr>
            <w:tcW w:w="723" w:type="dxa"/>
            <w:tcBorders>
              <w:top w:val="single" w:color="auto" w:sz="4" w:space="0"/>
              <w:left w:val="single" w:color="auto" w:sz="4" w:space="0"/>
              <w:bottom w:val="single" w:color="auto" w:sz="4" w:space="0"/>
              <w:right w:val="single" w:color="auto" w:sz="4" w:space="0"/>
            </w:tcBorders>
            <w:vAlign w:val="center"/>
          </w:tcPr>
          <w:p w14:paraId="5E42184B">
            <w:pPr>
              <w:spacing w:line="360" w:lineRule="auto"/>
              <w:jc w:val="center"/>
              <w:rPr>
                <w:rFonts w:ascii="宋体" w:hAnsi="宋体" w:cs="仿宋_GB2312"/>
                <w:color w:val="000000"/>
              </w:rPr>
            </w:pPr>
            <w:r>
              <w:rPr>
                <w:rFonts w:hint="eastAsia" w:ascii="宋体" w:hAnsi="宋体" w:cs="仿宋_GB2312"/>
                <w:color w:val="000000"/>
              </w:rPr>
              <w:t>电话</w:t>
            </w:r>
          </w:p>
        </w:tc>
        <w:tc>
          <w:tcPr>
            <w:tcW w:w="1430" w:type="dxa"/>
            <w:tcBorders>
              <w:top w:val="single" w:color="auto" w:sz="4" w:space="0"/>
              <w:left w:val="single" w:color="auto" w:sz="4" w:space="0"/>
              <w:bottom w:val="single" w:color="auto" w:sz="4" w:space="0"/>
              <w:right w:val="single" w:color="auto" w:sz="4" w:space="0"/>
            </w:tcBorders>
            <w:vAlign w:val="center"/>
          </w:tcPr>
          <w:p w14:paraId="01C6021F">
            <w:pPr>
              <w:spacing w:line="360" w:lineRule="auto"/>
              <w:jc w:val="center"/>
              <w:rPr>
                <w:rFonts w:ascii="宋体" w:hAnsi="宋体" w:cs="仿宋_GB2312"/>
                <w:color w:val="000000"/>
              </w:rPr>
            </w:pPr>
          </w:p>
        </w:tc>
      </w:tr>
      <w:tr w14:paraId="18111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196C14AD">
            <w:pPr>
              <w:spacing w:line="360" w:lineRule="auto"/>
              <w:jc w:val="center"/>
              <w:rPr>
                <w:rFonts w:ascii="宋体" w:hAnsi="宋体" w:cs="仿宋_GB2312"/>
                <w:color w:val="000000"/>
              </w:rPr>
            </w:pPr>
            <w:r>
              <w:rPr>
                <w:rFonts w:hint="eastAsia" w:ascii="宋体" w:hAnsi="宋体" w:cs="仿宋_GB2312"/>
                <w:color w:val="000000"/>
              </w:rPr>
              <w:t>技术负责人</w:t>
            </w:r>
          </w:p>
        </w:tc>
        <w:tc>
          <w:tcPr>
            <w:tcW w:w="1077" w:type="dxa"/>
            <w:tcBorders>
              <w:top w:val="single" w:color="auto" w:sz="4" w:space="0"/>
              <w:left w:val="single" w:color="auto" w:sz="4" w:space="0"/>
              <w:bottom w:val="single" w:color="auto" w:sz="4" w:space="0"/>
              <w:right w:val="single" w:color="auto" w:sz="4" w:space="0"/>
            </w:tcBorders>
            <w:vAlign w:val="center"/>
          </w:tcPr>
          <w:p w14:paraId="7CF85021">
            <w:pPr>
              <w:spacing w:line="360" w:lineRule="auto"/>
              <w:jc w:val="center"/>
              <w:rPr>
                <w:rFonts w:ascii="宋体" w:hAnsi="宋体" w:cs="仿宋_GB2312"/>
                <w:color w:val="000000"/>
              </w:rPr>
            </w:pPr>
            <w:r>
              <w:rPr>
                <w:rFonts w:hint="eastAsia" w:ascii="宋体" w:hAnsi="宋体" w:cs="仿宋_GB2312"/>
                <w:color w:val="000000"/>
              </w:rPr>
              <w:t>姓名</w:t>
            </w:r>
          </w:p>
        </w:tc>
        <w:tc>
          <w:tcPr>
            <w:tcW w:w="1803" w:type="dxa"/>
            <w:tcBorders>
              <w:top w:val="single" w:color="auto" w:sz="4" w:space="0"/>
              <w:left w:val="single" w:color="auto" w:sz="4" w:space="0"/>
              <w:bottom w:val="single" w:color="auto" w:sz="4" w:space="0"/>
              <w:right w:val="single" w:color="auto" w:sz="4" w:space="0"/>
            </w:tcBorders>
            <w:vAlign w:val="center"/>
          </w:tcPr>
          <w:p w14:paraId="56D05417">
            <w:pPr>
              <w:spacing w:line="360" w:lineRule="auto"/>
              <w:jc w:val="center"/>
              <w:rPr>
                <w:rFonts w:ascii="宋体" w:hAnsi="宋体" w:cs="仿宋_GB2312"/>
                <w:color w:val="000000"/>
              </w:rPr>
            </w:pPr>
          </w:p>
        </w:tc>
        <w:tc>
          <w:tcPr>
            <w:tcW w:w="1252" w:type="dxa"/>
            <w:gridSpan w:val="2"/>
            <w:tcBorders>
              <w:top w:val="single" w:color="auto" w:sz="4" w:space="0"/>
              <w:left w:val="single" w:color="auto" w:sz="4" w:space="0"/>
              <w:bottom w:val="single" w:color="auto" w:sz="4" w:space="0"/>
              <w:right w:val="single" w:color="auto" w:sz="4" w:space="0"/>
            </w:tcBorders>
            <w:vAlign w:val="center"/>
          </w:tcPr>
          <w:p w14:paraId="544DEEC2">
            <w:pPr>
              <w:spacing w:line="360" w:lineRule="auto"/>
              <w:jc w:val="center"/>
              <w:rPr>
                <w:rFonts w:ascii="宋体" w:hAnsi="宋体" w:cs="仿宋_GB2312"/>
                <w:color w:val="000000"/>
              </w:rPr>
            </w:pPr>
            <w:r>
              <w:rPr>
                <w:rFonts w:hint="eastAsia" w:ascii="宋体" w:hAnsi="宋体" w:cs="仿宋_GB2312"/>
                <w:color w:val="000000"/>
              </w:rPr>
              <w:t>技术职称</w:t>
            </w:r>
          </w:p>
        </w:tc>
        <w:tc>
          <w:tcPr>
            <w:tcW w:w="1265" w:type="dxa"/>
            <w:gridSpan w:val="2"/>
            <w:tcBorders>
              <w:top w:val="single" w:color="auto" w:sz="4" w:space="0"/>
              <w:left w:val="single" w:color="auto" w:sz="4" w:space="0"/>
              <w:bottom w:val="single" w:color="auto" w:sz="4" w:space="0"/>
              <w:right w:val="single" w:color="auto" w:sz="4" w:space="0"/>
            </w:tcBorders>
            <w:vAlign w:val="center"/>
          </w:tcPr>
          <w:p w14:paraId="1CB2C338">
            <w:pPr>
              <w:spacing w:line="360" w:lineRule="auto"/>
              <w:jc w:val="center"/>
              <w:rPr>
                <w:rFonts w:ascii="宋体" w:hAnsi="宋体" w:cs="仿宋_GB2312"/>
                <w:color w:val="000000"/>
              </w:rPr>
            </w:pPr>
          </w:p>
        </w:tc>
        <w:tc>
          <w:tcPr>
            <w:tcW w:w="723" w:type="dxa"/>
            <w:tcBorders>
              <w:top w:val="single" w:color="auto" w:sz="4" w:space="0"/>
              <w:left w:val="single" w:color="auto" w:sz="4" w:space="0"/>
              <w:bottom w:val="single" w:color="auto" w:sz="4" w:space="0"/>
              <w:right w:val="single" w:color="auto" w:sz="4" w:space="0"/>
            </w:tcBorders>
            <w:vAlign w:val="center"/>
          </w:tcPr>
          <w:p w14:paraId="5B9783B9">
            <w:pPr>
              <w:spacing w:line="360" w:lineRule="auto"/>
              <w:jc w:val="center"/>
              <w:rPr>
                <w:rFonts w:ascii="宋体" w:hAnsi="宋体" w:cs="仿宋_GB2312"/>
                <w:color w:val="000000"/>
              </w:rPr>
            </w:pPr>
            <w:r>
              <w:rPr>
                <w:rFonts w:hint="eastAsia" w:ascii="宋体" w:hAnsi="宋体" w:cs="仿宋_GB2312"/>
                <w:color w:val="000000"/>
              </w:rPr>
              <w:t>电话</w:t>
            </w:r>
          </w:p>
        </w:tc>
        <w:tc>
          <w:tcPr>
            <w:tcW w:w="1430" w:type="dxa"/>
            <w:tcBorders>
              <w:top w:val="single" w:color="auto" w:sz="4" w:space="0"/>
              <w:left w:val="single" w:color="auto" w:sz="4" w:space="0"/>
              <w:bottom w:val="single" w:color="auto" w:sz="4" w:space="0"/>
              <w:right w:val="single" w:color="auto" w:sz="4" w:space="0"/>
            </w:tcBorders>
            <w:vAlign w:val="center"/>
          </w:tcPr>
          <w:p w14:paraId="5E5CA181">
            <w:pPr>
              <w:spacing w:line="360" w:lineRule="auto"/>
              <w:jc w:val="center"/>
              <w:rPr>
                <w:rFonts w:ascii="宋体" w:hAnsi="宋体" w:cs="仿宋_GB2312"/>
                <w:color w:val="000000"/>
              </w:rPr>
            </w:pPr>
          </w:p>
        </w:tc>
      </w:tr>
      <w:tr w14:paraId="222B3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4C70FA2E">
            <w:pPr>
              <w:spacing w:line="360" w:lineRule="auto"/>
              <w:jc w:val="center"/>
              <w:rPr>
                <w:rFonts w:ascii="宋体" w:hAnsi="宋体" w:cs="仿宋_GB2312"/>
                <w:color w:val="000000"/>
              </w:rPr>
            </w:pPr>
            <w:r>
              <w:rPr>
                <w:rFonts w:hint="eastAsia" w:ascii="宋体" w:hAnsi="宋体" w:cs="仿宋_GB2312"/>
                <w:color w:val="000000"/>
              </w:rPr>
              <w:t>成立时间</w:t>
            </w:r>
          </w:p>
        </w:tc>
        <w:tc>
          <w:tcPr>
            <w:tcW w:w="2880" w:type="dxa"/>
            <w:gridSpan w:val="2"/>
            <w:tcBorders>
              <w:top w:val="single" w:color="auto" w:sz="4" w:space="0"/>
              <w:left w:val="single" w:color="auto" w:sz="4" w:space="0"/>
              <w:bottom w:val="single" w:color="auto" w:sz="4" w:space="0"/>
              <w:right w:val="single" w:color="auto" w:sz="4" w:space="0"/>
            </w:tcBorders>
            <w:vAlign w:val="center"/>
          </w:tcPr>
          <w:p w14:paraId="1121CF72">
            <w:pPr>
              <w:spacing w:line="360" w:lineRule="auto"/>
              <w:jc w:val="center"/>
              <w:rPr>
                <w:rFonts w:ascii="宋体" w:hAnsi="宋体" w:cs="仿宋_GB2312"/>
                <w:color w:val="000000"/>
              </w:rPr>
            </w:pPr>
          </w:p>
        </w:tc>
        <w:tc>
          <w:tcPr>
            <w:tcW w:w="4670" w:type="dxa"/>
            <w:gridSpan w:val="6"/>
            <w:tcBorders>
              <w:top w:val="single" w:color="auto" w:sz="4" w:space="0"/>
              <w:left w:val="single" w:color="auto" w:sz="4" w:space="0"/>
              <w:bottom w:val="single" w:color="auto" w:sz="4" w:space="0"/>
              <w:right w:val="single" w:color="auto" w:sz="4" w:space="0"/>
            </w:tcBorders>
            <w:vAlign w:val="center"/>
          </w:tcPr>
          <w:p w14:paraId="3C5F957E">
            <w:pPr>
              <w:spacing w:line="360" w:lineRule="auto"/>
              <w:jc w:val="center"/>
              <w:rPr>
                <w:rFonts w:ascii="宋体" w:hAnsi="宋体" w:cs="仿宋_GB2312"/>
                <w:color w:val="000000"/>
              </w:rPr>
            </w:pPr>
            <w:r>
              <w:rPr>
                <w:rFonts w:hint="eastAsia" w:ascii="宋体" w:hAnsi="宋体" w:cs="仿宋_GB2312"/>
                <w:color w:val="000000"/>
              </w:rPr>
              <w:t>员工总人数：</w:t>
            </w:r>
          </w:p>
        </w:tc>
      </w:tr>
      <w:tr w14:paraId="0B1A5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1E232782">
            <w:pPr>
              <w:spacing w:line="360" w:lineRule="auto"/>
              <w:jc w:val="center"/>
              <w:rPr>
                <w:rFonts w:ascii="宋体" w:hAnsi="宋体" w:cs="仿宋_GB2312"/>
                <w:color w:val="000000"/>
              </w:rPr>
            </w:pPr>
            <w:r>
              <w:rPr>
                <w:rFonts w:hint="eastAsia" w:ascii="宋体" w:hAnsi="宋体" w:cs="仿宋_GB2312"/>
                <w:color w:val="000000"/>
              </w:rPr>
              <w:t>营业执照号</w:t>
            </w:r>
          </w:p>
        </w:tc>
        <w:tc>
          <w:tcPr>
            <w:tcW w:w="2880" w:type="dxa"/>
            <w:gridSpan w:val="2"/>
            <w:tcBorders>
              <w:top w:val="single" w:color="auto" w:sz="4" w:space="0"/>
              <w:left w:val="single" w:color="auto" w:sz="4" w:space="0"/>
              <w:bottom w:val="single" w:color="auto" w:sz="4" w:space="0"/>
              <w:right w:val="single" w:color="auto" w:sz="4" w:space="0"/>
            </w:tcBorders>
            <w:vAlign w:val="center"/>
          </w:tcPr>
          <w:p w14:paraId="17265BD8">
            <w:pPr>
              <w:spacing w:line="360" w:lineRule="auto"/>
              <w:jc w:val="center"/>
              <w:rPr>
                <w:rFonts w:ascii="宋体" w:hAnsi="宋体" w:cs="仿宋_GB2312"/>
                <w:color w:val="000000"/>
              </w:rPr>
            </w:pPr>
          </w:p>
        </w:tc>
        <w:tc>
          <w:tcPr>
            <w:tcW w:w="714" w:type="dxa"/>
            <w:vMerge w:val="restart"/>
            <w:tcBorders>
              <w:top w:val="single" w:color="auto" w:sz="4" w:space="0"/>
              <w:left w:val="single" w:color="auto" w:sz="4" w:space="0"/>
              <w:bottom w:val="single" w:color="auto" w:sz="4" w:space="0"/>
              <w:right w:val="single" w:color="auto" w:sz="4" w:space="0"/>
            </w:tcBorders>
            <w:vAlign w:val="center"/>
          </w:tcPr>
          <w:p w14:paraId="7A80D0D2">
            <w:pPr>
              <w:spacing w:line="360" w:lineRule="auto"/>
              <w:jc w:val="center"/>
              <w:rPr>
                <w:rFonts w:ascii="宋体" w:hAnsi="宋体" w:cs="仿宋_GB2312"/>
                <w:color w:val="000000"/>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14:paraId="0A74DAAA">
            <w:pPr>
              <w:spacing w:line="360" w:lineRule="auto"/>
              <w:jc w:val="center"/>
              <w:rPr>
                <w:rFonts w:ascii="宋体" w:hAnsi="宋体" w:cs="仿宋_GB2312"/>
                <w:color w:val="000000"/>
              </w:rPr>
            </w:pPr>
            <w:r>
              <w:rPr>
                <w:rFonts w:hint="eastAsia" w:ascii="宋体" w:hAnsi="宋体" w:cs="仿宋_GB2312"/>
                <w:color w:val="000000"/>
              </w:rPr>
              <w:t>高级职称人员</w:t>
            </w:r>
          </w:p>
        </w:tc>
        <w:tc>
          <w:tcPr>
            <w:tcW w:w="2153" w:type="dxa"/>
            <w:gridSpan w:val="2"/>
            <w:tcBorders>
              <w:top w:val="single" w:color="auto" w:sz="4" w:space="0"/>
              <w:left w:val="single" w:color="auto" w:sz="4" w:space="0"/>
              <w:bottom w:val="single" w:color="auto" w:sz="4" w:space="0"/>
              <w:right w:val="single" w:color="auto" w:sz="4" w:space="0"/>
            </w:tcBorders>
            <w:vAlign w:val="center"/>
          </w:tcPr>
          <w:p w14:paraId="66D145A1">
            <w:pPr>
              <w:spacing w:line="360" w:lineRule="auto"/>
              <w:jc w:val="center"/>
              <w:rPr>
                <w:rFonts w:ascii="宋体" w:hAnsi="宋体" w:cs="仿宋_GB2312"/>
                <w:color w:val="000000"/>
              </w:rPr>
            </w:pPr>
          </w:p>
        </w:tc>
      </w:tr>
      <w:tr w14:paraId="537F7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5333C01A">
            <w:pPr>
              <w:spacing w:line="360" w:lineRule="auto"/>
              <w:jc w:val="center"/>
              <w:rPr>
                <w:rFonts w:ascii="宋体" w:hAnsi="宋体" w:cs="仿宋_GB2312"/>
                <w:color w:val="000000"/>
              </w:rPr>
            </w:pPr>
            <w:r>
              <w:rPr>
                <w:rFonts w:hint="eastAsia" w:ascii="宋体" w:hAnsi="宋体" w:cs="仿宋_GB2312"/>
                <w:color w:val="000000"/>
              </w:rPr>
              <w:t>注册资金</w:t>
            </w:r>
          </w:p>
        </w:tc>
        <w:tc>
          <w:tcPr>
            <w:tcW w:w="2880" w:type="dxa"/>
            <w:gridSpan w:val="2"/>
            <w:tcBorders>
              <w:top w:val="single" w:color="auto" w:sz="4" w:space="0"/>
              <w:left w:val="single" w:color="auto" w:sz="4" w:space="0"/>
              <w:bottom w:val="single" w:color="auto" w:sz="4" w:space="0"/>
              <w:right w:val="single" w:color="auto" w:sz="4" w:space="0"/>
            </w:tcBorders>
            <w:vAlign w:val="center"/>
          </w:tcPr>
          <w:p w14:paraId="26AF7005">
            <w:pPr>
              <w:spacing w:line="360" w:lineRule="auto"/>
              <w:jc w:val="center"/>
              <w:rPr>
                <w:rFonts w:ascii="宋体" w:hAnsi="宋体" w:cs="仿宋_GB2312"/>
                <w:color w:val="000000"/>
              </w:rPr>
            </w:pPr>
          </w:p>
        </w:tc>
        <w:tc>
          <w:tcPr>
            <w:tcW w:w="714" w:type="dxa"/>
            <w:vMerge w:val="continue"/>
            <w:tcBorders>
              <w:top w:val="single" w:color="auto" w:sz="4" w:space="0"/>
              <w:left w:val="single" w:color="auto" w:sz="4" w:space="0"/>
              <w:bottom w:val="single" w:color="auto" w:sz="4" w:space="0"/>
              <w:right w:val="single" w:color="auto" w:sz="4" w:space="0"/>
            </w:tcBorders>
            <w:vAlign w:val="center"/>
          </w:tcPr>
          <w:p w14:paraId="7079612F">
            <w:pPr>
              <w:widowControl/>
              <w:jc w:val="left"/>
              <w:rPr>
                <w:rFonts w:ascii="宋体" w:hAnsi="宋体" w:cs="仿宋_GB2312"/>
                <w:color w:val="000000"/>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14:paraId="6205B35C">
            <w:pPr>
              <w:spacing w:line="360" w:lineRule="auto"/>
              <w:jc w:val="center"/>
              <w:rPr>
                <w:rFonts w:ascii="宋体" w:hAnsi="宋体" w:cs="仿宋_GB2312"/>
                <w:color w:val="000000"/>
              </w:rPr>
            </w:pPr>
            <w:r>
              <w:rPr>
                <w:rFonts w:hint="eastAsia" w:ascii="宋体" w:hAnsi="宋体" w:cs="仿宋_GB2312"/>
                <w:color w:val="000000"/>
              </w:rPr>
              <w:t>中级职称人员</w:t>
            </w:r>
          </w:p>
        </w:tc>
        <w:tc>
          <w:tcPr>
            <w:tcW w:w="2153" w:type="dxa"/>
            <w:gridSpan w:val="2"/>
            <w:tcBorders>
              <w:top w:val="single" w:color="auto" w:sz="4" w:space="0"/>
              <w:left w:val="single" w:color="auto" w:sz="4" w:space="0"/>
              <w:bottom w:val="single" w:color="auto" w:sz="4" w:space="0"/>
              <w:right w:val="single" w:color="auto" w:sz="4" w:space="0"/>
            </w:tcBorders>
            <w:vAlign w:val="center"/>
          </w:tcPr>
          <w:p w14:paraId="012E20C1">
            <w:pPr>
              <w:spacing w:line="360" w:lineRule="auto"/>
              <w:jc w:val="center"/>
              <w:rPr>
                <w:rFonts w:ascii="宋体" w:hAnsi="宋体" w:cs="仿宋_GB2312"/>
                <w:color w:val="000000"/>
              </w:rPr>
            </w:pPr>
          </w:p>
        </w:tc>
      </w:tr>
      <w:tr w14:paraId="2FA14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1F2073EB">
            <w:pPr>
              <w:spacing w:line="360" w:lineRule="auto"/>
              <w:jc w:val="center"/>
              <w:rPr>
                <w:rFonts w:ascii="宋体" w:hAnsi="宋体" w:cs="仿宋_GB2312"/>
                <w:color w:val="000000"/>
              </w:rPr>
            </w:pPr>
            <w:r>
              <w:rPr>
                <w:rFonts w:hint="eastAsia" w:ascii="宋体" w:hAnsi="宋体" w:cs="仿宋_GB2312"/>
                <w:color w:val="000000"/>
              </w:rPr>
              <w:t>开户银行</w:t>
            </w:r>
          </w:p>
        </w:tc>
        <w:tc>
          <w:tcPr>
            <w:tcW w:w="2880" w:type="dxa"/>
            <w:gridSpan w:val="2"/>
            <w:tcBorders>
              <w:top w:val="single" w:color="auto" w:sz="4" w:space="0"/>
              <w:left w:val="single" w:color="auto" w:sz="4" w:space="0"/>
              <w:bottom w:val="single" w:color="auto" w:sz="4" w:space="0"/>
              <w:right w:val="single" w:color="auto" w:sz="4" w:space="0"/>
            </w:tcBorders>
            <w:vAlign w:val="center"/>
          </w:tcPr>
          <w:p w14:paraId="42F2C9A1">
            <w:pPr>
              <w:spacing w:line="360" w:lineRule="auto"/>
              <w:jc w:val="center"/>
              <w:rPr>
                <w:rFonts w:ascii="宋体" w:hAnsi="宋体" w:cs="仿宋_GB2312"/>
                <w:color w:val="000000"/>
              </w:rPr>
            </w:pPr>
          </w:p>
        </w:tc>
        <w:tc>
          <w:tcPr>
            <w:tcW w:w="714" w:type="dxa"/>
            <w:vMerge w:val="continue"/>
            <w:tcBorders>
              <w:top w:val="single" w:color="auto" w:sz="4" w:space="0"/>
              <w:left w:val="single" w:color="auto" w:sz="4" w:space="0"/>
              <w:bottom w:val="single" w:color="auto" w:sz="4" w:space="0"/>
              <w:right w:val="single" w:color="auto" w:sz="4" w:space="0"/>
            </w:tcBorders>
            <w:vAlign w:val="center"/>
          </w:tcPr>
          <w:p w14:paraId="44FF7878">
            <w:pPr>
              <w:widowControl/>
              <w:jc w:val="left"/>
              <w:rPr>
                <w:rFonts w:ascii="宋体" w:hAnsi="宋体" w:cs="仿宋_GB2312"/>
                <w:color w:val="000000"/>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14:paraId="4A7DC0EC">
            <w:pPr>
              <w:spacing w:line="360" w:lineRule="auto"/>
              <w:jc w:val="center"/>
              <w:rPr>
                <w:rFonts w:ascii="宋体" w:hAnsi="宋体" w:cs="仿宋_GB2312"/>
                <w:color w:val="000000"/>
              </w:rPr>
            </w:pPr>
            <w:r>
              <w:rPr>
                <w:rFonts w:hint="eastAsia" w:ascii="宋体" w:hAnsi="宋体" w:cs="仿宋_GB2312"/>
                <w:color w:val="000000"/>
              </w:rPr>
              <w:t>初级职称人员</w:t>
            </w:r>
          </w:p>
        </w:tc>
        <w:tc>
          <w:tcPr>
            <w:tcW w:w="2153" w:type="dxa"/>
            <w:gridSpan w:val="2"/>
            <w:tcBorders>
              <w:top w:val="single" w:color="auto" w:sz="4" w:space="0"/>
              <w:left w:val="single" w:color="auto" w:sz="4" w:space="0"/>
              <w:bottom w:val="single" w:color="auto" w:sz="4" w:space="0"/>
              <w:right w:val="single" w:color="auto" w:sz="4" w:space="0"/>
            </w:tcBorders>
            <w:vAlign w:val="center"/>
          </w:tcPr>
          <w:p w14:paraId="748AEEF2">
            <w:pPr>
              <w:spacing w:line="360" w:lineRule="auto"/>
              <w:jc w:val="center"/>
              <w:rPr>
                <w:rFonts w:ascii="宋体" w:hAnsi="宋体" w:cs="仿宋_GB2312"/>
                <w:color w:val="000000"/>
              </w:rPr>
            </w:pPr>
          </w:p>
        </w:tc>
      </w:tr>
      <w:tr w14:paraId="55C0C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3991FD87">
            <w:pPr>
              <w:spacing w:line="360" w:lineRule="auto"/>
              <w:jc w:val="center"/>
              <w:rPr>
                <w:rFonts w:ascii="宋体" w:hAnsi="宋体" w:cs="仿宋_GB2312"/>
                <w:color w:val="000000"/>
              </w:rPr>
            </w:pPr>
            <w:r>
              <w:rPr>
                <w:rFonts w:hint="eastAsia" w:ascii="宋体" w:hAnsi="宋体" w:cs="仿宋_GB2312"/>
                <w:color w:val="000000"/>
              </w:rPr>
              <w:t>账号</w:t>
            </w:r>
          </w:p>
        </w:tc>
        <w:tc>
          <w:tcPr>
            <w:tcW w:w="2880" w:type="dxa"/>
            <w:gridSpan w:val="2"/>
            <w:tcBorders>
              <w:top w:val="single" w:color="auto" w:sz="4" w:space="0"/>
              <w:left w:val="single" w:color="auto" w:sz="4" w:space="0"/>
              <w:bottom w:val="single" w:color="auto" w:sz="4" w:space="0"/>
              <w:right w:val="single" w:color="auto" w:sz="4" w:space="0"/>
            </w:tcBorders>
            <w:vAlign w:val="center"/>
          </w:tcPr>
          <w:p w14:paraId="03A32B37">
            <w:pPr>
              <w:spacing w:line="360" w:lineRule="auto"/>
              <w:jc w:val="center"/>
              <w:rPr>
                <w:rFonts w:ascii="宋体" w:hAnsi="宋体" w:cs="仿宋_GB2312"/>
                <w:color w:val="000000"/>
              </w:rPr>
            </w:pPr>
          </w:p>
        </w:tc>
        <w:tc>
          <w:tcPr>
            <w:tcW w:w="714" w:type="dxa"/>
            <w:vMerge w:val="continue"/>
            <w:tcBorders>
              <w:top w:val="single" w:color="auto" w:sz="4" w:space="0"/>
              <w:left w:val="single" w:color="auto" w:sz="4" w:space="0"/>
              <w:bottom w:val="single" w:color="auto" w:sz="4" w:space="0"/>
              <w:right w:val="single" w:color="auto" w:sz="4" w:space="0"/>
            </w:tcBorders>
            <w:vAlign w:val="center"/>
          </w:tcPr>
          <w:p w14:paraId="6D2C29EF">
            <w:pPr>
              <w:widowControl/>
              <w:jc w:val="left"/>
              <w:rPr>
                <w:rFonts w:ascii="宋体" w:hAnsi="宋体" w:cs="仿宋_GB2312"/>
                <w:color w:val="000000"/>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14:paraId="5000DD1C">
            <w:pPr>
              <w:spacing w:line="360" w:lineRule="auto"/>
              <w:jc w:val="center"/>
              <w:rPr>
                <w:rFonts w:ascii="宋体" w:hAnsi="宋体" w:cs="仿宋_GB2312"/>
                <w:color w:val="000000"/>
              </w:rPr>
            </w:pPr>
            <w:r>
              <w:rPr>
                <w:rFonts w:hint="eastAsia" w:ascii="宋体" w:hAnsi="宋体" w:cs="仿宋_GB2312"/>
                <w:color w:val="000000"/>
              </w:rPr>
              <w:t>技工</w:t>
            </w:r>
          </w:p>
        </w:tc>
        <w:tc>
          <w:tcPr>
            <w:tcW w:w="2153" w:type="dxa"/>
            <w:gridSpan w:val="2"/>
            <w:tcBorders>
              <w:top w:val="single" w:color="auto" w:sz="4" w:space="0"/>
              <w:left w:val="single" w:color="auto" w:sz="4" w:space="0"/>
              <w:bottom w:val="single" w:color="auto" w:sz="4" w:space="0"/>
              <w:right w:val="single" w:color="auto" w:sz="4" w:space="0"/>
            </w:tcBorders>
            <w:vAlign w:val="center"/>
          </w:tcPr>
          <w:p w14:paraId="4551B4C9">
            <w:pPr>
              <w:spacing w:line="360" w:lineRule="auto"/>
              <w:jc w:val="center"/>
              <w:rPr>
                <w:rFonts w:ascii="宋体" w:hAnsi="宋体" w:cs="仿宋_GB2312"/>
                <w:color w:val="000000"/>
              </w:rPr>
            </w:pPr>
          </w:p>
        </w:tc>
      </w:tr>
      <w:tr w14:paraId="2631C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7A35CF69">
            <w:pPr>
              <w:spacing w:line="360" w:lineRule="auto"/>
              <w:jc w:val="center"/>
              <w:rPr>
                <w:rFonts w:ascii="宋体" w:hAnsi="宋体" w:cs="仿宋_GB2312"/>
                <w:color w:val="000000"/>
              </w:rPr>
            </w:pPr>
            <w:r>
              <w:rPr>
                <w:rFonts w:hint="eastAsia" w:ascii="宋体" w:hAnsi="宋体" w:cs="仿宋_GB2312"/>
                <w:color w:val="000000"/>
              </w:rPr>
              <w:t>经营范围备注</w:t>
            </w:r>
          </w:p>
        </w:tc>
        <w:tc>
          <w:tcPr>
            <w:tcW w:w="7550" w:type="dxa"/>
            <w:gridSpan w:val="8"/>
            <w:tcBorders>
              <w:top w:val="single" w:color="auto" w:sz="4" w:space="0"/>
              <w:left w:val="single" w:color="auto" w:sz="4" w:space="0"/>
              <w:bottom w:val="single" w:color="auto" w:sz="4" w:space="0"/>
              <w:right w:val="single" w:color="auto" w:sz="4" w:space="0"/>
            </w:tcBorders>
            <w:vAlign w:val="center"/>
          </w:tcPr>
          <w:p w14:paraId="1EC24255">
            <w:pPr>
              <w:spacing w:line="360" w:lineRule="auto"/>
              <w:ind w:firstLine="420" w:firstLineChars="200"/>
              <w:jc w:val="center"/>
              <w:rPr>
                <w:rFonts w:ascii="宋体" w:hAnsi="宋体" w:cs="仿宋_GB2312"/>
                <w:color w:val="000000"/>
              </w:rPr>
            </w:pPr>
          </w:p>
        </w:tc>
      </w:tr>
    </w:tbl>
    <w:p w14:paraId="6B6E494A">
      <w:pPr>
        <w:pStyle w:val="22"/>
        <w:ind w:firstLine="211"/>
        <w:rPr>
          <w:b/>
        </w:rPr>
      </w:pPr>
      <w:r>
        <w:rPr>
          <w:rFonts w:hint="eastAsia"/>
          <w:b/>
        </w:rPr>
        <w:t>下页附营业执照。</w:t>
      </w:r>
    </w:p>
    <w:p w14:paraId="0200068F">
      <w:pPr>
        <w:tabs>
          <w:tab w:val="left" w:pos="1155"/>
        </w:tabs>
        <w:spacing w:line="520" w:lineRule="exact"/>
        <w:ind w:firstLine="700" w:firstLineChars="250"/>
        <w:jc w:val="center"/>
        <w:rPr>
          <w:rFonts w:ascii="宋体" w:hAnsi="宋体" w:cs="仿宋_GB2312"/>
          <w:sz w:val="28"/>
          <w:szCs w:val="28"/>
        </w:rPr>
      </w:pPr>
      <w:r>
        <w:rPr>
          <w:rFonts w:hint="eastAsia" w:ascii="宋体" w:hAnsi="宋体" w:cs="仿宋_GB2312"/>
          <w:sz w:val="28"/>
          <w:szCs w:val="28"/>
        </w:rPr>
        <w:t>供应商名称：（盖单位电子章）</w:t>
      </w:r>
    </w:p>
    <w:p w14:paraId="4B9EA874">
      <w:pPr>
        <w:tabs>
          <w:tab w:val="left" w:pos="1155"/>
        </w:tabs>
        <w:spacing w:line="520" w:lineRule="exact"/>
        <w:ind w:firstLine="700" w:firstLineChars="250"/>
        <w:jc w:val="right"/>
        <w:rPr>
          <w:rFonts w:ascii="宋体" w:hAnsi="宋体" w:cs="仿宋_GB2312"/>
          <w:sz w:val="28"/>
          <w:szCs w:val="28"/>
        </w:rPr>
      </w:pPr>
      <w:r>
        <w:rPr>
          <w:rFonts w:hint="eastAsia" w:ascii="宋体" w:hAnsi="宋体" w:cs="仿宋_GB2312"/>
          <w:sz w:val="28"/>
          <w:szCs w:val="28"/>
        </w:rPr>
        <w:t>法定代表人或授权代理人：（</w:t>
      </w:r>
      <w:r>
        <w:rPr>
          <w:rFonts w:hint="eastAsia" w:ascii="宋体" w:hAnsi="宋体" w:cs="宋体"/>
          <w:sz w:val="28"/>
          <w:szCs w:val="28"/>
        </w:rPr>
        <w:t>盖电子印章或签名</w:t>
      </w:r>
      <w:r>
        <w:rPr>
          <w:rFonts w:hint="eastAsia" w:ascii="宋体" w:hAnsi="宋体" w:cs="仿宋_GB2312"/>
          <w:sz w:val="28"/>
          <w:szCs w:val="28"/>
        </w:rPr>
        <w:t>）</w:t>
      </w:r>
    </w:p>
    <w:p w14:paraId="1A904B87">
      <w:pPr>
        <w:jc w:val="center"/>
        <w:rPr>
          <w:rFonts w:ascii="宋体" w:hAnsi="宋体" w:cs="仿宋_GB2312"/>
          <w:sz w:val="28"/>
          <w:szCs w:val="28"/>
        </w:rPr>
      </w:pPr>
      <w:r>
        <w:rPr>
          <w:rFonts w:hint="eastAsia" w:ascii="宋体" w:hAnsi="宋体" w:cs="仿宋_GB2312"/>
          <w:sz w:val="28"/>
          <w:szCs w:val="28"/>
        </w:rPr>
        <w:t xml:space="preserve">                                  </w:t>
      </w:r>
    </w:p>
    <w:p w14:paraId="77C0C7EE">
      <w:pPr>
        <w:jc w:val="center"/>
        <w:rPr>
          <w:sz w:val="32"/>
          <w:szCs w:val="32"/>
        </w:rPr>
      </w:pPr>
      <w:r>
        <w:rPr>
          <w:rFonts w:hint="eastAsia" w:ascii="宋体" w:hAnsi="宋体" w:cs="仿宋_GB2312"/>
          <w:sz w:val="28"/>
          <w:szCs w:val="28"/>
        </w:rPr>
        <w:t xml:space="preserve">                                      年    月    日 </w:t>
      </w:r>
    </w:p>
    <w:p w14:paraId="0E04613B">
      <w:pPr>
        <w:spacing w:line="360" w:lineRule="auto"/>
        <w:ind w:firstLine="560" w:firstLineChars="200"/>
        <w:jc w:val="right"/>
        <w:rPr>
          <w:rFonts w:ascii="宋体" w:hAnsi="宋体" w:cs="仿宋_GB2312"/>
          <w:sz w:val="28"/>
          <w:szCs w:val="28"/>
        </w:rPr>
      </w:pPr>
    </w:p>
    <w:p w14:paraId="79EC73E1">
      <w:pPr>
        <w:pStyle w:val="22"/>
        <w:ind w:firstLine="210"/>
      </w:pPr>
    </w:p>
    <w:p w14:paraId="174B5EE8">
      <w:pPr>
        <w:jc w:val="center"/>
        <w:rPr>
          <w:sz w:val="32"/>
          <w:szCs w:val="32"/>
        </w:rPr>
      </w:pPr>
      <w:bookmarkStart w:id="580" w:name="_Toc360522730"/>
      <w:bookmarkStart w:id="581" w:name="_Toc298488026"/>
      <w:bookmarkStart w:id="582" w:name="_Toc469322925"/>
      <w:bookmarkStart w:id="583" w:name="_Toc424212014"/>
      <w:bookmarkStart w:id="584" w:name="_Toc469322523"/>
      <w:bookmarkStart w:id="585" w:name="_Toc14081"/>
      <w:r>
        <w:rPr>
          <w:rFonts w:hint="eastAsia"/>
          <w:sz w:val="32"/>
          <w:szCs w:val="32"/>
        </w:rPr>
        <w:t>（2）反商业贿赂承诺书</w:t>
      </w:r>
      <w:bookmarkEnd w:id="580"/>
      <w:bookmarkEnd w:id="581"/>
      <w:r>
        <w:rPr>
          <w:rFonts w:hint="eastAsia"/>
          <w:sz w:val="32"/>
          <w:szCs w:val="32"/>
        </w:rPr>
        <w:t>格式</w:t>
      </w:r>
      <w:bookmarkEnd w:id="582"/>
      <w:bookmarkEnd w:id="583"/>
      <w:bookmarkEnd w:id="584"/>
      <w:bookmarkEnd w:id="585"/>
    </w:p>
    <w:p w14:paraId="44FB594C">
      <w:pPr>
        <w:spacing w:line="360" w:lineRule="auto"/>
        <w:jc w:val="center"/>
        <w:rPr>
          <w:rFonts w:ascii="宋体" w:hAnsi="宋体"/>
          <w:b/>
          <w:bCs/>
          <w:sz w:val="28"/>
          <w:szCs w:val="28"/>
        </w:rPr>
      </w:pPr>
      <w:r>
        <w:rPr>
          <w:rFonts w:hint="eastAsia" w:ascii="宋体" w:hAnsi="宋体"/>
          <w:b/>
          <w:bCs/>
          <w:sz w:val="28"/>
          <w:szCs w:val="28"/>
        </w:rPr>
        <w:t>反商业贿赂承诺书</w:t>
      </w:r>
    </w:p>
    <w:p w14:paraId="16AEF48E">
      <w:pPr>
        <w:snapToGrid w:val="0"/>
        <w:spacing w:line="360" w:lineRule="auto"/>
        <w:rPr>
          <w:rFonts w:ascii="宋体" w:hAnsi="宋体" w:cs="宋体"/>
          <w:sz w:val="28"/>
          <w:szCs w:val="28"/>
        </w:rPr>
      </w:pPr>
    </w:p>
    <w:p w14:paraId="2C9A43A9">
      <w:pPr>
        <w:snapToGrid w:val="0"/>
        <w:spacing w:line="360" w:lineRule="auto"/>
        <w:rPr>
          <w:rFonts w:ascii="宋体" w:hAnsi="宋体" w:cs="宋体"/>
          <w:sz w:val="28"/>
          <w:szCs w:val="28"/>
        </w:rPr>
      </w:pPr>
      <w:r>
        <w:rPr>
          <w:rFonts w:hint="eastAsia" w:ascii="宋体" w:hAnsi="宋体" w:cs="宋体"/>
          <w:sz w:val="28"/>
          <w:szCs w:val="28"/>
        </w:rPr>
        <w:t>我公司承诺：</w:t>
      </w:r>
    </w:p>
    <w:p w14:paraId="037FD840">
      <w:pPr>
        <w:snapToGrid w:val="0"/>
        <w:spacing w:line="360" w:lineRule="auto"/>
        <w:ind w:firstLine="560" w:firstLineChars="200"/>
        <w:rPr>
          <w:rFonts w:ascii="宋体" w:hAnsi="宋体" w:cs="宋体"/>
          <w:sz w:val="28"/>
          <w:szCs w:val="28"/>
        </w:rPr>
      </w:pPr>
      <w:r>
        <w:rPr>
          <w:rFonts w:hint="eastAsia" w:ascii="宋体" w:hAnsi="宋体" w:cs="宋体"/>
          <w:sz w:val="28"/>
          <w:szCs w:val="28"/>
        </w:rPr>
        <w:t>在本次公开招标中，我公司保证做到：</w:t>
      </w:r>
    </w:p>
    <w:p w14:paraId="62C786AF">
      <w:pPr>
        <w:snapToGrid w:val="0"/>
        <w:spacing w:line="360" w:lineRule="auto"/>
        <w:ind w:firstLine="560" w:firstLineChars="200"/>
        <w:rPr>
          <w:rFonts w:ascii="宋体" w:hAnsi="宋体" w:cs="宋体"/>
          <w:sz w:val="28"/>
          <w:szCs w:val="28"/>
        </w:rPr>
      </w:pPr>
      <w:r>
        <w:rPr>
          <w:rFonts w:hint="eastAsia" w:ascii="宋体" w:hAnsi="宋体" w:cs="宋体"/>
          <w:sz w:val="28"/>
          <w:szCs w:val="28"/>
        </w:rPr>
        <w:t>一、公平竞争参加本次招标活动。</w:t>
      </w:r>
    </w:p>
    <w:p w14:paraId="6C38906D">
      <w:pPr>
        <w:snapToGrid w:val="0"/>
        <w:spacing w:line="360" w:lineRule="auto"/>
        <w:ind w:firstLine="560" w:firstLineChars="200"/>
        <w:rPr>
          <w:rFonts w:ascii="宋体" w:hAnsi="宋体" w:cs="宋体"/>
          <w:sz w:val="28"/>
          <w:szCs w:val="28"/>
        </w:rPr>
      </w:pPr>
      <w:r>
        <w:rPr>
          <w:rFonts w:hint="eastAsia" w:ascii="宋体" w:hAnsi="宋体" w:cs="宋体"/>
          <w:sz w:val="28"/>
          <w:szCs w:val="28"/>
        </w:rPr>
        <w:t>二、杜绝任何形式的商业贿赂行为。不向国家工作人员、政府招标代理机构工作人员、评审专家及其亲属提供礼品礼金、有价证券、购物券、回扣、佣金、咨询费、劳务费、赞助费、宣传费、宴请；不为其报销各种消费凭证，不支付其旅游、娱乐等费用。</w:t>
      </w:r>
    </w:p>
    <w:p w14:paraId="28785C99">
      <w:pPr>
        <w:snapToGrid w:val="0"/>
        <w:spacing w:line="360" w:lineRule="auto"/>
        <w:ind w:firstLine="560" w:firstLineChars="200"/>
        <w:rPr>
          <w:rFonts w:ascii="宋体" w:hAnsi="宋体" w:cs="宋体"/>
          <w:sz w:val="28"/>
          <w:szCs w:val="28"/>
        </w:rPr>
      </w:pPr>
      <w:r>
        <w:rPr>
          <w:rFonts w:hint="eastAsia" w:ascii="宋体" w:hAnsi="宋体" w:cs="宋体"/>
          <w:sz w:val="28"/>
          <w:szCs w:val="28"/>
        </w:rPr>
        <w:t>三、若出现上述行为，我公司及参与投标的工作人员愿意接受按照国家法律法规等有关规定给予的处罚。</w:t>
      </w:r>
    </w:p>
    <w:p w14:paraId="06CC23FA">
      <w:pPr>
        <w:snapToGrid w:val="0"/>
        <w:spacing w:line="360" w:lineRule="auto"/>
        <w:rPr>
          <w:rFonts w:ascii="宋体" w:hAnsi="宋体" w:cs="宋体"/>
          <w:sz w:val="28"/>
          <w:szCs w:val="28"/>
        </w:rPr>
      </w:pPr>
    </w:p>
    <w:p w14:paraId="2860BA48">
      <w:pPr>
        <w:tabs>
          <w:tab w:val="left" w:pos="1155"/>
        </w:tabs>
        <w:spacing w:line="520" w:lineRule="exact"/>
        <w:ind w:firstLine="700" w:firstLineChars="250"/>
        <w:jc w:val="center"/>
        <w:rPr>
          <w:rFonts w:ascii="宋体" w:hAnsi="宋体" w:cs="仿宋_GB2312"/>
          <w:sz w:val="28"/>
          <w:szCs w:val="28"/>
        </w:rPr>
      </w:pPr>
      <w:r>
        <w:rPr>
          <w:rFonts w:hint="eastAsia" w:ascii="宋体" w:hAnsi="宋体" w:cs="仿宋_GB2312"/>
          <w:sz w:val="28"/>
          <w:szCs w:val="28"/>
        </w:rPr>
        <w:t>供应商名称：（盖单位电子章）</w:t>
      </w:r>
    </w:p>
    <w:p w14:paraId="432C6D64">
      <w:pPr>
        <w:tabs>
          <w:tab w:val="left" w:pos="1155"/>
        </w:tabs>
        <w:spacing w:line="520" w:lineRule="exact"/>
        <w:ind w:firstLine="700" w:firstLineChars="250"/>
        <w:jc w:val="right"/>
        <w:rPr>
          <w:rFonts w:ascii="宋体" w:hAnsi="宋体" w:cs="仿宋_GB2312"/>
          <w:sz w:val="28"/>
          <w:szCs w:val="28"/>
        </w:rPr>
      </w:pPr>
      <w:r>
        <w:rPr>
          <w:rFonts w:hint="eastAsia" w:ascii="宋体" w:hAnsi="宋体" w:cs="仿宋_GB2312"/>
          <w:sz w:val="28"/>
          <w:szCs w:val="28"/>
        </w:rPr>
        <w:t>法定代表人或授权代理人：（</w:t>
      </w:r>
      <w:r>
        <w:rPr>
          <w:rFonts w:hint="eastAsia" w:ascii="宋体" w:hAnsi="宋体" w:cs="宋体"/>
          <w:sz w:val="28"/>
          <w:szCs w:val="28"/>
        </w:rPr>
        <w:t>盖电子印章或签名</w:t>
      </w:r>
      <w:r>
        <w:rPr>
          <w:rFonts w:hint="eastAsia" w:ascii="宋体" w:hAnsi="宋体" w:cs="仿宋_GB2312"/>
          <w:sz w:val="28"/>
          <w:szCs w:val="28"/>
        </w:rPr>
        <w:t>）</w:t>
      </w:r>
    </w:p>
    <w:p w14:paraId="17524EDD">
      <w:pPr>
        <w:spacing w:line="360" w:lineRule="auto"/>
        <w:ind w:firstLine="560" w:firstLineChars="200"/>
        <w:jc w:val="right"/>
        <w:rPr>
          <w:rFonts w:ascii="宋体" w:hAnsi="宋体" w:cs="仿宋_GB2312"/>
          <w:sz w:val="28"/>
          <w:szCs w:val="28"/>
          <w:u w:val="single"/>
        </w:rPr>
      </w:pPr>
    </w:p>
    <w:p w14:paraId="4199FBD3">
      <w:pPr>
        <w:jc w:val="center"/>
        <w:rPr>
          <w:sz w:val="32"/>
          <w:szCs w:val="32"/>
        </w:rPr>
      </w:pPr>
      <w:r>
        <w:rPr>
          <w:rFonts w:hint="eastAsia" w:ascii="宋体" w:hAnsi="宋体" w:cs="仿宋_GB2312"/>
          <w:sz w:val="28"/>
          <w:szCs w:val="28"/>
        </w:rPr>
        <w:t xml:space="preserve">                                   年    月    日 </w:t>
      </w:r>
    </w:p>
    <w:p w14:paraId="284B1FA4">
      <w:pPr>
        <w:spacing w:line="360" w:lineRule="auto"/>
        <w:jc w:val="center"/>
        <w:rPr>
          <w:rFonts w:ascii="宋体" w:hAnsi="宋体"/>
          <w:sz w:val="28"/>
          <w:szCs w:val="28"/>
        </w:rPr>
      </w:pPr>
    </w:p>
    <w:p w14:paraId="377F7AA1">
      <w:pPr>
        <w:spacing w:line="360" w:lineRule="auto"/>
        <w:rPr>
          <w:rFonts w:ascii="宋体" w:hAnsi="宋体"/>
          <w:sz w:val="28"/>
          <w:szCs w:val="28"/>
        </w:rPr>
        <w:sectPr>
          <w:pgSz w:w="11906" w:h="16838"/>
          <w:pgMar w:top="1418" w:right="1418" w:bottom="1418" w:left="1418" w:header="850" w:footer="992" w:gutter="0"/>
          <w:cols w:space="720" w:num="1"/>
          <w:docGrid w:type="lines" w:linePitch="312" w:charSpace="0"/>
        </w:sectPr>
      </w:pPr>
    </w:p>
    <w:p w14:paraId="44A5A677">
      <w:pPr>
        <w:jc w:val="center"/>
        <w:rPr>
          <w:sz w:val="32"/>
          <w:szCs w:val="32"/>
        </w:rPr>
      </w:pPr>
      <w:r>
        <w:rPr>
          <w:rFonts w:hint="eastAsia"/>
          <w:sz w:val="32"/>
          <w:szCs w:val="32"/>
        </w:rPr>
        <w:t>（3）参加政府采购活动前3年内在经营活动中没有重大违法记录的书面声明</w:t>
      </w:r>
    </w:p>
    <w:p w14:paraId="3586C5C7">
      <w:pPr>
        <w:jc w:val="center"/>
        <w:rPr>
          <w:sz w:val="32"/>
          <w:szCs w:val="32"/>
        </w:rPr>
      </w:pPr>
      <w:r>
        <w:rPr>
          <w:rFonts w:hint="eastAsia"/>
          <w:sz w:val="32"/>
          <w:szCs w:val="32"/>
        </w:rPr>
        <w:t>（格式）</w:t>
      </w:r>
    </w:p>
    <w:p w14:paraId="14F9B253">
      <w:pPr>
        <w:spacing w:line="360" w:lineRule="auto"/>
        <w:rPr>
          <w:rFonts w:ascii="宋体" w:hAnsi="宋体"/>
          <w:color w:val="000000"/>
          <w:sz w:val="28"/>
          <w:szCs w:val="28"/>
        </w:rPr>
      </w:pPr>
      <w:r>
        <w:rPr>
          <w:rFonts w:hint="eastAsia" w:ascii="宋体" w:hAnsi="宋体"/>
          <w:color w:val="000000"/>
          <w:sz w:val="28"/>
          <w:szCs w:val="28"/>
        </w:rPr>
        <w:t>致：</w:t>
      </w:r>
      <w:r>
        <w:rPr>
          <w:rFonts w:hint="eastAsia" w:ascii="宋体" w:hAnsi="宋体"/>
          <w:color w:val="000000"/>
          <w:sz w:val="28"/>
          <w:szCs w:val="28"/>
          <w:u w:val="single"/>
        </w:rPr>
        <w:t xml:space="preserve">             </w:t>
      </w:r>
      <w:r>
        <w:rPr>
          <w:rFonts w:hint="eastAsia" w:ascii="宋体" w:hAnsi="宋体"/>
          <w:color w:val="000000"/>
          <w:sz w:val="28"/>
          <w:szCs w:val="28"/>
        </w:rPr>
        <w:t xml:space="preserve">（招标人名称）                  </w:t>
      </w:r>
    </w:p>
    <w:p w14:paraId="6177F011">
      <w:pPr>
        <w:spacing w:line="360" w:lineRule="auto"/>
        <w:rPr>
          <w:rFonts w:ascii="宋体" w:hAnsi="宋体"/>
          <w:color w:val="000000"/>
          <w:sz w:val="28"/>
          <w:szCs w:val="28"/>
        </w:rPr>
      </w:pPr>
      <w:r>
        <w:rPr>
          <w:rFonts w:hint="eastAsia" w:ascii="宋体" w:hAnsi="宋体"/>
          <w:color w:val="000000"/>
          <w:sz w:val="28"/>
          <w:szCs w:val="28"/>
        </w:rPr>
        <w:t xml:space="preserve">    我单位</w:t>
      </w:r>
      <w:r>
        <w:rPr>
          <w:rFonts w:hint="eastAsia" w:ascii="宋体" w:hAnsi="宋体"/>
          <w:color w:val="000000"/>
          <w:sz w:val="28"/>
          <w:szCs w:val="28"/>
          <w:u w:val="single"/>
        </w:rPr>
        <w:t xml:space="preserve">           </w:t>
      </w:r>
      <w:r>
        <w:rPr>
          <w:rFonts w:hint="eastAsia" w:ascii="宋体" w:hAnsi="宋体"/>
          <w:color w:val="000000"/>
          <w:sz w:val="28"/>
          <w:szCs w:val="28"/>
        </w:rPr>
        <w:t xml:space="preserve">（投标人名称）近三年内，在参加政府采购活动中没有重大违法记录，特此声明。 </w:t>
      </w:r>
    </w:p>
    <w:p w14:paraId="54BDD540">
      <w:pPr>
        <w:topLinePunct/>
        <w:spacing w:line="360" w:lineRule="auto"/>
        <w:ind w:firstLine="500"/>
        <w:rPr>
          <w:rFonts w:ascii="宋体" w:hAnsi="宋体"/>
          <w:color w:val="000000"/>
          <w:sz w:val="28"/>
          <w:szCs w:val="28"/>
        </w:rPr>
      </w:pPr>
      <w:r>
        <w:rPr>
          <w:rFonts w:hint="eastAsia" w:ascii="宋体" w:hAnsi="宋体"/>
          <w:color w:val="000000"/>
          <w:sz w:val="28"/>
          <w:szCs w:val="28"/>
        </w:rPr>
        <w:t>若招标单位在本项目采购过程中发现我单位近三年内在政府采购活动中有重大违法记录，我单位将无条件地退出本项目的招标，并承担因此引起的一切后果。</w:t>
      </w:r>
    </w:p>
    <w:p w14:paraId="2679CD8D">
      <w:pPr>
        <w:topLinePunct/>
        <w:spacing w:line="360" w:lineRule="auto"/>
        <w:ind w:firstLine="500"/>
        <w:rPr>
          <w:rFonts w:ascii="宋体" w:hAnsi="宋体"/>
          <w:color w:val="000000"/>
          <w:sz w:val="28"/>
          <w:szCs w:val="28"/>
        </w:rPr>
      </w:pPr>
      <w:r>
        <w:rPr>
          <w:rFonts w:hint="eastAsia" w:ascii="宋体" w:hAnsi="宋体"/>
          <w:color w:val="000000"/>
          <w:sz w:val="28"/>
          <w:szCs w:val="28"/>
        </w:rPr>
        <w:t xml:space="preserve"> </w:t>
      </w:r>
    </w:p>
    <w:p w14:paraId="36EA8A6B">
      <w:pPr>
        <w:topLinePunct/>
        <w:spacing w:line="360" w:lineRule="auto"/>
        <w:ind w:firstLine="500"/>
        <w:rPr>
          <w:rFonts w:ascii="宋体" w:hAnsi="宋体"/>
          <w:color w:val="000000"/>
          <w:sz w:val="28"/>
          <w:szCs w:val="28"/>
        </w:rPr>
      </w:pPr>
      <w:r>
        <w:rPr>
          <w:rFonts w:hint="eastAsia" w:ascii="宋体" w:hAnsi="宋体"/>
          <w:color w:val="000000"/>
          <w:sz w:val="28"/>
          <w:szCs w:val="28"/>
        </w:rPr>
        <w:t xml:space="preserve"> </w:t>
      </w:r>
    </w:p>
    <w:p w14:paraId="323B9967">
      <w:pPr>
        <w:tabs>
          <w:tab w:val="left" w:pos="1155"/>
        </w:tabs>
        <w:spacing w:line="520" w:lineRule="exact"/>
        <w:ind w:firstLine="700" w:firstLineChars="250"/>
        <w:jc w:val="center"/>
        <w:rPr>
          <w:rFonts w:ascii="宋体" w:hAnsi="宋体" w:cs="仿宋_GB2312"/>
          <w:sz w:val="28"/>
          <w:szCs w:val="28"/>
        </w:rPr>
      </w:pPr>
      <w:r>
        <w:rPr>
          <w:rFonts w:hint="eastAsia" w:ascii="宋体" w:hAnsi="宋体"/>
          <w:color w:val="000000"/>
          <w:sz w:val="28"/>
          <w:szCs w:val="28"/>
        </w:rPr>
        <w:t xml:space="preserve">                   </w:t>
      </w:r>
      <w:r>
        <w:rPr>
          <w:rFonts w:hint="eastAsia" w:ascii="宋体" w:hAnsi="宋体" w:cs="仿宋_GB2312"/>
          <w:sz w:val="28"/>
          <w:szCs w:val="28"/>
        </w:rPr>
        <w:t>供应商名称：（盖单位电子章）</w:t>
      </w:r>
    </w:p>
    <w:p w14:paraId="2B54C191">
      <w:pPr>
        <w:tabs>
          <w:tab w:val="left" w:pos="1155"/>
        </w:tabs>
        <w:spacing w:line="520" w:lineRule="exact"/>
        <w:ind w:firstLine="700" w:firstLineChars="250"/>
        <w:jc w:val="right"/>
        <w:rPr>
          <w:rFonts w:ascii="宋体" w:hAnsi="宋体" w:cs="仿宋_GB2312"/>
          <w:sz w:val="28"/>
          <w:szCs w:val="28"/>
        </w:rPr>
      </w:pPr>
      <w:r>
        <w:rPr>
          <w:rFonts w:hint="eastAsia" w:ascii="宋体" w:hAnsi="宋体" w:cs="仿宋_GB2312"/>
          <w:sz w:val="28"/>
          <w:szCs w:val="28"/>
        </w:rPr>
        <w:t>法定代表人或授权代理人：（</w:t>
      </w:r>
      <w:r>
        <w:rPr>
          <w:rFonts w:hint="eastAsia" w:ascii="宋体" w:hAnsi="宋体" w:cs="宋体"/>
          <w:sz w:val="28"/>
          <w:szCs w:val="28"/>
        </w:rPr>
        <w:t>盖电子印章或签名</w:t>
      </w:r>
      <w:r>
        <w:rPr>
          <w:rFonts w:hint="eastAsia" w:ascii="宋体" w:hAnsi="宋体" w:cs="仿宋_GB2312"/>
          <w:sz w:val="28"/>
          <w:szCs w:val="28"/>
        </w:rPr>
        <w:t>）</w:t>
      </w:r>
    </w:p>
    <w:p w14:paraId="6A9940A0">
      <w:pPr>
        <w:spacing w:line="360" w:lineRule="auto"/>
        <w:ind w:firstLine="560" w:firstLineChars="200"/>
        <w:jc w:val="right"/>
        <w:rPr>
          <w:rFonts w:ascii="宋体" w:hAnsi="宋体" w:cs="仿宋_GB2312"/>
          <w:sz w:val="28"/>
          <w:szCs w:val="28"/>
          <w:u w:val="single"/>
        </w:rPr>
      </w:pPr>
    </w:p>
    <w:p w14:paraId="77203B82">
      <w:pPr>
        <w:jc w:val="center"/>
        <w:rPr>
          <w:sz w:val="32"/>
          <w:szCs w:val="32"/>
        </w:rPr>
      </w:pPr>
      <w:r>
        <w:rPr>
          <w:rFonts w:hint="eastAsia" w:ascii="宋体" w:hAnsi="宋体" w:cs="仿宋_GB2312"/>
          <w:sz w:val="28"/>
          <w:szCs w:val="28"/>
        </w:rPr>
        <w:t xml:space="preserve">                                   年    月    日 </w:t>
      </w:r>
    </w:p>
    <w:p w14:paraId="51C816FD">
      <w:pPr>
        <w:spacing w:line="360" w:lineRule="auto"/>
        <w:rPr>
          <w:kern w:val="0"/>
          <w:sz w:val="32"/>
          <w:szCs w:val="32"/>
        </w:rPr>
      </w:pPr>
      <w:r>
        <w:rPr>
          <w:rFonts w:hint="eastAsia"/>
        </w:rPr>
        <w:br w:type="page"/>
      </w:r>
      <w:r>
        <w:rPr>
          <w:rFonts w:hint="eastAsia"/>
          <w:kern w:val="0"/>
          <w:sz w:val="32"/>
          <w:szCs w:val="32"/>
        </w:rPr>
        <w:t>（4）具有履行合同所必需的设备和专业技术能力承诺书</w:t>
      </w:r>
    </w:p>
    <w:p w14:paraId="20EE37A1">
      <w:pPr>
        <w:autoSpaceDE w:val="0"/>
        <w:autoSpaceDN w:val="0"/>
        <w:adjustRightInd w:val="0"/>
        <w:spacing w:line="360" w:lineRule="auto"/>
        <w:jc w:val="center"/>
        <w:rPr>
          <w:rFonts w:ascii="宋体" w:hAnsi="宋体"/>
          <w:b/>
          <w:bCs/>
          <w:color w:val="000000"/>
          <w:kern w:val="0"/>
          <w:sz w:val="28"/>
          <w:szCs w:val="28"/>
        </w:rPr>
      </w:pPr>
      <w:r>
        <w:rPr>
          <w:rFonts w:hint="eastAsia" w:ascii="宋体" w:hAnsi="宋体"/>
          <w:b/>
          <w:bCs/>
          <w:color w:val="000000"/>
          <w:kern w:val="0"/>
          <w:sz w:val="28"/>
          <w:szCs w:val="28"/>
        </w:rPr>
        <w:t>（格式自拟）</w:t>
      </w:r>
    </w:p>
    <w:p w14:paraId="64A4930F">
      <w:pPr>
        <w:tabs>
          <w:tab w:val="left" w:pos="2160"/>
        </w:tabs>
        <w:autoSpaceDE w:val="0"/>
        <w:autoSpaceDN w:val="0"/>
        <w:adjustRightInd w:val="0"/>
        <w:spacing w:line="360" w:lineRule="auto"/>
        <w:rPr>
          <w:rFonts w:ascii="宋体" w:hAnsi="宋体"/>
          <w:color w:val="000000"/>
          <w:kern w:val="0"/>
          <w:sz w:val="28"/>
          <w:szCs w:val="28"/>
        </w:rPr>
      </w:pPr>
      <w:r>
        <w:rPr>
          <w:rFonts w:hint="eastAsia" w:ascii="宋体" w:hAnsi="宋体"/>
          <w:color w:val="000000"/>
          <w:kern w:val="0"/>
          <w:sz w:val="28"/>
          <w:szCs w:val="28"/>
        </w:rPr>
        <w:t xml:space="preserve"> </w:t>
      </w:r>
      <w:r>
        <w:rPr>
          <w:rFonts w:ascii="宋体" w:hAnsi="宋体"/>
          <w:color w:val="000000"/>
          <w:kern w:val="0"/>
          <w:sz w:val="28"/>
          <w:szCs w:val="28"/>
        </w:rPr>
        <w:tab/>
      </w:r>
    </w:p>
    <w:p w14:paraId="35330F11">
      <w:pPr>
        <w:autoSpaceDE w:val="0"/>
        <w:autoSpaceDN w:val="0"/>
        <w:adjustRightInd w:val="0"/>
        <w:spacing w:line="360" w:lineRule="auto"/>
        <w:rPr>
          <w:rFonts w:ascii="宋体" w:hAnsi="宋体"/>
          <w:color w:val="000000"/>
          <w:kern w:val="0"/>
          <w:sz w:val="28"/>
          <w:szCs w:val="28"/>
        </w:rPr>
      </w:pPr>
      <w:r>
        <w:rPr>
          <w:rFonts w:hint="eastAsia" w:ascii="宋体" w:hAnsi="宋体"/>
          <w:color w:val="000000"/>
          <w:kern w:val="0"/>
          <w:sz w:val="28"/>
          <w:szCs w:val="28"/>
        </w:rPr>
        <w:t xml:space="preserve"> </w:t>
      </w:r>
    </w:p>
    <w:p w14:paraId="7E7633B1">
      <w:pPr>
        <w:autoSpaceDE w:val="0"/>
        <w:autoSpaceDN w:val="0"/>
        <w:adjustRightInd w:val="0"/>
        <w:spacing w:line="360" w:lineRule="auto"/>
        <w:rPr>
          <w:rFonts w:ascii="宋体" w:hAnsi="宋体"/>
          <w:color w:val="000000"/>
          <w:kern w:val="0"/>
          <w:sz w:val="28"/>
          <w:szCs w:val="28"/>
        </w:rPr>
      </w:pPr>
      <w:r>
        <w:rPr>
          <w:rFonts w:hint="eastAsia" w:ascii="宋体" w:hAnsi="宋体"/>
          <w:color w:val="000000"/>
          <w:kern w:val="0"/>
          <w:sz w:val="28"/>
          <w:szCs w:val="28"/>
        </w:rPr>
        <w:t xml:space="preserve"> </w:t>
      </w:r>
    </w:p>
    <w:p w14:paraId="33FECBF1">
      <w:pPr>
        <w:autoSpaceDE w:val="0"/>
        <w:autoSpaceDN w:val="0"/>
        <w:adjustRightInd w:val="0"/>
        <w:spacing w:line="360" w:lineRule="auto"/>
        <w:rPr>
          <w:rFonts w:ascii="宋体" w:hAnsi="宋体"/>
          <w:color w:val="000000"/>
          <w:kern w:val="0"/>
          <w:sz w:val="28"/>
          <w:szCs w:val="28"/>
        </w:rPr>
      </w:pPr>
      <w:r>
        <w:rPr>
          <w:rFonts w:hint="eastAsia" w:ascii="宋体" w:hAnsi="宋体"/>
          <w:color w:val="000000"/>
          <w:kern w:val="0"/>
          <w:sz w:val="28"/>
          <w:szCs w:val="28"/>
        </w:rPr>
        <w:t xml:space="preserve"> </w:t>
      </w:r>
    </w:p>
    <w:p w14:paraId="3458B8D3">
      <w:pPr>
        <w:autoSpaceDE w:val="0"/>
        <w:autoSpaceDN w:val="0"/>
        <w:adjustRightInd w:val="0"/>
        <w:spacing w:line="360" w:lineRule="auto"/>
        <w:rPr>
          <w:rFonts w:ascii="宋体" w:hAnsi="宋体"/>
          <w:color w:val="000000"/>
          <w:kern w:val="0"/>
          <w:sz w:val="28"/>
          <w:szCs w:val="28"/>
        </w:rPr>
      </w:pPr>
      <w:r>
        <w:rPr>
          <w:rFonts w:hint="eastAsia" w:ascii="宋体" w:hAnsi="宋体"/>
          <w:color w:val="000000"/>
          <w:kern w:val="0"/>
          <w:sz w:val="28"/>
          <w:szCs w:val="28"/>
        </w:rPr>
        <w:t xml:space="preserve"> </w:t>
      </w:r>
    </w:p>
    <w:p w14:paraId="252ED503">
      <w:pPr>
        <w:pStyle w:val="22"/>
        <w:ind w:firstLine="280"/>
        <w:rPr>
          <w:rFonts w:ascii="宋体" w:hAnsi="宋体"/>
          <w:color w:val="000000"/>
          <w:kern w:val="0"/>
          <w:sz w:val="28"/>
          <w:szCs w:val="28"/>
        </w:rPr>
      </w:pPr>
      <w:r>
        <w:rPr>
          <w:rFonts w:hint="eastAsia" w:ascii="宋体" w:hAnsi="宋体"/>
          <w:color w:val="000000"/>
          <w:kern w:val="0"/>
          <w:sz w:val="28"/>
          <w:szCs w:val="28"/>
        </w:rPr>
        <w:t xml:space="preserve"> </w:t>
      </w:r>
    </w:p>
    <w:p w14:paraId="043845AC">
      <w:pPr>
        <w:pStyle w:val="22"/>
        <w:ind w:firstLine="280"/>
        <w:rPr>
          <w:rFonts w:ascii="宋体" w:hAnsi="宋体"/>
          <w:color w:val="000000"/>
          <w:kern w:val="0"/>
          <w:sz w:val="28"/>
          <w:szCs w:val="28"/>
        </w:rPr>
      </w:pPr>
      <w:r>
        <w:rPr>
          <w:rFonts w:hint="eastAsia" w:ascii="宋体" w:hAnsi="宋体"/>
          <w:color w:val="000000"/>
          <w:kern w:val="0"/>
          <w:sz w:val="28"/>
          <w:szCs w:val="28"/>
        </w:rPr>
        <w:t xml:space="preserve"> </w:t>
      </w:r>
    </w:p>
    <w:p w14:paraId="55D153D1">
      <w:pPr>
        <w:pStyle w:val="22"/>
        <w:ind w:firstLine="280"/>
        <w:rPr>
          <w:rFonts w:ascii="宋体" w:hAnsi="宋体"/>
          <w:color w:val="000000"/>
          <w:kern w:val="0"/>
          <w:sz w:val="28"/>
          <w:szCs w:val="28"/>
        </w:rPr>
      </w:pPr>
      <w:r>
        <w:rPr>
          <w:rFonts w:hint="eastAsia" w:ascii="宋体" w:hAnsi="宋体"/>
          <w:color w:val="000000"/>
          <w:kern w:val="0"/>
          <w:sz w:val="28"/>
          <w:szCs w:val="28"/>
        </w:rPr>
        <w:t xml:space="preserve"> </w:t>
      </w:r>
    </w:p>
    <w:p w14:paraId="7767AE20">
      <w:pPr>
        <w:pStyle w:val="22"/>
        <w:ind w:firstLine="280"/>
        <w:rPr>
          <w:rFonts w:ascii="宋体" w:hAnsi="宋体"/>
          <w:color w:val="FF0000"/>
          <w:kern w:val="0"/>
          <w:sz w:val="28"/>
          <w:szCs w:val="28"/>
        </w:rPr>
      </w:pPr>
      <w:r>
        <w:rPr>
          <w:rFonts w:hint="eastAsia" w:ascii="宋体" w:hAnsi="宋体"/>
          <w:color w:val="000000"/>
          <w:kern w:val="0"/>
          <w:sz w:val="28"/>
          <w:szCs w:val="28"/>
        </w:rPr>
        <w:t xml:space="preserve"> </w:t>
      </w:r>
    </w:p>
    <w:p w14:paraId="111E79E6">
      <w:pPr>
        <w:tabs>
          <w:tab w:val="left" w:pos="1155"/>
        </w:tabs>
        <w:spacing w:line="520" w:lineRule="exact"/>
        <w:ind w:firstLine="700" w:firstLineChars="250"/>
        <w:jc w:val="center"/>
        <w:rPr>
          <w:rFonts w:ascii="宋体" w:hAnsi="宋体" w:cs="仿宋_GB2312"/>
          <w:sz w:val="28"/>
          <w:szCs w:val="28"/>
        </w:rPr>
      </w:pPr>
      <w:r>
        <w:rPr>
          <w:rFonts w:hint="eastAsia" w:ascii="宋体" w:hAnsi="宋体" w:cs="仿宋_GB2312"/>
          <w:sz w:val="28"/>
          <w:szCs w:val="28"/>
        </w:rPr>
        <w:t>供应商名称：（盖单位电子章）</w:t>
      </w:r>
    </w:p>
    <w:p w14:paraId="3A36441A">
      <w:pPr>
        <w:tabs>
          <w:tab w:val="left" w:pos="1155"/>
        </w:tabs>
        <w:spacing w:line="520" w:lineRule="exact"/>
        <w:ind w:firstLine="700" w:firstLineChars="250"/>
        <w:jc w:val="right"/>
        <w:rPr>
          <w:rFonts w:ascii="宋体" w:hAnsi="宋体" w:cs="仿宋_GB2312"/>
          <w:sz w:val="28"/>
          <w:szCs w:val="28"/>
        </w:rPr>
      </w:pPr>
      <w:r>
        <w:rPr>
          <w:rFonts w:hint="eastAsia" w:ascii="宋体" w:hAnsi="宋体" w:cs="仿宋_GB2312"/>
          <w:sz w:val="28"/>
          <w:szCs w:val="28"/>
        </w:rPr>
        <w:t>法定代表人或授权代理人：（</w:t>
      </w:r>
      <w:r>
        <w:rPr>
          <w:rFonts w:hint="eastAsia" w:ascii="宋体" w:hAnsi="宋体" w:cs="宋体"/>
          <w:sz w:val="28"/>
          <w:szCs w:val="28"/>
        </w:rPr>
        <w:t>盖电子印章或签名</w:t>
      </w:r>
      <w:r>
        <w:rPr>
          <w:rFonts w:hint="eastAsia" w:ascii="宋体" w:hAnsi="宋体" w:cs="仿宋_GB2312"/>
          <w:sz w:val="28"/>
          <w:szCs w:val="28"/>
        </w:rPr>
        <w:t>）</w:t>
      </w:r>
    </w:p>
    <w:p w14:paraId="57375598">
      <w:pPr>
        <w:spacing w:line="360" w:lineRule="auto"/>
        <w:ind w:firstLine="560" w:firstLineChars="200"/>
        <w:jc w:val="right"/>
        <w:rPr>
          <w:rFonts w:ascii="宋体" w:hAnsi="宋体" w:cs="仿宋_GB2312"/>
          <w:sz w:val="28"/>
          <w:szCs w:val="28"/>
          <w:u w:val="single"/>
        </w:rPr>
      </w:pPr>
    </w:p>
    <w:p w14:paraId="4212DD32">
      <w:pPr>
        <w:jc w:val="center"/>
        <w:rPr>
          <w:sz w:val="32"/>
          <w:szCs w:val="32"/>
        </w:rPr>
      </w:pPr>
      <w:r>
        <w:rPr>
          <w:rFonts w:hint="eastAsia" w:ascii="宋体" w:hAnsi="宋体" w:cs="仿宋_GB2312"/>
          <w:sz w:val="28"/>
          <w:szCs w:val="28"/>
        </w:rPr>
        <w:t xml:space="preserve">                                   年    月    日 </w:t>
      </w:r>
    </w:p>
    <w:p w14:paraId="3F73B2A7">
      <w:pPr>
        <w:spacing w:line="360" w:lineRule="auto"/>
        <w:ind w:firstLine="560" w:firstLineChars="200"/>
        <w:jc w:val="right"/>
        <w:rPr>
          <w:rFonts w:ascii="宋体" w:hAnsi="宋体" w:cs="仿宋_GB2312"/>
          <w:sz w:val="28"/>
          <w:szCs w:val="28"/>
        </w:rPr>
      </w:pPr>
    </w:p>
    <w:p w14:paraId="5EE52C58">
      <w:pPr>
        <w:pStyle w:val="21"/>
        <w:rPr>
          <w:sz w:val="28"/>
          <w:szCs w:val="28"/>
        </w:rPr>
      </w:pPr>
    </w:p>
    <w:p w14:paraId="6D6DC09A">
      <w:pPr>
        <w:pStyle w:val="21"/>
        <w:rPr>
          <w:sz w:val="28"/>
          <w:szCs w:val="28"/>
        </w:rPr>
      </w:pPr>
    </w:p>
    <w:p w14:paraId="5CD72E04"/>
    <w:p w14:paraId="343F6050"/>
    <w:p w14:paraId="480F9823">
      <w:pPr>
        <w:rPr>
          <w:rFonts w:ascii="宋体" w:hAnsi="宋体"/>
          <w:sz w:val="32"/>
          <w:szCs w:val="32"/>
        </w:rPr>
      </w:pPr>
      <w:r>
        <w:rPr>
          <w:rFonts w:hint="eastAsia" w:ascii="宋体" w:hAnsi="宋体"/>
          <w:sz w:val="32"/>
          <w:szCs w:val="32"/>
        </w:rPr>
        <w:t>（5）不存在与参加本项目的其它供应商单位负责人为同一人或者存在直接控股、管理关系承诺书</w:t>
      </w:r>
    </w:p>
    <w:p w14:paraId="66469FC7">
      <w:pPr>
        <w:rPr>
          <w:rFonts w:ascii="宋体" w:hAnsi="宋体"/>
          <w:sz w:val="28"/>
          <w:szCs w:val="28"/>
        </w:rPr>
      </w:pPr>
    </w:p>
    <w:p w14:paraId="28F91B17">
      <w:pPr>
        <w:spacing w:line="360" w:lineRule="auto"/>
        <w:rPr>
          <w:rFonts w:ascii="宋体" w:hAnsi="宋体"/>
          <w:sz w:val="28"/>
          <w:szCs w:val="28"/>
        </w:rPr>
      </w:pPr>
      <w:r>
        <w:rPr>
          <w:rFonts w:hint="eastAsia" w:ascii="宋体" w:hAnsi="宋体"/>
          <w:sz w:val="28"/>
          <w:szCs w:val="28"/>
        </w:rPr>
        <w:t>我公司承诺:</w:t>
      </w:r>
    </w:p>
    <w:p w14:paraId="5AA1B83A">
      <w:pPr>
        <w:spacing w:line="360" w:lineRule="auto"/>
        <w:ind w:firstLine="560" w:firstLineChars="200"/>
        <w:rPr>
          <w:rFonts w:ascii="宋体" w:hAnsi="宋体"/>
          <w:sz w:val="28"/>
          <w:szCs w:val="28"/>
        </w:rPr>
      </w:pPr>
      <w:r>
        <w:rPr>
          <w:rFonts w:hint="eastAsia" w:ascii="宋体" w:hAnsi="宋体"/>
          <w:sz w:val="28"/>
          <w:szCs w:val="28"/>
        </w:rPr>
        <w:t>在参加本次政府采购活动中不存在与参加本项目的其它供应商单位负责人为同一人或者存在直接控股、管理关系。</w:t>
      </w:r>
    </w:p>
    <w:p w14:paraId="4479E5CF">
      <w:pPr>
        <w:spacing w:line="360" w:lineRule="auto"/>
        <w:ind w:left="561" w:leftChars="267"/>
        <w:rPr>
          <w:rFonts w:ascii="宋体" w:hAnsi="宋体"/>
          <w:sz w:val="28"/>
          <w:szCs w:val="28"/>
        </w:rPr>
      </w:pPr>
      <w:r>
        <w:rPr>
          <w:rFonts w:hint="eastAsia" w:ascii="宋体" w:hAnsi="宋体"/>
          <w:sz w:val="28"/>
          <w:szCs w:val="28"/>
        </w:rPr>
        <w:t>本公司对上述承诺的真实性负责。如有虚假，将依法承担相应责任。特此承诺！</w:t>
      </w:r>
    </w:p>
    <w:p w14:paraId="5C0E388E">
      <w:pPr>
        <w:pStyle w:val="23"/>
        <w:ind w:firstLine="0" w:firstLineChars="0"/>
      </w:pPr>
    </w:p>
    <w:p w14:paraId="199A4B1F">
      <w:pPr>
        <w:pStyle w:val="23"/>
        <w:ind w:firstLine="0" w:firstLineChars="0"/>
      </w:pPr>
    </w:p>
    <w:p w14:paraId="5ACF5EEB">
      <w:pPr>
        <w:pStyle w:val="23"/>
        <w:ind w:firstLine="0" w:firstLineChars="0"/>
      </w:pPr>
    </w:p>
    <w:p w14:paraId="4569FA80">
      <w:pPr>
        <w:pStyle w:val="23"/>
        <w:ind w:firstLine="0" w:firstLineChars="0"/>
      </w:pPr>
    </w:p>
    <w:p w14:paraId="5157B80F">
      <w:pPr>
        <w:pStyle w:val="23"/>
        <w:ind w:firstLine="0" w:firstLineChars="0"/>
      </w:pPr>
    </w:p>
    <w:p w14:paraId="0647CDBB">
      <w:pPr>
        <w:pStyle w:val="23"/>
        <w:ind w:firstLine="0" w:firstLineChars="0"/>
      </w:pPr>
    </w:p>
    <w:p w14:paraId="735BF10C">
      <w:pPr>
        <w:pStyle w:val="23"/>
        <w:ind w:firstLine="0" w:firstLineChars="0"/>
      </w:pPr>
    </w:p>
    <w:p w14:paraId="239F357A">
      <w:pPr>
        <w:pStyle w:val="23"/>
        <w:ind w:firstLine="0" w:firstLineChars="0"/>
      </w:pPr>
    </w:p>
    <w:p w14:paraId="6B918C9B">
      <w:pPr>
        <w:topLinePunct/>
        <w:spacing w:line="360" w:lineRule="auto"/>
        <w:jc w:val="right"/>
        <w:rPr>
          <w:rFonts w:ascii="宋体" w:hAnsi="宋体"/>
          <w:color w:val="000000"/>
          <w:sz w:val="28"/>
          <w:szCs w:val="28"/>
        </w:rPr>
      </w:pPr>
      <w:r>
        <w:rPr>
          <w:rFonts w:hint="eastAsia" w:ascii="宋体" w:hAnsi="宋体" w:cs="仿宋_GB2312"/>
          <w:sz w:val="28"/>
          <w:szCs w:val="28"/>
        </w:rPr>
        <w:t>供应商（</w:t>
      </w:r>
      <w:r>
        <w:rPr>
          <w:rFonts w:hint="eastAsia" w:ascii="宋体" w:hAnsi="宋体" w:cs="宋体"/>
          <w:sz w:val="28"/>
          <w:szCs w:val="28"/>
        </w:rPr>
        <w:t>盖单位电子章</w:t>
      </w:r>
      <w:r>
        <w:rPr>
          <w:rFonts w:hint="eastAsia" w:ascii="宋体" w:hAnsi="宋体" w:cs="仿宋_GB2312"/>
          <w:sz w:val="28"/>
          <w:szCs w:val="28"/>
        </w:rPr>
        <w:t>）：</w:t>
      </w:r>
    </w:p>
    <w:p w14:paraId="61A7028C">
      <w:pPr>
        <w:spacing w:line="360" w:lineRule="auto"/>
        <w:jc w:val="right"/>
        <w:rPr>
          <w:rFonts w:ascii="宋体" w:hAnsi="宋体" w:cs="仿宋_GB2312"/>
          <w:sz w:val="28"/>
          <w:szCs w:val="28"/>
        </w:rPr>
      </w:pPr>
      <w:r>
        <w:rPr>
          <w:rFonts w:hint="eastAsia" w:ascii="宋体" w:hAnsi="宋体" w:cs="仿宋_GB2312"/>
          <w:sz w:val="28"/>
          <w:szCs w:val="28"/>
        </w:rPr>
        <w:t>法定代表人或委托代理人（</w:t>
      </w:r>
      <w:r>
        <w:rPr>
          <w:rFonts w:hint="eastAsia" w:ascii="宋体" w:hAnsi="宋体" w:cs="宋体"/>
          <w:sz w:val="28"/>
          <w:szCs w:val="28"/>
        </w:rPr>
        <w:t>盖电子印章或签名</w:t>
      </w:r>
      <w:r>
        <w:rPr>
          <w:rFonts w:hint="eastAsia" w:ascii="宋体" w:hAnsi="宋体" w:cs="仿宋_GB2312"/>
          <w:sz w:val="28"/>
          <w:szCs w:val="28"/>
        </w:rPr>
        <w:t>）：</w:t>
      </w:r>
    </w:p>
    <w:p w14:paraId="6899FF8B">
      <w:pPr>
        <w:spacing w:line="360" w:lineRule="auto"/>
        <w:ind w:right="480"/>
        <w:jc w:val="right"/>
        <w:rPr>
          <w:rFonts w:ascii="宋体" w:hAnsi="宋体" w:cs="仿宋_GB2312"/>
          <w:sz w:val="28"/>
          <w:szCs w:val="28"/>
        </w:rPr>
      </w:pPr>
      <w:r>
        <w:rPr>
          <w:rFonts w:hint="eastAsia" w:ascii="宋体" w:hAnsi="宋体" w:cs="仿宋_GB2312"/>
          <w:sz w:val="28"/>
          <w:szCs w:val="28"/>
          <w:u w:val="single"/>
        </w:rPr>
        <w:t xml:space="preserve">      </w:t>
      </w:r>
      <w:r>
        <w:rPr>
          <w:rFonts w:hint="eastAsia" w:ascii="宋体" w:hAnsi="宋体" w:cs="仿宋_GB2312"/>
          <w:sz w:val="28"/>
          <w:szCs w:val="28"/>
        </w:rPr>
        <w:t>年</w:t>
      </w:r>
      <w:r>
        <w:rPr>
          <w:rFonts w:hint="eastAsia" w:ascii="宋体" w:hAnsi="宋体" w:cs="仿宋_GB2312"/>
          <w:sz w:val="28"/>
          <w:szCs w:val="28"/>
          <w:u w:val="single"/>
        </w:rPr>
        <w:t xml:space="preserve">     </w:t>
      </w:r>
      <w:r>
        <w:rPr>
          <w:rFonts w:hint="eastAsia" w:ascii="宋体" w:hAnsi="宋体" w:cs="仿宋_GB2312"/>
          <w:sz w:val="28"/>
          <w:szCs w:val="28"/>
        </w:rPr>
        <w:t>月</w:t>
      </w:r>
      <w:r>
        <w:rPr>
          <w:rFonts w:hint="eastAsia" w:ascii="宋体" w:hAnsi="宋体" w:cs="仿宋_GB2312"/>
          <w:sz w:val="28"/>
          <w:szCs w:val="28"/>
          <w:u w:val="single"/>
        </w:rPr>
        <w:t xml:space="preserve">     </w:t>
      </w:r>
      <w:r>
        <w:rPr>
          <w:rFonts w:hint="eastAsia" w:ascii="宋体" w:hAnsi="宋体" w:cs="仿宋_GB2312"/>
          <w:sz w:val="28"/>
          <w:szCs w:val="28"/>
        </w:rPr>
        <w:t>日</w:t>
      </w:r>
    </w:p>
    <w:p w14:paraId="450B5B8D">
      <w:pPr>
        <w:jc w:val="center"/>
        <w:rPr>
          <w:sz w:val="32"/>
          <w:szCs w:val="32"/>
        </w:rPr>
      </w:pPr>
      <w:r>
        <w:rPr>
          <w:rFonts w:hint="eastAsia" w:ascii="宋体" w:hAnsi="宋体" w:cs="仿宋_GB2312"/>
          <w:sz w:val="28"/>
          <w:szCs w:val="28"/>
        </w:rPr>
        <w:t xml:space="preserve"> </w:t>
      </w:r>
    </w:p>
    <w:p w14:paraId="4CB91D26">
      <w:pPr>
        <w:pStyle w:val="23"/>
        <w:ind w:firstLine="0" w:firstLineChars="0"/>
      </w:pPr>
    </w:p>
    <w:p w14:paraId="66932DAD">
      <w:pPr>
        <w:pStyle w:val="23"/>
        <w:ind w:firstLine="0" w:firstLineChars="0"/>
      </w:pPr>
    </w:p>
    <w:p w14:paraId="0D9322EC">
      <w:pPr>
        <w:pStyle w:val="71"/>
        <w:ind w:firstLine="720"/>
        <w:jc w:val="center"/>
        <w:rPr>
          <w:rFonts w:ascii="宋体" w:hAnsi="宋体"/>
          <w:sz w:val="32"/>
          <w:szCs w:val="32"/>
        </w:rPr>
      </w:pPr>
      <w:r>
        <w:rPr>
          <w:rFonts w:hint="eastAsia" w:ascii="宋体" w:hAnsi="宋体"/>
          <w:sz w:val="32"/>
          <w:szCs w:val="32"/>
        </w:rPr>
        <w:t>（6）硬件特征码不一致承诺书</w:t>
      </w:r>
    </w:p>
    <w:p w14:paraId="307F31C4">
      <w:pPr>
        <w:pStyle w:val="23"/>
        <w:ind w:left="0" w:firstLine="560"/>
      </w:pPr>
      <w:r>
        <w:rPr>
          <w:rFonts w:hint="eastAsia" w:ascii="宋体" w:hAnsi="宋体"/>
        </w:rPr>
        <w:t>投标人必须承诺独立制作、修改和上传投标文件，因“硬件特征码一致”所造成的不良后果由投标人自行承担。（格式自拟）</w:t>
      </w:r>
    </w:p>
    <w:p w14:paraId="242FD9B8">
      <w:pPr>
        <w:pStyle w:val="23"/>
        <w:ind w:firstLine="0" w:firstLineChars="0"/>
      </w:pPr>
    </w:p>
    <w:p w14:paraId="7895356C">
      <w:pPr>
        <w:pStyle w:val="23"/>
        <w:ind w:firstLine="0" w:firstLineChars="0"/>
      </w:pPr>
    </w:p>
    <w:p w14:paraId="1D14AAC9">
      <w:pPr>
        <w:pStyle w:val="23"/>
        <w:ind w:firstLine="0" w:firstLineChars="0"/>
      </w:pPr>
    </w:p>
    <w:p w14:paraId="4F7275BC">
      <w:pPr>
        <w:pStyle w:val="23"/>
        <w:ind w:firstLine="0" w:firstLineChars="0"/>
      </w:pPr>
    </w:p>
    <w:p w14:paraId="717AF394">
      <w:pPr>
        <w:pStyle w:val="23"/>
        <w:ind w:firstLine="0" w:firstLineChars="0"/>
      </w:pPr>
    </w:p>
    <w:p w14:paraId="0F2D0BA9">
      <w:pPr>
        <w:pStyle w:val="23"/>
        <w:ind w:firstLine="0" w:firstLineChars="0"/>
      </w:pPr>
    </w:p>
    <w:p w14:paraId="476B340A">
      <w:pPr>
        <w:pStyle w:val="23"/>
        <w:ind w:firstLine="0" w:firstLineChars="0"/>
      </w:pPr>
    </w:p>
    <w:p w14:paraId="7611E9C9">
      <w:pPr>
        <w:pStyle w:val="23"/>
        <w:ind w:firstLine="0" w:firstLineChars="0"/>
      </w:pPr>
    </w:p>
    <w:p w14:paraId="066C69B4">
      <w:pPr>
        <w:pStyle w:val="23"/>
        <w:ind w:firstLine="0" w:firstLineChars="0"/>
      </w:pPr>
    </w:p>
    <w:p w14:paraId="54B387A0">
      <w:pPr>
        <w:pStyle w:val="23"/>
        <w:ind w:firstLine="0" w:firstLineChars="0"/>
      </w:pPr>
    </w:p>
    <w:p w14:paraId="0EDA9650">
      <w:pPr>
        <w:topLinePunct/>
        <w:spacing w:line="360" w:lineRule="auto"/>
        <w:jc w:val="right"/>
        <w:rPr>
          <w:rFonts w:ascii="宋体" w:hAnsi="宋体"/>
          <w:color w:val="000000"/>
          <w:sz w:val="28"/>
          <w:szCs w:val="28"/>
        </w:rPr>
      </w:pPr>
      <w:r>
        <w:rPr>
          <w:rFonts w:hint="eastAsia" w:ascii="宋体" w:hAnsi="宋体" w:cs="仿宋_GB2312"/>
          <w:sz w:val="28"/>
          <w:szCs w:val="28"/>
        </w:rPr>
        <w:t>供应商（</w:t>
      </w:r>
      <w:r>
        <w:rPr>
          <w:rFonts w:hint="eastAsia" w:ascii="宋体" w:hAnsi="宋体" w:cs="宋体"/>
          <w:sz w:val="28"/>
          <w:szCs w:val="28"/>
        </w:rPr>
        <w:t>盖单位电子章</w:t>
      </w:r>
      <w:r>
        <w:rPr>
          <w:rFonts w:hint="eastAsia" w:ascii="宋体" w:hAnsi="宋体" w:cs="仿宋_GB2312"/>
          <w:sz w:val="28"/>
          <w:szCs w:val="28"/>
        </w:rPr>
        <w:t>）：</w:t>
      </w:r>
    </w:p>
    <w:p w14:paraId="06362CC8">
      <w:pPr>
        <w:spacing w:line="360" w:lineRule="auto"/>
        <w:jc w:val="right"/>
        <w:rPr>
          <w:rFonts w:ascii="宋体" w:hAnsi="宋体" w:cs="仿宋_GB2312"/>
          <w:sz w:val="28"/>
          <w:szCs w:val="28"/>
        </w:rPr>
      </w:pPr>
      <w:r>
        <w:rPr>
          <w:rFonts w:hint="eastAsia" w:ascii="宋体" w:hAnsi="宋体" w:cs="仿宋_GB2312"/>
          <w:sz w:val="28"/>
          <w:szCs w:val="28"/>
        </w:rPr>
        <w:t>法定代表人或委托代理人（</w:t>
      </w:r>
      <w:r>
        <w:rPr>
          <w:rFonts w:hint="eastAsia" w:ascii="宋体" w:hAnsi="宋体" w:cs="宋体"/>
          <w:sz w:val="28"/>
          <w:szCs w:val="28"/>
        </w:rPr>
        <w:t>盖电子印章或签名</w:t>
      </w:r>
      <w:r>
        <w:rPr>
          <w:rFonts w:hint="eastAsia" w:ascii="宋体" w:hAnsi="宋体" w:cs="仿宋_GB2312"/>
          <w:sz w:val="28"/>
          <w:szCs w:val="28"/>
        </w:rPr>
        <w:t>）：</w:t>
      </w:r>
    </w:p>
    <w:p w14:paraId="0DB0621A">
      <w:pPr>
        <w:pStyle w:val="23"/>
        <w:ind w:right="480" w:firstLine="0" w:firstLineChars="0"/>
        <w:jc w:val="right"/>
        <w:rPr>
          <w:rFonts w:ascii="宋体" w:hAnsi="宋体" w:cs="仿宋_GB2312"/>
        </w:rPr>
      </w:pPr>
      <w:r>
        <w:rPr>
          <w:rFonts w:hint="eastAsia" w:ascii="宋体" w:hAnsi="宋体" w:cs="仿宋_GB2312"/>
          <w:u w:val="single"/>
        </w:rPr>
        <w:t xml:space="preserve">       </w:t>
      </w:r>
      <w:r>
        <w:rPr>
          <w:rFonts w:hint="eastAsia" w:ascii="宋体" w:hAnsi="宋体" w:cs="仿宋_GB2312"/>
        </w:rPr>
        <w:t>年</w:t>
      </w:r>
      <w:r>
        <w:rPr>
          <w:rFonts w:hint="eastAsia" w:ascii="宋体" w:hAnsi="宋体" w:cs="仿宋_GB2312"/>
          <w:u w:val="single"/>
        </w:rPr>
        <w:t xml:space="preserve">     </w:t>
      </w:r>
      <w:r>
        <w:rPr>
          <w:rFonts w:hint="eastAsia" w:ascii="宋体" w:hAnsi="宋体" w:cs="仿宋_GB2312"/>
        </w:rPr>
        <w:t>月</w:t>
      </w:r>
      <w:r>
        <w:rPr>
          <w:rFonts w:hint="eastAsia" w:ascii="宋体" w:hAnsi="宋体" w:cs="仿宋_GB2312"/>
          <w:u w:val="single"/>
        </w:rPr>
        <w:t xml:space="preserve">     </w:t>
      </w:r>
    </w:p>
    <w:p w14:paraId="40E1C271">
      <w:pPr>
        <w:pStyle w:val="23"/>
        <w:ind w:right="480" w:firstLine="0" w:firstLineChars="0"/>
        <w:jc w:val="right"/>
        <w:rPr>
          <w:rFonts w:ascii="宋体" w:hAnsi="宋体" w:cs="仿宋_GB2312"/>
        </w:rPr>
      </w:pPr>
    </w:p>
    <w:p w14:paraId="03251AF2">
      <w:pPr>
        <w:pStyle w:val="23"/>
        <w:ind w:right="480" w:firstLine="0" w:firstLineChars="0"/>
        <w:jc w:val="right"/>
        <w:rPr>
          <w:rFonts w:ascii="宋体" w:hAnsi="宋体" w:cs="仿宋_GB2312"/>
        </w:rPr>
      </w:pPr>
    </w:p>
    <w:p w14:paraId="0923F6AB">
      <w:pPr>
        <w:pStyle w:val="23"/>
        <w:ind w:right="480" w:firstLine="0" w:firstLineChars="0"/>
        <w:jc w:val="right"/>
        <w:rPr>
          <w:rFonts w:ascii="宋体" w:hAnsi="宋体" w:cs="仿宋_GB2312"/>
        </w:rPr>
      </w:pPr>
    </w:p>
    <w:p w14:paraId="2BB1961A">
      <w:pPr>
        <w:pStyle w:val="23"/>
        <w:ind w:right="480" w:firstLine="0" w:firstLineChars="0"/>
        <w:jc w:val="right"/>
      </w:pPr>
    </w:p>
    <w:p w14:paraId="653C98CF">
      <w:pPr>
        <w:rPr>
          <w:sz w:val="32"/>
          <w:szCs w:val="32"/>
        </w:rPr>
      </w:pPr>
      <w:r>
        <w:rPr>
          <w:rFonts w:hint="eastAsia" w:ascii="宋体" w:hAnsi="宋体" w:cs="仿宋_GB2312"/>
          <w:sz w:val="28"/>
          <w:szCs w:val="28"/>
        </w:rPr>
        <w:t xml:space="preserve"> </w:t>
      </w:r>
    </w:p>
    <w:p w14:paraId="4991C9EE">
      <w:pPr>
        <w:pStyle w:val="23"/>
        <w:ind w:left="0" w:firstLine="0" w:firstLineChars="0"/>
        <w:jc w:val="center"/>
        <w:rPr>
          <w:sz w:val="32"/>
          <w:szCs w:val="32"/>
        </w:rPr>
      </w:pPr>
      <w:r>
        <w:rPr>
          <w:rFonts w:hint="eastAsia"/>
          <w:sz w:val="32"/>
          <w:szCs w:val="32"/>
        </w:rPr>
        <w:t>（7）资格要求的其他资料</w:t>
      </w:r>
    </w:p>
    <w:p w14:paraId="7866AAFA">
      <w:pPr>
        <w:pStyle w:val="23"/>
        <w:ind w:left="0" w:firstLine="0" w:firstLineChars="0"/>
        <w:rPr>
          <w:rFonts w:ascii="宋体" w:hAnsi="宋体"/>
          <w:shd w:val="clear" w:color="auto" w:fill="FFFFFF"/>
        </w:rPr>
      </w:pPr>
      <w:r>
        <w:rPr>
          <w:rFonts w:hint="eastAsia" w:ascii="宋体" w:hAnsi="宋体"/>
          <w:shd w:val="clear" w:color="auto" w:fill="FFFFFF"/>
        </w:rPr>
        <w:t>（一）财务审计报告</w:t>
      </w:r>
    </w:p>
    <w:p w14:paraId="2816D038">
      <w:pPr>
        <w:pStyle w:val="23"/>
        <w:ind w:left="0" w:firstLine="0" w:firstLineChars="0"/>
        <w:rPr>
          <w:rFonts w:ascii="宋体" w:hAnsi="宋体"/>
          <w:shd w:val="clear" w:color="auto" w:fill="FFFFFF"/>
        </w:rPr>
      </w:pPr>
      <w:r>
        <w:rPr>
          <w:rFonts w:hint="eastAsia" w:ascii="宋体" w:hAnsi="宋体"/>
          <w:shd w:val="clear" w:color="auto" w:fill="FFFFFF"/>
        </w:rPr>
        <w:t>（二）依法缴纳社保和税收的证明材料</w:t>
      </w:r>
    </w:p>
    <w:p w14:paraId="753B6FD7">
      <w:pPr>
        <w:pStyle w:val="63"/>
        <w:spacing w:line="500" w:lineRule="exact"/>
        <w:rPr>
          <w:rFonts w:ascii="宋体" w:hAnsi="宋体"/>
          <w:sz w:val="28"/>
          <w:szCs w:val="28"/>
        </w:rPr>
      </w:pPr>
      <w:r>
        <w:rPr>
          <w:rFonts w:hint="eastAsia" w:ascii="宋体" w:hAnsi="宋体"/>
          <w:sz w:val="28"/>
          <w:szCs w:val="28"/>
        </w:rPr>
        <w:t>（三）投标人未列入失信被执行人和重大税收违法失信主体的查询网站截图。</w:t>
      </w:r>
    </w:p>
    <w:p w14:paraId="7409C57D">
      <w:pPr>
        <w:pStyle w:val="23"/>
        <w:ind w:left="0" w:firstLine="0" w:firstLineChars="0"/>
        <w:rPr>
          <w:sz w:val="32"/>
          <w:szCs w:val="32"/>
        </w:rPr>
      </w:pPr>
    </w:p>
    <w:p w14:paraId="16802DAB">
      <w:pPr>
        <w:pStyle w:val="23"/>
        <w:ind w:left="0" w:firstLine="0" w:firstLineChars="0"/>
        <w:rPr>
          <w:sz w:val="32"/>
          <w:szCs w:val="32"/>
        </w:rPr>
      </w:pPr>
    </w:p>
    <w:p w14:paraId="010FC06F">
      <w:pPr>
        <w:pStyle w:val="23"/>
        <w:ind w:left="0" w:firstLine="0" w:firstLineChars="0"/>
        <w:rPr>
          <w:sz w:val="32"/>
          <w:szCs w:val="32"/>
        </w:rPr>
      </w:pPr>
    </w:p>
    <w:p w14:paraId="3FABC2B6">
      <w:pPr>
        <w:pStyle w:val="23"/>
        <w:ind w:left="0" w:firstLine="0" w:firstLineChars="0"/>
        <w:rPr>
          <w:sz w:val="32"/>
          <w:szCs w:val="32"/>
        </w:rPr>
      </w:pPr>
    </w:p>
    <w:p w14:paraId="71C20F90">
      <w:pPr>
        <w:pStyle w:val="23"/>
        <w:ind w:left="0" w:firstLine="0" w:firstLineChars="0"/>
      </w:pPr>
    </w:p>
    <w:p w14:paraId="156C43F4">
      <w:pPr>
        <w:pStyle w:val="23"/>
        <w:ind w:left="0" w:firstLine="0" w:firstLineChars="0"/>
      </w:pPr>
    </w:p>
    <w:p w14:paraId="4CB10BD2">
      <w:pPr>
        <w:pStyle w:val="23"/>
        <w:ind w:left="0" w:firstLine="0" w:firstLineChars="0"/>
      </w:pPr>
    </w:p>
    <w:p w14:paraId="7B6D99EF">
      <w:pPr>
        <w:pStyle w:val="23"/>
        <w:ind w:left="0" w:firstLine="0" w:firstLineChars="0"/>
      </w:pPr>
    </w:p>
    <w:p w14:paraId="6FAB4357">
      <w:pPr>
        <w:pStyle w:val="21"/>
      </w:pPr>
      <w:r>
        <w:rPr>
          <w:rFonts w:hint="eastAsia"/>
          <w:sz w:val="28"/>
          <w:szCs w:val="28"/>
        </w:rPr>
        <w:br w:type="page"/>
      </w:r>
    </w:p>
    <w:p w14:paraId="005AA172">
      <w:pPr>
        <w:jc w:val="center"/>
        <w:rPr>
          <w:sz w:val="32"/>
          <w:szCs w:val="32"/>
        </w:rPr>
        <w:sectPr>
          <w:pgSz w:w="11906" w:h="16838"/>
          <w:pgMar w:top="1588" w:right="1276" w:bottom="1588" w:left="1797" w:header="850" w:footer="992" w:gutter="0"/>
          <w:cols w:space="720" w:num="1"/>
          <w:docGrid w:type="lines" w:linePitch="312" w:charSpace="0"/>
        </w:sectPr>
      </w:pPr>
    </w:p>
    <w:p w14:paraId="1A6F5049">
      <w:pPr>
        <w:pStyle w:val="3"/>
        <w:rPr>
          <w:b w:val="0"/>
          <w:sz w:val="32"/>
          <w:szCs w:val="32"/>
        </w:rPr>
      </w:pPr>
      <w:bookmarkStart w:id="586" w:name="_Toc15891"/>
      <w:r>
        <w:rPr>
          <w:rFonts w:hint="eastAsia"/>
          <w:b w:val="0"/>
          <w:sz w:val="32"/>
          <w:szCs w:val="32"/>
        </w:rPr>
        <w:t>五、技术部分</w:t>
      </w:r>
      <w:bookmarkEnd w:id="586"/>
    </w:p>
    <w:p w14:paraId="6A01B3AA">
      <w:pPr>
        <w:pStyle w:val="80"/>
        <w:ind w:firstLine="640"/>
        <w:jc w:val="center"/>
        <w:rPr>
          <w:rFonts w:ascii="黑体" w:hAnsi="黑体"/>
          <w:sz w:val="32"/>
          <w:szCs w:val="32"/>
        </w:rPr>
      </w:pPr>
      <w:r>
        <w:rPr>
          <w:rFonts w:hint="eastAsia"/>
          <w:sz w:val="32"/>
          <w:szCs w:val="32"/>
        </w:rPr>
        <w:t>技术偏差表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3"/>
        <w:gridCol w:w="2617"/>
        <w:gridCol w:w="3481"/>
        <w:gridCol w:w="3544"/>
        <w:gridCol w:w="1925"/>
      </w:tblGrid>
      <w:tr w14:paraId="2715E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Pr>
          <w:p w14:paraId="00194248">
            <w:pPr>
              <w:spacing w:line="360" w:lineRule="auto"/>
              <w:rPr>
                <w:rFonts w:ascii="宋体" w:hAnsi="宋体" w:cs="仿宋_GB2312"/>
                <w:sz w:val="28"/>
                <w:szCs w:val="28"/>
              </w:rPr>
            </w:pPr>
            <w:r>
              <w:rPr>
                <w:rFonts w:hint="eastAsia" w:ascii="宋体" w:hAnsi="宋体" w:cs="仿宋_GB2312"/>
                <w:sz w:val="28"/>
                <w:szCs w:val="28"/>
              </w:rPr>
              <w:t>序号</w:t>
            </w:r>
          </w:p>
        </w:tc>
        <w:tc>
          <w:tcPr>
            <w:tcW w:w="2617" w:type="dxa"/>
            <w:vAlign w:val="center"/>
          </w:tcPr>
          <w:p w14:paraId="7A0560DE">
            <w:pPr>
              <w:spacing w:line="360" w:lineRule="auto"/>
              <w:jc w:val="center"/>
              <w:rPr>
                <w:rFonts w:ascii="宋体" w:hAnsi="宋体" w:cs="仿宋_GB2312"/>
                <w:sz w:val="28"/>
                <w:szCs w:val="28"/>
              </w:rPr>
            </w:pPr>
            <w:r>
              <w:rPr>
                <w:rFonts w:hint="eastAsia" w:ascii="宋体" w:hAnsi="宋体" w:cs="仿宋_GB2312"/>
                <w:sz w:val="28"/>
                <w:szCs w:val="28"/>
              </w:rPr>
              <w:t>产品名称</w:t>
            </w:r>
          </w:p>
        </w:tc>
        <w:tc>
          <w:tcPr>
            <w:tcW w:w="3481" w:type="dxa"/>
            <w:vAlign w:val="center"/>
          </w:tcPr>
          <w:p w14:paraId="191B34F2">
            <w:pPr>
              <w:spacing w:line="360" w:lineRule="auto"/>
              <w:jc w:val="center"/>
              <w:rPr>
                <w:rFonts w:ascii="宋体" w:hAnsi="宋体" w:cs="仿宋_GB2312"/>
                <w:sz w:val="28"/>
                <w:szCs w:val="28"/>
              </w:rPr>
            </w:pPr>
            <w:r>
              <w:rPr>
                <w:rFonts w:hint="eastAsia" w:ascii="宋体" w:hAnsi="宋体" w:cs="仿宋_GB2312"/>
                <w:sz w:val="28"/>
                <w:szCs w:val="28"/>
              </w:rPr>
              <w:t>招标文件要求</w:t>
            </w:r>
          </w:p>
        </w:tc>
        <w:tc>
          <w:tcPr>
            <w:tcW w:w="3544" w:type="dxa"/>
            <w:vAlign w:val="center"/>
          </w:tcPr>
          <w:p w14:paraId="3D3C1AD9">
            <w:pPr>
              <w:spacing w:line="360" w:lineRule="auto"/>
              <w:jc w:val="center"/>
              <w:rPr>
                <w:rFonts w:ascii="宋体" w:hAnsi="宋体" w:cs="仿宋_GB2312"/>
                <w:sz w:val="28"/>
                <w:szCs w:val="28"/>
              </w:rPr>
            </w:pPr>
            <w:r>
              <w:rPr>
                <w:rFonts w:hint="eastAsia" w:ascii="宋体" w:hAnsi="宋体" w:cs="仿宋_GB2312"/>
                <w:sz w:val="28"/>
                <w:szCs w:val="28"/>
              </w:rPr>
              <w:t>投标文件内容</w:t>
            </w:r>
          </w:p>
        </w:tc>
        <w:tc>
          <w:tcPr>
            <w:tcW w:w="1925" w:type="dxa"/>
            <w:vAlign w:val="center"/>
          </w:tcPr>
          <w:p w14:paraId="0541DD70">
            <w:pPr>
              <w:spacing w:line="360" w:lineRule="auto"/>
              <w:jc w:val="center"/>
              <w:rPr>
                <w:rFonts w:ascii="宋体" w:hAnsi="宋体" w:cs="仿宋_GB2312"/>
                <w:sz w:val="28"/>
                <w:szCs w:val="28"/>
              </w:rPr>
            </w:pPr>
            <w:r>
              <w:rPr>
                <w:rFonts w:hint="eastAsia" w:ascii="宋体" w:hAnsi="宋体" w:cs="仿宋_GB2312"/>
                <w:sz w:val="28"/>
                <w:szCs w:val="28"/>
              </w:rPr>
              <w:t>偏差说明</w:t>
            </w:r>
          </w:p>
        </w:tc>
      </w:tr>
      <w:tr w14:paraId="5AC94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Pr>
          <w:p w14:paraId="75B6ABA4">
            <w:pPr>
              <w:spacing w:line="360" w:lineRule="auto"/>
              <w:rPr>
                <w:rFonts w:ascii="宋体" w:hAnsi="宋体" w:cs="仿宋_GB2312" w:eastAsiaTheme="minorEastAsia"/>
                <w:sz w:val="28"/>
                <w:szCs w:val="28"/>
              </w:rPr>
            </w:pPr>
            <w:r>
              <w:rPr>
                <w:rFonts w:hint="eastAsia" w:ascii="宋体" w:hAnsi="宋体" w:cs="仿宋_GB2312" w:eastAsiaTheme="minorEastAsia"/>
                <w:sz w:val="28"/>
                <w:szCs w:val="28"/>
              </w:rPr>
              <w:t>1</w:t>
            </w:r>
          </w:p>
        </w:tc>
        <w:tc>
          <w:tcPr>
            <w:tcW w:w="2617" w:type="dxa"/>
            <w:vAlign w:val="center"/>
          </w:tcPr>
          <w:p w14:paraId="10F07F9B">
            <w:pPr>
              <w:spacing w:line="360" w:lineRule="auto"/>
              <w:jc w:val="center"/>
              <w:rPr>
                <w:rFonts w:ascii="宋体" w:hAnsi="宋体" w:eastAsia="Times New Roman" w:cs="仿宋_GB2312"/>
                <w:sz w:val="28"/>
                <w:szCs w:val="28"/>
              </w:rPr>
            </w:pPr>
          </w:p>
        </w:tc>
        <w:tc>
          <w:tcPr>
            <w:tcW w:w="3481" w:type="dxa"/>
            <w:vAlign w:val="center"/>
          </w:tcPr>
          <w:p w14:paraId="55F4B301">
            <w:pPr>
              <w:spacing w:line="360" w:lineRule="auto"/>
              <w:jc w:val="center"/>
              <w:rPr>
                <w:rFonts w:ascii="宋体" w:hAnsi="宋体" w:eastAsia="Times New Roman" w:cs="仿宋_GB2312"/>
                <w:sz w:val="28"/>
                <w:szCs w:val="28"/>
              </w:rPr>
            </w:pPr>
          </w:p>
        </w:tc>
        <w:tc>
          <w:tcPr>
            <w:tcW w:w="3544" w:type="dxa"/>
            <w:vAlign w:val="center"/>
          </w:tcPr>
          <w:p w14:paraId="3CD96A8F">
            <w:pPr>
              <w:spacing w:line="360" w:lineRule="auto"/>
              <w:jc w:val="center"/>
              <w:rPr>
                <w:rFonts w:ascii="宋体" w:hAnsi="宋体" w:eastAsia="Times New Roman" w:cs="仿宋_GB2312"/>
                <w:sz w:val="28"/>
                <w:szCs w:val="28"/>
              </w:rPr>
            </w:pPr>
          </w:p>
        </w:tc>
        <w:tc>
          <w:tcPr>
            <w:tcW w:w="1925" w:type="dxa"/>
            <w:vAlign w:val="center"/>
          </w:tcPr>
          <w:p w14:paraId="69B91855">
            <w:pPr>
              <w:spacing w:line="360" w:lineRule="auto"/>
              <w:jc w:val="center"/>
              <w:rPr>
                <w:rFonts w:ascii="宋体" w:hAnsi="宋体" w:eastAsia="Times New Roman" w:cs="仿宋_GB2312"/>
                <w:sz w:val="28"/>
                <w:szCs w:val="28"/>
              </w:rPr>
            </w:pPr>
          </w:p>
        </w:tc>
      </w:tr>
      <w:tr w14:paraId="2ECFF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Pr>
          <w:p w14:paraId="7913AB81">
            <w:pPr>
              <w:spacing w:line="360" w:lineRule="auto"/>
              <w:rPr>
                <w:rFonts w:ascii="宋体" w:hAnsi="宋体" w:cs="仿宋_GB2312" w:eastAsiaTheme="minorEastAsia"/>
                <w:sz w:val="28"/>
                <w:szCs w:val="28"/>
              </w:rPr>
            </w:pPr>
            <w:r>
              <w:rPr>
                <w:rFonts w:hint="eastAsia" w:ascii="宋体" w:hAnsi="宋体" w:cs="仿宋_GB2312" w:eastAsiaTheme="minorEastAsia"/>
                <w:sz w:val="28"/>
                <w:szCs w:val="28"/>
              </w:rPr>
              <w:t>2</w:t>
            </w:r>
          </w:p>
        </w:tc>
        <w:tc>
          <w:tcPr>
            <w:tcW w:w="2617" w:type="dxa"/>
            <w:vAlign w:val="center"/>
          </w:tcPr>
          <w:p w14:paraId="11692204">
            <w:pPr>
              <w:spacing w:line="360" w:lineRule="auto"/>
              <w:jc w:val="center"/>
              <w:rPr>
                <w:rFonts w:ascii="宋体" w:hAnsi="宋体" w:eastAsia="Times New Roman" w:cs="仿宋_GB2312"/>
                <w:sz w:val="28"/>
                <w:szCs w:val="28"/>
              </w:rPr>
            </w:pPr>
          </w:p>
        </w:tc>
        <w:tc>
          <w:tcPr>
            <w:tcW w:w="3481" w:type="dxa"/>
            <w:vAlign w:val="center"/>
          </w:tcPr>
          <w:p w14:paraId="7276CBE6">
            <w:pPr>
              <w:spacing w:line="360" w:lineRule="auto"/>
              <w:jc w:val="center"/>
              <w:rPr>
                <w:rFonts w:ascii="宋体" w:hAnsi="宋体" w:eastAsia="Times New Roman" w:cs="仿宋_GB2312"/>
                <w:sz w:val="28"/>
                <w:szCs w:val="28"/>
              </w:rPr>
            </w:pPr>
          </w:p>
        </w:tc>
        <w:tc>
          <w:tcPr>
            <w:tcW w:w="3544" w:type="dxa"/>
            <w:vAlign w:val="center"/>
          </w:tcPr>
          <w:p w14:paraId="43AE2E98">
            <w:pPr>
              <w:spacing w:line="360" w:lineRule="auto"/>
              <w:jc w:val="center"/>
              <w:rPr>
                <w:rFonts w:ascii="宋体" w:hAnsi="宋体" w:eastAsia="Times New Roman" w:cs="仿宋_GB2312"/>
                <w:sz w:val="28"/>
                <w:szCs w:val="28"/>
              </w:rPr>
            </w:pPr>
          </w:p>
        </w:tc>
        <w:tc>
          <w:tcPr>
            <w:tcW w:w="1925" w:type="dxa"/>
            <w:vAlign w:val="center"/>
          </w:tcPr>
          <w:p w14:paraId="70F89391">
            <w:pPr>
              <w:spacing w:line="360" w:lineRule="auto"/>
              <w:jc w:val="center"/>
              <w:rPr>
                <w:rFonts w:ascii="宋体" w:hAnsi="宋体" w:eastAsia="Times New Roman" w:cs="仿宋_GB2312"/>
                <w:sz w:val="28"/>
                <w:szCs w:val="28"/>
              </w:rPr>
            </w:pPr>
          </w:p>
        </w:tc>
      </w:tr>
      <w:tr w14:paraId="4A5F9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Pr>
          <w:p w14:paraId="6A2EECA6">
            <w:pPr>
              <w:spacing w:line="360" w:lineRule="auto"/>
              <w:rPr>
                <w:rFonts w:ascii="宋体" w:hAnsi="宋体" w:cs="仿宋_GB2312" w:eastAsiaTheme="minorEastAsia"/>
                <w:sz w:val="28"/>
                <w:szCs w:val="28"/>
              </w:rPr>
            </w:pPr>
            <w:r>
              <w:rPr>
                <w:rFonts w:hint="eastAsia" w:ascii="宋体" w:hAnsi="宋体" w:cs="仿宋_GB2312" w:eastAsiaTheme="minorEastAsia"/>
                <w:sz w:val="28"/>
                <w:szCs w:val="28"/>
              </w:rPr>
              <w:t>3</w:t>
            </w:r>
          </w:p>
        </w:tc>
        <w:tc>
          <w:tcPr>
            <w:tcW w:w="2617" w:type="dxa"/>
            <w:vAlign w:val="center"/>
          </w:tcPr>
          <w:p w14:paraId="7A53F190">
            <w:pPr>
              <w:spacing w:line="360" w:lineRule="auto"/>
              <w:jc w:val="center"/>
              <w:rPr>
                <w:rFonts w:ascii="宋体" w:hAnsi="宋体" w:eastAsia="Times New Roman" w:cs="仿宋_GB2312"/>
                <w:sz w:val="28"/>
                <w:szCs w:val="28"/>
              </w:rPr>
            </w:pPr>
          </w:p>
        </w:tc>
        <w:tc>
          <w:tcPr>
            <w:tcW w:w="3481" w:type="dxa"/>
            <w:vAlign w:val="center"/>
          </w:tcPr>
          <w:p w14:paraId="196D0500">
            <w:pPr>
              <w:spacing w:line="360" w:lineRule="auto"/>
              <w:jc w:val="center"/>
              <w:rPr>
                <w:rFonts w:ascii="宋体" w:hAnsi="宋体" w:eastAsia="Times New Roman" w:cs="仿宋_GB2312"/>
                <w:sz w:val="28"/>
                <w:szCs w:val="28"/>
              </w:rPr>
            </w:pPr>
          </w:p>
        </w:tc>
        <w:tc>
          <w:tcPr>
            <w:tcW w:w="3544" w:type="dxa"/>
            <w:vAlign w:val="center"/>
          </w:tcPr>
          <w:p w14:paraId="57C3719D">
            <w:pPr>
              <w:spacing w:line="360" w:lineRule="auto"/>
              <w:jc w:val="center"/>
              <w:rPr>
                <w:rFonts w:ascii="宋体" w:hAnsi="宋体" w:eastAsia="Times New Roman" w:cs="仿宋_GB2312"/>
                <w:sz w:val="28"/>
                <w:szCs w:val="28"/>
              </w:rPr>
            </w:pPr>
          </w:p>
        </w:tc>
        <w:tc>
          <w:tcPr>
            <w:tcW w:w="1925" w:type="dxa"/>
            <w:vAlign w:val="center"/>
          </w:tcPr>
          <w:p w14:paraId="06371DF0">
            <w:pPr>
              <w:spacing w:line="360" w:lineRule="auto"/>
              <w:jc w:val="center"/>
              <w:rPr>
                <w:rFonts w:ascii="宋体" w:hAnsi="宋体" w:eastAsia="Times New Roman" w:cs="仿宋_GB2312"/>
                <w:sz w:val="28"/>
                <w:szCs w:val="28"/>
              </w:rPr>
            </w:pPr>
          </w:p>
        </w:tc>
      </w:tr>
      <w:tr w14:paraId="409A4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Pr>
          <w:p w14:paraId="48E8449F">
            <w:pPr>
              <w:spacing w:line="360" w:lineRule="auto"/>
              <w:rPr>
                <w:rFonts w:ascii="宋体" w:hAnsi="宋体" w:cs="仿宋_GB2312"/>
                <w:sz w:val="28"/>
                <w:szCs w:val="28"/>
              </w:rPr>
            </w:pPr>
            <w:r>
              <w:rPr>
                <w:rFonts w:ascii="宋体" w:hAnsi="宋体" w:cs="仿宋_GB2312"/>
                <w:sz w:val="28"/>
                <w:szCs w:val="28"/>
              </w:rPr>
              <w:t>…</w:t>
            </w:r>
          </w:p>
        </w:tc>
        <w:tc>
          <w:tcPr>
            <w:tcW w:w="2617" w:type="dxa"/>
            <w:vAlign w:val="center"/>
          </w:tcPr>
          <w:p w14:paraId="34FCD47E">
            <w:pPr>
              <w:spacing w:line="360" w:lineRule="auto"/>
              <w:jc w:val="center"/>
              <w:rPr>
                <w:rFonts w:ascii="宋体" w:hAnsi="宋体" w:cs="仿宋_GB2312"/>
                <w:sz w:val="28"/>
                <w:szCs w:val="28"/>
              </w:rPr>
            </w:pPr>
            <w:r>
              <w:rPr>
                <w:rFonts w:ascii="宋体" w:hAnsi="宋体" w:cs="仿宋_GB2312"/>
                <w:sz w:val="28"/>
                <w:szCs w:val="28"/>
              </w:rPr>
              <w:t>…</w:t>
            </w:r>
          </w:p>
        </w:tc>
        <w:tc>
          <w:tcPr>
            <w:tcW w:w="3481" w:type="dxa"/>
            <w:vAlign w:val="center"/>
          </w:tcPr>
          <w:p w14:paraId="0B7B6621">
            <w:pPr>
              <w:spacing w:line="360" w:lineRule="auto"/>
              <w:jc w:val="center"/>
              <w:rPr>
                <w:rFonts w:ascii="宋体" w:hAnsi="宋体" w:cs="仿宋_GB2312"/>
                <w:sz w:val="28"/>
                <w:szCs w:val="28"/>
              </w:rPr>
            </w:pPr>
            <w:r>
              <w:rPr>
                <w:rFonts w:ascii="宋体" w:hAnsi="宋体" w:cs="仿宋_GB2312"/>
                <w:sz w:val="28"/>
                <w:szCs w:val="28"/>
              </w:rPr>
              <w:t>…</w:t>
            </w:r>
          </w:p>
        </w:tc>
        <w:tc>
          <w:tcPr>
            <w:tcW w:w="3544" w:type="dxa"/>
            <w:vAlign w:val="center"/>
          </w:tcPr>
          <w:p w14:paraId="565668EB">
            <w:pPr>
              <w:spacing w:line="360" w:lineRule="auto"/>
              <w:jc w:val="center"/>
              <w:rPr>
                <w:rFonts w:ascii="宋体" w:hAnsi="宋体" w:cs="仿宋_GB2312"/>
                <w:sz w:val="28"/>
                <w:szCs w:val="28"/>
              </w:rPr>
            </w:pPr>
            <w:r>
              <w:rPr>
                <w:rFonts w:ascii="宋体" w:hAnsi="宋体" w:cs="仿宋_GB2312"/>
                <w:sz w:val="28"/>
                <w:szCs w:val="28"/>
              </w:rPr>
              <w:t>…</w:t>
            </w:r>
          </w:p>
        </w:tc>
        <w:tc>
          <w:tcPr>
            <w:tcW w:w="1925" w:type="dxa"/>
            <w:vAlign w:val="center"/>
          </w:tcPr>
          <w:p w14:paraId="74F60DCD">
            <w:pPr>
              <w:spacing w:line="360" w:lineRule="auto"/>
              <w:jc w:val="center"/>
              <w:rPr>
                <w:rFonts w:ascii="宋体" w:hAnsi="宋体" w:cs="仿宋_GB2312"/>
                <w:sz w:val="28"/>
                <w:szCs w:val="28"/>
              </w:rPr>
            </w:pPr>
            <w:r>
              <w:rPr>
                <w:rFonts w:ascii="宋体" w:hAnsi="宋体" w:cs="仿宋_GB2312"/>
                <w:sz w:val="28"/>
                <w:szCs w:val="28"/>
              </w:rPr>
              <w:t>…</w:t>
            </w:r>
          </w:p>
        </w:tc>
      </w:tr>
    </w:tbl>
    <w:p w14:paraId="00B69854">
      <w:pPr>
        <w:widowControl/>
        <w:spacing w:line="300" w:lineRule="auto"/>
        <w:jc w:val="center"/>
        <w:rPr>
          <w:rFonts w:ascii="宋体" w:hAnsi="宋体" w:cs="宋体"/>
          <w:b/>
          <w:bCs/>
          <w:sz w:val="28"/>
          <w:szCs w:val="28"/>
        </w:rPr>
      </w:pPr>
      <w:r>
        <w:rPr>
          <w:rFonts w:hint="eastAsia" w:ascii="宋体" w:hAnsi="宋体" w:cs="仿宋_GB2312"/>
          <w:sz w:val="28"/>
          <w:szCs w:val="28"/>
        </w:rPr>
        <w:t xml:space="preserve">                                                                  供应商名称：（盖单位电子章）</w:t>
      </w:r>
    </w:p>
    <w:p w14:paraId="5FCA295B">
      <w:pPr>
        <w:tabs>
          <w:tab w:val="left" w:pos="1155"/>
        </w:tabs>
        <w:spacing w:line="520" w:lineRule="exact"/>
        <w:ind w:firstLine="700" w:firstLineChars="250"/>
        <w:jc w:val="right"/>
        <w:rPr>
          <w:rFonts w:ascii="宋体" w:hAnsi="宋体" w:cs="仿宋_GB2312"/>
          <w:sz w:val="28"/>
          <w:szCs w:val="28"/>
        </w:rPr>
      </w:pPr>
      <w:r>
        <w:rPr>
          <w:rFonts w:hint="eastAsia" w:ascii="宋体" w:hAnsi="宋体" w:cs="仿宋_GB2312"/>
          <w:sz w:val="28"/>
          <w:szCs w:val="28"/>
        </w:rPr>
        <w:t>法定代表人或授权代理人：（</w:t>
      </w:r>
      <w:r>
        <w:rPr>
          <w:rFonts w:hint="eastAsia" w:ascii="宋体" w:hAnsi="宋体" w:cs="宋体"/>
          <w:sz w:val="28"/>
          <w:szCs w:val="28"/>
        </w:rPr>
        <w:t>盖电子印章或签名</w:t>
      </w:r>
      <w:r>
        <w:rPr>
          <w:rFonts w:hint="eastAsia" w:ascii="宋体" w:hAnsi="宋体" w:cs="仿宋_GB2312"/>
          <w:sz w:val="28"/>
          <w:szCs w:val="28"/>
        </w:rPr>
        <w:t>）</w:t>
      </w:r>
    </w:p>
    <w:p w14:paraId="22DEC786">
      <w:pPr>
        <w:pStyle w:val="71"/>
        <w:ind w:firstLine="630"/>
        <w:rPr>
          <w:sz w:val="28"/>
          <w:szCs w:val="28"/>
        </w:rPr>
      </w:pPr>
      <w:r>
        <w:rPr>
          <w:rFonts w:hint="eastAsia"/>
          <w:sz w:val="28"/>
          <w:szCs w:val="28"/>
        </w:rPr>
        <w:t xml:space="preserve">                                                                    年    月    日</w:t>
      </w:r>
    </w:p>
    <w:p w14:paraId="0D60DDC8">
      <w:pPr>
        <w:pStyle w:val="71"/>
        <w:ind w:firstLine="630"/>
        <w:rPr>
          <w:sz w:val="28"/>
          <w:szCs w:val="28"/>
        </w:rPr>
      </w:pPr>
      <w:r>
        <w:rPr>
          <w:rFonts w:hint="eastAsia"/>
          <w:sz w:val="28"/>
          <w:szCs w:val="28"/>
        </w:rPr>
        <w:t>注：“偏差说明”一栏中供应商应对所投货物的技术参数与招标文件的要求进行对比，如无偏差请填写“无”的字样，如有偏差请注明“正偏差”或“负偏差”字样</w:t>
      </w:r>
    </w:p>
    <w:p w14:paraId="6073C3D8">
      <w:pPr>
        <w:pStyle w:val="21"/>
        <w:rPr>
          <w:sz w:val="28"/>
          <w:szCs w:val="28"/>
        </w:rPr>
      </w:pPr>
    </w:p>
    <w:p w14:paraId="2DEE8567">
      <w:pPr>
        <w:pStyle w:val="21"/>
        <w:sectPr>
          <w:pgSz w:w="16838" w:h="11906" w:orient="landscape"/>
          <w:pgMar w:top="1418" w:right="1418" w:bottom="1418" w:left="1418" w:header="850" w:footer="992" w:gutter="0"/>
          <w:cols w:space="720" w:num="1"/>
          <w:docGrid w:type="lines" w:linePitch="312" w:charSpace="0"/>
        </w:sectPr>
      </w:pPr>
    </w:p>
    <w:p w14:paraId="2849FDE8">
      <w:pPr>
        <w:jc w:val="center"/>
        <w:rPr>
          <w:sz w:val="32"/>
          <w:szCs w:val="32"/>
        </w:rPr>
      </w:pPr>
      <w:r>
        <w:rPr>
          <w:rFonts w:hint="eastAsia"/>
          <w:sz w:val="32"/>
          <w:szCs w:val="32"/>
        </w:rPr>
        <w:t>实施方案</w:t>
      </w:r>
    </w:p>
    <w:p w14:paraId="23C8928D">
      <w:pPr>
        <w:jc w:val="center"/>
        <w:rPr>
          <w:rFonts w:ascii="宋体" w:hAnsi="宋体"/>
          <w:color w:val="000000"/>
          <w:kern w:val="0"/>
          <w:sz w:val="28"/>
          <w:szCs w:val="28"/>
        </w:rPr>
      </w:pPr>
      <w:r>
        <w:rPr>
          <w:rFonts w:hint="eastAsia" w:ascii="宋体" w:hAnsi="宋体"/>
          <w:color w:val="000000"/>
          <w:kern w:val="0"/>
          <w:sz w:val="28"/>
          <w:szCs w:val="28"/>
        </w:rPr>
        <w:t>（投标人根据项目情况编制，格式自拟）</w:t>
      </w:r>
    </w:p>
    <w:p w14:paraId="22C6DF9C">
      <w:pPr>
        <w:pStyle w:val="21"/>
        <w:rPr>
          <w:rFonts w:ascii="宋体" w:hAnsi="宋体"/>
          <w:b w:val="0"/>
          <w:color w:val="000000"/>
          <w:kern w:val="0"/>
          <w:sz w:val="28"/>
          <w:szCs w:val="28"/>
        </w:rPr>
      </w:pPr>
    </w:p>
    <w:p w14:paraId="264EEC19">
      <w:pPr>
        <w:pStyle w:val="21"/>
        <w:rPr>
          <w:rFonts w:ascii="宋体" w:hAnsi="宋体"/>
          <w:b w:val="0"/>
          <w:color w:val="000000"/>
          <w:kern w:val="0"/>
          <w:sz w:val="28"/>
          <w:szCs w:val="28"/>
        </w:rPr>
      </w:pPr>
    </w:p>
    <w:p w14:paraId="0D4E92A2">
      <w:pPr>
        <w:pStyle w:val="21"/>
        <w:jc w:val="both"/>
        <w:rPr>
          <w:rFonts w:ascii="宋体" w:hAnsi="宋体"/>
          <w:b w:val="0"/>
          <w:color w:val="000000"/>
          <w:kern w:val="0"/>
          <w:sz w:val="28"/>
          <w:szCs w:val="28"/>
        </w:rPr>
      </w:pPr>
    </w:p>
    <w:p w14:paraId="36EA6AEC">
      <w:pPr>
        <w:pStyle w:val="21"/>
        <w:rPr>
          <w:rFonts w:ascii="宋体" w:hAnsi="宋体"/>
          <w:b w:val="0"/>
          <w:color w:val="000000"/>
          <w:kern w:val="0"/>
          <w:sz w:val="28"/>
          <w:szCs w:val="28"/>
        </w:rPr>
      </w:pPr>
    </w:p>
    <w:p w14:paraId="73F05121">
      <w:pPr>
        <w:pStyle w:val="21"/>
        <w:rPr>
          <w:rFonts w:ascii="宋体" w:hAnsi="宋体"/>
          <w:b w:val="0"/>
          <w:color w:val="000000"/>
          <w:kern w:val="0"/>
          <w:sz w:val="28"/>
          <w:szCs w:val="28"/>
        </w:rPr>
      </w:pPr>
    </w:p>
    <w:p w14:paraId="2B21A927">
      <w:pPr>
        <w:pStyle w:val="21"/>
        <w:rPr>
          <w:rFonts w:ascii="宋体" w:hAnsi="宋体"/>
          <w:b w:val="0"/>
          <w:color w:val="000000"/>
          <w:kern w:val="0"/>
          <w:sz w:val="28"/>
          <w:szCs w:val="28"/>
        </w:rPr>
      </w:pPr>
    </w:p>
    <w:p w14:paraId="4D9437A0">
      <w:pPr>
        <w:pStyle w:val="21"/>
        <w:rPr>
          <w:rFonts w:ascii="宋体" w:hAnsi="宋体"/>
          <w:b w:val="0"/>
          <w:color w:val="000000"/>
          <w:kern w:val="0"/>
          <w:sz w:val="28"/>
          <w:szCs w:val="28"/>
        </w:rPr>
      </w:pPr>
    </w:p>
    <w:p w14:paraId="40B607E3">
      <w:pPr>
        <w:pStyle w:val="21"/>
        <w:rPr>
          <w:rFonts w:ascii="宋体" w:hAnsi="宋体"/>
          <w:b w:val="0"/>
          <w:color w:val="000000"/>
          <w:kern w:val="0"/>
          <w:sz w:val="28"/>
          <w:szCs w:val="28"/>
        </w:rPr>
      </w:pPr>
    </w:p>
    <w:p w14:paraId="29A90111">
      <w:pPr>
        <w:pStyle w:val="21"/>
        <w:rPr>
          <w:rFonts w:ascii="宋体" w:hAnsi="宋体"/>
          <w:b w:val="0"/>
          <w:color w:val="000000"/>
          <w:kern w:val="0"/>
          <w:sz w:val="28"/>
          <w:szCs w:val="28"/>
        </w:rPr>
      </w:pPr>
    </w:p>
    <w:p w14:paraId="17532E35">
      <w:pPr>
        <w:pStyle w:val="21"/>
        <w:rPr>
          <w:rFonts w:ascii="宋体" w:hAnsi="宋体"/>
          <w:b w:val="0"/>
          <w:color w:val="000000"/>
          <w:kern w:val="0"/>
          <w:sz w:val="28"/>
          <w:szCs w:val="28"/>
        </w:rPr>
      </w:pPr>
    </w:p>
    <w:p w14:paraId="1B0D311C">
      <w:pPr>
        <w:tabs>
          <w:tab w:val="left" w:pos="1155"/>
        </w:tabs>
        <w:spacing w:line="520" w:lineRule="exact"/>
        <w:ind w:firstLine="700" w:firstLineChars="250"/>
        <w:jc w:val="center"/>
        <w:rPr>
          <w:rFonts w:ascii="宋体" w:hAnsi="宋体" w:cs="仿宋_GB2312"/>
          <w:sz w:val="28"/>
          <w:szCs w:val="28"/>
        </w:rPr>
      </w:pPr>
      <w:r>
        <w:rPr>
          <w:rFonts w:hint="eastAsia" w:ascii="宋体" w:hAnsi="宋体" w:cs="仿宋_GB2312"/>
          <w:sz w:val="28"/>
          <w:szCs w:val="28"/>
        </w:rPr>
        <w:t>供应商名称：（盖单位电子章）</w:t>
      </w:r>
    </w:p>
    <w:p w14:paraId="3D81327E">
      <w:pPr>
        <w:tabs>
          <w:tab w:val="left" w:pos="1155"/>
        </w:tabs>
        <w:spacing w:line="520" w:lineRule="exact"/>
        <w:ind w:firstLine="700" w:firstLineChars="250"/>
        <w:jc w:val="right"/>
        <w:rPr>
          <w:rFonts w:ascii="宋体" w:hAnsi="宋体" w:cs="仿宋_GB2312"/>
          <w:sz w:val="28"/>
          <w:szCs w:val="28"/>
        </w:rPr>
      </w:pPr>
      <w:r>
        <w:rPr>
          <w:rFonts w:hint="eastAsia" w:ascii="宋体" w:hAnsi="宋体" w:cs="仿宋_GB2312"/>
          <w:sz w:val="28"/>
          <w:szCs w:val="28"/>
        </w:rPr>
        <w:t>法定代表人或授权代理人：（</w:t>
      </w:r>
      <w:r>
        <w:rPr>
          <w:rFonts w:hint="eastAsia" w:ascii="宋体" w:hAnsi="宋体" w:cs="宋体"/>
          <w:sz w:val="28"/>
          <w:szCs w:val="28"/>
        </w:rPr>
        <w:t>盖电子印章或签名</w:t>
      </w:r>
      <w:r>
        <w:rPr>
          <w:rFonts w:hint="eastAsia" w:ascii="宋体" w:hAnsi="宋体" w:cs="仿宋_GB2312"/>
          <w:sz w:val="28"/>
          <w:szCs w:val="28"/>
        </w:rPr>
        <w:t>）</w:t>
      </w:r>
    </w:p>
    <w:p w14:paraId="03E346F4">
      <w:pPr>
        <w:spacing w:line="360" w:lineRule="auto"/>
        <w:ind w:firstLine="560" w:firstLineChars="200"/>
        <w:jc w:val="right"/>
        <w:rPr>
          <w:rFonts w:ascii="宋体" w:hAnsi="宋体" w:cs="仿宋_GB2312"/>
          <w:sz w:val="28"/>
          <w:szCs w:val="28"/>
          <w:u w:val="single"/>
        </w:rPr>
      </w:pPr>
    </w:p>
    <w:p w14:paraId="2D7F4663">
      <w:pPr>
        <w:rPr>
          <w:color w:val="000000"/>
          <w:kern w:val="0"/>
          <w:sz w:val="28"/>
          <w:szCs w:val="28"/>
        </w:rPr>
      </w:pPr>
      <w:r>
        <w:rPr>
          <w:rFonts w:hint="eastAsia"/>
        </w:rPr>
        <w:t xml:space="preserve">                                                  </w:t>
      </w:r>
      <w:r>
        <w:rPr>
          <w:rFonts w:hint="eastAsia"/>
          <w:sz w:val="28"/>
          <w:szCs w:val="28"/>
        </w:rPr>
        <w:t xml:space="preserve">   年    月    日</w:t>
      </w:r>
    </w:p>
    <w:p w14:paraId="5B990EA1">
      <w:pPr>
        <w:pStyle w:val="21"/>
        <w:rPr>
          <w:rFonts w:ascii="宋体" w:hAnsi="宋体"/>
          <w:b w:val="0"/>
          <w:color w:val="000000"/>
          <w:kern w:val="0"/>
          <w:sz w:val="28"/>
          <w:szCs w:val="28"/>
        </w:rPr>
      </w:pPr>
    </w:p>
    <w:p w14:paraId="7E6EF059">
      <w:pPr>
        <w:pStyle w:val="3"/>
        <w:rPr>
          <w:b w:val="0"/>
          <w:sz w:val="32"/>
          <w:szCs w:val="32"/>
        </w:rPr>
      </w:pPr>
      <w:r>
        <w:rPr>
          <w:rFonts w:hint="eastAsia"/>
        </w:rPr>
        <w:br w:type="page"/>
      </w:r>
      <w:bookmarkStart w:id="587" w:name="_Toc332"/>
      <w:r>
        <w:rPr>
          <w:rFonts w:hint="eastAsia"/>
          <w:b w:val="0"/>
          <w:sz w:val="32"/>
          <w:szCs w:val="32"/>
        </w:rPr>
        <w:t>六、商务部分</w:t>
      </w:r>
      <w:bookmarkEnd w:id="587"/>
    </w:p>
    <w:p w14:paraId="516EC4E1">
      <w:pPr>
        <w:pStyle w:val="22"/>
        <w:ind w:firstLine="280"/>
        <w:jc w:val="center"/>
        <w:rPr>
          <w:rFonts w:ascii="宋体" w:hAnsi="宋体"/>
          <w:sz w:val="28"/>
          <w:szCs w:val="28"/>
        </w:rPr>
      </w:pPr>
      <w:r>
        <w:rPr>
          <w:rFonts w:hint="eastAsia" w:ascii="宋体" w:hAnsi="宋体"/>
          <w:color w:val="000000"/>
          <w:kern w:val="0"/>
          <w:sz w:val="28"/>
          <w:szCs w:val="28"/>
        </w:rPr>
        <w:t>（投标人根据项目情况编制，格式自拟）</w:t>
      </w:r>
    </w:p>
    <w:p w14:paraId="45401A23">
      <w:pPr>
        <w:spacing w:line="360" w:lineRule="auto"/>
        <w:rPr>
          <w:rFonts w:ascii="宋体" w:hAnsi="宋体" w:cs="宋体"/>
          <w:b/>
          <w:bCs/>
          <w:sz w:val="28"/>
          <w:szCs w:val="28"/>
        </w:rPr>
      </w:pPr>
    </w:p>
    <w:p w14:paraId="542BEC2B">
      <w:pPr>
        <w:pStyle w:val="22"/>
        <w:ind w:firstLine="210"/>
      </w:pPr>
    </w:p>
    <w:p w14:paraId="4D3A764A">
      <w:pPr>
        <w:pStyle w:val="23"/>
        <w:ind w:firstLine="560"/>
      </w:pPr>
    </w:p>
    <w:p w14:paraId="19E5239E">
      <w:pPr>
        <w:pStyle w:val="23"/>
        <w:ind w:firstLine="560"/>
      </w:pPr>
    </w:p>
    <w:p w14:paraId="7EB85554">
      <w:pPr>
        <w:pStyle w:val="23"/>
        <w:ind w:firstLine="560"/>
      </w:pPr>
    </w:p>
    <w:p w14:paraId="4B0B85D7">
      <w:pPr>
        <w:pStyle w:val="23"/>
        <w:ind w:firstLine="560"/>
      </w:pPr>
    </w:p>
    <w:p w14:paraId="6085321D">
      <w:pPr>
        <w:pStyle w:val="23"/>
        <w:ind w:firstLine="560"/>
      </w:pPr>
    </w:p>
    <w:p w14:paraId="5D934A20">
      <w:pPr>
        <w:pStyle w:val="23"/>
        <w:ind w:firstLine="560"/>
      </w:pPr>
    </w:p>
    <w:p w14:paraId="4E0601C3">
      <w:pPr>
        <w:pStyle w:val="23"/>
        <w:ind w:firstLine="560"/>
      </w:pPr>
    </w:p>
    <w:p w14:paraId="79E43D7B">
      <w:pPr>
        <w:pStyle w:val="23"/>
        <w:ind w:firstLine="560"/>
      </w:pPr>
    </w:p>
    <w:p w14:paraId="57D24438">
      <w:pPr>
        <w:pStyle w:val="23"/>
        <w:ind w:firstLine="560"/>
      </w:pPr>
    </w:p>
    <w:p w14:paraId="6CA2011C">
      <w:pPr>
        <w:pStyle w:val="23"/>
        <w:ind w:firstLine="560"/>
      </w:pPr>
    </w:p>
    <w:p w14:paraId="4AA4CF8E">
      <w:pPr>
        <w:pStyle w:val="23"/>
        <w:ind w:firstLine="560"/>
      </w:pPr>
    </w:p>
    <w:p w14:paraId="17694CD0">
      <w:pPr>
        <w:tabs>
          <w:tab w:val="left" w:pos="1155"/>
        </w:tabs>
        <w:spacing w:line="520" w:lineRule="exact"/>
        <w:ind w:firstLine="700" w:firstLineChars="250"/>
        <w:jc w:val="center"/>
        <w:rPr>
          <w:rFonts w:ascii="宋体" w:hAnsi="宋体" w:cs="仿宋_GB2312"/>
          <w:sz w:val="28"/>
          <w:szCs w:val="28"/>
        </w:rPr>
      </w:pPr>
      <w:r>
        <w:rPr>
          <w:rFonts w:hint="eastAsia" w:ascii="宋体" w:hAnsi="宋体" w:cs="仿宋_GB2312"/>
          <w:sz w:val="28"/>
          <w:szCs w:val="28"/>
        </w:rPr>
        <w:t>供应商名称：（盖单位电子章）</w:t>
      </w:r>
    </w:p>
    <w:p w14:paraId="4037E88E">
      <w:pPr>
        <w:tabs>
          <w:tab w:val="left" w:pos="1155"/>
        </w:tabs>
        <w:spacing w:line="520" w:lineRule="exact"/>
        <w:ind w:firstLine="700" w:firstLineChars="250"/>
        <w:jc w:val="right"/>
        <w:rPr>
          <w:rFonts w:ascii="宋体" w:hAnsi="宋体" w:cs="仿宋_GB2312"/>
          <w:sz w:val="28"/>
          <w:szCs w:val="28"/>
        </w:rPr>
      </w:pPr>
      <w:r>
        <w:rPr>
          <w:rFonts w:hint="eastAsia" w:ascii="宋体" w:hAnsi="宋体" w:cs="仿宋_GB2312"/>
          <w:sz w:val="28"/>
          <w:szCs w:val="28"/>
        </w:rPr>
        <w:t>法定代表人或授权代理人：（</w:t>
      </w:r>
      <w:r>
        <w:rPr>
          <w:rFonts w:hint="eastAsia" w:ascii="宋体" w:hAnsi="宋体" w:cs="宋体"/>
          <w:sz w:val="28"/>
          <w:szCs w:val="28"/>
        </w:rPr>
        <w:t>盖电子印章或签名</w:t>
      </w:r>
      <w:r>
        <w:rPr>
          <w:rFonts w:hint="eastAsia" w:ascii="宋体" w:hAnsi="宋体" w:cs="仿宋_GB2312"/>
          <w:sz w:val="28"/>
          <w:szCs w:val="28"/>
        </w:rPr>
        <w:t>）</w:t>
      </w:r>
    </w:p>
    <w:p w14:paraId="0EA5D13C">
      <w:pPr>
        <w:spacing w:line="360" w:lineRule="auto"/>
        <w:ind w:firstLine="560" w:firstLineChars="200"/>
        <w:jc w:val="right"/>
        <w:rPr>
          <w:rFonts w:ascii="宋体" w:hAnsi="宋体" w:cs="仿宋_GB2312"/>
          <w:sz w:val="28"/>
          <w:szCs w:val="28"/>
          <w:u w:val="single"/>
        </w:rPr>
      </w:pPr>
    </w:p>
    <w:p w14:paraId="502C82F4">
      <w:pPr>
        <w:rPr>
          <w:color w:val="000000"/>
          <w:kern w:val="0"/>
          <w:sz w:val="28"/>
          <w:szCs w:val="28"/>
        </w:rPr>
      </w:pPr>
      <w:r>
        <w:rPr>
          <w:rFonts w:hint="eastAsia"/>
        </w:rPr>
        <w:t xml:space="preserve">                                                  </w:t>
      </w:r>
      <w:r>
        <w:rPr>
          <w:rFonts w:hint="eastAsia"/>
          <w:sz w:val="28"/>
          <w:szCs w:val="28"/>
        </w:rPr>
        <w:t xml:space="preserve">   年    月    日</w:t>
      </w:r>
    </w:p>
    <w:p w14:paraId="5D704BD0">
      <w:pPr>
        <w:pStyle w:val="23"/>
        <w:ind w:firstLine="560"/>
      </w:pPr>
    </w:p>
    <w:p w14:paraId="1034AD63">
      <w:pPr>
        <w:pStyle w:val="23"/>
        <w:ind w:firstLine="560"/>
      </w:pPr>
    </w:p>
    <w:p w14:paraId="0E7B4244">
      <w:pPr>
        <w:pStyle w:val="23"/>
        <w:ind w:firstLine="560"/>
      </w:pPr>
    </w:p>
    <w:p w14:paraId="5322CCCE">
      <w:pPr>
        <w:pStyle w:val="3"/>
        <w:rPr>
          <w:b w:val="0"/>
          <w:sz w:val="32"/>
          <w:szCs w:val="32"/>
        </w:rPr>
      </w:pPr>
      <w:bookmarkStart w:id="588" w:name="_Toc19413"/>
      <w:r>
        <w:rPr>
          <w:rFonts w:hint="eastAsia"/>
          <w:b w:val="0"/>
          <w:sz w:val="32"/>
          <w:szCs w:val="32"/>
        </w:rPr>
        <w:t>七、其他材料</w:t>
      </w:r>
      <w:bookmarkEnd w:id="588"/>
    </w:p>
    <w:p w14:paraId="4F6B4916">
      <w:pPr>
        <w:spacing w:line="360" w:lineRule="auto"/>
        <w:jc w:val="left"/>
        <w:rPr>
          <w:rFonts w:ascii="宋体" w:hAnsi="宋体" w:cs="宋体"/>
          <w:sz w:val="28"/>
          <w:szCs w:val="28"/>
        </w:rPr>
      </w:pPr>
    </w:p>
    <w:bookmarkEnd w:id="560"/>
    <w:p w14:paraId="159F7703">
      <w:pPr>
        <w:autoSpaceDE w:val="0"/>
        <w:autoSpaceDN w:val="0"/>
        <w:adjustRightInd w:val="0"/>
        <w:ind w:firstLine="560" w:firstLineChars="200"/>
        <w:rPr>
          <w:rFonts w:ascii="宋体" w:cs="宋体"/>
          <w:sz w:val="28"/>
          <w:szCs w:val="28"/>
          <w:lang w:val="zh-CN"/>
        </w:rPr>
      </w:pPr>
      <w:bookmarkStart w:id="589" w:name="_Toc175480092"/>
      <w:bookmarkEnd w:id="589"/>
      <w:bookmarkStart w:id="590" w:name="_Toc27852_WPSOffice_Level2"/>
      <w:bookmarkEnd w:id="590"/>
      <w:bookmarkStart w:id="591" w:name="_Toc10335_WPSOffice_Level2"/>
      <w:bookmarkEnd w:id="591"/>
      <w:bookmarkStart w:id="592" w:name="_Toc27809"/>
      <w:bookmarkEnd w:id="592"/>
      <w:bookmarkStart w:id="593" w:name="_Toc19742"/>
      <w:bookmarkEnd w:id="593"/>
      <w:bookmarkStart w:id="594" w:name="_Toc31525"/>
      <w:bookmarkEnd w:id="594"/>
      <w:r>
        <w:rPr>
          <w:rFonts w:hint="eastAsia" w:ascii="宋体" w:cs="宋体"/>
          <w:sz w:val="28"/>
          <w:szCs w:val="28"/>
          <w:lang w:val="zh-CN"/>
        </w:rPr>
        <w:t>具备法律、行政法规规定的其他条件的证明材料及供应商认为必要的其它资料，可在此附件中提交。</w:t>
      </w:r>
    </w:p>
    <w:p w14:paraId="6440301C">
      <w:pPr>
        <w:rPr>
          <w:sz w:val="28"/>
          <w:szCs w:val="28"/>
        </w:rPr>
      </w:pPr>
      <w:r>
        <w:rPr>
          <w:rFonts w:ascii="宋体" w:cs="宋体"/>
          <w:lang w:val="zh-CN"/>
        </w:rPr>
        <w:t xml:space="preserve">                                                              </w:t>
      </w:r>
    </w:p>
    <w:p w14:paraId="019BE916">
      <w:pPr>
        <w:rPr>
          <w:sz w:val="28"/>
          <w:szCs w:val="28"/>
        </w:rPr>
      </w:pPr>
    </w:p>
    <w:p w14:paraId="1B9D049E">
      <w:pPr>
        <w:autoSpaceDE w:val="0"/>
        <w:autoSpaceDN w:val="0"/>
        <w:adjustRightInd w:val="0"/>
        <w:spacing w:line="380" w:lineRule="exact"/>
        <w:ind w:firstLine="420"/>
        <w:jc w:val="center"/>
        <w:rPr>
          <w:rFonts w:ascii="宋体" w:cs="宋体"/>
          <w:b/>
          <w:bCs/>
          <w:sz w:val="28"/>
          <w:szCs w:val="28"/>
          <w:lang w:val="zh-CN"/>
        </w:rPr>
      </w:pPr>
    </w:p>
    <w:p w14:paraId="16D948A1">
      <w:pPr>
        <w:autoSpaceDE w:val="0"/>
        <w:autoSpaceDN w:val="0"/>
        <w:adjustRightInd w:val="0"/>
        <w:spacing w:line="380" w:lineRule="exact"/>
        <w:ind w:firstLine="420"/>
        <w:jc w:val="center"/>
        <w:rPr>
          <w:rFonts w:ascii="宋体" w:cs="宋体"/>
          <w:b/>
          <w:bCs/>
          <w:sz w:val="28"/>
          <w:szCs w:val="28"/>
          <w:lang w:val="zh-CN"/>
        </w:rPr>
      </w:pPr>
    </w:p>
    <w:p w14:paraId="7881234D"/>
    <w:p w14:paraId="5F5D0186"/>
    <w:p w14:paraId="7BBF7E17"/>
    <w:p w14:paraId="74F3FA29">
      <w:pPr>
        <w:rPr>
          <w:rFonts w:ascii="宋体" w:hAnsi="宋体"/>
        </w:rPr>
      </w:pPr>
    </w:p>
    <w:p w14:paraId="2AC723CC">
      <w:pPr>
        <w:rPr>
          <w:rFonts w:ascii="宋体" w:hAnsi="宋体"/>
        </w:rPr>
      </w:pPr>
      <w:r>
        <w:rPr>
          <w:rFonts w:hint="eastAsia" w:ascii="宋体" w:hAnsi="宋体"/>
        </w:rPr>
        <w:t xml:space="preserve"> </w:t>
      </w:r>
    </w:p>
    <w:p w14:paraId="28147CC5"/>
    <w:p w14:paraId="42470703"/>
    <w:p w14:paraId="51FF4CCB"/>
    <w:p w14:paraId="53D8A3B4"/>
    <w:p w14:paraId="0F3CFC04"/>
    <w:p w14:paraId="2B9B1C31"/>
    <w:p w14:paraId="73BDD33F"/>
    <w:p w14:paraId="0CE34C9A"/>
    <w:p w14:paraId="78B3A9CE"/>
    <w:p w14:paraId="30C26BD5"/>
    <w:p w14:paraId="7B3949CE"/>
    <w:p w14:paraId="6CD368DF"/>
    <w:p w14:paraId="09513A0E"/>
    <w:p w14:paraId="5A79DFF8">
      <w:pPr>
        <w:adjustRightInd w:val="0"/>
        <w:spacing w:line="580" w:lineRule="exact"/>
        <w:ind w:right="-329"/>
        <w:rPr>
          <w:rFonts w:ascii="宋体" w:hAnsi="宋体"/>
          <w:b/>
          <w:bCs/>
          <w:sz w:val="44"/>
          <w:szCs w:val="44"/>
        </w:rPr>
      </w:pPr>
    </w:p>
    <w:p w14:paraId="5C46CE47">
      <w:pPr>
        <w:adjustRightInd w:val="0"/>
        <w:spacing w:line="580" w:lineRule="exact"/>
        <w:ind w:right="-329"/>
        <w:rPr>
          <w:rFonts w:ascii="宋体" w:hAnsi="宋体"/>
          <w:b/>
          <w:bCs/>
          <w:sz w:val="44"/>
          <w:szCs w:val="44"/>
        </w:rPr>
      </w:pPr>
    </w:p>
    <w:p w14:paraId="06BCA9D2">
      <w:pPr>
        <w:adjustRightInd w:val="0"/>
        <w:spacing w:line="580" w:lineRule="exact"/>
        <w:ind w:right="-329"/>
        <w:rPr>
          <w:rFonts w:ascii="宋体" w:hAnsi="宋体"/>
          <w:b/>
          <w:bCs/>
          <w:sz w:val="44"/>
          <w:szCs w:val="44"/>
        </w:rPr>
      </w:pPr>
    </w:p>
    <w:p w14:paraId="100617B5">
      <w:pPr>
        <w:adjustRightInd w:val="0"/>
        <w:spacing w:line="580" w:lineRule="exact"/>
        <w:ind w:right="-329"/>
        <w:rPr>
          <w:rFonts w:ascii="宋体" w:hAnsi="宋体"/>
          <w:b/>
          <w:bCs/>
          <w:sz w:val="44"/>
          <w:szCs w:val="44"/>
        </w:rPr>
      </w:pPr>
    </w:p>
    <w:p w14:paraId="3EAA119D">
      <w:pPr>
        <w:adjustRightInd w:val="0"/>
        <w:spacing w:line="580" w:lineRule="exact"/>
        <w:ind w:right="-329"/>
        <w:rPr>
          <w:rFonts w:ascii="宋体" w:hAnsi="宋体" w:cs="仿宋"/>
          <w:sz w:val="28"/>
          <w:szCs w:val="28"/>
        </w:rPr>
      </w:pPr>
    </w:p>
    <w:p w14:paraId="1010DC64">
      <w:pPr>
        <w:pStyle w:val="22"/>
        <w:ind w:firstLine="210"/>
      </w:pPr>
    </w:p>
    <w:p w14:paraId="33FCE350">
      <w:pPr>
        <w:adjustRightInd w:val="0"/>
        <w:spacing w:line="580" w:lineRule="exact"/>
        <w:ind w:right="-329"/>
        <w:rPr>
          <w:rFonts w:ascii="宋体" w:hAnsi="宋体"/>
          <w:b/>
          <w:bCs/>
          <w:sz w:val="28"/>
          <w:szCs w:val="28"/>
        </w:rPr>
      </w:pPr>
      <w:r>
        <w:rPr>
          <w:rFonts w:hint="eastAsia" w:ascii="宋体" w:hAnsi="宋体" w:cs="仿宋"/>
          <w:sz w:val="28"/>
          <w:szCs w:val="28"/>
        </w:rPr>
        <w:t>附件1（符合政策要求，并申请按小型微型企业投标者提供，项目不适用可不提供此附件）</w:t>
      </w:r>
    </w:p>
    <w:p w14:paraId="3FB73224">
      <w:pPr>
        <w:spacing w:line="520" w:lineRule="exact"/>
        <w:jc w:val="center"/>
        <w:rPr>
          <w:b/>
          <w:sz w:val="30"/>
          <w:szCs w:val="30"/>
        </w:rPr>
      </w:pPr>
      <w:r>
        <w:rPr>
          <w:b/>
          <w:sz w:val="30"/>
          <w:szCs w:val="30"/>
        </w:rPr>
        <w:t>中小企业声明函</w:t>
      </w:r>
    </w:p>
    <w:p w14:paraId="0EA34EF2">
      <w:pPr>
        <w:spacing w:line="520" w:lineRule="exact"/>
        <w:jc w:val="center"/>
        <w:rPr>
          <w:rFonts w:ascii="宋体" w:hAnsi="宋体"/>
          <w:sz w:val="28"/>
          <w:szCs w:val="28"/>
        </w:rPr>
      </w:pPr>
      <w:r>
        <w:rPr>
          <w:rFonts w:hint="eastAsia" w:ascii="宋体" w:hAnsi="宋体"/>
          <w:sz w:val="28"/>
          <w:szCs w:val="28"/>
        </w:rPr>
        <w:t>中小企业声明函（货物）</w:t>
      </w:r>
    </w:p>
    <w:p w14:paraId="4EE4F122">
      <w:pPr>
        <w:spacing w:line="440" w:lineRule="exact"/>
        <w:ind w:firstLine="560" w:firstLineChars="200"/>
        <w:rPr>
          <w:rFonts w:ascii="宋体" w:hAnsi="宋体"/>
          <w:sz w:val="28"/>
          <w:szCs w:val="28"/>
        </w:rPr>
      </w:pPr>
      <w:r>
        <w:rPr>
          <w:rFonts w:hint="eastAsia" w:ascii="宋体" w:hAnsi="宋体"/>
          <w:sz w:val="28"/>
          <w:szCs w:val="28"/>
        </w:rPr>
        <w:t>本公司（联合体）郑重声明，根据《政府采购促进中小企业发展管理办法》（财库﹝2020﹞46 号）的规定，本公司（联合体）参加（</w:t>
      </w:r>
      <w:r>
        <w:rPr>
          <w:rFonts w:hint="eastAsia" w:ascii="宋体" w:hAnsi="宋体"/>
          <w:sz w:val="28"/>
          <w:szCs w:val="28"/>
          <w:u w:val="single"/>
        </w:rPr>
        <w:t>单位名称</w:t>
      </w:r>
      <w:r>
        <w:rPr>
          <w:rFonts w:hint="eastAsia" w:ascii="宋体" w:hAnsi="宋体"/>
          <w:sz w:val="28"/>
          <w:szCs w:val="28"/>
        </w:rPr>
        <w:t>）的（</w:t>
      </w:r>
      <w:r>
        <w:rPr>
          <w:rFonts w:hint="eastAsia" w:ascii="宋体" w:hAnsi="宋体"/>
          <w:sz w:val="28"/>
          <w:szCs w:val="28"/>
          <w:u w:val="single"/>
        </w:rPr>
        <w:t>项目名称</w:t>
      </w:r>
      <w:r>
        <w:rPr>
          <w:rFonts w:hint="eastAsia" w:ascii="宋体" w:hAnsi="宋体"/>
          <w:sz w:val="28"/>
          <w:szCs w:val="28"/>
        </w:rPr>
        <w:t>）采购活动，提供的货物全部由符合政策要求的中小企业制造。相关企业（含联合体中的中小企业、签订分包意向协议的中小企业）</w:t>
      </w:r>
    </w:p>
    <w:p w14:paraId="5E111F30">
      <w:pPr>
        <w:spacing w:line="440" w:lineRule="exact"/>
        <w:rPr>
          <w:rFonts w:ascii="宋体" w:hAnsi="宋体"/>
          <w:sz w:val="28"/>
          <w:szCs w:val="28"/>
        </w:rPr>
      </w:pPr>
      <w:r>
        <w:rPr>
          <w:rFonts w:hint="eastAsia" w:ascii="宋体" w:hAnsi="宋体"/>
          <w:sz w:val="28"/>
          <w:szCs w:val="28"/>
        </w:rPr>
        <w:t>的具体情况如下：</w:t>
      </w:r>
    </w:p>
    <w:p w14:paraId="7589F625">
      <w:pPr>
        <w:spacing w:line="440" w:lineRule="exact"/>
        <w:ind w:firstLine="560" w:firstLineChars="200"/>
        <w:rPr>
          <w:rFonts w:ascii="宋体" w:hAnsi="宋体"/>
          <w:sz w:val="28"/>
          <w:szCs w:val="28"/>
        </w:rPr>
      </w:pPr>
      <w:r>
        <w:rPr>
          <w:rFonts w:hint="eastAsia" w:ascii="宋体" w:hAnsi="宋体"/>
          <w:sz w:val="28"/>
          <w:szCs w:val="28"/>
        </w:rPr>
        <w:t>1. （</w:t>
      </w:r>
      <w:r>
        <w:rPr>
          <w:rFonts w:hint="eastAsia" w:ascii="宋体" w:hAnsi="宋体"/>
          <w:sz w:val="28"/>
          <w:szCs w:val="28"/>
          <w:u w:val="single"/>
        </w:rPr>
        <w:t>标的名称</w:t>
      </w:r>
      <w:r>
        <w:rPr>
          <w:rFonts w:hint="eastAsia" w:ascii="宋体" w:hAnsi="宋体"/>
          <w:sz w:val="28"/>
          <w:szCs w:val="28"/>
        </w:rPr>
        <w:t>） ，属于（</w:t>
      </w:r>
      <w:r>
        <w:rPr>
          <w:rFonts w:hint="eastAsia" w:ascii="宋体" w:hAnsi="宋体"/>
          <w:sz w:val="28"/>
          <w:szCs w:val="28"/>
          <w:u w:val="single"/>
        </w:rPr>
        <w:t>采购文件中明确的所属行业</w:t>
      </w:r>
      <w:r>
        <w:rPr>
          <w:rFonts w:hint="eastAsia" w:ascii="宋体" w:hAnsi="宋体"/>
          <w:sz w:val="28"/>
          <w:szCs w:val="28"/>
        </w:rPr>
        <w:t>）行业；制造商为（</w:t>
      </w:r>
      <w:r>
        <w:rPr>
          <w:rFonts w:hint="eastAsia" w:ascii="宋体" w:hAnsi="宋体"/>
          <w:sz w:val="28"/>
          <w:szCs w:val="28"/>
          <w:u w:val="single"/>
        </w:rPr>
        <w:t>企业名称</w:t>
      </w:r>
      <w:r>
        <w:rPr>
          <w:rFonts w:hint="eastAsia" w:ascii="宋体" w:hAnsi="宋体"/>
          <w:sz w:val="28"/>
          <w:szCs w:val="28"/>
        </w:rPr>
        <w:t>），从业人员</w:t>
      </w:r>
      <w:r>
        <w:rPr>
          <w:rFonts w:hint="eastAsia" w:ascii="宋体" w:hAnsi="宋体"/>
          <w:sz w:val="28"/>
          <w:szCs w:val="28"/>
          <w:u w:val="single"/>
        </w:rPr>
        <w:t xml:space="preserve">   </w:t>
      </w:r>
      <w:r>
        <w:rPr>
          <w:rFonts w:hint="eastAsia" w:ascii="宋体" w:hAnsi="宋体"/>
          <w:sz w:val="28"/>
          <w:szCs w:val="28"/>
        </w:rPr>
        <w:t>人，营业收入为</w:t>
      </w:r>
      <w:r>
        <w:rPr>
          <w:rFonts w:hint="eastAsia" w:ascii="宋体" w:hAnsi="宋体"/>
          <w:sz w:val="28"/>
          <w:szCs w:val="28"/>
          <w:u w:val="single"/>
        </w:rPr>
        <w:t xml:space="preserve">    </w:t>
      </w:r>
      <w:r>
        <w:rPr>
          <w:rFonts w:hint="eastAsia" w:ascii="宋体" w:hAnsi="宋体"/>
          <w:sz w:val="28"/>
          <w:szCs w:val="28"/>
        </w:rPr>
        <w:t>万元，资产总额为</w:t>
      </w:r>
      <w:r>
        <w:rPr>
          <w:rFonts w:hint="eastAsia" w:ascii="宋体" w:hAnsi="宋体"/>
          <w:sz w:val="28"/>
          <w:szCs w:val="28"/>
          <w:u w:val="single"/>
        </w:rPr>
        <w:t xml:space="preserve">      </w:t>
      </w:r>
      <w:r>
        <w:rPr>
          <w:rFonts w:hint="eastAsia" w:ascii="宋体" w:hAnsi="宋体"/>
          <w:sz w:val="28"/>
          <w:szCs w:val="28"/>
        </w:rPr>
        <w:t>万元，属于（</w:t>
      </w:r>
      <w:r>
        <w:rPr>
          <w:rFonts w:hint="eastAsia" w:ascii="宋体" w:hAnsi="宋体"/>
          <w:sz w:val="28"/>
          <w:szCs w:val="28"/>
          <w:u w:val="single"/>
        </w:rPr>
        <w:t>中型企业、小型企业、微型企业</w:t>
      </w:r>
      <w:r>
        <w:rPr>
          <w:rFonts w:hint="eastAsia" w:ascii="宋体" w:hAnsi="宋体"/>
          <w:sz w:val="28"/>
          <w:szCs w:val="28"/>
        </w:rPr>
        <w:t>）；</w:t>
      </w:r>
    </w:p>
    <w:p w14:paraId="1AD96D86">
      <w:pPr>
        <w:spacing w:line="440" w:lineRule="exact"/>
        <w:ind w:firstLine="560" w:firstLineChars="200"/>
        <w:rPr>
          <w:rFonts w:ascii="宋体" w:hAnsi="宋体"/>
          <w:sz w:val="28"/>
          <w:szCs w:val="28"/>
        </w:rPr>
      </w:pPr>
      <w:r>
        <w:rPr>
          <w:rFonts w:hint="eastAsia" w:ascii="宋体" w:hAnsi="宋体"/>
          <w:sz w:val="28"/>
          <w:szCs w:val="28"/>
        </w:rPr>
        <w:t>2. （</w:t>
      </w:r>
      <w:r>
        <w:rPr>
          <w:rFonts w:hint="eastAsia" w:ascii="宋体" w:hAnsi="宋体"/>
          <w:sz w:val="28"/>
          <w:szCs w:val="28"/>
          <w:u w:val="single"/>
        </w:rPr>
        <w:t>标的名称</w:t>
      </w:r>
      <w:r>
        <w:rPr>
          <w:rFonts w:hint="eastAsia" w:ascii="宋体" w:hAnsi="宋体"/>
          <w:sz w:val="28"/>
          <w:szCs w:val="28"/>
        </w:rPr>
        <w:t>） ，属于（</w:t>
      </w:r>
      <w:r>
        <w:rPr>
          <w:rFonts w:hint="eastAsia" w:ascii="宋体" w:hAnsi="宋体"/>
          <w:sz w:val="28"/>
          <w:szCs w:val="28"/>
          <w:u w:val="single"/>
        </w:rPr>
        <w:t>采购文件中明确的所属行业</w:t>
      </w:r>
      <w:r>
        <w:rPr>
          <w:rFonts w:hint="eastAsia" w:ascii="宋体" w:hAnsi="宋体"/>
          <w:sz w:val="28"/>
          <w:szCs w:val="28"/>
        </w:rPr>
        <w:t>）行业；制造商为（</w:t>
      </w:r>
      <w:r>
        <w:rPr>
          <w:rFonts w:hint="eastAsia" w:ascii="宋体" w:hAnsi="宋体"/>
          <w:sz w:val="28"/>
          <w:szCs w:val="28"/>
          <w:u w:val="single"/>
        </w:rPr>
        <w:t>企业名称</w:t>
      </w:r>
      <w:r>
        <w:rPr>
          <w:rFonts w:hint="eastAsia" w:ascii="宋体" w:hAnsi="宋体"/>
          <w:sz w:val="28"/>
          <w:szCs w:val="28"/>
        </w:rPr>
        <w:t>），从业人员</w:t>
      </w:r>
      <w:r>
        <w:rPr>
          <w:rFonts w:hint="eastAsia" w:ascii="宋体" w:hAnsi="宋体"/>
          <w:sz w:val="28"/>
          <w:szCs w:val="28"/>
          <w:u w:val="single"/>
        </w:rPr>
        <w:t xml:space="preserve">   </w:t>
      </w:r>
      <w:r>
        <w:rPr>
          <w:rFonts w:hint="eastAsia" w:ascii="宋体" w:hAnsi="宋体"/>
          <w:sz w:val="28"/>
          <w:szCs w:val="28"/>
        </w:rPr>
        <w:t>人，营业收入为</w:t>
      </w:r>
      <w:r>
        <w:rPr>
          <w:rFonts w:hint="eastAsia" w:ascii="宋体" w:hAnsi="宋体"/>
          <w:sz w:val="28"/>
          <w:szCs w:val="28"/>
          <w:u w:val="single"/>
        </w:rPr>
        <w:t xml:space="preserve">    </w:t>
      </w:r>
      <w:r>
        <w:rPr>
          <w:rFonts w:hint="eastAsia" w:ascii="宋体" w:hAnsi="宋体"/>
          <w:sz w:val="28"/>
          <w:szCs w:val="28"/>
        </w:rPr>
        <w:t>万元，资产总额为</w:t>
      </w:r>
      <w:r>
        <w:rPr>
          <w:rFonts w:hint="eastAsia" w:ascii="宋体" w:hAnsi="宋体"/>
          <w:sz w:val="28"/>
          <w:szCs w:val="28"/>
          <w:u w:val="single"/>
        </w:rPr>
        <w:t xml:space="preserve">      </w:t>
      </w:r>
      <w:r>
        <w:rPr>
          <w:rFonts w:hint="eastAsia" w:ascii="宋体" w:hAnsi="宋体"/>
          <w:sz w:val="28"/>
          <w:szCs w:val="28"/>
        </w:rPr>
        <w:t>万元，属于（</w:t>
      </w:r>
      <w:r>
        <w:rPr>
          <w:rFonts w:hint="eastAsia" w:ascii="宋体" w:hAnsi="宋体"/>
          <w:sz w:val="28"/>
          <w:szCs w:val="28"/>
          <w:u w:val="single"/>
        </w:rPr>
        <w:t>中型企业、小型企业、微型企业</w:t>
      </w:r>
      <w:r>
        <w:rPr>
          <w:rFonts w:hint="eastAsia" w:ascii="宋体" w:hAnsi="宋体"/>
          <w:sz w:val="28"/>
          <w:szCs w:val="28"/>
        </w:rPr>
        <w:t>）；……</w:t>
      </w:r>
    </w:p>
    <w:p w14:paraId="6D83E1A6">
      <w:pPr>
        <w:spacing w:line="440" w:lineRule="exact"/>
        <w:ind w:firstLine="560" w:firstLineChars="200"/>
        <w:rPr>
          <w:rFonts w:ascii="宋体" w:hAnsi="宋体"/>
          <w:sz w:val="28"/>
          <w:szCs w:val="28"/>
        </w:rPr>
      </w:pPr>
      <w:r>
        <w:rPr>
          <w:rFonts w:hint="eastAsia" w:ascii="宋体" w:hAnsi="宋体"/>
          <w:sz w:val="28"/>
          <w:szCs w:val="28"/>
        </w:rPr>
        <w:t>以上企业，不属于大企业的分支机构，不存在控股股东为大企业的情形，也不存在与大企业的负责人为同一人的情形。</w:t>
      </w:r>
    </w:p>
    <w:p w14:paraId="0107E0F6">
      <w:pPr>
        <w:spacing w:line="440" w:lineRule="exact"/>
        <w:ind w:firstLine="560" w:firstLineChars="200"/>
        <w:rPr>
          <w:rFonts w:ascii="宋体" w:hAnsi="宋体"/>
          <w:sz w:val="28"/>
          <w:szCs w:val="28"/>
        </w:rPr>
      </w:pPr>
      <w:r>
        <w:rPr>
          <w:rFonts w:hint="eastAsia" w:ascii="宋体" w:hAnsi="宋体"/>
          <w:sz w:val="28"/>
          <w:szCs w:val="28"/>
        </w:rPr>
        <w:t>本企业对上述声明内容的真实性负责。如有虚假，将依法承担相应责任。</w:t>
      </w:r>
    </w:p>
    <w:p w14:paraId="5572013A">
      <w:pPr>
        <w:spacing w:line="520" w:lineRule="exact"/>
        <w:ind w:right="140"/>
        <w:jc w:val="right"/>
        <w:rPr>
          <w:rFonts w:ascii="宋体" w:hAnsi="宋体"/>
          <w:sz w:val="28"/>
          <w:szCs w:val="28"/>
        </w:rPr>
      </w:pPr>
    </w:p>
    <w:p w14:paraId="596CE691">
      <w:pPr>
        <w:ind w:firstLine="1948" w:firstLineChars="696"/>
        <w:rPr>
          <w:rFonts w:ascii="宋体" w:hAnsi="宋体"/>
          <w:sz w:val="28"/>
          <w:szCs w:val="28"/>
        </w:rPr>
      </w:pPr>
    </w:p>
    <w:p w14:paraId="22C082D4">
      <w:pPr>
        <w:ind w:firstLine="5588" w:firstLineChars="1996"/>
        <w:rPr>
          <w:rFonts w:ascii="宋体" w:hAnsi="宋体"/>
          <w:sz w:val="28"/>
          <w:szCs w:val="28"/>
        </w:rPr>
      </w:pPr>
      <w:r>
        <w:rPr>
          <w:rFonts w:hint="eastAsia" w:ascii="宋体" w:hAnsi="宋体"/>
          <w:sz w:val="28"/>
          <w:szCs w:val="28"/>
        </w:rPr>
        <w:t>企业名称（盖章）：</w:t>
      </w:r>
    </w:p>
    <w:p w14:paraId="090A0382">
      <w:pPr>
        <w:ind w:firstLine="5588" w:firstLineChars="1996"/>
        <w:rPr>
          <w:rFonts w:ascii="宋体" w:hAnsi="宋体"/>
          <w:sz w:val="28"/>
          <w:szCs w:val="28"/>
        </w:rPr>
      </w:pPr>
      <w:r>
        <w:rPr>
          <w:rFonts w:hint="eastAsia" w:ascii="宋体" w:hAnsi="宋体"/>
          <w:sz w:val="28"/>
          <w:szCs w:val="28"/>
        </w:rPr>
        <w:t>日期：</w:t>
      </w:r>
    </w:p>
    <w:p w14:paraId="1DCEA67C">
      <w:pPr>
        <w:spacing w:line="520" w:lineRule="exact"/>
        <w:ind w:right="140"/>
        <w:jc w:val="left"/>
        <w:rPr>
          <w:rFonts w:ascii="宋体" w:hAnsi="宋体"/>
          <w:sz w:val="28"/>
          <w:szCs w:val="28"/>
        </w:rPr>
      </w:pPr>
      <w:r>
        <w:rPr>
          <w:rFonts w:hint="eastAsia" w:cs="仿宋"/>
        </w:rPr>
        <w:t>说明：</w:t>
      </w:r>
    </w:p>
    <w:p w14:paraId="4A1FA4A1">
      <w:pPr>
        <w:pStyle w:val="81"/>
        <w:spacing w:line="473" w:lineRule="exact"/>
        <w:ind w:firstLine="440"/>
        <w:jc w:val="both"/>
        <w:rPr>
          <w:rFonts w:cs="仿宋"/>
          <w:sz w:val="21"/>
          <w:szCs w:val="21"/>
          <w:lang w:eastAsia="zh-CN"/>
        </w:rPr>
      </w:pPr>
      <w:r>
        <w:rPr>
          <w:rFonts w:cs="仿宋"/>
          <w:b/>
          <w:bCs/>
          <w:sz w:val="21"/>
          <w:szCs w:val="21"/>
        </w:rPr>
        <w:t>1</w:t>
      </w:r>
      <w:r>
        <w:rPr>
          <w:rFonts w:hint="eastAsia" w:cs="仿宋"/>
          <w:sz w:val="21"/>
          <w:szCs w:val="21"/>
        </w:rPr>
        <w:t>、从业人员、营业收入、资产总额填报上一年度数据，无上一年度数据的新成立企业可不填报。</w:t>
      </w:r>
    </w:p>
    <w:p w14:paraId="60EFAADF">
      <w:pPr>
        <w:pStyle w:val="81"/>
        <w:spacing w:line="473" w:lineRule="exact"/>
        <w:ind w:firstLine="440"/>
        <w:jc w:val="both"/>
        <w:rPr>
          <w:rFonts w:cs="仿宋"/>
          <w:b/>
          <w:szCs w:val="21"/>
        </w:rPr>
      </w:pPr>
      <w:r>
        <w:rPr>
          <w:rFonts w:cs="仿宋"/>
          <w:b/>
          <w:bCs/>
          <w:szCs w:val="21"/>
        </w:rPr>
        <w:t>2</w:t>
      </w:r>
      <w:r>
        <w:rPr>
          <w:rFonts w:hint="eastAsia" w:cs="仿宋"/>
          <w:b/>
          <w:szCs w:val="21"/>
        </w:rPr>
        <w:t>、成交人的本声明函随成交结果同时公布，接受其他供应商和社会监督。</w:t>
      </w:r>
    </w:p>
    <w:p w14:paraId="6BDC7718">
      <w:pPr>
        <w:pStyle w:val="82"/>
        <w:spacing w:after="0"/>
        <w:jc w:val="both"/>
        <w:rPr>
          <w:rFonts w:cs="仿宋"/>
          <w:b w:val="0"/>
          <w:lang w:eastAsia="zh-CN"/>
        </w:rPr>
      </w:pPr>
    </w:p>
    <w:p w14:paraId="19CF81F4">
      <w:pPr>
        <w:pStyle w:val="82"/>
        <w:spacing w:after="0"/>
        <w:jc w:val="both"/>
        <w:rPr>
          <w:rFonts w:cs="仿宋"/>
          <w:b w:val="0"/>
          <w:lang w:eastAsia="zh-CN"/>
        </w:rPr>
      </w:pPr>
    </w:p>
    <w:p w14:paraId="79661B1E">
      <w:pPr>
        <w:pStyle w:val="82"/>
        <w:spacing w:after="0"/>
        <w:jc w:val="both"/>
        <w:rPr>
          <w:rFonts w:cs="仿宋"/>
          <w:b w:val="0"/>
        </w:rPr>
      </w:pPr>
      <w:r>
        <w:rPr>
          <w:rFonts w:hint="eastAsia" w:cs="仿宋"/>
          <w:b w:val="0"/>
        </w:rPr>
        <w:t>附件2（符合政策要求，并申请按残疾人福利性单位投标者提供，项目不适用可不提供此附件）</w:t>
      </w:r>
    </w:p>
    <w:p w14:paraId="1C12C229">
      <w:pPr>
        <w:jc w:val="center"/>
        <w:rPr>
          <w:rFonts w:ascii="宋体" w:hAnsi="宋体"/>
          <w:sz w:val="44"/>
          <w:szCs w:val="44"/>
        </w:rPr>
      </w:pPr>
      <w:bookmarkStart w:id="595" w:name="bookmark365"/>
      <w:bookmarkStart w:id="596" w:name="bookmark366"/>
      <w:bookmarkStart w:id="597" w:name="bookmark364"/>
      <w:r>
        <w:rPr>
          <w:rFonts w:hint="eastAsia" w:ascii="宋体" w:hAnsi="宋体"/>
          <w:sz w:val="44"/>
          <w:szCs w:val="44"/>
        </w:rPr>
        <w:t>残疾人福利性单位声明函</w:t>
      </w:r>
      <w:bookmarkEnd w:id="595"/>
      <w:bookmarkEnd w:id="596"/>
      <w:bookmarkEnd w:id="597"/>
    </w:p>
    <w:p w14:paraId="195BF4A4">
      <w:pPr>
        <w:pStyle w:val="81"/>
        <w:spacing w:line="475" w:lineRule="exact"/>
        <w:ind w:firstLine="440"/>
        <w:jc w:val="both"/>
        <w:rPr>
          <w:rFonts w:cs="仿宋"/>
          <w:sz w:val="28"/>
          <w:szCs w:val="28"/>
        </w:rPr>
      </w:pPr>
      <w:r>
        <w:rPr>
          <w:rFonts w:hint="eastAsia" w:cs="仿宋"/>
          <w:sz w:val="28"/>
          <w:szCs w:val="28"/>
        </w:rPr>
        <w:t>本单位郑重声明，根据《财政部民政部中国残疾人联合会关于促进残疾人就业政府采购政策的通知》（财库〔</w:t>
      </w:r>
      <w:r>
        <w:rPr>
          <w:rFonts w:hint="eastAsia" w:cs="仿宋"/>
          <w:b/>
          <w:bCs/>
          <w:sz w:val="28"/>
          <w:szCs w:val="28"/>
        </w:rPr>
        <w:t>2017</w:t>
      </w:r>
      <w:r>
        <w:rPr>
          <w:rFonts w:hint="eastAsia" w:cs="仿宋"/>
          <w:sz w:val="28"/>
          <w:szCs w:val="28"/>
        </w:rPr>
        <w:t>）</w:t>
      </w:r>
      <w:r>
        <w:rPr>
          <w:rFonts w:hint="eastAsia" w:cs="仿宋"/>
          <w:b/>
          <w:bCs/>
          <w:sz w:val="28"/>
          <w:szCs w:val="28"/>
        </w:rPr>
        <w:t>141</w:t>
      </w:r>
      <w:r>
        <w:rPr>
          <w:rFonts w:hint="eastAsia" w:cs="仿宋"/>
          <w:sz w:val="28"/>
          <w:szCs w:val="28"/>
        </w:rPr>
        <w:t>号）的规定，本单位为符合条件的残疾人福利性单位，且本单位参加单位的项目采购活动提供本单位制造的货物（由本单位承担工程</w:t>
      </w:r>
      <w:r>
        <w:rPr>
          <w:rFonts w:hint="eastAsia" w:cs="仿宋"/>
          <w:b/>
          <w:bCs/>
          <w:sz w:val="28"/>
          <w:szCs w:val="28"/>
        </w:rPr>
        <w:t>/</w:t>
      </w:r>
      <w:r>
        <w:rPr>
          <w:rFonts w:hint="eastAsia" w:cs="仿宋"/>
          <w:sz w:val="28"/>
          <w:szCs w:val="28"/>
        </w:rPr>
        <w:t>提供服务），或者提供其他残疾人福利性单位制造的货物（不包括使用非残疾人福利性单位注册商标的货物）。</w:t>
      </w:r>
    </w:p>
    <w:p w14:paraId="33DBB6FB">
      <w:pPr>
        <w:rPr>
          <w:sz w:val="28"/>
          <w:szCs w:val="28"/>
        </w:rPr>
      </w:pPr>
      <w:r>
        <w:rPr>
          <w:rFonts w:hint="eastAsia"/>
          <w:sz w:val="28"/>
          <w:szCs w:val="28"/>
        </w:rPr>
        <w:t>本单位对上述声明的真实性负责。如有虚假，将依法承担相应责任。</w:t>
      </w:r>
    </w:p>
    <w:p w14:paraId="2299EF7E">
      <w:pPr>
        <w:pStyle w:val="81"/>
        <w:tabs>
          <w:tab w:val="left" w:pos="3250"/>
        </w:tabs>
        <w:spacing w:after="460" w:line="475" w:lineRule="exact"/>
        <w:ind w:firstLine="0"/>
        <w:jc w:val="both"/>
        <w:rPr>
          <w:rFonts w:cs="仿宋"/>
          <w:sz w:val="28"/>
          <w:szCs w:val="28"/>
        </w:rPr>
      </w:pPr>
      <w:r>
        <w:rPr>
          <w:rFonts w:hint="eastAsia" w:cs="仿宋"/>
          <w:sz w:val="28"/>
          <w:szCs w:val="28"/>
        </w:rPr>
        <w:t>企业名称：</w:t>
      </w:r>
      <w:r>
        <w:rPr>
          <w:rFonts w:hint="eastAsia" w:cs="仿宋"/>
          <w:sz w:val="28"/>
          <w:szCs w:val="28"/>
          <w:u w:val="single"/>
        </w:rPr>
        <w:tab/>
      </w:r>
      <w:r>
        <w:rPr>
          <w:rFonts w:hint="eastAsia" w:cs="仿宋"/>
          <w:sz w:val="28"/>
          <w:szCs w:val="28"/>
        </w:rPr>
        <w:t xml:space="preserve"> （单位电子签章）</w:t>
      </w:r>
    </w:p>
    <w:p w14:paraId="01C937F2">
      <w:pPr>
        <w:pStyle w:val="81"/>
        <w:spacing w:after="460" w:line="475" w:lineRule="exact"/>
        <w:ind w:firstLine="0"/>
        <w:jc w:val="both"/>
        <w:rPr>
          <w:rFonts w:cs="仿宋"/>
          <w:sz w:val="28"/>
          <w:szCs w:val="28"/>
        </w:rPr>
      </w:pPr>
      <w:r>
        <w:rPr>
          <w:rFonts w:hint="eastAsia" w:cs="仿宋"/>
          <w:sz w:val="28"/>
          <w:szCs w:val="28"/>
        </w:rPr>
        <w:t>日期：</w:t>
      </w:r>
    </w:p>
    <w:p w14:paraId="705D21F6">
      <w:pPr>
        <w:adjustRightInd w:val="0"/>
        <w:ind w:right="-329" w:firstLine="413" w:firstLineChars="196"/>
        <w:rPr>
          <w:rFonts w:ascii="宋体" w:hAnsi="宋体" w:cs="仿宋"/>
          <w:b/>
          <w:bCs/>
        </w:rPr>
      </w:pPr>
      <w:r>
        <w:rPr>
          <w:rFonts w:hint="eastAsia" w:ascii="宋体" w:hAnsi="宋体" w:cs="仿宋"/>
          <w:b/>
          <w:bCs/>
        </w:rPr>
        <w:t>注：1、</w:t>
      </w:r>
      <w:r>
        <w:rPr>
          <w:rFonts w:hint="eastAsia" w:ascii="宋体" w:hAnsi="宋体"/>
          <w:b/>
          <w:bCs/>
          <w:spacing w:val="6"/>
        </w:rPr>
        <w:t>如果供应商不是残疾人福利性单位，则不需要填写《残疾人福利性单位声明函》。否则，因此导致虚假投标的后果由供应商自行承担。</w:t>
      </w:r>
    </w:p>
    <w:p w14:paraId="683CA068">
      <w:pPr>
        <w:adjustRightInd w:val="0"/>
        <w:spacing w:line="580" w:lineRule="exact"/>
        <w:ind w:right="-329" w:firstLine="413" w:firstLineChars="196"/>
        <w:rPr>
          <w:rFonts w:ascii="宋体" w:hAnsi="宋体" w:cs="仿宋"/>
          <w:b/>
          <w:bCs/>
        </w:rPr>
      </w:pPr>
      <w:r>
        <w:rPr>
          <w:rFonts w:hint="eastAsia" w:ascii="宋体" w:hAnsi="宋体" w:cs="仿宋"/>
          <w:b/>
          <w:bCs/>
        </w:rPr>
        <w:t>2、成交人的本声明函随成交结果同时公布，接受其他供应商和社会监督。</w:t>
      </w:r>
    </w:p>
    <w:p w14:paraId="26456EBF">
      <w:pPr>
        <w:adjustRightInd w:val="0"/>
        <w:spacing w:line="580" w:lineRule="exact"/>
        <w:ind w:right="-329" w:firstLine="413" w:firstLineChars="196"/>
        <w:rPr>
          <w:rFonts w:ascii="宋体" w:hAnsi="宋体" w:cs="仿宋"/>
          <w:b/>
          <w:bCs/>
        </w:rPr>
      </w:pPr>
    </w:p>
    <w:p w14:paraId="05010642">
      <w:pPr>
        <w:adjustRightInd w:val="0"/>
        <w:spacing w:line="580" w:lineRule="exact"/>
        <w:ind w:right="-329" w:firstLine="413" w:firstLineChars="196"/>
        <w:rPr>
          <w:rFonts w:ascii="宋体" w:hAnsi="宋体" w:cs="仿宋"/>
          <w:b/>
          <w:bCs/>
        </w:rPr>
      </w:pPr>
    </w:p>
    <w:p w14:paraId="4EDBE6E7">
      <w:pPr>
        <w:adjustRightInd w:val="0"/>
        <w:spacing w:line="580" w:lineRule="exact"/>
        <w:ind w:right="-329" w:firstLine="413" w:firstLineChars="196"/>
        <w:rPr>
          <w:rFonts w:ascii="宋体" w:hAnsi="宋体" w:cs="仿宋"/>
          <w:b/>
          <w:bCs/>
        </w:rPr>
      </w:pPr>
    </w:p>
    <w:p w14:paraId="60D330B8">
      <w:pPr>
        <w:adjustRightInd w:val="0"/>
        <w:spacing w:line="580" w:lineRule="exact"/>
        <w:ind w:right="-329" w:firstLine="413" w:firstLineChars="196"/>
        <w:rPr>
          <w:rFonts w:ascii="宋体" w:hAnsi="宋体" w:cs="仿宋"/>
          <w:b/>
          <w:bCs/>
        </w:rPr>
      </w:pPr>
    </w:p>
    <w:p w14:paraId="7CF61C4B">
      <w:pPr>
        <w:adjustRightInd w:val="0"/>
        <w:spacing w:line="580" w:lineRule="exact"/>
        <w:ind w:right="-329" w:firstLine="413" w:firstLineChars="196"/>
        <w:rPr>
          <w:rFonts w:ascii="宋体" w:hAnsi="宋体" w:cs="仿宋"/>
          <w:b/>
          <w:bCs/>
        </w:rPr>
      </w:pPr>
    </w:p>
    <w:p w14:paraId="55D39D58">
      <w:pPr>
        <w:adjustRightInd w:val="0"/>
        <w:spacing w:line="580" w:lineRule="exact"/>
        <w:ind w:right="-329" w:firstLine="413" w:firstLineChars="196"/>
        <w:rPr>
          <w:rFonts w:ascii="宋体" w:hAnsi="宋体" w:cs="仿宋"/>
          <w:b/>
          <w:bCs/>
        </w:rPr>
      </w:pPr>
    </w:p>
    <w:p w14:paraId="297CF016">
      <w:pPr>
        <w:adjustRightInd w:val="0"/>
        <w:spacing w:line="580" w:lineRule="exact"/>
        <w:ind w:right="-329" w:firstLine="413" w:firstLineChars="196"/>
        <w:rPr>
          <w:rFonts w:ascii="宋体" w:hAnsi="宋体" w:cs="仿宋"/>
          <w:b/>
          <w:bCs/>
        </w:rPr>
      </w:pPr>
    </w:p>
    <w:p w14:paraId="780FEDF4">
      <w:pPr>
        <w:adjustRightInd w:val="0"/>
        <w:spacing w:line="580" w:lineRule="exact"/>
        <w:ind w:right="-329" w:firstLine="413" w:firstLineChars="196"/>
        <w:rPr>
          <w:rFonts w:ascii="宋体" w:hAnsi="宋体" w:cs="仿宋"/>
          <w:b/>
          <w:bCs/>
        </w:rPr>
      </w:pPr>
    </w:p>
    <w:p w14:paraId="1FE9BD73">
      <w:pPr>
        <w:adjustRightInd w:val="0"/>
        <w:spacing w:line="580" w:lineRule="exact"/>
        <w:ind w:right="-329" w:firstLine="413" w:firstLineChars="196"/>
        <w:rPr>
          <w:rFonts w:ascii="宋体" w:hAnsi="宋体" w:cs="仿宋"/>
          <w:b/>
          <w:bCs/>
        </w:rPr>
      </w:pPr>
    </w:p>
    <w:p w14:paraId="750A7DD8">
      <w:pPr>
        <w:adjustRightInd w:val="0"/>
        <w:spacing w:line="580" w:lineRule="exact"/>
        <w:ind w:right="-329" w:firstLine="413" w:firstLineChars="196"/>
        <w:rPr>
          <w:rFonts w:ascii="宋体" w:hAnsi="宋体" w:cs="仿宋"/>
          <w:b/>
          <w:bCs/>
        </w:rPr>
      </w:pPr>
    </w:p>
    <w:p w14:paraId="3BDC3AB6">
      <w:pPr>
        <w:pStyle w:val="82"/>
        <w:spacing w:after="160"/>
        <w:jc w:val="left"/>
        <w:rPr>
          <w:rFonts w:cs="仿宋"/>
          <w:b w:val="0"/>
        </w:rPr>
      </w:pPr>
      <w:r>
        <w:rPr>
          <w:rFonts w:hint="eastAsia" w:cs="仿宋"/>
          <w:b w:val="0"/>
        </w:rPr>
        <w:t>附件3（符合政策要求，并申请按监狱企业投标者提供，项目不适用可不提供此附件）</w:t>
      </w:r>
    </w:p>
    <w:p w14:paraId="1B341660">
      <w:pPr>
        <w:jc w:val="center"/>
        <w:rPr>
          <w:rFonts w:ascii="宋体" w:hAnsi="宋体"/>
          <w:sz w:val="44"/>
          <w:szCs w:val="44"/>
        </w:rPr>
      </w:pPr>
      <w:bookmarkStart w:id="598" w:name="bookmark369"/>
      <w:bookmarkStart w:id="599" w:name="bookmark368"/>
      <w:bookmarkStart w:id="600" w:name="bookmark367"/>
      <w:r>
        <w:rPr>
          <w:rFonts w:hint="eastAsia" w:ascii="宋体" w:hAnsi="宋体"/>
          <w:sz w:val="44"/>
          <w:szCs w:val="44"/>
        </w:rPr>
        <w:t>监狱企业证明</w:t>
      </w:r>
      <w:bookmarkEnd w:id="598"/>
      <w:bookmarkEnd w:id="599"/>
      <w:bookmarkEnd w:id="600"/>
    </w:p>
    <w:p w14:paraId="34B40926">
      <w:pPr>
        <w:rPr>
          <w:rFonts w:ascii="宋体" w:hAnsi="宋体"/>
          <w:sz w:val="28"/>
          <w:szCs w:val="28"/>
        </w:rPr>
      </w:pPr>
    </w:p>
    <w:p w14:paraId="130C334C">
      <w:pPr>
        <w:pStyle w:val="81"/>
        <w:spacing w:after="1620" w:line="240" w:lineRule="auto"/>
        <w:ind w:firstLine="440"/>
        <w:rPr>
          <w:rFonts w:cs="仿宋"/>
          <w:sz w:val="28"/>
          <w:szCs w:val="28"/>
        </w:rPr>
      </w:pPr>
      <w:r>
        <w:rPr>
          <w:rFonts w:hint="eastAsia" w:cs="仿宋"/>
          <w:sz w:val="28"/>
          <w:szCs w:val="28"/>
        </w:rPr>
        <w:t>提供由省级以上监狱管理局、戒毒管理局（含新疆生产建设兵团）出具的属于监狱企业的证明文件。</w:t>
      </w:r>
    </w:p>
    <w:p w14:paraId="7999DCB7">
      <w:pPr>
        <w:pStyle w:val="81"/>
        <w:tabs>
          <w:tab w:val="left" w:pos="3250"/>
        </w:tabs>
        <w:spacing w:after="700" w:line="240" w:lineRule="auto"/>
        <w:ind w:firstLine="0"/>
        <w:rPr>
          <w:rFonts w:cs="仿宋"/>
          <w:sz w:val="28"/>
          <w:szCs w:val="28"/>
        </w:rPr>
      </w:pPr>
      <w:r>
        <w:rPr>
          <w:rFonts w:hint="eastAsia" w:cs="仿宋"/>
          <w:sz w:val="28"/>
          <w:szCs w:val="28"/>
        </w:rPr>
        <w:t xml:space="preserve">企业名称： </w:t>
      </w:r>
      <w:r>
        <w:rPr>
          <w:rFonts w:hint="eastAsia" w:cs="仿宋"/>
          <w:sz w:val="28"/>
          <w:szCs w:val="28"/>
          <w:u w:val="single"/>
        </w:rPr>
        <w:tab/>
      </w:r>
      <w:r>
        <w:rPr>
          <w:rFonts w:hint="eastAsia" w:cs="仿宋"/>
          <w:sz w:val="28"/>
          <w:szCs w:val="28"/>
        </w:rPr>
        <w:t>（单位电子签章）</w:t>
      </w:r>
    </w:p>
    <w:p w14:paraId="6511EE93">
      <w:pPr>
        <w:pStyle w:val="81"/>
        <w:spacing w:after="1160" w:line="240" w:lineRule="auto"/>
        <w:ind w:firstLine="0"/>
        <w:rPr>
          <w:rFonts w:cs="仿宋"/>
          <w:sz w:val="28"/>
          <w:szCs w:val="28"/>
        </w:rPr>
      </w:pPr>
      <w:r>
        <w:rPr>
          <w:rFonts w:hint="eastAsia" w:cs="仿宋"/>
          <w:sz w:val="28"/>
          <w:szCs w:val="28"/>
        </w:rPr>
        <w:t>日期：</w:t>
      </w:r>
    </w:p>
    <w:p w14:paraId="101D95B7">
      <w:pPr>
        <w:adjustRightInd w:val="0"/>
        <w:spacing w:line="580" w:lineRule="exact"/>
        <w:ind w:right="-329" w:firstLine="413" w:firstLineChars="196"/>
        <w:rPr>
          <w:rFonts w:ascii="宋体" w:hAnsi="宋体"/>
          <w:b/>
          <w:bCs/>
        </w:rPr>
      </w:pPr>
      <w:r>
        <w:rPr>
          <w:rFonts w:hint="eastAsia" w:ascii="宋体" w:hAnsi="宋体" w:cs="仿宋"/>
          <w:b/>
          <w:bCs/>
        </w:rPr>
        <w:t>注：成交人的本监狱企业证明文件随成交结果同时公布，接受其他供应商和社会监督。</w:t>
      </w:r>
    </w:p>
    <w:p w14:paraId="0BEF1ADC"/>
    <w:p w14:paraId="152A8B94">
      <w:pPr>
        <w:adjustRightInd w:val="0"/>
        <w:spacing w:line="580" w:lineRule="exact"/>
        <w:ind w:right="-329"/>
        <w:rPr>
          <w:rFonts w:ascii="宋体" w:hAnsi="宋体"/>
          <w:b/>
          <w:bCs/>
          <w:sz w:val="44"/>
          <w:szCs w:val="44"/>
        </w:rPr>
      </w:pPr>
    </w:p>
    <w:p w14:paraId="4E2362FA">
      <w:pPr>
        <w:autoSpaceDE w:val="0"/>
        <w:autoSpaceDN w:val="0"/>
        <w:adjustRightInd w:val="0"/>
        <w:spacing w:line="380" w:lineRule="exact"/>
        <w:ind w:firstLine="420"/>
        <w:jc w:val="center"/>
        <w:rPr>
          <w:rFonts w:ascii="宋体" w:cs="宋体"/>
          <w:b/>
          <w:bCs/>
          <w:sz w:val="28"/>
          <w:szCs w:val="28"/>
        </w:rPr>
      </w:pPr>
    </w:p>
    <w:p w14:paraId="28E7DAA3">
      <w:pPr>
        <w:autoSpaceDE w:val="0"/>
        <w:autoSpaceDN w:val="0"/>
        <w:adjustRightInd w:val="0"/>
        <w:spacing w:line="380" w:lineRule="exact"/>
        <w:ind w:firstLine="420"/>
        <w:jc w:val="center"/>
        <w:rPr>
          <w:rFonts w:ascii="宋体" w:cs="宋体"/>
          <w:b/>
          <w:bCs/>
          <w:sz w:val="28"/>
          <w:szCs w:val="28"/>
          <w:lang w:val="zh-CN"/>
        </w:rPr>
      </w:pPr>
    </w:p>
    <w:p w14:paraId="3E376D78"/>
    <w:p w14:paraId="2EA0CEAB"/>
    <w:p w14:paraId="302A4DF4"/>
    <w:p w14:paraId="13C03769">
      <w:pPr>
        <w:rPr>
          <w:rFonts w:ascii="宋体" w:hAnsi="宋体"/>
        </w:rPr>
      </w:pPr>
    </w:p>
    <w:p w14:paraId="12892DCC">
      <w:pPr>
        <w:pStyle w:val="6"/>
        <w:spacing w:line="360" w:lineRule="auto"/>
        <w:ind w:firstLine="0"/>
        <w:rPr>
          <w:rFonts w:ascii="宋体" w:hAnsi="宋体"/>
          <w:color w:val="000000"/>
          <w:sz w:val="28"/>
          <w:szCs w:val="28"/>
        </w:rPr>
      </w:pPr>
    </w:p>
    <w:p w14:paraId="73186A67"/>
    <w:sectPr>
      <w:pgSz w:w="11906" w:h="16838"/>
      <w:pgMar w:top="1418" w:right="1418" w:bottom="1418" w:left="1418" w:header="850"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icrosoft JhengHei Light">
    <w:panose1 w:val="020B0304030504040204"/>
    <w:charset w:val="88"/>
    <w:family w:val="swiss"/>
    <w:pitch w:val="default"/>
    <w:sig w:usb0="8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1039A">
    <w:pPr>
      <w:pStyle w:val="14"/>
    </w:pPr>
    <w:r>
      <w:rPr>
        <w:rFonts w:hint="eastAsia"/>
      </w:rPr>
      <w:t>集采机构：杞县公共资源交易服务所</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E601F">
    <w:pPr>
      <w:pStyle w:val="14"/>
      <w:pBdr>
        <w:top w:val="thinThickSmallGap" w:color="auto" w:sz="18" w:space="1"/>
        <w:left w:val="none" w:color="auto" w:sz="0" w:space="4"/>
        <w:bottom w:val="none" w:color="auto" w:sz="0" w:space="1"/>
        <w:right w:val="none" w:color="auto" w:sz="0" w:space="4"/>
      </w:pBdr>
    </w:pPr>
    <w:r>
      <w:pict>
        <v:shape id="文本框 3" o:spid="_x0000_s1025"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08CA7D0D">
                <w:pPr>
                  <w:pStyle w:val="14"/>
                </w:pPr>
                <w:r>
                  <w:rPr>
                    <w:rFonts w:hint="eastAsia"/>
                  </w:rPr>
                  <w:t xml:space="preserve">第 </w:t>
                </w:r>
                <w:r>
                  <w:fldChar w:fldCharType="begin"/>
                </w:r>
                <w:r>
                  <w:instrText xml:space="preserve"> PAGE  \* MERGEFORMAT </w:instrText>
                </w:r>
                <w:r>
                  <w:fldChar w:fldCharType="separate"/>
                </w:r>
                <w:r>
                  <w:t>29</w:t>
                </w:r>
                <w:r>
                  <w:fldChar w:fldCharType="end"/>
                </w:r>
                <w:r>
                  <w:rPr>
                    <w:rFonts w:hint="eastAsia"/>
                  </w:rPr>
                  <w:t xml:space="preserve"> 页</w:t>
                </w:r>
              </w:p>
            </w:txbxContent>
          </v:textbox>
        </v:shape>
      </w:pict>
    </w:r>
    <w:r>
      <w:rPr>
        <w:rFonts w:hint="eastAsia"/>
      </w:rPr>
      <w:t xml:space="preserve">   集采机构：杞县公共资源交易服务所</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5E26A">
    <w:pPr>
      <w:pStyle w:val="15"/>
      <w:pBdr>
        <w:bottom w:val="none" w:color="auto" w:sz="0" w:space="0"/>
      </w:pBdr>
      <w:rPr>
        <w:lang w:val="zh-CN"/>
      </w:rPr>
    </w:pPr>
  </w:p>
  <w:p w14:paraId="65F0D7DE">
    <w:pPr>
      <w:pStyle w:val="15"/>
      <w:pBdr>
        <w:bottom w:val="none" w:color="auto" w:sz="0" w:space="0"/>
      </w:pBdr>
      <w:rPr>
        <w:rFonts w:ascii="宋体" w:hAnsi="宋体"/>
        <w:sz w:val="21"/>
        <w:u w:val="thick"/>
      </w:rPr>
    </w:pPr>
    <w:r>
      <w:rPr>
        <w:rFonts w:hint="eastAsia" w:ascii="宋体" w:hAnsi="宋体"/>
        <w:sz w:val="21"/>
        <w:u w:val="thick"/>
      </w:rPr>
      <w:t xml:space="preserve">杞县教育体育局设备采购项目                              </w:t>
    </w:r>
    <w:r>
      <w:rPr>
        <w:rFonts w:hint="eastAsia" w:ascii="宋体" w:hAnsi="宋体"/>
        <w:sz w:val="21"/>
        <w:u w:val="thick"/>
        <w:lang w:val="en-US" w:eastAsia="zh-CN"/>
      </w:rPr>
      <w:t xml:space="preserve">           </w:t>
    </w:r>
    <w:r>
      <w:rPr>
        <w:rFonts w:hint="eastAsia" w:ascii="宋体" w:hAnsi="宋体"/>
        <w:sz w:val="21"/>
        <w:u w:val="thick"/>
      </w:rPr>
      <w:t xml:space="preserve"> </w:t>
    </w:r>
    <w:r>
      <w:rPr>
        <w:rFonts w:hint="eastAsia" w:ascii="宋体" w:hAnsi="宋体"/>
        <w:sz w:val="21"/>
        <w:u w:val="thick"/>
        <w:lang w:val="en-US" w:eastAsia="zh-CN"/>
      </w:rPr>
      <w:t>四</w:t>
    </w:r>
    <w:r>
      <w:rPr>
        <w:rFonts w:hint="eastAsia" w:ascii="宋体" w:hAnsi="宋体"/>
        <w:sz w:val="21"/>
        <w:u w:val="thick"/>
      </w:rPr>
      <w:t>标段招标文件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53004">
    <w:pPr>
      <w:pStyle w:val="15"/>
      <w:pBdr>
        <w:bottom w:val="none" w:color="auto" w:sz="0" w:space="0"/>
      </w:pBdr>
      <w:jc w:val="left"/>
      <w:rPr>
        <w:rFonts w:ascii="宋体" w:hAnsi="宋体"/>
        <w:sz w:val="21"/>
        <w:u w:val="thick"/>
      </w:rPr>
    </w:pPr>
    <w:r>
      <w:rPr>
        <w:rFonts w:hint="eastAsia" w:ascii="宋体" w:hAnsi="宋体"/>
        <w:sz w:val="21"/>
        <w:u w:val="thick"/>
      </w:rPr>
      <w:t xml:space="preserve">杞县教育体育局设备采购项目                               </w:t>
    </w:r>
    <w:r>
      <w:rPr>
        <w:rFonts w:hint="eastAsia" w:ascii="宋体" w:hAnsi="宋体"/>
        <w:sz w:val="21"/>
        <w:u w:val="thick"/>
        <w:lang w:val="en-US" w:eastAsia="zh-CN"/>
      </w:rPr>
      <w:t xml:space="preserve">            四</w:t>
    </w:r>
    <w:r>
      <w:rPr>
        <w:rFonts w:hint="eastAsia" w:ascii="宋体" w:hAnsi="宋体"/>
        <w:sz w:val="21"/>
        <w:u w:val="thick"/>
      </w:rPr>
      <w:t xml:space="preserve">标段招标文件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39881E"/>
    <w:multiLevelType w:val="singleLevel"/>
    <w:tmpl w:val="FE39881E"/>
    <w:lvl w:ilvl="0" w:tentative="0">
      <w:start w:val="2"/>
      <w:numFmt w:val="chineseCounting"/>
      <w:suff w:val="nothing"/>
      <w:lvlText w:val="（%1）"/>
      <w:lvlJc w:val="left"/>
      <w:rPr>
        <w:rFonts w:hint="eastAsia"/>
      </w:rPr>
    </w:lvl>
  </w:abstractNum>
  <w:abstractNum w:abstractNumId="1">
    <w:nsid w:val="0000000C"/>
    <w:multiLevelType w:val="multilevel"/>
    <w:tmpl w:val="0000000C"/>
    <w:lvl w:ilvl="0" w:tentative="0">
      <w:start w:val="5"/>
      <w:numFmt w:val="japaneseCounting"/>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E381303"/>
    <w:multiLevelType w:val="singleLevel"/>
    <w:tmpl w:val="0E381303"/>
    <w:lvl w:ilvl="0" w:tentative="0">
      <w:start w:val="1"/>
      <w:numFmt w:val="decimal"/>
      <w:suff w:val="nothing"/>
      <w:lvlText w:val="%1、"/>
      <w:lvlJc w:val="left"/>
    </w:lvl>
  </w:abstractNum>
  <w:abstractNum w:abstractNumId="3">
    <w:nsid w:val="0FDDE895"/>
    <w:multiLevelType w:val="singleLevel"/>
    <w:tmpl w:val="0FDDE895"/>
    <w:lvl w:ilvl="0" w:tentative="0">
      <w:start w:val="5"/>
      <w:numFmt w:val="chineseCounting"/>
      <w:suff w:val="space"/>
      <w:lvlText w:val="第%1章"/>
      <w:lvlJc w:val="left"/>
      <w:rPr>
        <w:rFonts w:hint="eastAsia"/>
      </w:rPr>
    </w:lvl>
  </w:abstractNum>
  <w:abstractNum w:abstractNumId="4">
    <w:nsid w:val="40AD6E6A"/>
    <w:multiLevelType w:val="multilevel"/>
    <w:tmpl w:val="40AD6E6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1"/>
    <w:lvlOverride w:ilvl="0">
      <w:startOverride w:val="5"/>
    </w:lvlOverride>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84479"/>
    <w:rsid w:val="0000039C"/>
    <w:rsid w:val="000070E0"/>
    <w:rsid w:val="00021543"/>
    <w:rsid w:val="0006177A"/>
    <w:rsid w:val="00070794"/>
    <w:rsid w:val="00070EB8"/>
    <w:rsid w:val="0007295A"/>
    <w:rsid w:val="00085B47"/>
    <w:rsid w:val="000C1030"/>
    <w:rsid w:val="000D2E25"/>
    <w:rsid w:val="000F7502"/>
    <w:rsid w:val="0013711D"/>
    <w:rsid w:val="00153C65"/>
    <w:rsid w:val="00177B3E"/>
    <w:rsid w:val="001824ED"/>
    <w:rsid w:val="0018739C"/>
    <w:rsid w:val="0019329C"/>
    <w:rsid w:val="00194D62"/>
    <w:rsid w:val="001A75E6"/>
    <w:rsid w:val="001D0038"/>
    <w:rsid w:val="001D7925"/>
    <w:rsid w:val="00216A52"/>
    <w:rsid w:val="002323AF"/>
    <w:rsid w:val="00244A2C"/>
    <w:rsid w:val="00251859"/>
    <w:rsid w:val="0025510F"/>
    <w:rsid w:val="002654C4"/>
    <w:rsid w:val="00277A39"/>
    <w:rsid w:val="002D7B5A"/>
    <w:rsid w:val="00312C9D"/>
    <w:rsid w:val="00326392"/>
    <w:rsid w:val="00330284"/>
    <w:rsid w:val="00362E42"/>
    <w:rsid w:val="00386472"/>
    <w:rsid w:val="00387A84"/>
    <w:rsid w:val="003C3888"/>
    <w:rsid w:val="00407611"/>
    <w:rsid w:val="00412CA2"/>
    <w:rsid w:val="00416257"/>
    <w:rsid w:val="0047772C"/>
    <w:rsid w:val="004B5AD4"/>
    <w:rsid w:val="004C6FBA"/>
    <w:rsid w:val="004D4A7E"/>
    <w:rsid w:val="004E0584"/>
    <w:rsid w:val="004E279D"/>
    <w:rsid w:val="004E6CD9"/>
    <w:rsid w:val="00505CA6"/>
    <w:rsid w:val="00511E70"/>
    <w:rsid w:val="0056337B"/>
    <w:rsid w:val="005652F4"/>
    <w:rsid w:val="005718E8"/>
    <w:rsid w:val="00572D51"/>
    <w:rsid w:val="00577524"/>
    <w:rsid w:val="005846C0"/>
    <w:rsid w:val="005866BE"/>
    <w:rsid w:val="00595E7A"/>
    <w:rsid w:val="005A1C1A"/>
    <w:rsid w:val="005C2A4F"/>
    <w:rsid w:val="0063672B"/>
    <w:rsid w:val="0064418D"/>
    <w:rsid w:val="00653F69"/>
    <w:rsid w:val="0067655F"/>
    <w:rsid w:val="006F2D91"/>
    <w:rsid w:val="006F3515"/>
    <w:rsid w:val="00732348"/>
    <w:rsid w:val="00757919"/>
    <w:rsid w:val="00786137"/>
    <w:rsid w:val="00786BFA"/>
    <w:rsid w:val="00787142"/>
    <w:rsid w:val="007B5B01"/>
    <w:rsid w:val="0081591F"/>
    <w:rsid w:val="008215AC"/>
    <w:rsid w:val="00837B01"/>
    <w:rsid w:val="008457FE"/>
    <w:rsid w:val="008474A3"/>
    <w:rsid w:val="00870538"/>
    <w:rsid w:val="008A5FAB"/>
    <w:rsid w:val="008E3B45"/>
    <w:rsid w:val="008E56A2"/>
    <w:rsid w:val="008F541C"/>
    <w:rsid w:val="00905558"/>
    <w:rsid w:val="00913AC5"/>
    <w:rsid w:val="00963905"/>
    <w:rsid w:val="009656FF"/>
    <w:rsid w:val="009658F7"/>
    <w:rsid w:val="00966D08"/>
    <w:rsid w:val="00970565"/>
    <w:rsid w:val="00986135"/>
    <w:rsid w:val="009938EF"/>
    <w:rsid w:val="009A7455"/>
    <w:rsid w:val="009B0767"/>
    <w:rsid w:val="009C03B3"/>
    <w:rsid w:val="009C26E4"/>
    <w:rsid w:val="009D4DD5"/>
    <w:rsid w:val="00A04FDF"/>
    <w:rsid w:val="00A10584"/>
    <w:rsid w:val="00A21501"/>
    <w:rsid w:val="00A7118F"/>
    <w:rsid w:val="00A779AA"/>
    <w:rsid w:val="00AA2D5B"/>
    <w:rsid w:val="00AA54C5"/>
    <w:rsid w:val="00AB5BAE"/>
    <w:rsid w:val="00AC1CB0"/>
    <w:rsid w:val="00AD6E9B"/>
    <w:rsid w:val="00AF636D"/>
    <w:rsid w:val="00B1774E"/>
    <w:rsid w:val="00B25510"/>
    <w:rsid w:val="00B41ECD"/>
    <w:rsid w:val="00B63873"/>
    <w:rsid w:val="00B67912"/>
    <w:rsid w:val="00B84479"/>
    <w:rsid w:val="00BB72BD"/>
    <w:rsid w:val="00BF3211"/>
    <w:rsid w:val="00C87661"/>
    <w:rsid w:val="00C9312D"/>
    <w:rsid w:val="00CB1238"/>
    <w:rsid w:val="00CC689E"/>
    <w:rsid w:val="00D8292B"/>
    <w:rsid w:val="00DC6B39"/>
    <w:rsid w:val="00E27903"/>
    <w:rsid w:val="00E34A8E"/>
    <w:rsid w:val="00E44390"/>
    <w:rsid w:val="00E445F3"/>
    <w:rsid w:val="00E50E5F"/>
    <w:rsid w:val="00EA4328"/>
    <w:rsid w:val="00EB2880"/>
    <w:rsid w:val="00EB6B2C"/>
    <w:rsid w:val="00F72172"/>
    <w:rsid w:val="00F82E9B"/>
    <w:rsid w:val="00FE7038"/>
    <w:rsid w:val="00FF60CC"/>
    <w:rsid w:val="0AB9416A"/>
    <w:rsid w:val="0C89788D"/>
    <w:rsid w:val="0ECE69E1"/>
    <w:rsid w:val="10A96040"/>
    <w:rsid w:val="11B234AC"/>
    <w:rsid w:val="11D90AFA"/>
    <w:rsid w:val="15A53448"/>
    <w:rsid w:val="1A4471B0"/>
    <w:rsid w:val="1B5C198E"/>
    <w:rsid w:val="1D7243CD"/>
    <w:rsid w:val="1DFB128B"/>
    <w:rsid w:val="28001DB8"/>
    <w:rsid w:val="2AA76C3E"/>
    <w:rsid w:val="2C8A4B9C"/>
    <w:rsid w:val="2CB76CC5"/>
    <w:rsid w:val="2CCC5682"/>
    <w:rsid w:val="2D502C75"/>
    <w:rsid w:val="2DED5E09"/>
    <w:rsid w:val="2E790BB8"/>
    <w:rsid w:val="2E953036"/>
    <w:rsid w:val="2F7B66D0"/>
    <w:rsid w:val="36C64430"/>
    <w:rsid w:val="3869241B"/>
    <w:rsid w:val="3883108B"/>
    <w:rsid w:val="3B3B6D13"/>
    <w:rsid w:val="3C070DB8"/>
    <w:rsid w:val="3E69272B"/>
    <w:rsid w:val="3EF26282"/>
    <w:rsid w:val="402D5737"/>
    <w:rsid w:val="40A1586A"/>
    <w:rsid w:val="41717811"/>
    <w:rsid w:val="435F15FA"/>
    <w:rsid w:val="455E0086"/>
    <w:rsid w:val="49627C9D"/>
    <w:rsid w:val="4BBC5105"/>
    <w:rsid w:val="4F5A5B7D"/>
    <w:rsid w:val="501A4AE8"/>
    <w:rsid w:val="536B1016"/>
    <w:rsid w:val="5791394D"/>
    <w:rsid w:val="585E298B"/>
    <w:rsid w:val="59B26E63"/>
    <w:rsid w:val="59BB225A"/>
    <w:rsid w:val="5A6536FF"/>
    <w:rsid w:val="5CED3EB9"/>
    <w:rsid w:val="61A84915"/>
    <w:rsid w:val="620F042E"/>
    <w:rsid w:val="674A364F"/>
    <w:rsid w:val="691F0B24"/>
    <w:rsid w:val="6BC57AA2"/>
    <w:rsid w:val="6BF1740E"/>
    <w:rsid w:val="73AC75FB"/>
    <w:rsid w:val="753331DA"/>
    <w:rsid w:val="781C72F0"/>
    <w:rsid w:val="7A146AD1"/>
    <w:rsid w:val="7EF10228"/>
    <w:rsid w:val="7F7C5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3"/>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34"/>
    <w:qFormat/>
    <w:uiPriority w:val="99"/>
    <w:pPr>
      <w:keepNext/>
      <w:keepLines/>
      <w:spacing w:line="500" w:lineRule="exact"/>
      <w:jc w:val="center"/>
      <w:outlineLvl w:val="1"/>
    </w:pPr>
    <w:rPr>
      <w:rFonts w:ascii="Arial" w:hAnsi="Arial" w:eastAsia="黑体" w:cs="Arial"/>
      <w:b/>
      <w:bCs/>
      <w:sz w:val="30"/>
      <w:szCs w:val="30"/>
    </w:rPr>
  </w:style>
  <w:style w:type="paragraph" w:styleId="4">
    <w:name w:val="heading 3"/>
    <w:basedOn w:val="1"/>
    <w:next w:val="1"/>
    <w:link w:val="35"/>
    <w:qFormat/>
    <w:uiPriority w:val="99"/>
    <w:pPr>
      <w:keepNext/>
      <w:keepLines/>
      <w:spacing w:before="260" w:after="260" w:line="412" w:lineRule="auto"/>
      <w:outlineLvl w:val="2"/>
    </w:pPr>
    <w:rPr>
      <w:b/>
      <w:bCs/>
      <w:sz w:val="32"/>
      <w:szCs w:val="32"/>
    </w:rPr>
  </w:style>
  <w:style w:type="paragraph" w:styleId="5">
    <w:name w:val="heading 4"/>
    <w:basedOn w:val="1"/>
    <w:next w:val="1"/>
    <w:link w:val="36"/>
    <w:qFormat/>
    <w:uiPriority w:val="0"/>
    <w:pPr>
      <w:keepNext/>
      <w:keepLines/>
      <w:spacing w:before="280" w:after="290" w:line="372" w:lineRule="auto"/>
      <w:outlineLvl w:val="3"/>
    </w:pPr>
    <w:rPr>
      <w:rFonts w:ascii="Arial" w:hAnsi="Arial" w:eastAsia="黑体"/>
      <w:b/>
      <w:sz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1"/>
    <w:unhideWhenUsed/>
    <w:qFormat/>
    <w:uiPriority w:val="0"/>
    <w:pPr>
      <w:adjustRightInd w:val="0"/>
      <w:spacing w:line="360" w:lineRule="atLeast"/>
      <w:ind w:firstLine="420"/>
      <w:textAlignment w:val="baseline"/>
    </w:pPr>
  </w:style>
  <w:style w:type="paragraph" w:styleId="7">
    <w:name w:val="Document Map"/>
    <w:basedOn w:val="1"/>
    <w:link w:val="42"/>
    <w:unhideWhenUsed/>
    <w:qFormat/>
    <w:uiPriority w:val="99"/>
    <w:rPr>
      <w:rFonts w:ascii="宋体"/>
      <w:kern w:val="0"/>
      <w:sz w:val="18"/>
      <w:szCs w:val="18"/>
    </w:rPr>
  </w:style>
  <w:style w:type="paragraph" w:styleId="8">
    <w:name w:val="annotation text"/>
    <w:basedOn w:val="1"/>
    <w:link w:val="43"/>
    <w:qFormat/>
    <w:uiPriority w:val="0"/>
    <w:pPr>
      <w:adjustRightInd w:val="0"/>
      <w:spacing w:line="360" w:lineRule="atLeast"/>
      <w:jc w:val="left"/>
      <w:textAlignment w:val="baseline"/>
    </w:pPr>
    <w:rPr>
      <w:kern w:val="0"/>
      <w:sz w:val="24"/>
      <w:szCs w:val="20"/>
    </w:rPr>
  </w:style>
  <w:style w:type="paragraph" w:styleId="9">
    <w:name w:val="Body Text"/>
    <w:basedOn w:val="1"/>
    <w:link w:val="37"/>
    <w:unhideWhenUsed/>
    <w:qFormat/>
    <w:uiPriority w:val="99"/>
    <w:pPr>
      <w:spacing w:after="120"/>
    </w:pPr>
  </w:style>
  <w:style w:type="paragraph" w:styleId="10">
    <w:name w:val="Body Text Indent"/>
    <w:basedOn w:val="1"/>
    <w:link w:val="39"/>
    <w:unhideWhenUsed/>
    <w:qFormat/>
    <w:uiPriority w:val="99"/>
    <w:pPr>
      <w:spacing w:after="120"/>
      <w:ind w:left="420" w:leftChars="200"/>
    </w:pPr>
  </w:style>
  <w:style w:type="paragraph" w:styleId="11">
    <w:name w:val="Plain Text"/>
    <w:basedOn w:val="1"/>
    <w:link w:val="44"/>
    <w:unhideWhenUsed/>
    <w:qFormat/>
    <w:uiPriority w:val="99"/>
    <w:rPr>
      <w:rFonts w:ascii="宋体" w:hAnsi="Courier New" w:cs="Courier New"/>
    </w:rPr>
  </w:style>
  <w:style w:type="paragraph" w:styleId="12">
    <w:name w:val="Date"/>
    <w:basedOn w:val="1"/>
    <w:next w:val="1"/>
    <w:link w:val="45"/>
    <w:qFormat/>
    <w:uiPriority w:val="0"/>
    <w:pPr>
      <w:ind w:left="100" w:leftChars="2500"/>
    </w:pPr>
  </w:style>
  <w:style w:type="paragraph" w:styleId="13">
    <w:name w:val="Balloon Text"/>
    <w:basedOn w:val="1"/>
    <w:link w:val="83"/>
    <w:qFormat/>
    <w:uiPriority w:val="0"/>
    <w:rPr>
      <w:sz w:val="18"/>
      <w:szCs w:val="18"/>
    </w:rPr>
  </w:style>
  <w:style w:type="paragraph" w:styleId="14">
    <w:name w:val="footer"/>
    <w:basedOn w:val="1"/>
    <w:link w:val="32"/>
    <w:unhideWhenUsed/>
    <w:qFormat/>
    <w:uiPriority w:val="99"/>
    <w:pPr>
      <w:tabs>
        <w:tab w:val="center" w:pos="4153"/>
        <w:tab w:val="right" w:pos="8306"/>
      </w:tabs>
      <w:snapToGrid w:val="0"/>
      <w:jc w:val="left"/>
    </w:pPr>
    <w:rPr>
      <w:sz w:val="18"/>
      <w:szCs w:val="18"/>
    </w:rPr>
  </w:style>
  <w:style w:type="paragraph" w:styleId="15">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toc 2"/>
    <w:basedOn w:val="1"/>
    <w:next w:val="1"/>
    <w:unhideWhenUsed/>
    <w:qFormat/>
    <w:uiPriority w:val="39"/>
    <w:pPr>
      <w:ind w:left="420" w:leftChars="200"/>
    </w:pPr>
  </w:style>
  <w:style w:type="paragraph" w:styleId="18">
    <w:name w:val="Body Text 2"/>
    <w:basedOn w:val="1"/>
    <w:link w:val="46"/>
    <w:unhideWhenUsed/>
    <w:qFormat/>
    <w:uiPriority w:val="99"/>
    <w:rPr>
      <w:rFonts w:eastAsia="楷体_GB2312"/>
      <w:sz w:val="32"/>
      <w:szCs w:val="32"/>
    </w:rPr>
  </w:style>
  <w:style w:type="paragraph" w:styleId="19">
    <w:name w:val="Message Header"/>
    <w:basedOn w:val="1"/>
    <w:link w:val="47"/>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0">
    <w:name w:val="Normal (Web)"/>
    <w:basedOn w:val="1"/>
    <w:unhideWhenUsed/>
    <w:qFormat/>
    <w:uiPriority w:val="0"/>
    <w:pPr>
      <w:widowControl/>
      <w:jc w:val="left"/>
    </w:pPr>
    <w:rPr>
      <w:rFonts w:ascii="宋体" w:hAnsi="宋体" w:cs="宋体"/>
      <w:kern w:val="0"/>
      <w:sz w:val="24"/>
      <w:szCs w:val="24"/>
    </w:rPr>
  </w:style>
  <w:style w:type="paragraph" w:styleId="21">
    <w:name w:val="Title"/>
    <w:basedOn w:val="1"/>
    <w:next w:val="1"/>
    <w:link w:val="48"/>
    <w:qFormat/>
    <w:uiPriority w:val="0"/>
    <w:pPr>
      <w:spacing w:before="240" w:after="60"/>
      <w:jc w:val="center"/>
      <w:outlineLvl w:val="0"/>
    </w:pPr>
    <w:rPr>
      <w:rFonts w:ascii="Cambria" w:hAnsi="Cambria"/>
      <w:b/>
      <w:bCs/>
      <w:sz w:val="32"/>
      <w:szCs w:val="32"/>
    </w:rPr>
  </w:style>
  <w:style w:type="paragraph" w:styleId="22">
    <w:name w:val="Body Text First Indent"/>
    <w:basedOn w:val="9"/>
    <w:next w:val="23"/>
    <w:link w:val="38"/>
    <w:unhideWhenUsed/>
    <w:qFormat/>
    <w:uiPriority w:val="99"/>
    <w:pPr>
      <w:spacing w:before="100" w:beforeAutospacing="1" w:line="360" w:lineRule="auto"/>
      <w:ind w:firstLine="420" w:firstLineChars="100"/>
    </w:pPr>
  </w:style>
  <w:style w:type="paragraph" w:styleId="23">
    <w:name w:val="Body Text First Indent 2"/>
    <w:basedOn w:val="10"/>
    <w:link w:val="40"/>
    <w:qFormat/>
    <w:uiPriority w:val="0"/>
    <w:pPr>
      <w:adjustRightInd w:val="0"/>
      <w:spacing w:after="0"/>
      <w:ind w:left="960" w:leftChars="0" w:firstLine="420" w:firstLineChars="200"/>
      <w:jc w:val="left"/>
    </w:pPr>
    <w:rPr>
      <w:rFonts w:ascii="楷体_GB2312"/>
      <w:kern w:val="0"/>
      <w:sz w:val="28"/>
      <w:szCs w:val="28"/>
    </w:rPr>
  </w:style>
  <w:style w:type="table" w:styleId="25">
    <w:name w:val="Table Grid"/>
    <w:basedOn w:val="24"/>
    <w:unhideWhenUsed/>
    <w:qFormat/>
    <w:uiPriority w:val="5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FollowedHyperlink"/>
    <w:basedOn w:val="26"/>
    <w:qFormat/>
    <w:uiPriority w:val="0"/>
    <w:rPr>
      <w:color w:val="333333"/>
      <w:u w:val="none"/>
    </w:rPr>
  </w:style>
  <w:style w:type="character" w:styleId="28">
    <w:name w:val="Emphasis"/>
    <w:basedOn w:val="26"/>
    <w:qFormat/>
    <w:uiPriority w:val="0"/>
  </w:style>
  <w:style w:type="character" w:styleId="29">
    <w:name w:val="Hyperlink"/>
    <w:basedOn w:val="26"/>
    <w:unhideWhenUsed/>
    <w:qFormat/>
    <w:uiPriority w:val="99"/>
    <w:rPr>
      <w:color w:val="333333"/>
      <w:u w:val="none"/>
    </w:rPr>
  </w:style>
  <w:style w:type="character" w:styleId="30">
    <w:name w:val="annotation reference"/>
    <w:qFormat/>
    <w:uiPriority w:val="0"/>
    <w:rPr>
      <w:rFonts w:ascii="Times New Roman" w:hAnsi="Times New Roman" w:eastAsia="宋体" w:cs="Times New Roman"/>
      <w:sz w:val="21"/>
      <w:szCs w:val="21"/>
    </w:rPr>
  </w:style>
  <w:style w:type="character" w:customStyle="1" w:styleId="31">
    <w:name w:val="页眉 Char"/>
    <w:basedOn w:val="26"/>
    <w:link w:val="15"/>
    <w:qFormat/>
    <w:uiPriority w:val="99"/>
    <w:rPr>
      <w:sz w:val="18"/>
      <w:szCs w:val="18"/>
    </w:rPr>
  </w:style>
  <w:style w:type="character" w:customStyle="1" w:styleId="32">
    <w:name w:val="页脚 Char"/>
    <w:basedOn w:val="26"/>
    <w:link w:val="14"/>
    <w:semiHidden/>
    <w:qFormat/>
    <w:uiPriority w:val="99"/>
    <w:rPr>
      <w:sz w:val="18"/>
      <w:szCs w:val="18"/>
    </w:rPr>
  </w:style>
  <w:style w:type="character" w:customStyle="1" w:styleId="33">
    <w:name w:val="标题 1 Char"/>
    <w:basedOn w:val="26"/>
    <w:link w:val="2"/>
    <w:qFormat/>
    <w:uiPriority w:val="99"/>
    <w:rPr>
      <w:rFonts w:ascii="Times New Roman" w:hAnsi="Times New Roman" w:eastAsia="宋体" w:cs="Times New Roman"/>
      <w:b/>
      <w:bCs/>
      <w:kern w:val="44"/>
      <w:sz w:val="44"/>
      <w:szCs w:val="44"/>
    </w:rPr>
  </w:style>
  <w:style w:type="character" w:customStyle="1" w:styleId="34">
    <w:name w:val="标题 2 Char"/>
    <w:basedOn w:val="26"/>
    <w:link w:val="3"/>
    <w:qFormat/>
    <w:uiPriority w:val="99"/>
    <w:rPr>
      <w:rFonts w:ascii="Arial" w:hAnsi="Arial" w:eastAsia="黑体" w:cs="Arial"/>
      <w:b/>
      <w:bCs/>
      <w:sz w:val="30"/>
      <w:szCs w:val="30"/>
    </w:rPr>
  </w:style>
  <w:style w:type="character" w:customStyle="1" w:styleId="35">
    <w:name w:val="标题 3 Char"/>
    <w:basedOn w:val="26"/>
    <w:link w:val="4"/>
    <w:qFormat/>
    <w:uiPriority w:val="99"/>
    <w:rPr>
      <w:rFonts w:ascii="Times New Roman" w:hAnsi="Times New Roman" w:eastAsia="宋体" w:cs="Times New Roman"/>
      <w:b/>
      <w:bCs/>
      <w:sz w:val="32"/>
      <w:szCs w:val="32"/>
    </w:rPr>
  </w:style>
  <w:style w:type="character" w:customStyle="1" w:styleId="36">
    <w:name w:val="标题 4 Char"/>
    <w:basedOn w:val="26"/>
    <w:link w:val="5"/>
    <w:qFormat/>
    <w:uiPriority w:val="0"/>
    <w:rPr>
      <w:rFonts w:ascii="Arial" w:hAnsi="Arial" w:eastAsia="黑体" w:cs="Times New Roman"/>
      <w:b/>
      <w:sz w:val="28"/>
      <w:szCs w:val="21"/>
    </w:rPr>
  </w:style>
  <w:style w:type="character" w:customStyle="1" w:styleId="37">
    <w:name w:val="正文文本 Char"/>
    <w:basedOn w:val="26"/>
    <w:link w:val="9"/>
    <w:qFormat/>
    <w:uiPriority w:val="0"/>
    <w:rPr>
      <w:rFonts w:ascii="Times New Roman" w:hAnsi="Times New Roman" w:eastAsia="宋体" w:cs="Times New Roman"/>
      <w:szCs w:val="21"/>
    </w:rPr>
  </w:style>
  <w:style w:type="character" w:customStyle="1" w:styleId="38">
    <w:name w:val="正文首行缩进 Char"/>
    <w:basedOn w:val="37"/>
    <w:link w:val="22"/>
    <w:qFormat/>
    <w:uiPriority w:val="99"/>
  </w:style>
  <w:style w:type="character" w:customStyle="1" w:styleId="39">
    <w:name w:val="正文文本缩进 Char"/>
    <w:basedOn w:val="26"/>
    <w:link w:val="10"/>
    <w:semiHidden/>
    <w:qFormat/>
    <w:uiPriority w:val="99"/>
    <w:rPr>
      <w:rFonts w:ascii="Times New Roman" w:hAnsi="Times New Roman" w:eastAsia="宋体" w:cs="Times New Roman"/>
      <w:szCs w:val="21"/>
    </w:rPr>
  </w:style>
  <w:style w:type="character" w:customStyle="1" w:styleId="40">
    <w:name w:val="正文首行缩进 2 Char"/>
    <w:basedOn w:val="39"/>
    <w:link w:val="23"/>
    <w:qFormat/>
    <w:uiPriority w:val="0"/>
    <w:rPr>
      <w:rFonts w:ascii="楷体_GB2312"/>
      <w:kern w:val="0"/>
      <w:sz w:val="28"/>
      <w:szCs w:val="28"/>
    </w:rPr>
  </w:style>
  <w:style w:type="character" w:customStyle="1" w:styleId="41">
    <w:name w:val="正文缩进 Char"/>
    <w:link w:val="6"/>
    <w:qFormat/>
    <w:uiPriority w:val="0"/>
    <w:rPr>
      <w:rFonts w:ascii="Times New Roman" w:hAnsi="Times New Roman" w:eastAsia="宋体" w:cs="Times New Roman"/>
      <w:szCs w:val="21"/>
    </w:rPr>
  </w:style>
  <w:style w:type="character" w:customStyle="1" w:styleId="42">
    <w:name w:val="文档结构图 Char"/>
    <w:basedOn w:val="26"/>
    <w:link w:val="7"/>
    <w:qFormat/>
    <w:uiPriority w:val="99"/>
    <w:rPr>
      <w:rFonts w:ascii="宋体" w:hAnsi="Times New Roman" w:eastAsia="宋体" w:cs="Times New Roman"/>
      <w:kern w:val="0"/>
      <w:sz w:val="18"/>
      <w:szCs w:val="18"/>
    </w:rPr>
  </w:style>
  <w:style w:type="character" w:customStyle="1" w:styleId="43">
    <w:name w:val="批注文字 Char"/>
    <w:basedOn w:val="26"/>
    <w:link w:val="8"/>
    <w:qFormat/>
    <w:uiPriority w:val="0"/>
    <w:rPr>
      <w:rFonts w:ascii="Times New Roman" w:hAnsi="Times New Roman" w:eastAsia="宋体" w:cs="Times New Roman"/>
      <w:kern w:val="0"/>
      <w:sz w:val="24"/>
      <w:szCs w:val="20"/>
    </w:rPr>
  </w:style>
  <w:style w:type="character" w:customStyle="1" w:styleId="44">
    <w:name w:val="纯文本 Char"/>
    <w:basedOn w:val="26"/>
    <w:link w:val="11"/>
    <w:qFormat/>
    <w:uiPriority w:val="99"/>
    <w:rPr>
      <w:rFonts w:ascii="宋体" w:hAnsi="Courier New" w:eastAsia="宋体" w:cs="Courier New"/>
      <w:szCs w:val="21"/>
    </w:rPr>
  </w:style>
  <w:style w:type="character" w:customStyle="1" w:styleId="45">
    <w:name w:val="日期 Char"/>
    <w:basedOn w:val="26"/>
    <w:link w:val="12"/>
    <w:qFormat/>
    <w:uiPriority w:val="0"/>
    <w:rPr>
      <w:rFonts w:ascii="Times New Roman" w:hAnsi="Times New Roman" w:eastAsia="宋体" w:cs="Times New Roman"/>
      <w:szCs w:val="21"/>
    </w:rPr>
  </w:style>
  <w:style w:type="character" w:customStyle="1" w:styleId="46">
    <w:name w:val="正文文本 2 Char"/>
    <w:basedOn w:val="26"/>
    <w:link w:val="18"/>
    <w:qFormat/>
    <w:uiPriority w:val="99"/>
    <w:rPr>
      <w:rFonts w:ascii="Times New Roman" w:hAnsi="Times New Roman" w:eastAsia="楷体_GB2312" w:cs="Times New Roman"/>
      <w:sz w:val="32"/>
      <w:szCs w:val="32"/>
    </w:rPr>
  </w:style>
  <w:style w:type="character" w:customStyle="1" w:styleId="47">
    <w:name w:val="信息标题 Char"/>
    <w:basedOn w:val="26"/>
    <w:link w:val="19"/>
    <w:qFormat/>
    <w:uiPriority w:val="0"/>
    <w:rPr>
      <w:rFonts w:ascii="Arial" w:hAnsi="Arial" w:eastAsia="宋体" w:cs="Times New Roman"/>
      <w:sz w:val="24"/>
      <w:szCs w:val="21"/>
      <w:shd w:val="pct20" w:color="auto" w:fill="auto"/>
    </w:rPr>
  </w:style>
  <w:style w:type="character" w:customStyle="1" w:styleId="48">
    <w:name w:val="标题 Char"/>
    <w:basedOn w:val="26"/>
    <w:link w:val="21"/>
    <w:qFormat/>
    <w:uiPriority w:val="0"/>
    <w:rPr>
      <w:rFonts w:ascii="Cambria" w:hAnsi="Cambria" w:eastAsia="宋体" w:cs="Times New Roman"/>
      <w:b/>
      <w:bCs/>
      <w:sz w:val="32"/>
      <w:szCs w:val="32"/>
    </w:rPr>
  </w:style>
  <w:style w:type="character" w:customStyle="1" w:styleId="49">
    <w:name w:val="fr4"/>
    <w:basedOn w:val="26"/>
    <w:qFormat/>
    <w:uiPriority w:val="0"/>
  </w:style>
  <w:style w:type="character" w:customStyle="1" w:styleId="50">
    <w:name w:val="gb-jt"/>
    <w:basedOn w:val="26"/>
    <w:qFormat/>
    <w:uiPriority w:val="0"/>
  </w:style>
  <w:style w:type="character" w:customStyle="1" w:styleId="51">
    <w:name w:val="fl"/>
    <w:basedOn w:val="26"/>
    <w:qFormat/>
    <w:uiPriority w:val="0"/>
    <w:rPr>
      <w:color w:val="666666"/>
    </w:rPr>
  </w:style>
  <w:style w:type="character" w:customStyle="1" w:styleId="52">
    <w:name w:val="right"/>
    <w:basedOn w:val="26"/>
    <w:qFormat/>
    <w:uiPriority w:val="0"/>
    <w:rPr>
      <w:color w:val="999999"/>
      <w:sz w:val="18"/>
      <w:szCs w:val="18"/>
    </w:rPr>
  </w:style>
  <w:style w:type="character" w:customStyle="1" w:styleId="53">
    <w:name w:val="blue"/>
    <w:basedOn w:val="26"/>
    <w:qFormat/>
    <w:uiPriority w:val="0"/>
    <w:rPr>
      <w:color w:val="0371C6"/>
      <w:sz w:val="21"/>
      <w:szCs w:val="21"/>
    </w:rPr>
  </w:style>
  <w:style w:type="character" w:customStyle="1" w:styleId="54">
    <w:name w:val="red"/>
    <w:basedOn w:val="26"/>
    <w:qFormat/>
    <w:uiPriority w:val="0"/>
    <w:rPr>
      <w:color w:val="FF0000"/>
      <w:sz w:val="21"/>
      <w:szCs w:val="21"/>
    </w:rPr>
  </w:style>
  <w:style w:type="character" w:customStyle="1" w:styleId="55">
    <w:name w:val="16"/>
    <w:basedOn w:val="26"/>
    <w:qFormat/>
    <w:uiPriority w:val="0"/>
    <w:rPr>
      <w:rFonts w:hint="default" w:ascii="Arial" w:hAnsi="Arial" w:eastAsia="黑体" w:cs="Arial"/>
      <w:b/>
      <w:bCs/>
      <w:sz w:val="30"/>
      <w:szCs w:val="30"/>
    </w:rPr>
  </w:style>
  <w:style w:type="character" w:customStyle="1" w:styleId="56">
    <w:name w:val="red1"/>
    <w:basedOn w:val="26"/>
    <w:qFormat/>
    <w:uiPriority w:val="0"/>
    <w:rPr>
      <w:color w:val="FF0000"/>
      <w:sz w:val="24"/>
      <w:szCs w:val="24"/>
    </w:rPr>
  </w:style>
  <w:style w:type="character" w:customStyle="1" w:styleId="57">
    <w:name w:val="hover24"/>
    <w:basedOn w:val="26"/>
    <w:qFormat/>
    <w:uiPriority w:val="0"/>
  </w:style>
  <w:style w:type="character" w:customStyle="1" w:styleId="58">
    <w:name w:val="15"/>
    <w:basedOn w:val="26"/>
    <w:qFormat/>
    <w:uiPriority w:val="0"/>
    <w:rPr>
      <w:rFonts w:hint="default" w:ascii="Times New Roman" w:hAnsi="Times New Roman" w:cs="Times New Roman"/>
      <w:b/>
      <w:bCs/>
      <w:kern w:val="44"/>
      <w:sz w:val="44"/>
      <w:szCs w:val="44"/>
    </w:rPr>
  </w:style>
  <w:style w:type="character" w:customStyle="1" w:styleId="59">
    <w:name w:val="right1"/>
    <w:basedOn w:val="26"/>
    <w:qFormat/>
    <w:uiPriority w:val="0"/>
    <w:rPr>
      <w:color w:val="999999"/>
    </w:rPr>
  </w:style>
  <w:style w:type="character" w:customStyle="1" w:styleId="60">
    <w:name w:val="hover16"/>
    <w:basedOn w:val="26"/>
    <w:qFormat/>
    <w:uiPriority w:val="0"/>
  </w:style>
  <w:style w:type="character" w:customStyle="1" w:styleId="61">
    <w:name w:val="hover15"/>
    <w:basedOn w:val="26"/>
    <w:qFormat/>
    <w:uiPriority w:val="0"/>
  </w:style>
  <w:style w:type="character" w:customStyle="1" w:styleId="62">
    <w:name w:val="green"/>
    <w:basedOn w:val="26"/>
    <w:qFormat/>
    <w:uiPriority w:val="0"/>
    <w:rPr>
      <w:color w:val="58B200"/>
      <w:sz w:val="21"/>
      <w:szCs w:val="21"/>
    </w:rPr>
  </w:style>
  <w:style w:type="paragraph" w:customStyle="1" w:styleId="63">
    <w:name w:val="无间隔1"/>
    <w:basedOn w:val="1"/>
    <w:qFormat/>
    <w:uiPriority w:val="99"/>
    <w:pPr>
      <w:spacing w:line="400" w:lineRule="exact"/>
    </w:pPr>
    <w:rPr>
      <w:sz w:val="24"/>
    </w:rPr>
  </w:style>
  <w:style w:type="paragraph" w:customStyle="1" w:styleId="64">
    <w:name w:val="样式 左侧: 1.27 厘米 段前: 6 磅 段后: 7.8 磅"/>
    <w:basedOn w:val="1"/>
    <w:qFormat/>
    <w:uiPriority w:val="0"/>
    <w:pPr>
      <w:spacing w:before="120" w:after="156" w:line="360" w:lineRule="auto"/>
      <w:ind w:left="720"/>
    </w:pPr>
    <w:rPr>
      <w:sz w:val="24"/>
      <w:szCs w:val="24"/>
    </w:rPr>
  </w:style>
  <w:style w:type="paragraph" w:customStyle="1" w:styleId="65">
    <w:name w:val="_Style 3"/>
    <w:basedOn w:val="1"/>
    <w:qFormat/>
    <w:uiPriority w:val="34"/>
    <w:pPr>
      <w:ind w:firstLine="420" w:firstLineChars="200"/>
    </w:pPr>
    <w:rPr>
      <w:rFonts w:ascii="Calibri" w:hAnsi="Calibri"/>
      <w:szCs w:val="22"/>
    </w:rPr>
  </w:style>
  <w:style w:type="paragraph" w:customStyle="1" w:styleId="66">
    <w:name w:val="样式 标题 2 + Times New Roman 四号 非加粗 段前: 5 磅 段后: 0 磅 行距: 固定值 20..."/>
    <w:basedOn w:val="3"/>
    <w:qFormat/>
    <w:uiPriority w:val="0"/>
    <w:pPr>
      <w:spacing w:before="100" w:after="100" w:afterAutospacing="1" w:line="400" w:lineRule="exact"/>
    </w:pPr>
    <w:rPr>
      <w:rFonts w:ascii="Times New Roman" w:hAnsi="Times New Roman" w:cs="宋体"/>
      <w:b w:val="0"/>
      <w:bCs w:val="0"/>
      <w:sz w:val="28"/>
      <w:szCs w:val="28"/>
    </w:rPr>
  </w:style>
  <w:style w:type="paragraph" w:customStyle="1" w:styleId="67">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4"/>
    </w:rPr>
  </w:style>
  <w:style w:type="paragraph" w:customStyle="1" w:styleId="68">
    <w:name w:val="3级标题"/>
    <w:basedOn w:val="65"/>
    <w:qFormat/>
    <w:uiPriority w:val="0"/>
    <w:pPr>
      <w:keepLines/>
      <w:widowControl/>
      <w:spacing w:before="120" w:after="120" w:line="360" w:lineRule="auto"/>
      <w:ind w:left="480" w:firstLine="0" w:firstLineChars="0"/>
      <w:contextualSpacing/>
      <w:jc w:val="left"/>
      <w:outlineLvl w:val="2"/>
    </w:pPr>
    <w:rPr>
      <w:rFonts w:ascii="Times New Roman" w:hAnsi="Times New Roman"/>
      <w:b/>
      <w:kern w:val="0"/>
      <w:sz w:val="32"/>
      <w:szCs w:val="36"/>
      <w:lang w:eastAsia="en-US" w:bidi="en-US"/>
    </w:rPr>
  </w:style>
  <w:style w:type="paragraph" w:customStyle="1" w:styleId="69">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70">
    <w:name w:val="Table Paragraph"/>
    <w:basedOn w:val="1"/>
    <w:qFormat/>
    <w:uiPriority w:val="1"/>
    <w:pPr>
      <w:autoSpaceDE w:val="0"/>
      <w:autoSpaceDN w:val="0"/>
      <w:jc w:val="left"/>
    </w:pPr>
    <w:rPr>
      <w:rFonts w:ascii="宋体" w:hAnsi="宋体" w:cs="宋体"/>
      <w:kern w:val="0"/>
      <w:sz w:val="22"/>
      <w:szCs w:val="22"/>
    </w:rPr>
  </w:style>
  <w:style w:type="paragraph" w:customStyle="1" w:styleId="71">
    <w:name w:val="my正文"/>
    <w:basedOn w:val="10"/>
    <w:qFormat/>
    <w:uiPriority w:val="0"/>
    <w:pPr>
      <w:ind w:left="0" w:leftChars="0" w:firstLine="225" w:firstLineChars="225"/>
    </w:pPr>
    <w:rPr>
      <w:rFonts w:ascii="Calibri" w:hAnsi="Calibri"/>
      <w:szCs w:val="22"/>
    </w:rPr>
  </w:style>
  <w:style w:type="paragraph" w:customStyle="1" w:styleId="72">
    <w:name w:val="图例"/>
    <w:basedOn w:val="1"/>
    <w:qFormat/>
    <w:uiPriority w:val="0"/>
    <w:pPr>
      <w:spacing w:before="120" w:after="120" w:line="360" w:lineRule="auto"/>
      <w:jc w:val="center"/>
    </w:pPr>
    <w:rPr>
      <w:rFonts w:eastAsia="仿宋_GB2312"/>
      <w:b/>
      <w:sz w:val="24"/>
      <w:szCs w:val="24"/>
    </w:rPr>
  </w:style>
  <w:style w:type="paragraph" w:customStyle="1" w:styleId="73">
    <w:name w:val="msolistparagraph"/>
    <w:basedOn w:val="1"/>
    <w:qFormat/>
    <w:uiPriority w:val="0"/>
    <w:pPr>
      <w:ind w:firstLine="420" w:firstLineChars="200"/>
    </w:pPr>
    <w:rPr>
      <w:rFonts w:ascii="Calibri" w:hAnsi="Calibri" w:cs="宋体"/>
    </w:rPr>
  </w:style>
  <w:style w:type="paragraph" w:customStyle="1" w:styleId="74">
    <w:name w:val="Char Char Char Char Char Char Char"/>
    <w:basedOn w:val="1"/>
    <w:qFormat/>
    <w:uiPriority w:val="0"/>
  </w:style>
  <w:style w:type="character" w:customStyle="1" w:styleId="75">
    <w:name w:val="font11"/>
    <w:basedOn w:val="26"/>
    <w:qFormat/>
    <w:uiPriority w:val="0"/>
    <w:rPr>
      <w:rFonts w:hint="eastAsia" w:ascii="仿宋" w:hAnsi="仿宋" w:eastAsia="仿宋" w:cs="仿宋"/>
      <w:color w:val="C00000"/>
      <w:sz w:val="21"/>
      <w:szCs w:val="21"/>
      <w:u w:val="none"/>
    </w:rPr>
  </w:style>
  <w:style w:type="paragraph" w:customStyle="1" w:styleId="76">
    <w:name w:val="正文1"/>
    <w:qFormat/>
    <w:uiPriority w:val="99"/>
    <w:pPr>
      <w:jc w:val="both"/>
    </w:pPr>
    <w:rPr>
      <w:rFonts w:ascii="Microsoft JhengHei Light" w:hAnsi="Microsoft JhengHei Light" w:eastAsia="宋体" w:cs="Microsoft JhengHei Light"/>
      <w:kern w:val="2"/>
      <w:sz w:val="21"/>
      <w:szCs w:val="21"/>
      <w:lang w:val="en-US" w:eastAsia="zh-CN" w:bidi="ar-SA"/>
    </w:rPr>
  </w:style>
  <w:style w:type="paragraph" w:customStyle="1" w:styleId="77">
    <w:name w:val="style4"/>
    <w:basedOn w:val="1"/>
    <w:next w:val="1"/>
    <w:qFormat/>
    <w:uiPriority w:val="0"/>
    <w:pPr>
      <w:widowControl/>
      <w:spacing w:before="280" w:after="280"/>
    </w:pPr>
    <w:rPr>
      <w:rFonts w:ascii="宋体"/>
      <w:sz w:val="18"/>
      <w:szCs w:val="24"/>
    </w:rPr>
  </w:style>
  <w:style w:type="paragraph" w:customStyle="1" w:styleId="78">
    <w:name w:val="列出段落1"/>
    <w:basedOn w:val="1"/>
    <w:qFormat/>
    <w:uiPriority w:val="34"/>
    <w:pPr>
      <w:ind w:firstLine="420" w:firstLineChars="200"/>
    </w:pPr>
    <w:rPr>
      <w:rFonts w:ascii="Calibri" w:hAnsi="Calibri"/>
      <w:szCs w:val="24"/>
    </w:rPr>
  </w:style>
  <w:style w:type="paragraph" w:customStyle="1" w:styleId="79">
    <w:name w:val="列出段落2"/>
    <w:basedOn w:val="1"/>
    <w:qFormat/>
    <w:uiPriority w:val="34"/>
    <w:pPr>
      <w:ind w:left="420" w:hanging="420"/>
      <w:jc w:val="left"/>
    </w:pPr>
    <w:rPr>
      <w:rFonts w:ascii="宋体" w:hAnsi="宋体" w:cs="宋体"/>
    </w:rPr>
  </w:style>
  <w:style w:type="paragraph" w:customStyle="1" w:styleId="80">
    <w:name w:val="*正文"/>
    <w:basedOn w:val="1"/>
    <w:qFormat/>
    <w:uiPriority w:val="99"/>
    <w:pPr>
      <w:spacing w:line="360" w:lineRule="auto"/>
      <w:ind w:firstLine="480" w:firstLineChars="200"/>
    </w:pPr>
    <w:rPr>
      <w:rFonts w:ascii="宋体" w:hAnsi="宋体"/>
      <w:kern w:val="0"/>
      <w:sz w:val="24"/>
      <w:szCs w:val="24"/>
    </w:rPr>
  </w:style>
  <w:style w:type="paragraph" w:customStyle="1" w:styleId="81">
    <w:name w:val="Body text|1"/>
    <w:basedOn w:val="1"/>
    <w:qFormat/>
    <w:uiPriority w:val="0"/>
    <w:pPr>
      <w:spacing w:line="427" w:lineRule="auto"/>
      <w:ind w:firstLine="400"/>
      <w:jc w:val="left"/>
    </w:pPr>
    <w:rPr>
      <w:rFonts w:ascii="宋体" w:hAnsi="宋体" w:cs="宋体"/>
      <w:kern w:val="0"/>
      <w:sz w:val="20"/>
      <w:szCs w:val="20"/>
      <w:lang w:val="zh-TW" w:eastAsia="zh-TW" w:bidi="zh-TW"/>
    </w:rPr>
  </w:style>
  <w:style w:type="paragraph" w:customStyle="1" w:styleId="82">
    <w:name w:val="Body text|3"/>
    <w:basedOn w:val="1"/>
    <w:qFormat/>
    <w:uiPriority w:val="0"/>
    <w:pPr>
      <w:spacing w:after="5300"/>
      <w:jc w:val="center"/>
    </w:pPr>
    <w:rPr>
      <w:rFonts w:ascii="宋体" w:hAnsi="宋体" w:cs="宋体"/>
      <w:b/>
      <w:bCs/>
      <w:kern w:val="0"/>
      <w:sz w:val="28"/>
      <w:szCs w:val="28"/>
      <w:lang w:val="zh-TW" w:eastAsia="zh-TW" w:bidi="zh-TW"/>
    </w:rPr>
  </w:style>
  <w:style w:type="character" w:customStyle="1" w:styleId="83">
    <w:name w:val="批注框文本 Char"/>
    <w:basedOn w:val="26"/>
    <w:link w:val="13"/>
    <w:qFormat/>
    <w:uiPriority w:val="0"/>
    <w:rPr>
      <w:rFonts w:ascii="Times New Roman" w:hAnsi="Times New Roman" w:eastAsia="宋体" w:cs="Times New Roman"/>
      <w:sz w:val="18"/>
      <w:szCs w:val="18"/>
    </w:rPr>
  </w:style>
  <w:style w:type="paragraph" w:styleId="84">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85">
    <w:name w:val="Other|1"/>
    <w:basedOn w:val="1"/>
    <w:link w:val="86"/>
    <w:qFormat/>
    <w:uiPriority w:val="0"/>
    <w:pPr>
      <w:spacing w:line="427" w:lineRule="auto"/>
      <w:ind w:firstLine="400"/>
      <w:jc w:val="left"/>
    </w:pPr>
    <w:rPr>
      <w:rFonts w:ascii="宋体" w:hAnsi="宋体" w:cs="宋体"/>
      <w:kern w:val="0"/>
      <w:sz w:val="20"/>
      <w:szCs w:val="20"/>
      <w:lang w:val="zh-TW" w:eastAsia="zh-TW" w:bidi="zh-TW"/>
    </w:rPr>
  </w:style>
  <w:style w:type="character" w:customStyle="1" w:styleId="86">
    <w:name w:val="Other|1_"/>
    <w:basedOn w:val="26"/>
    <w:link w:val="85"/>
    <w:qFormat/>
    <w:uiPriority w:val="0"/>
    <w:rPr>
      <w:rFonts w:ascii="宋体" w:hAnsi="宋体" w:eastAsia="宋体" w:cs="宋体"/>
      <w:kern w:val="0"/>
      <w:sz w:val="20"/>
      <w:szCs w:val="20"/>
      <w:lang w:val="zh-TW" w:eastAsia="zh-TW" w:bidi="zh-TW"/>
    </w:rPr>
  </w:style>
  <w:style w:type="character" w:customStyle="1" w:styleId="87">
    <w:name w:val="ca-161"/>
    <w:qFormat/>
    <w:uiPriority w:val="0"/>
    <w:rPr>
      <w:rFonts w:hint="eastAsia" w:ascii="宋体" w:hAnsi="宋体" w:eastAsia="宋体"/>
      <w:b/>
      <w:bCs/>
      <w:color w:val="000000"/>
      <w:spacing w:val="-20"/>
      <w:sz w:val="21"/>
      <w:szCs w:val="21"/>
    </w:rPr>
  </w:style>
  <w:style w:type="paragraph" w:styleId="88">
    <w:name w:val="No Spacing"/>
    <w:qFormat/>
    <w:uiPriority w:val="1"/>
    <w:pPr>
      <w:widowControl w:val="0"/>
      <w:jc w:val="both"/>
    </w:pPr>
    <w:rPr>
      <w:rFonts w:ascii="Times New Roman" w:hAnsi="Times New Roman" w:eastAsia="宋体" w:cs="Times New Roman"/>
      <w:kern w:val="2"/>
      <w:sz w:val="21"/>
      <w:szCs w:val="21"/>
      <w:lang w:val="en-US" w:eastAsia="zh-CN" w:bidi="ar-SA"/>
    </w:rPr>
  </w:style>
  <w:style w:type="paragraph" w:customStyle="1" w:styleId="89">
    <w:name w:val="正文 New New New New"/>
    <w:qFormat/>
    <w:uiPriority w:val="0"/>
    <w:pPr>
      <w:widowControl w:val="0"/>
      <w:jc w:val="both"/>
    </w:pPr>
    <w:rPr>
      <w:rFonts w:ascii="Times New Roman" w:hAnsi="Times New Roman" w:eastAsia="宋体" w:cs="Times New Roman"/>
      <w:kern w:val="0"/>
      <w:sz w:val="20"/>
      <w:szCs w:val="24"/>
      <w:lang w:val="en-US" w:eastAsia="zh-CN" w:bidi="ar-SA"/>
    </w:rPr>
  </w:style>
  <w:style w:type="character" w:customStyle="1" w:styleId="90">
    <w:name w:val="font51"/>
    <w:basedOn w:val="26"/>
    <w:qFormat/>
    <w:uiPriority w:val="0"/>
    <w:rPr>
      <w:rFonts w:hint="eastAsia" w:ascii="微软雅黑" w:hAnsi="微软雅黑" w:eastAsia="微软雅黑" w:cs="微软雅黑"/>
      <w:color w:val="000000"/>
      <w:sz w:val="16"/>
      <w:szCs w:val="16"/>
      <w:u w:val="none"/>
    </w:rPr>
  </w:style>
  <w:style w:type="character" w:customStyle="1" w:styleId="91">
    <w:name w:val="font81"/>
    <w:basedOn w:val="26"/>
    <w:qFormat/>
    <w:uiPriority w:val="0"/>
    <w:rPr>
      <w:rFonts w:hint="eastAsia" w:ascii="微软雅黑" w:hAnsi="微软雅黑" w:eastAsia="微软雅黑" w:cs="微软雅黑"/>
      <w:color w:val="000000"/>
      <w:sz w:val="16"/>
      <w:szCs w:val="16"/>
      <w:u w:val="none"/>
    </w:rPr>
  </w:style>
  <w:style w:type="character" w:customStyle="1" w:styleId="92">
    <w:name w:val="font61"/>
    <w:basedOn w:val="26"/>
    <w:qFormat/>
    <w:uiPriority w:val="0"/>
    <w:rPr>
      <w:rFonts w:hint="eastAsia" w:ascii="微软雅黑" w:hAnsi="微软雅黑" w:eastAsia="微软雅黑" w:cs="微软雅黑"/>
      <w:color w:val="000000"/>
      <w:sz w:val="16"/>
      <w:szCs w:val="16"/>
      <w:u w:val="none"/>
    </w:rPr>
  </w:style>
  <w:style w:type="character" w:customStyle="1" w:styleId="93">
    <w:name w:val="font91"/>
    <w:basedOn w:val="26"/>
    <w:qFormat/>
    <w:uiPriority w:val="0"/>
    <w:rPr>
      <w:rFonts w:hint="eastAsia" w:ascii="微软雅黑" w:hAnsi="微软雅黑" w:eastAsia="微软雅黑" w:cs="微软雅黑"/>
      <w:color w:val="000000"/>
      <w:sz w:val="16"/>
      <w:szCs w:val="16"/>
      <w:u w:val="none"/>
    </w:rPr>
  </w:style>
  <w:style w:type="character" w:customStyle="1" w:styleId="94">
    <w:name w:val="font41"/>
    <w:basedOn w:val="26"/>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5"/>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66</Pages>
  <Words>11341</Words>
  <Characters>12209</Characters>
  <Lines>185</Lines>
  <Paragraphs>52</Paragraphs>
  <TotalTime>1</TotalTime>
  <ScaleCrop>false</ScaleCrop>
  <LinksUpToDate>false</LinksUpToDate>
  <CharactersWithSpaces>12596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2025-04-15T08:29:00Z</dcterms:created>
  <dc:creator>杞县公共资源交易服务所:苏玉山</dc:creator>
  <cp:lastModifiedBy>森罗.静！</cp:lastModifiedBy>
  <cp:lastPrinted>2024-07-24T07:38:00Z</cp:lastPrinted>
  <dcterms:modified xsi:type="dcterms:W3CDTF">2025-06-19T05:38:04Z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eyJoZGlkIjoiOGQ5MWFiZWJmMmQ5MDI5YjkyN2E3NTU0MTgyYWY2MmEiLCJ1c2VySWQiOiIzOTE0MjQzMDEifQ==</vt:lpwstr>
  </property>
  <property fmtid="{D5CDD505-2E9C-101B-9397-08002B2CF9AE}" pid="3" name="KSOProductBuildVer">
    <vt:lpwstr>2052-12.1.0.21541</vt:lpwstr>
  </property>
  <property fmtid="{D5CDD505-2E9C-101B-9397-08002B2CF9AE}" pid="4" name="ICV">
    <vt:lpwstr>BB9F047796C34503BF444617D0E98170_12</vt:lpwstr>
  </property>
</Properties>
</file>