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3E8BE">
      <w:pPr>
        <w:shd w:val="clear" w:color="auto" w:fill="FFFFFF"/>
        <w:spacing w:line="360" w:lineRule="auto"/>
        <w:jc w:val="center"/>
        <w:rPr>
          <w:rFonts w:asciiTheme="minorEastAsia" w:hAnsiTheme="minorEastAsia" w:cstheme="minorEastAsia"/>
          <w:b/>
          <w:bCs/>
          <w:sz w:val="44"/>
          <w:szCs w:val="44"/>
        </w:rPr>
      </w:pPr>
    </w:p>
    <w:p w14:paraId="4A928A7B">
      <w:pPr>
        <w:shd w:val="clear" w:color="auto" w:fill="FFFFFF"/>
        <w:spacing w:line="360" w:lineRule="auto"/>
        <w:jc w:val="center"/>
        <w:rPr>
          <w:rFonts w:asciiTheme="minorEastAsia" w:hAnsiTheme="minorEastAsia" w:cstheme="minorEastAsia"/>
          <w:b/>
          <w:bCs/>
          <w:sz w:val="44"/>
          <w:szCs w:val="44"/>
        </w:rPr>
      </w:pPr>
      <w:r>
        <w:rPr>
          <w:rFonts w:asciiTheme="minorEastAsia" w:hAnsiTheme="minorEastAsia" w:cstheme="minorEastAsia"/>
          <w:b/>
          <w:bCs/>
          <w:sz w:val="44"/>
          <w:szCs w:val="44"/>
        </w:rPr>
        <w:t>开封市生态环境局大气颗粒物组分监测设备租赁及运维服务项目</w:t>
      </w:r>
    </w:p>
    <w:p w14:paraId="340B6645">
      <w:pPr>
        <w:shd w:val="clear" w:color="auto" w:fill="FFFFFF"/>
        <w:spacing w:line="360" w:lineRule="auto"/>
        <w:jc w:val="center"/>
        <w:rPr>
          <w:rFonts w:hint="eastAsia" w:asciiTheme="minorEastAsia" w:hAnsiTheme="minorEastAsia" w:cstheme="minorEastAsia"/>
          <w:b/>
          <w:bCs/>
          <w:sz w:val="72"/>
          <w:szCs w:val="72"/>
        </w:rPr>
      </w:pPr>
    </w:p>
    <w:p w14:paraId="5F5283F6">
      <w:pPr>
        <w:shd w:val="clear" w:color="auto" w:fill="FFFFFF"/>
        <w:spacing w:line="360" w:lineRule="auto"/>
        <w:jc w:val="center"/>
        <w:rPr>
          <w:rFonts w:hint="eastAsia" w:asciiTheme="minorEastAsia" w:hAnsiTheme="minorEastAsia" w:cstheme="minorEastAsia"/>
          <w:b/>
          <w:bCs/>
          <w:sz w:val="72"/>
          <w:szCs w:val="72"/>
        </w:rPr>
      </w:pPr>
    </w:p>
    <w:p w14:paraId="14A7C745">
      <w:pPr>
        <w:shd w:val="clear" w:color="auto" w:fill="FFFFFF"/>
        <w:spacing w:line="360" w:lineRule="auto"/>
        <w:jc w:val="center"/>
        <w:rPr>
          <w:rFonts w:asciiTheme="minorEastAsia" w:hAnsiTheme="minorEastAsia" w:cstheme="minorEastAsia"/>
          <w:b/>
          <w:bCs/>
          <w:sz w:val="72"/>
          <w:szCs w:val="72"/>
        </w:rPr>
      </w:pPr>
      <w:r>
        <w:rPr>
          <w:rFonts w:hint="eastAsia" w:asciiTheme="minorEastAsia" w:hAnsiTheme="minorEastAsia" w:cstheme="minorEastAsia"/>
          <w:b/>
          <w:bCs/>
          <w:sz w:val="72"/>
          <w:szCs w:val="72"/>
        </w:rPr>
        <w:t>单一来源采购文件</w:t>
      </w:r>
    </w:p>
    <w:p w14:paraId="5C8781AD">
      <w:pPr>
        <w:shd w:val="clear" w:color="auto" w:fill="FFFFFF"/>
        <w:spacing w:line="360" w:lineRule="auto"/>
        <w:jc w:val="center"/>
        <w:rPr>
          <w:rFonts w:asciiTheme="minorEastAsia" w:hAnsiTheme="minorEastAsia" w:cstheme="minorEastAsia"/>
          <w:b/>
          <w:bCs/>
          <w:kern w:val="1"/>
          <w:sz w:val="24"/>
        </w:rPr>
      </w:pPr>
    </w:p>
    <w:p w14:paraId="7F6E8714">
      <w:pPr>
        <w:shd w:val="clear" w:color="auto" w:fill="FFFFFF"/>
        <w:spacing w:line="360" w:lineRule="auto"/>
        <w:jc w:val="center"/>
        <w:rPr>
          <w:rFonts w:hint="default" w:asciiTheme="minorEastAsia" w:hAnsiTheme="minorEastAsia" w:eastAsiaTheme="minorEastAsia" w:cstheme="minorEastAsia"/>
          <w:b/>
          <w:bCs/>
          <w:kern w:val="1"/>
          <w:sz w:val="24"/>
          <w:lang w:val="en-US" w:eastAsia="zh-CN"/>
        </w:rPr>
      </w:pPr>
      <w:r>
        <w:rPr>
          <w:rFonts w:hint="eastAsia" w:asciiTheme="minorEastAsia" w:hAnsiTheme="minorEastAsia" w:cstheme="minorEastAsia"/>
          <w:b/>
          <w:bCs/>
          <w:kern w:val="1"/>
          <w:sz w:val="24"/>
        </w:rPr>
        <w:t>项目编号：汴财单</w:t>
      </w:r>
      <w:r>
        <w:rPr>
          <w:rFonts w:hint="eastAsia" w:asciiTheme="minorEastAsia" w:hAnsiTheme="minorEastAsia" w:cstheme="minorEastAsia"/>
          <w:b/>
          <w:bCs/>
          <w:kern w:val="1"/>
          <w:sz w:val="24"/>
          <w:lang w:val="en-US" w:eastAsia="zh-CN"/>
        </w:rPr>
        <w:t>一</w:t>
      </w:r>
      <w:r>
        <w:rPr>
          <w:rFonts w:hint="eastAsia" w:asciiTheme="minorEastAsia" w:hAnsiTheme="minorEastAsia" w:cstheme="minorEastAsia"/>
          <w:b/>
          <w:bCs/>
          <w:kern w:val="1"/>
          <w:sz w:val="24"/>
        </w:rPr>
        <w:t>采购-2025-1</w:t>
      </w:r>
    </w:p>
    <w:p w14:paraId="6430D795">
      <w:pPr>
        <w:shd w:val="clear" w:color="auto" w:fill="FFFFFF"/>
        <w:spacing w:line="360" w:lineRule="auto"/>
        <w:jc w:val="center"/>
        <w:rPr>
          <w:rFonts w:asciiTheme="minorEastAsia" w:hAnsiTheme="minorEastAsia" w:cstheme="minorEastAsia"/>
          <w:b/>
          <w:bCs/>
          <w:kern w:val="1"/>
          <w:sz w:val="24"/>
        </w:rPr>
      </w:pPr>
    </w:p>
    <w:p w14:paraId="1AD3BA85">
      <w:pPr>
        <w:shd w:val="clear" w:color="auto" w:fill="FFFFFF"/>
        <w:spacing w:line="360" w:lineRule="auto"/>
        <w:jc w:val="center"/>
        <w:rPr>
          <w:rFonts w:asciiTheme="minorEastAsia" w:hAnsiTheme="minorEastAsia" w:cstheme="minorEastAsia"/>
          <w:b/>
          <w:bCs/>
          <w:kern w:val="1"/>
          <w:sz w:val="24"/>
        </w:rPr>
      </w:pPr>
    </w:p>
    <w:p w14:paraId="414B316F">
      <w:pPr>
        <w:spacing w:line="360" w:lineRule="auto"/>
        <w:jc w:val="center"/>
        <w:rPr>
          <w:rFonts w:asciiTheme="minorEastAsia" w:hAnsiTheme="minorEastAsia" w:cstheme="minorEastAsia"/>
          <w:b/>
          <w:bCs/>
          <w:sz w:val="32"/>
          <w:szCs w:val="32"/>
        </w:rPr>
      </w:pPr>
    </w:p>
    <w:p w14:paraId="2252AD19">
      <w:pPr>
        <w:spacing w:line="360" w:lineRule="auto"/>
        <w:jc w:val="center"/>
        <w:rPr>
          <w:rFonts w:asciiTheme="minorEastAsia" w:hAnsiTheme="minorEastAsia" w:cstheme="minorEastAsia"/>
          <w:b/>
          <w:bCs/>
          <w:sz w:val="32"/>
          <w:szCs w:val="32"/>
        </w:rPr>
      </w:pPr>
    </w:p>
    <w:p w14:paraId="65EB1481">
      <w:pPr>
        <w:spacing w:line="360" w:lineRule="auto"/>
        <w:jc w:val="both"/>
        <w:rPr>
          <w:rFonts w:asciiTheme="minorEastAsia" w:hAnsiTheme="minorEastAsia" w:cstheme="minorEastAsia"/>
          <w:b/>
          <w:bCs/>
          <w:sz w:val="32"/>
          <w:szCs w:val="32"/>
        </w:rPr>
      </w:pPr>
    </w:p>
    <w:p w14:paraId="38916417">
      <w:pPr>
        <w:spacing w:line="360" w:lineRule="auto"/>
        <w:rPr>
          <w:rFonts w:asciiTheme="minorEastAsia" w:hAnsiTheme="minorEastAsia" w:cstheme="minorEastAsia"/>
          <w:b/>
          <w:bCs/>
          <w:kern w:val="1"/>
          <w:sz w:val="32"/>
          <w:szCs w:val="32"/>
        </w:rPr>
      </w:pPr>
    </w:p>
    <w:p w14:paraId="61134CBD">
      <w:pPr>
        <w:shd w:val="clear" w:color="auto" w:fill="FFFFFF"/>
        <w:spacing w:line="360" w:lineRule="auto"/>
        <w:ind w:firstLine="723" w:firstLineChars="200"/>
        <w:jc w:val="center"/>
        <w:rPr>
          <w:rFonts w:asciiTheme="minorEastAsia" w:hAnsiTheme="minorEastAsia" w:cstheme="minorEastAsia"/>
          <w:b/>
          <w:bCs/>
          <w:sz w:val="36"/>
          <w:szCs w:val="36"/>
        </w:rPr>
      </w:pPr>
    </w:p>
    <w:p w14:paraId="192F23D8">
      <w:pPr>
        <w:shd w:val="clear" w:color="auto" w:fill="FFFFFF"/>
        <w:spacing w:line="360" w:lineRule="auto"/>
        <w:rPr>
          <w:rFonts w:asciiTheme="minorEastAsia" w:hAnsiTheme="minorEastAsia" w:cstheme="minorEastAsia"/>
          <w:b/>
          <w:bCs/>
          <w:sz w:val="36"/>
          <w:szCs w:val="36"/>
        </w:rPr>
      </w:pPr>
    </w:p>
    <w:p w14:paraId="1E72AC11">
      <w:pPr>
        <w:shd w:val="clear" w:color="auto" w:fill="FFFFFF"/>
        <w:spacing w:line="360" w:lineRule="auto"/>
        <w:ind w:firstLine="2409" w:firstLineChars="750"/>
        <w:rPr>
          <w:rFonts w:asciiTheme="minorEastAsia" w:hAnsiTheme="minorEastAsia" w:cstheme="minorEastAsia"/>
          <w:b/>
          <w:bCs/>
          <w:sz w:val="32"/>
          <w:szCs w:val="32"/>
        </w:rPr>
      </w:pPr>
      <w:r>
        <w:rPr>
          <w:rFonts w:hint="eastAsia" w:asciiTheme="minorEastAsia" w:hAnsiTheme="minorEastAsia" w:cstheme="minorEastAsia"/>
          <w:b/>
          <w:bCs/>
          <w:sz w:val="32"/>
          <w:szCs w:val="32"/>
        </w:rPr>
        <w:t>采购单位：开封市生态环境局</w:t>
      </w:r>
    </w:p>
    <w:p w14:paraId="2988550A">
      <w:pPr>
        <w:shd w:val="clear" w:color="auto" w:fill="FFFFFF"/>
        <w:spacing w:line="360" w:lineRule="auto"/>
        <w:ind w:firstLine="2409" w:firstLineChars="750"/>
        <w:rPr>
          <w:rFonts w:hint="default" w:asciiTheme="minorEastAsia" w:hAnsiTheme="minorEastAsia" w:eastAsiaTheme="minorEastAsia" w:cstheme="minorEastAsia"/>
          <w:b/>
          <w:bCs/>
          <w:sz w:val="32"/>
          <w:szCs w:val="32"/>
          <w:lang w:val="en-US" w:eastAsia="zh-CN"/>
        </w:rPr>
      </w:pPr>
      <w:r>
        <w:rPr>
          <w:rFonts w:hint="eastAsia" w:asciiTheme="minorEastAsia" w:hAnsiTheme="minorEastAsia" w:cstheme="minorEastAsia"/>
          <w:b/>
          <w:bCs/>
          <w:sz w:val="32"/>
          <w:szCs w:val="32"/>
        </w:rPr>
        <w:t>代理机构：信投为华企业管理（河南）有限公司</w:t>
      </w:r>
    </w:p>
    <w:p w14:paraId="07AA3C1C">
      <w:pPr>
        <w:shd w:val="clear" w:color="auto" w:fill="FFFFFF"/>
        <w:spacing w:line="360" w:lineRule="auto"/>
        <w:ind w:firstLine="2409" w:firstLineChars="750"/>
        <w:jc w:val="left"/>
        <w:rPr>
          <w:rFonts w:hint="eastAsia" w:asciiTheme="minorEastAsia" w:hAnsiTheme="minorEastAsia" w:cstheme="minorEastAsia"/>
          <w:b/>
          <w:bCs/>
          <w:sz w:val="32"/>
          <w:szCs w:val="32"/>
        </w:rPr>
      </w:pPr>
      <w:r>
        <w:rPr>
          <w:rFonts w:hint="eastAsia" w:asciiTheme="minorEastAsia" w:hAnsiTheme="minorEastAsia" w:cstheme="minorEastAsia"/>
          <w:b/>
          <w:bCs/>
          <w:sz w:val="32"/>
          <w:szCs w:val="32"/>
        </w:rPr>
        <w:t>日    期：二〇二</w:t>
      </w:r>
      <w:r>
        <w:rPr>
          <w:rFonts w:hint="eastAsia" w:asciiTheme="minorEastAsia" w:hAnsiTheme="minorEastAsia" w:cstheme="minorEastAsia"/>
          <w:b/>
          <w:bCs/>
          <w:sz w:val="32"/>
          <w:szCs w:val="32"/>
          <w:lang w:val="en-US" w:eastAsia="zh-CN"/>
        </w:rPr>
        <w:t>五</w:t>
      </w:r>
      <w:r>
        <w:rPr>
          <w:rFonts w:hint="eastAsia" w:asciiTheme="minorEastAsia" w:hAnsiTheme="minorEastAsia" w:cstheme="minorEastAsia"/>
          <w:b/>
          <w:bCs/>
          <w:sz w:val="32"/>
          <w:szCs w:val="32"/>
        </w:rPr>
        <w:t>年</w:t>
      </w:r>
      <w:r>
        <w:rPr>
          <w:rFonts w:hint="eastAsia" w:asciiTheme="minorEastAsia" w:hAnsiTheme="minorEastAsia" w:cstheme="minorEastAsia"/>
          <w:b/>
          <w:bCs/>
          <w:sz w:val="32"/>
          <w:szCs w:val="32"/>
          <w:lang w:val="en-US" w:eastAsia="zh-CN"/>
        </w:rPr>
        <w:t>二</w:t>
      </w:r>
      <w:r>
        <w:rPr>
          <w:rFonts w:hint="eastAsia" w:asciiTheme="minorEastAsia" w:hAnsiTheme="minorEastAsia" w:cstheme="minorEastAsia"/>
          <w:b/>
          <w:bCs/>
          <w:sz w:val="32"/>
          <w:szCs w:val="32"/>
        </w:rPr>
        <w:t>月</w:t>
      </w:r>
    </w:p>
    <w:p w14:paraId="2E13DDC1">
      <w:pPr>
        <w:rPr>
          <w:rFonts w:hint="eastAsia" w:asciiTheme="minorEastAsia" w:hAnsiTheme="minorEastAsia" w:cstheme="minorEastAsia"/>
          <w:b/>
          <w:bCs/>
          <w:sz w:val="32"/>
          <w:szCs w:val="32"/>
        </w:rPr>
      </w:pPr>
      <w:r>
        <w:rPr>
          <w:rFonts w:hint="eastAsia" w:asciiTheme="minorEastAsia" w:hAnsiTheme="minorEastAsia" w:cstheme="minorEastAsia"/>
          <w:b/>
          <w:bCs/>
          <w:sz w:val="32"/>
          <w:szCs w:val="32"/>
        </w:rPr>
        <w:br w:type="page"/>
      </w:r>
    </w:p>
    <w:p w14:paraId="30B51DFA">
      <w:pPr>
        <w:pStyle w:val="27"/>
        <w:rPr>
          <w:rFonts w:hint="eastAsia" w:eastAsia="宋体"/>
          <w:lang w:eastAsia="zh-CN"/>
        </w:rPr>
      </w:pPr>
    </w:p>
    <w:p w14:paraId="7CF9DED5">
      <w:pPr>
        <w:widowControl/>
        <w:jc w:val="left"/>
        <w:rPr>
          <w:rFonts w:hint="eastAsia" w:asciiTheme="minorEastAsia" w:hAnsiTheme="minorEastAsia" w:eastAsiaTheme="minorEastAsia" w:cstheme="minorEastAsia"/>
          <w:b/>
          <w:bCs/>
          <w:sz w:val="44"/>
          <w:szCs w:val="44"/>
          <w:lang w:eastAsia="zh-CN"/>
        </w:rPr>
        <w:sectPr>
          <w:headerReference r:id="rId3" w:type="default"/>
          <w:pgSz w:w="11906" w:h="16838"/>
          <w:pgMar w:top="1440" w:right="1080" w:bottom="1440" w:left="1080" w:header="851" w:footer="992" w:gutter="0"/>
          <w:pgNumType w:start="1"/>
          <w:cols w:space="425" w:num="1"/>
          <w:docGrid w:type="lines" w:linePitch="312" w:charSpace="0"/>
        </w:sectPr>
      </w:pPr>
      <w:r>
        <w:rPr>
          <w:rFonts w:hint="eastAsia" w:asciiTheme="minorEastAsia" w:hAnsiTheme="minorEastAsia" w:eastAsiaTheme="minorEastAsia" w:cstheme="minorEastAsia"/>
          <w:b/>
          <w:bCs/>
          <w:sz w:val="44"/>
          <w:szCs w:val="44"/>
          <w:lang w:eastAsia="zh-CN"/>
        </w:rPr>
        <w:drawing>
          <wp:inline distT="0" distB="0" distL="114300" distR="114300">
            <wp:extent cx="5809615" cy="8166735"/>
            <wp:effectExtent l="0" t="0" r="635" b="5715"/>
            <wp:docPr id="5" name="图片 5" descr="c00033aadc3904f7e81ab864fcdb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00033aadc3904f7e81ab864fcdb184"/>
                    <pic:cNvPicPr>
                      <a:picLocks noChangeAspect="1"/>
                    </pic:cNvPicPr>
                  </pic:nvPicPr>
                  <pic:blipFill>
                    <a:blip r:embed="rId18"/>
                    <a:stretch>
                      <a:fillRect/>
                    </a:stretch>
                  </pic:blipFill>
                  <pic:spPr>
                    <a:xfrm>
                      <a:off x="0" y="0"/>
                      <a:ext cx="5809615" cy="8166735"/>
                    </a:xfrm>
                    <a:prstGeom prst="rect">
                      <a:avLst/>
                    </a:prstGeom>
                  </pic:spPr>
                </pic:pic>
              </a:graphicData>
            </a:graphic>
          </wp:inline>
        </w:drawing>
      </w:r>
    </w:p>
    <w:p w14:paraId="2C72E513">
      <w:pPr>
        <w:jc w:val="center"/>
        <w:rPr>
          <w:rFonts w:asciiTheme="minorEastAsia" w:hAnsiTheme="minorEastAsia" w:cstheme="minorEastAsia"/>
          <w:b/>
          <w:bCs/>
          <w:sz w:val="44"/>
          <w:szCs w:val="44"/>
        </w:rPr>
      </w:pPr>
      <w:r>
        <w:rPr>
          <w:rFonts w:hint="eastAsia" w:asciiTheme="minorEastAsia" w:hAnsiTheme="minorEastAsia" w:cstheme="minorEastAsia"/>
          <w:b/>
          <w:bCs/>
          <w:sz w:val="44"/>
          <w:szCs w:val="44"/>
        </w:rPr>
        <w:t>目   录</w:t>
      </w:r>
    </w:p>
    <w:p w14:paraId="194758E0">
      <w:pPr>
        <w:spacing w:line="480" w:lineRule="auto"/>
        <w:rPr>
          <w:rFonts w:asciiTheme="minorEastAsia" w:hAnsiTheme="minorEastAsia" w:cstheme="minorEastAsia"/>
        </w:rPr>
      </w:pPr>
    </w:p>
    <w:p w14:paraId="620F8C64">
      <w:pPr>
        <w:pStyle w:val="16"/>
        <w:rPr>
          <w:szCs w:val="22"/>
        </w:rPr>
      </w:pPr>
      <w:r>
        <w:rPr>
          <w:rFonts w:hint="eastAsia" w:asciiTheme="minorEastAsia" w:hAnsiTheme="minorEastAsia" w:cstheme="minorEastAsia"/>
        </w:rPr>
        <w:fldChar w:fldCharType="begin"/>
      </w:r>
      <w:r>
        <w:rPr>
          <w:rFonts w:hint="eastAsia" w:asciiTheme="minorEastAsia" w:hAnsiTheme="minorEastAsia" w:cstheme="minorEastAsia"/>
        </w:rPr>
        <w:instrText xml:space="preserve"> TOC \o "1-3" \h \z \u </w:instrText>
      </w:r>
      <w:r>
        <w:rPr>
          <w:rFonts w:hint="eastAsia" w:asciiTheme="minorEastAsia" w:hAnsiTheme="minorEastAsia" w:cstheme="minorEastAsia"/>
        </w:rPr>
        <w:fldChar w:fldCharType="separate"/>
      </w:r>
      <w:r>
        <w:fldChar w:fldCharType="begin"/>
      </w:r>
      <w:r>
        <w:instrText xml:space="preserve"> HYPERLINK \l "_Toc114760388" </w:instrText>
      </w:r>
      <w:r>
        <w:fldChar w:fldCharType="separate"/>
      </w:r>
      <w:r>
        <w:rPr>
          <w:rStyle w:val="25"/>
          <w:rFonts w:hint="eastAsia" w:asciiTheme="minorEastAsia" w:hAnsiTheme="minorEastAsia" w:cstheme="minorEastAsia"/>
        </w:rPr>
        <w:t>第一章</w:t>
      </w:r>
      <w:r>
        <w:rPr>
          <w:rStyle w:val="25"/>
          <w:rFonts w:asciiTheme="minorEastAsia" w:hAnsiTheme="minorEastAsia" w:cstheme="minorEastAsia"/>
        </w:rPr>
        <w:t xml:space="preserve"> </w:t>
      </w:r>
      <w:r>
        <w:rPr>
          <w:rStyle w:val="25"/>
          <w:rFonts w:hint="eastAsia" w:asciiTheme="minorEastAsia" w:hAnsiTheme="minorEastAsia" w:cstheme="minorEastAsia"/>
        </w:rPr>
        <w:t>单一来源邀请函</w:t>
      </w:r>
      <w:r>
        <w:tab/>
      </w:r>
      <w:r>
        <w:fldChar w:fldCharType="begin"/>
      </w:r>
      <w:r>
        <w:instrText xml:space="preserve"> PAGEREF _Toc114760388 \h </w:instrText>
      </w:r>
      <w:r>
        <w:fldChar w:fldCharType="separate"/>
      </w:r>
      <w:r>
        <w:t>1</w:t>
      </w:r>
      <w:r>
        <w:fldChar w:fldCharType="end"/>
      </w:r>
      <w:r>
        <w:fldChar w:fldCharType="end"/>
      </w:r>
    </w:p>
    <w:p w14:paraId="37299804">
      <w:pPr>
        <w:pStyle w:val="16"/>
        <w:rPr>
          <w:szCs w:val="22"/>
        </w:rPr>
      </w:pPr>
      <w:r>
        <w:fldChar w:fldCharType="begin"/>
      </w:r>
      <w:r>
        <w:instrText xml:space="preserve"> HYPERLINK \l "_Toc114760389" </w:instrText>
      </w:r>
      <w:r>
        <w:fldChar w:fldCharType="separate"/>
      </w:r>
      <w:r>
        <w:rPr>
          <w:rStyle w:val="25"/>
          <w:rFonts w:hint="eastAsia" w:asciiTheme="minorEastAsia" w:hAnsiTheme="minorEastAsia" w:cstheme="minorEastAsia"/>
        </w:rPr>
        <w:t>第二章</w:t>
      </w:r>
      <w:r>
        <w:rPr>
          <w:rStyle w:val="25"/>
          <w:rFonts w:asciiTheme="minorEastAsia" w:hAnsiTheme="minorEastAsia" w:cstheme="minorEastAsia"/>
        </w:rPr>
        <w:t xml:space="preserve"> </w:t>
      </w:r>
      <w:r>
        <w:rPr>
          <w:rStyle w:val="25"/>
          <w:rFonts w:hint="eastAsia" w:asciiTheme="minorEastAsia" w:hAnsiTheme="minorEastAsia" w:cstheme="minorEastAsia"/>
        </w:rPr>
        <w:t>供应商须知</w:t>
      </w:r>
      <w:r>
        <w:tab/>
      </w:r>
      <w:r>
        <w:fldChar w:fldCharType="begin"/>
      </w:r>
      <w:r>
        <w:instrText xml:space="preserve"> PAGEREF _Toc114760389 \h </w:instrText>
      </w:r>
      <w:r>
        <w:fldChar w:fldCharType="separate"/>
      </w:r>
      <w:r>
        <w:t>3</w:t>
      </w:r>
      <w:r>
        <w:fldChar w:fldCharType="end"/>
      </w:r>
      <w:r>
        <w:fldChar w:fldCharType="end"/>
      </w:r>
    </w:p>
    <w:p w14:paraId="747A0CE1">
      <w:pPr>
        <w:pStyle w:val="17"/>
        <w:tabs>
          <w:tab w:val="right" w:leader="dot" w:pos="9736"/>
        </w:tabs>
        <w:spacing w:line="360" w:lineRule="auto"/>
        <w:rPr>
          <w:szCs w:val="22"/>
        </w:rPr>
      </w:pPr>
      <w:r>
        <w:fldChar w:fldCharType="begin"/>
      </w:r>
      <w:r>
        <w:instrText xml:space="preserve"> HYPERLINK \l "_Toc114760390" </w:instrText>
      </w:r>
      <w:r>
        <w:fldChar w:fldCharType="separate"/>
      </w:r>
      <w:r>
        <w:rPr>
          <w:rStyle w:val="25"/>
          <w:rFonts w:hint="eastAsia" w:asciiTheme="minorEastAsia" w:hAnsiTheme="minorEastAsia" w:cstheme="minorEastAsia"/>
        </w:rPr>
        <w:t>一、供应商须知前附表</w:t>
      </w:r>
      <w:r>
        <w:tab/>
      </w:r>
      <w:r>
        <w:fldChar w:fldCharType="begin"/>
      </w:r>
      <w:r>
        <w:instrText xml:space="preserve"> PAGEREF _Toc114760390 \h </w:instrText>
      </w:r>
      <w:r>
        <w:fldChar w:fldCharType="separate"/>
      </w:r>
      <w:r>
        <w:t>3</w:t>
      </w:r>
      <w:r>
        <w:fldChar w:fldCharType="end"/>
      </w:r>
      <w:r>
        <w:fldChar w:fldCharType="end"/>
      </w:r>
    </w:p>
    <w:p w14:paraId="49D25F05">
      <w:pPr>
        <w:pStyle w:val="17"/>
        <w:tabs>
          <w:tab w:val="right" w:leader="dot" w:pos="9736"/>
        </w:tabs>
        <w:spacing w:line="360" w:lineRule="auto"/>
        <w:rPr>
          <w:szCs w:val="22"/>
        </w:rPr>
      </w:pPr>
      <w:r>
        <w:fldChar w:fldCharType="begin"/>
      </w:r>
      <w:r>
        <w:instrText xml:space="preserve"> HYPERLINK \l "_Toc114760391" </w:instrText>
      </w:r>
      <w:r>
        <w:fldChar w:fldCharType="separate"/>
      </w:r>
      <w:r>
        <w:rPr>
          <w:rStyle w:val="25"/>
          <w:rFonts w:hint="eastAsia" w:asciiTheme="minorEastAsia" w:hAnsiTheme="minorEastAsia" w:cstheme="minorEastAsia"/>
        </w:rPr>
        <w:t>二、供应商须知</w:t>
      </w:r>
      <w:r>
        <w:tab/>
      </w:r>
      <w:r>
        <w:fldChar w:fldCharType="begin"/>
      </w:r>
      <w:r>
        <w:instrText xml:space="preserve"> PAGEREF _Toc114760391 \h </w:instrText>
      </w:r>
      <w:r>
        <w:fldChar w:fldCharType="separate"/>
      </w:r>
      <w:r>
        <w:t>5</w:t>
      </w:r>
      <w:r>
        <w:fldChar w:fldCharType="end"/>
      </w:r>
      <w:r>
        <w:fldChar w:fldCharType="end"/>
      </w:r>
    </w:p>
    <w:p w14:paraId="14D57664">
      <w:pPr>
        <w:pStyle w:val="16"/>
        <w:rPr>
          <w:szCs w:val="22"/>
        </w:rPr>
      </w:pPr>
      <w:r>
        <w:fldChar w:fldCharType="begin"/>
      </w:r>
      <w:r>
        <w:instrText xml:space="preserve"> HYPERLINK \l "_Toc114760392" </w:instrText>
      </w:r>
      <w:r>
        <w:fldChar w:fldCharType="separate"/>
      </w:r>
      <w:r>
        <w:rPr>
          <w:rStyle w:val="25"/>
          <w:rFonts w:hint="eastAsia" w:asciiTheme="minorEastAsia" w:hAnsiTheme="minorEastAsia" w:cstheme="minorEastAsia"/>
        </w:rPr>
        <w:t>第三章</w:t>
      </w:r>
      <w:r>
        <w:rPr>
          <w:rStyle w:val="25"/>
          <w:rFonts w:asciiTheme="minorEastAsia" w:hAnsiTheme="minorEastAsia" w:cstheme="minorEastAsia"/>
        </w:rPr>
        <w:t xml:space="preserve"> </w:t>
      </w:r>
      <w:r>
        <w:rPr>
          <w:rStyle w:val="25"/>
          <w:rFonts w:hint="eastAsia" w:asciiTheme="minorEastAsia" w:hAnsiTheme="minorEastAsia" w:cstheme="minorEastAsia"/>
        </w:rPr>
        <w:t>合同条款</w:t>
      </w:r>
      <w:r>
        <w:tab/>
      </w:r>
      <w:r>
        <w:fldChar w:fldCharType="begin"/>
      </w:r>
      <w:r>
        <w:instrText xml:space="preserve"> PAGEREF _Toc114760392 \h </w:instrText>
      </w:r>
      <w:r>
        <w:fldChar w:fldCharType="separate"/>
      </w:r>
      <w:r>
        <w:t>10</w:t>
      </w:r>
      <w:r>
        <w:fldChar w:fldCharType="end"/>
      </w:r>
      <w:r>
        <w:fldChar w:fldCharType="end"/>
      </w:r>
    </w:p>
    <w:p w14:paraId="2EB0BBB1">
      <w:pPr>
        <w:pStyle w:val="16"/>
        <w:rPr>
          <w:szCs w:val="22"/>
        </w:rPr>
      </w:pPr>
      <w:r>
        <w:fldChar w:fldCharType="begin"/>
      </w:r>
      <w:r>
        <w:instrText xml:space="preserve"> HYPERLINK \l "_Toc114760393" </w:instrText>
      </w:r>
      <w:r>
        <w:fldChar w:fldCharType="separate"/>
      </w:r>
      <w:r>
        <w:rPr>
          <w:rStyle w:val="25"/>
          <w:rFonts w:hint="eastAsia" w:asciiTheme="minorEastAsia" w:hAnsiTheme="minorEastAsia" w:cstheme="minorEastAsia"/>
        </w:rPr>
        <w:t>第四章</w:t>
      </w:r>
      <w:r>
        <w:rPr>
          <w:rStyle w:val="25"/>
          <w:rFonts w:asciiTheme="minorEastAsia" w:hAnsiTheme="minorEastAsia" w:cstheme="minorEastAsia"/>
        </w:rPr>
        <w:t xml:space="preserve"> </w:t>
      </w:r>
      <w:r>
        <w:rPr>
          <w:rStyle w:val="25"/>
          <w:rFonts w:hint="eastAsia" w:asciiTheme="minorEastAsia" w:hAnsiTheme="minorEastAsia" w:cstheme="minorEastAsia"/>
        </w:rPr>
        <w:t>采购需求</w:t>
      </w:r>
      <w:r>
        <w:tab/>
      </w:r>
      <w:r>
        <w:fldChar w:fldCharType="begin"/>
      </w:r>
      <w:r>
        <w:instrText xml:space="preserve"> PAGEREF _Toc114760393 \h </w:instrText>
      </w:r>
      <w:r>
        <w:fldChar w:fldCharType="separate"/>
      </w:r>
      <w:r>
        <w:t>11</w:t>
      </w:r>
      <w:r>
        <w:fldChar w:fldCharType="end"/>
      </w:r>
      <w:r>
        <w:fldChar w:fldCharType="end"/>
      </w:r>
    </w:p>
    <w:p w14:paraId="51BB1BB2">
      <w:pPr>
        <w:pStyle w:val="16"/>
        <w:rPr>
          <w:szCs w:val="22"/>
        </w:rPr>
      </w:pPr>
      <w:r>
        <w:fldChar w:fldCharType="begin"/>
      </w:r>
      <w:r>
        <w:instrText xml:space="preserve"> HYPERLINK \l "_Toc114760394" </w:instrText>
      </w:r>
      <w:r>
        <w:fldChar w:fldCharType="separate"/>
      </w:r>
      <w:r>
        <w:rPr>
          <w:rStyle w:val="25"/>
          <w:rFonts w:hint="eastAsia" w:asciiTheme="minorEastAsia" w:hAnsiTheme="minorEastAsia" w:cstheme="minorEastAsia"/>
        </w:rPr>
        <w:t>第五章</w:t>
      </w:r>
      <w:r>
        <w:rPr>
          <w:rStyle w:val="25"/>
          <w:rFonts w:asciiTheme="minorEastAsia" w:hAnsiTheme="minorEastAsia" w:cstheme="minorEastAsia"/>
        </w:rPr>
        <w:t xml:space="preserve"> </w:t>
      </w:r>
      <w:r>
        <w:rPr>
          <w:rStyle w:val="25"/>
          <w:rFonts w:hint="eastAsia" w:asciiTheme="minorEastAsia" w:hAnsiTheme="minorEastAsia" w:cstheme="minorEastAsia"/>
        </w:rPr>
        <w:t>响应文件格式</w:t>
      </w:r>
      <w:r>
        <w:tab/>
      </w:r>
      <w:r>
        <w:fldChar w:fldCharType="begin"/>
      </w:r>
      <w:r>
        <w:instrText xml:space="preserve"> PAGEREF _Toc114760394 \h </w:instrText>
      </w:r>
      <w:r>
        <w:fldChar w:fldCharType="separate"/>
      </w:r>
      <w:r>
        <w:t>24</w:t>
      </w:r>
      <w:r>
        <w:fldChar w:fldCharType="end"/>
      </w:r>
      <w:r>
        <w:fldChar w:fldCharType="end"/>
      </w:r>
    </w:p>
    <w:p w14:paraId="3EB22AF0">
      <w:pPr>
        <w:pStyle w:val="17"/>
        <w:tabs>
          <w:tab w:val="right" w:leader="dot" w:pos="9736"/>
        </w:tabs>
        <w:spacing w:line="360" w:lineRule="auto"/>
        <w:rPr>
          <w:szCs w:val="22"/>
        </w:rPr>
      </w:pPr>
      <w:r>
        <w:fldChar w:fldCharType="begin"/>
      </w:r>
      <w:r>
        <w:instrText xml:space="preserve"> HYPERLINK \l "_Toc114760395" </w:instrText>
      </w:r>
      <w:r>
        <w:fldChar w:fldCharType="separate"/>
      </w:r>
      <w:r>
        <w:rPr>
          <w:rStyle w:val="25"/>
          <w:rFonts w:hint="eastAsia" w:asciiTheme="minorEastAsia" w:hAnsiTheme="minorEastAsia" w:cstheme="minorEastAsia"/>
        </w:rPr>
        <w:t>目录</w:t>
      </w:r>
      <w:r>
        <w:tab/>
      </w:r>
      <w:r>
        <w:fldChar w:fldCharType="begin"/>
      </w:r>
      <w:r>
        <w:instrText xml:space="preserve"> PAGEREF _Toc114760395 \h </w:instrText>
      </w:r>
      <w:r>
        <w:fldChar w:fldCharType="separate"/>
      </w:r>
      <w:r>
        <w:t>25</w:t>
      </w:r>
      <w:r>
        <w:fldChar w:fldCharType="end"/>
      </w:r>
      <w:r>
        <w:fldChar w:fldCharType="end"/>
      </w:r>
    </w:p>
    <w:p w14:paraId="18CCCCF1">
      <w:pPr>
        <w:pStyle w:val="17"/>
        <w:tabs>
          <w:tab w:val="right" w:leader="dot" w:pos="9736"/>
        </w:tabs>
        <w:spacing w:line="360" w:lineRule="auto"/>
        <w:rPr>
          <w:szCs w:val="22"/>
        </w:rPr>
      </w:pPr>
      <w:r>
        <w:fldChar w:fldCharType="begin"/>
      </w:r>
      <w:r>
        <w:instrText xml:space="preserve"> HYPERLINK \l "_Toc114760396" </w:instrText>
      </w:r>
      <w:r>
        <w:fldChar w:fldCharType="separate"/>
      </w:r>
      <w:r>
        <w:rPr>
          <w:rStyle w:val="25"/>
          <w:rFonts w:hint="eastAsia" w:asciiTheme="minorEastAsia" w:hAnsiTheme="minorEastAsia" w:cstheme="minorEastAsia"/>
        </w:rPr>
        <w:t>一、响应函</w:t>
      </w:r>
      <w:r>
        <w:tab/>
      </w:r>
      <w:r>
        <w:fldChar w:fldCharType="begin"/>
      </w:r>
      <w:r>
        <w:instrText xml:space="preserve"> PAGEREF _Toc114760396 \h </w:instrText>
      </w:r>
      <w:r>
        <w:fldChar w:fldCharType="separate"/>
      </w:r>
      <w:r>
        <w:t>26</w:t>
      </w:r>
      <w:r>
        <w:fldChar w:fldCharType="end"/>
      </w:r>
      <w:r>
        <w:fldChar w:fldCharType="end"/>
      </w:r>
    </w:p>
    <w:p w14:paraId="2A151003">
      <w:pPr>
        <w:pStyle w:val="17"/>
        <w:tabs>
          <w:tab w:val="right" w:leader="dot" w:pos="9736"/>
        </w:tabs>
        <w:spacing w:line="360" w:lineRule="auto"/>
        <w:rPr>
          <w:szCs w:val="22"/>
        </w:rPr>
      </w:pPr>
      <w:r>
        <w:fldChar w:fldCharType="begin"/>
      </w:r>
      <w:r>
        <w:instrText xml:space="preserve"> HYPERLINK \l "_Toc114760397" </w:instrText>
      </w:r>
      <w:r>
        <w:fldChar w:fldCharType="separate"/>
      </w:r>
      <w:r>
        <w:rPr>
          <w:rStyle w:val="25"/>
          <w:rFonts w:hint="eastAsia" w:asciiTheme="minorEastAsia" w:hAnsiTheme="minorEastAsia" w:cstheme="minorEastAsia"/>
        </w:rPr>
        <w:t>二、响应函附录</w:t>
      </w:r>
      <w:r>
        <w:tab/>
      </w:r>
      <w:r>
        <w:fldChar w:fldCharType="begin"/>
      </w:r>
      <w:r>
        <w:instrText xml:space="preserve"> PAGEREF _Toc114760397 \h </w:instrText>
      </w:r>
      <w:r>
        <w:fldChar w:fldCharType="separate"/>
      </w:r>
      <w:r>
        <w:t>27</w:t>
      </w:r>
      <w:r>
        <w:fldChar w:fldCharType="end"/>
      </w:r>
      <w:r>
        <w:fldChar w:fldCharType="end"/>
      </w:r>
    </w:p>
    <w:p w14:paraId="0ADCC47F">
      <w:pPr>
        <w:pStyle w:val="17"/>
        <w:tabs>
          <w:tab w:val="right" w:leader="dot" w:pos="9736"/>
        </w:tabs>
        <w:spacing w:line="360" w:lineRule="auto"/>
        <w:rPr>
          <w:szCs w:val="22"/>
        </w:rPr>
      </w:pPr>
      <w:r>
        <w:fldChar w:fldCharType="begin"/>
      </w:r>
      <w:r>
        <w:instrText xml:space="preserve"> HYPERLINK \l "_Toc114760398" </w:instrText>
      </w:r>
      <w:r>
        <w:fldChar w:fldCharType="separate"/>
      </w:r>
      <w:r>
        <w:rPr>
          <w:rStyle w:val="25"/>
          <w:rFonts w:hint="eastAsia" w:asciiTheme="minorEastAsia" w:hAnsiTheme="minorEastAsia" w:cstheme="minorEastAsia"/>
        </w:rPr>
        <w:t>三、法定代表人身份证明</w:t>
      </w:r>
      <w:r>
        <w:tab/>
      </w:r>
      <w:r>
        <w:fldChar w:fldCharType="begin"/>
      </w:r>
      <w:r>
        <w:instrText xml:space="preserve"> PAGEREF _Toc114760398 \h </w:instrText>
      </w:r>
      <w:r>
        <w:fldChar w:fldCharType="separate"/>
      </w:r>
      <w:r>
        <w:t>28</w:t>
      </w:r>
      <w:r>
        <w:fldChar w:fldCharType="end"/>
      </w:r>
      <w:r>
        <w:fldChar w:fldCharType="end"/>
      </w:r>
    </w:p>
    <w:p w14:paraId="374C795F">
      <w:pPr>
        <w:pStyle w:val="17"/>
        <w:tabs>
          <w:tab w:val="right" w:leader="dot" w:pos="9736"/>
        </w:tabs>
        <w:spacing w:line="360" w:lineRule="auto"/>
        <w:rPr>
          <w:szCs w:val="22"/>
        </w:rPr>
      </w:pPr>
      <w:r>
        <w:fldChar w:fldCharType="begin"/>
      </w:r>
      <w:r>
        <w:instrText xml:space="preserve"> HYPERLINK \l "_Toc114760399" </w:instrText>
      </w:r>
      <w:r>
        <w:fldChar w:fldCharType="separate"/>
      </w:r>
      <w:r>
        <w:rPr>
          <w:rStyle w:val="25"/>
          <w:rFonts w:hint="eastAsia" w:asciiTheme="minorEastAsia" w:hAnsiTheme="minorEastAsia" w:cstheme="minorEastAsia"/>
        </w:rPr>
        <w:t>四、授权委托书</w:t>
      </w:r>
      <w:r>
        <w:tab/>
      </w:r>
      <w:r>
        <w:fldChar w:fldCharType="begin"/>
      </w:r>
      <w:r>
        <w:instrText xml:space="preserve"> PAGEREF _Toc114760399 \h </w:instrText>
      </w:r>
      <w:r>
        <w:fldChar w:fldCharType="separate"/>
      </w:r>
      <w:r>
        <w:t>29</w:t>
      </w:r>
      <w:r>
        <w:fldChar w:fldCharType="end"/>
      </w:r>
      <w:r>
        <w:fldChar w:fldCharType="end"/>
      </w:r>
    </w:p>
    <w:p w14:paraId="7A83CC78">
      <w:pPr>
        <w:pStyle w:val="17"/>
        <w:tabs>
          <w:tab w:val="right" w:leader="dot" w:pos="9736"/>
        </w:tabs>
        <w:spacing w:line="360" w:lineRule="auto"/>
        <w:rPr>
          <w:szCs w:val="22"/>
        </w:rPr>
      </w:pPr>
      <w:r>
        <w:fldChar w:fldCharType="begin"/>
      </w:r>
      <w:r>
        <w:instrText xml:space="preserve"> HYPERLINK \l "_Toc114760400" </w:instrText>
      </w:r>
      <w:r>
        <w:fldChar w:fldCharType="separate"/>
      </w:r>
      <w:r>
        <w:rPr>
          <w:rStyle w:val="25"/>
          <w:rFonts w:hint="eastAsia" w:asciiTheme="minorEastAsia" w:hAnsiTheme="minorEastAsia" w:cstheme="minorEastAsia"/>
        </w:rPr>
        <w:t>五、供应商资格证明文件</w:t>
      </w:r>
      <w:r>
        <w:tab/>
      </w:r>
      <w:r>
        <w:fldChar w:fldCharType="begin"/>
      </w:r>
      <w:r>
        <w:instrText xml:space="preserve"> PAGEREF _Toc114760400 \h </w:instrText>
      </w:r>
      <w:r>
        <w:fldChar w:fldCharType="separate"/>
      </w:r>
      <w:r>
        <w:t>30</w:t>
      </w:r>
      <w:r>
        <w:fldChar w:fldCharType="end"/>
      </w:r>
      <w:r>
        <w:fldChar w:fldCharType="end"/>
      </w:r>
    </w:p>
    <w:p w14:paraId="002A639B">
      <w:pPr>
        <w:pStyle w:val="17"/>
        <w:tabs>
          <w:tab w:val="right" w:leader="dot" w:pos="9736"/>
        </w:tabs>
        <w:spacing w:line="360" w:lineRule="auto"/>
        <w:rPr>
          <w:szCs w:val="22"/>
        </w:rPr>
      </w:pPr>
      <w:r>
        <w:fldChar w:fldCharType="begin"/>
      </w:r>
      <w:r>
        <w:instrText xml:space="preserve"> HYPERLINK \l "_Toc114760401" </w:instrText>
      </w:r>
      <w:r>
        <w:fldChar w:fldCharType="separate"/>
      </w:r>
      <w:r>
        <w:rPr>
          <w:rStyle w:val="25"/>
          <w:rFonts w:hint="eastAsia" w:asciiTheme="minorEastAsia" w:hAnsiTheme="minorEastAsia" w:cstheme="minorEastAsia"/>
        </w:rPr>
        <w:t>六、本项目服务方案及实施计划</w:t>
      </w:r>
      <w:r>
        <w:tab/>
      </w:r>
      <w:r>
        <w:fldChar w:fldCharType="begin"/>
      </w:r>
      <w:r>
        <w:instrText xml:space="preserve"> PAGEREF _Toc114760401 \h </w:instrText>
      </w:r>
      <w:r>
        <w:fldChar w:fldCharType="separate"/>
      </w:r>
      <w:r>
        <w:t>31</w:t>
      </w:r>
      <w:r>
        <w:fldChar w:fldCharType="end"/>
      </w:r>
      <w:r>
        <w:fldChar w:fldCharType="end"/>
      </w:r>
    </w:p>
    <w:p w14:paraId="6427DF91">
      <w:pPr>
        <w:pStyle w:val="17"/>
        <w:tabs>
          <w:tab w:val="right" w:leader="dot" w:pos="9736"/>
        </w:tabs>
        <w:spacing w:line="360" w:lineRule="auto"/>
        <w:rPr>
          <w:szCs w:val="22"/>
        </w:rPr>
      </w:pPr>
      <w:r>
        <w:fldChar w:fldCharType="begin"/>
      </w:r>
      <w:r>
        <w:instrText xml:space="preserve"> HYPERLINK \l "_Toc114760402" </w:instrText>
      </w:r>
      <w:r>
        <w:fldChar w:fldCharType="separate"/>
      </w:r>
      <w:r>
        <w:rPr>
          <w:rStyle w:val="25"/>
          <w:rFonts w:hint="eastAsia" w:asciiTheme="minorEastAsia" w:hAnsiTheme="minorEastAsia" w:cstheme="minorEastAsia"/>
        </w:rPr>
        <w:t>七、其他材料</w:t>
      </w:r>
      <w:r>
        <w:tab/>
      </w:r>
      <w:r>
        <w:fldChar w:fldCharType="begin"/>
      </w:r>
      <w:r>
        <w:instrText xml:space="preserve"> PAGEREF _Toc114760402 \h </w:instrText>
      </w:r>
      <w:r>
        <w:fldChar w:fldCharType="separate"/>
      </w:r>
      <w:r>
        <w:t>32</w:t>
      </w:r>
      <w:r>
        <w:fldChar w:fldCharType="end"/>
      </w:r>
      <w:r>
        <w:fldChar w:fldCharType="end"/>
      </w:r>
    </w:p>
    <w:p w14:paraId="7AC50595">
      <w:pPr>
        <w:spacing w:line="360" w:lineRule="auto"/>
        <w:rPr>
          <w:rFonts w:asciiTheme="minorEastAsia" w:hAnsiTheme="minorEastAsia" w:cstheme="minorEastAsia"/>
        </w:rPr>
      </w:pPr>
      <w:r>
        <w:rPr>
          <w:rFonts w:hint="eastAsia" w:asciiTheme="minorEastAsia" w:hAnsiTheme="minorEastAsia" w:cstheme="minorEastAsia"/>
        </w:rPr>
        <w:fldChar w:fldCharType="end"/>
      </w:r>
    </w:p>
    <w:p w14:paraId="219DFB62">
      <w:pPr>
        <w:rPr>
          <w:rFonts w:asciiTheme="minorEastAsia" w:hAnsiTheme="minorEastAsia" w:cstheme="minorEastAsia"/>
        </w:rPr>
      </w:pPr>
    </w:p>
    <w:p w14:paraId="0964F6C0">
      <w:pPr>
        <w:rPr>
          <w:rFonts w:asciiTheme="minorEastAsia" w:hAnsiTheme="minorEastAsia" w:cstheme="minorEastAsia"/>
        </w:rPr>
      </w:pPr>
    </w:p>
    <w:p w14:paraId="307E081F">
      <w:pPr>
        <w:rPr>
          <w:rFonts w:asciiTheme="minorEastAsia" w:hAnsiTheme="minorEastAsia" w:cstheme="minorEastAsia"/>
        </w:rPr>
      </w:pPr>
    </w:p>
    <w:p w14:paraId="3EDE8AB3">
      <w:pPr>
        <w:rPr>
          <w:rFonts w:asciiTheme="minorEastAsia" w:hAnsiTheme="minorEastAsia" w:cstheme="minorEastAsia"/>
        </w:rPr>
      </w:pPr>
    </w:p>
    <w:p w14:paraId="2A8FE1C8">
      <w:pPr>
        <w:rPr>
          <w:rFonts w:asciiTheme="minorEastAsia" w:hAnsiTheme="minorEastAsia" w:cstheme="minorEastAsia"/>
        </w:rPr>
      </w:pPr>
    </w:p>
    <w:p w14:paraId="2D480870">
      <w:pPr>
        <w:rPr>
          <w:rFonts w:asciiTheme="minorEastAsia" w:hAnsiTheme="minorEastAsia" w:cstheme="minorEastAsia"/>
        </w:rPr>
      </w:pPr>
    </w:p>
    <w:p w14:paraId="56EA8D1E">
      <w:pPr>
        <w:pStyle w:val="2"/>
        <w:spacing w:before="240" w:after="240"/>
        <w:jc w:val="center"/>
        <w:rPr>
          <w:rFonts w:hint="eastAsia" w:asciiTheme="minorEastAsia" w:hAnsiTheme="minorEastAsia" w:cstheme="minorEastAsia"/>
          <w:sz w:val="30"/>
          <w:szCs w:val="30"/>
        </w:rPr>
        <w:sectPr>
          <w:footerReference r:id="rId4" w:type="default"/>
          <w:footerReference r:id="rId5" w:type="even"/>
          <w:pgSz w:w="11906" w:h="16838"/>
          <w:pgMar w:top="1440" w:right="1803" w:bottom="1440" w:left="1800" w:header="851" w:footer="992" w:gutter="0"/>
          <w:cols w:space="720" w:num="1"/>
          <w:docGrid w:type="lines" w:linePitch="312" w:charSpace="0"/>
        </w:sectPr>
      </w:pPr>
      <w:bookmarkStart w:id="0" w:name="_Toc114760388"/>
    </w:p>
    <w:p w14:paraId="66B9E537">
      <w:pPr>
        <w:pStyle w:val="2"/>
        <w:spacing w:before="240" w:after="240"/>
        <w:jc w:val="center"/>
        <w:rPr>
          <w:rFonts w:asciiTheme="minorEastAsia" w:hAnsiTheme="minorEastAsia" w:cstheme="minorEastAsia"/>
          <w:sz w:val="30"/>
          <w:szCs w:val="30"/>
        </w:rPr>
      </w:pPr>
      <w:r>
        <w:rPr>
          <w:rFonts w:hint="eastAsia" w:asciiTheme="minorEastAsia" w:hAnsiTheme="minorEastAsia" w:cstheme="minorEastAsia"/>
          <w:sz w:val="30"/>
          <w:szCs w:val="30"/>
        </w:rPr>
        <w:t>第一章 单一来源邀请函</w:t>
      </w:r>
      <w:bookmarkEnd w:id="0"/>
    </w:p>
    <w:p w14:paraId="2BD74DFE">
      <w:pPr>
        <w:jc w:val="center"/>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开封市生态环境局大气颗粒物组分监测设备租赁及运维服务项目</w:t>
      </w:r>
    </w:p>
    <w:p w14:paraId="5884F4BC">
      <w:pPr>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单一来源邀请函</w:t>
      </w:r>
    </w:p>
    <w:p w14:paraId="166FC833">
      <w:pPr>
        <w:spacing w:line="360" w:lineRule="auto"/>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rPr>
        <w:t>致：</w:t>
      </w:r>
    </w:p>
    <w:p w14:paraId="2E914B75">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根据《中华人民共和国政府采购法》及《政府采购非招标采购方式管理办法》等有关规定，</w:t>
      </w:r>
      <w:r>
        <w:rPr>
          <w:rFonts w:hint="eastAsia" w:asciiTheme="minorEastAsia" w:hAnsiTheme="minorEastAsia" w:cstheme="minorEastAsia"/>
          <w:szCs w:val="21"/>
          <w:lang w:val="en-US" w:eastAsia="zh-CN"/>
        </w:rPr>
        <w:t>信投为华企业管理（河南）有限公司</w:t>
      </w:r>
      <w:r>
        <w:rPr>
          <w:rFonts w:hint="eastAsia" w:asciiTheme="minorEastAsia" w:hAnsiTheme="minorEastAsia" w:cstheme="minorEastAsia"/>
          <w:szCs w:val="21"/>
        </w:rPr>
        <w:t>受开封市生态环境局的委托，就开封市生态环境局大气颗粒物组分监测设备租赁及运维服务项目进行单一来源采购(</w:t>
      </w:r>
      <w:r>
        <w:rPr>
          <w:rFonts w:hint="eastAsia" w:asciiTheme="minorEastAsia" w:hAnsiTheme="minorEastAsia" w:cstheme="minorEastAsia"/>
          <w:szCs w:val="21"/>
          <w:highlight w:val="none"/>
        </w:rPr>
        <w:t>采购编号：</w:t>
      </w:r>
      <w:r>
        <w:rPr>
          <w:rFonts w:hint="eastAsia" w:asciiTheme="minorEastAsia" w:hAnsiTheme="minorEastAsia" w:cstheme="minorEastAsia"/>
          <w:b/>
          <w:bCs/>
          <w:szCs w:val="21"/>
          <w:highlight w:val="none"/>
        </w:rPr>
        <w:t>汴财单</w:t>
      </w:r>
      <w:r>
        <w:rPr>
          <w:rFonts w:hint="eastAsia" w:asciiTheme="minorEastAsia" w:hAnsiTheme="minorEastAsia" w:cstheme="minorEastAsia"/>
          <w:b/>
          <w:bCs/>
          <w:szCs w:val="21"/>
          <w:highlight w:val="none"/>
          <w:lang w:val="en-US" w:eastAsia="zh-CN"/>
        </w:rPr>
        <w:t>一</w:t>
      </w:r>
      <w:r>
        <w:rPr>
          <w:rFonts w:hint="eastAsia" w:asciiTheme="minorEastAsia" w:hAnsiTheme="minorEastAsia" w:cstheme="minorEastAsia"/>
          <w:b/>
          <w:bCs/>
          <w:szCs w:val="21"/>
          <w:highlight w:val="none"/>
        </w:rPr>
        <w:t>采购-2025-1</w:t>
      </w:r>
      <w:r>
        <w:rPr>
          <w:rFonts w:hint="eastAsia" w:asciiTheme="minorEastAsia" w:hAnsiTheme="minorEastAsia" w:cstheme="minorEastAsia"/>
          <w:szCs w:val="21"/>
          <w:lang w:val="en-US" w:eastAsia="zh-CN"/>
        </w:rPr>
        <w:t xml:space="preserve"> </w:t>
      </w:r>
      <w:r>
        <w:rPr>
          <w:rFonts w:hint="eastAsia" w:asciiTheme="minorEastAsia" w:hAnsiTheme="minorEastAsia" w:cstheme="minorEastAsia"/>
          <w:szCs w:val="21"/>
        </w:rPr>
        <w:t>)，现邀请贵</w:t>
      </w:r>
      <w:r>
        <w:rPr>
          <w:rFonts w:hint="eastAsia" w:asciiTheme="minorEastAsia" w:hAnsiTheme="minorEastAsia" w:cstheme="minorEastAsia"/>
          <w:szCs w:val="21"/>
          <w:lang w:val="en-US" w:eastAsia="zh-CN"/>
        </w:rPr>
        <w:t>单位</w:t>
      </w:r>
      <w:r>
        <w:rPr>
          <w:rFonts w:hint="eastAsia" w:asciiTheme="minorEastAsia" w:hAnsiTheme="minorEastAsia" w:cstheme="minorEastAsia"/>
          <w:szCs w:val="21"/>
        </w:rPr>
        <w:t>参加本次项目的投标，内容如下：</w:t>
      </w:r>
      <w:r>
        <w:rPr>
          <w:rFonts w:hint="eastAsia" w:asciiTheme="minorEastAsia" w:hAnsiTheme="minorEastAsia" w:cstheme="minorEastAsia"/>
          <w:szCs w:val="21"/>
        </w:rPr>
        <w:br w:type="textWrapping"/>
      </w:r>
      <w:r>
        <w:rPr>
          <w:rFonts w:hint="eastAsia" w:asciiTheme="minorEastAsia" w:hAnsiTheme="minorEastAsia" w:cstheme="minorEastAsia"/>
          <w:b/>
          <w:bCs/>
          <w:szCs w:val="21"/>
        </w:rPr>
        <w:t>一、采购项目名称：</w:t>
      </w:r>
      <w:r>
        <w:rPr>
          <w:rFonts w:hint="eastAsia" w:asciiTheme="minorEastAsia" w:hAnsiTheme="minorEastAsia" w:cstheme="minorEastAsia"/>
          <w:szCs w:val="21"/>
        </w:rPr>
        <w:t>开封市生态环境局大气颗粒物组分监测设备租赁及运维服务项目</w:t>
      </w:r>
    </w:p>
    <w:p w14:paraId="11559A3B">
      <w:pPr>
        <w:spacing w:line="360" w:lineRule="auto"/>
        <w:rPr>
          <w:rFonts w:hint="eastAsia" w:asciiTheme="minorEastAsia" w:hAnsiTheme="minorEastAsia" w:eastAsiaTheme="minorEastAsia" w:cstheme="minorEastAsia"/>
          <w:b w:val="0"/>
          <w:bCs w:val="0"/>
          <w:szCs w:val="21"/>
          <w:lang w:val="en-US" w:eastAsia="zh-CN"/>
        </w:rPr>
      </w:pPr>
      <w:r>
        <w:rPr>
          <w:rFonts w:hint="eastAsia" w:asciiTheme="minorEastAsia" w:hAnsiTheme="minorEastAsia" w:cstheme="minorEastAsia"/>
          <w:b/>
          <w:bCs/>
          <w:szCs w:val="21"/>
        </w:rPr>
        <w:t>二、</w:t>
      </w:r>
      <w:r>
        <w:rPr>
          <w:rFonts w:hint="eastAsia" w:asciiTheme="minorEastAsia" w:hAnsiTheme="minorEastAsia" w:cstheme="minorEastAsia"/>
          <w:b/>
          <w:bCs/>
          <w:szCs w:val="21"/>
          <w:highlight w:val="none"/>
        </w:rPr>
        <w:t>采购项目编号：汴财单</w:t>
      </w:r>
      <w:r>
        <w:rPr>
          <w:rFonts w:hint="eastAsia" w:asciiTheme="minorEastAsia" w:hAnsiTheme="minorEastAsia" w:cstheme="minorEastAsia"/>
          <w:b/>
          <w:bCs/>
          <w:szCs w:val="21"/>
          <w:highlight w:val="none"/>
          <w:lang w:val="en-US" w:eastAsia="zh-CN"/>
        </w:rPr>
        <w:t>一</w:t>
      </w:r>
      <w:r>
        <w:rPr>
          <w:rFonts w:hint="eastAsia" w:asciiTheme="minorEastAsia" w:hAnsiTheme="minorEastAsia" w:cstheme="minorEastAsia"/>
          <w:b/>
          <w:bCs/>
          <w:szCs w:val="21"/>
          <w:highlight w:val="none"/>
        </w:rPr>
        <w:t>采购-2025-1</w:t>
      </w:r>
    </w:p>
    <w:p w14:paraId="1F8DC09D">
      <w:pPr>
        <w:spacing w:line="360" w:lineRule="auto"/>
        <w:rPr>
          <w:rFonts w:hint="eastAsia" w:asciiTheme="minorEastAsia" w:hAnsiTheme="minorEastAsia" w:cstheme="minorEastAsia"/>
          <w:szCs w:val="21"/>
        </w:rPr>
      </w:pPr>
      <w:r>
        <w:rPr>
          <w:rFonts w:hint="eastAsia" w:asciiTheme="minorEastAsia" w:hAnsiTheme="minorEastAsia" w:cstheme="minorEastAsia"/>
          <w:b/>
          <w:bCs/>
          <w:szCs w:val="21"/>
        </w:rPr>
        <w:t>三、采购项目内容：</w:t>
      </w:r>
      <w:r>
        <w:rPr>
          <w:rFonts w:hint="eastAsia" w:asciiTheme="minorEastAsia" w:hAnsiTheme="minorEastAsia" w:cstheme="minorEastAsia"/>
          <w:szCs w:val="21"/>
        </w:rPr>
        <w:t>开封市生态环境局大气颗粒物组分监测设备租赁及运维服务</w:t>
      </w:r>
    </w:p>
    <w:p w14:paraId="702912B2">
      <w:pPr>
        <w:spacing w:line="360" w:lineRule="auto"/>
        <w:ind w:firstLine="1890" w:firstLineChars="900"/>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服务期限1年</w:t>
      </w:r>
    </w:p>
    <w:p w14:paraId="3FD735AF">
      <w:pPr>
        <w:spacing w:line="360" w:lineRule="auto"/>
        <w:rPr>
          <w:rFonts w:asciiTheme="minorEastAsia" w:hAnsiTheme="minorEastAsia" w:cstheme="minorEastAsia"/>
          <w:b/>
          <w:bCs/>
          <w:szCs w:val="21"/>
        </w:rPr>
      </w:pPr>
      <w:r>
        <w:rPr>
          <w:rFonts w:hint="eastAsia" w:asciiTheme="minorEastAsia" w:hAnsiTheme="minorEastAsia" w:cstheme="minorEastAsia"/>
          <w:b/>
          <w:bCs/>
          <w:szCs w:val="21"/>
        </w:rPr>
        <w:t>四、采购预算：</w:t>
      </w:r>
      <w:r>
        <w:rPr>
          <w:rFonts w:hint="eastAsia" w:asciiTheme="minorEastAsia" w:hAnsiTheme="minorEastAsia" w:cstheme="minorEastAsia"/>
          <w:szCs w:val="21"/>
          <w:lang w:val="en-US" w:eastAsia="zh-CN"/>
        </w:rPr>
        <w:t>750000.00</w:t>
      </w:r>
      <w:r>
        <w:rPr>
          <w:rFonts w:hint="eastAsia" w:asciiTheme="minorEastAsia" w:hAnsiTheme="minorEastAsia" w:cstheme="minorEastAsia"/>
          <w:szCs w:val="21"/>
        </w:rPr>
        <w:t>元,响应报价高于采购预算的，按无效响应处理</w:t>
      </w:r>
      <w:r>
        <w:rPr>
          <w:rFonts w:hint="eastAsia" w:asciiTheme="minorEastAsia" w:hAnsiTheme="minorEastAsia" w:cstheme="minorEastAsia"/>
          <w:szCs w:val="21"/>
        </w:rPr>
        <w:br w:type="textWrapping"/>
      </w:r>
      <w:r>
        <w:rPr>
          <w:rFonts w:hint="eastAsia" w:asciiTheme="minorEastAsia" w:hAnsiTheme="minorEastAsia" w:cstheme="minorEastAsia"/>
          <w:b/>
          <w:bCs/>
          <w:szCs w:val="21"/>
        </w:rPr>
        <w:t>五、采购方式：</w:t>
      </w:r>
      <w:r>
        <w:rPr>
          <w:rFonts w:hint="eastAsia" w:asciiTheme="minorEastAsia" w:hAnsiTheme="minorEastAsia" w:cstheme="minorEastAsia"/>
          <w:szCs w:val="21"/>
        </w:rPr>
        <w:t>单一来源采购</w:t>
      </w:r>
      <w:r>
        <w:rPr>
          <w:rFonts w:hint="eastAsia" w:asciiTheme="minorEastAsia" w:hAnsiTheme="minorEastAsia" w:cstheme="minorEastAsia"/>
          <w:szCs w:val="21"/>
        </w:rPr>
        <w:br w:type="textWrapping"/>
      </w:r>
      <w:r>
        <w:rPr>
          <w:rFonts w:hint="eastAsia" w:asciiTheme="minorEastAsia" w:hAnsiTheme="minorEastAsia" w:cstheme="minorEastAsia"/>
          <w:b/>
          <w:bCs/>
          <w:szCs w:val="21"/>
        </w:rPr>
        <w:t>六、供应商资格要求：</w:t>
      </w:r>
    </w:p>
    <w:p w14:paraId="2EBD0E38">
      <w:pPr>
        <w:widowControl/>
        <w:shd w:val="clear" w:color="auto" w:fill="FFFFFF"/>
        <w:spacing w:line="360" w:lineRule="auto"/>
        <w:ind w:firstLine="420" w:firstLineChars="200"/>
        <w:jc w:val="left"/>
        <w:rPr>
          <w:rFonts w:asciiTheme="minorEastAsia" w:hAnsiTheme="minorEastAsia" w:cstheme="minorEastAsia"/>
          <w:kern w:val="0"/>
          <w:szCs w:val="21"/>
        </w:rPr>
      </w:pPr>
      <w:r>
        <w:rPr>
          <w:rFonts w:hint="eastAsia" w:asciiTheme="minorEastAsia" w:hAnsiTheme="minorEastAsia" w:cstheme="minorEastAsia"/>
          <w:kern w:val="0"/>
          <w:szCs w:val="21"/>
        </w:rPr>
        <w:t>1.符合《中华人民共和国政府采购法》第二十二条要求，并提供以下材料：</w:t>
      </w:r>
    </w:p>
    <w:p w14:paraId="337D2C46">
      <w:pPr>
        <w:widowControl/>
        <w:shd w:val="clear" w:color="auto" w:fill="FFFFFF"/>
        <w:spacing w:line="360" w:lineRule="auto"/>
        <w:ind w:firstLine="688" w:firstLineChars="328"/>
        <w:jc w:val="left"/>
        <w:rPr>
          <w:rFonts w:asciiTheme="minorEastAsia" w:hAnsiTheme="minorEastAsia" w:cstheme="minorEastAsia"/>
          <w:kern w:val="0"/>
          <w:szCs w:val="21"/>
        </w:rPr>
      </w:pPr>
      <w:r>
        <w:rPr>
          <w:rFonts w:hint="eastAsia" w:asciiTheme="minorEastAsia" w:hAnsiTheme="minorEastAsia" w:cstheme="minorEastAsia"/>
          <w:kern w:val="0"/>
          <w:szCs w:val="21"/>
        </w:rPr>
        <w:t xml:space="preserve"> 1.1供应商须具有独立承担民事责任的能力，具有有效的营业执照。</w:t>
      </w:r>
    </w:p>
    <w:p w14:paraId="716467DC">
      <w:pPr>
        <w:widowControl/>
        <w:shd w:val="clear" w:color="auto" w:fill="FFFFFF"/>
        <w:spacing w:line="360" w:lineRule="auto"/>
        <w:ind w:firstLine="840" w:firstLineChars="400"/>
        <w:jc w:val="left"/>
        <w:rPr>
          <w:rFonts w:hint="eastAsia" w:asciiTheme="minorEastAsia" w:hAnsiTheme="minorEastAsia" w:eastAsiaTheme="minorEastAsia" w:cstheme="minorEastAsia"/>
          <w:kern w:val="0"/>
          <w:szCs w:val="21"/>
          <w:lang w:eastAsia="zh-CN"/>
        </w:rPr>
      </w:pPr>
      <w:r>
        <w:rPr>
          <w:rFonts w:hint="eastAsia" w:asciiTheme="minorEastAsia" w:hAnsiTheme="minorEastAsia" w:cstheme="minorEastAsia"/>
          <w:kern w:val="0"/>
          <w:szCs w:val="21"/>
        </w:rPr>
        <w:t>1.2供应商须提供经审计的202</w:t>
      </w:r>
      <w:r>
        <w:rPr>
          <w:rFonts w:hint="eastAsia" w:asciiTheme="minorEastAsia" w:hAnsiTheme="minorEastAsia" w:cstheme="minorEastAsia"/>
          <w:kern w:val="0"/>
          <w:szCs w:val="21"/>
          <w:lang w:val="en-US" w:eastAsia="zh-CN"/>
        </w:rPr>
        <w:t>2</w:t>
      </w:r>
      <w:r>
        <w:rPr>
          <w:rFonts w:hint="eastAsia" w:asciiTheme="minorEastAsia" w:hAnsiTheme="minorEastAsia" w:cstheme="minorEastAsia"/>
          <w:kern w:val="0"/>
          <w:szCs w:val="21"/>
        </w:rPr>
        <w:t>年度</w:t>
      </w:r>
      <w:r>
        <w:rPr>
          <w:rFonts w:hint="eastAsia" w:asciiTheme="minorEastAsia" w:hAnsiTheme="minorEastAsia" w:cstheme="minorEastAsia"/>
          <w:kern w:val="0"/>
          <w:szCs w:val="21"/>
          <w:lang w:val="en-US" w:eastAsia="zh-CN"/>
        </w:rPr>
        <w:t>或2023年度</w:t>
      </w:r>
      <w:r>
        <w:rPr>
          <w:rFonts w:hint="eastAsia" w:asciiTheme="minorEastAsia" w:hAnsiTheme="minorEastAsia" w:cstheme="minorEastAsia"/>
          <w:kern w:val="0"/>
          <w:szCs w:val="21"/>
        </w:rPr>
        <w:t>财务报告</w:t>
      </w:r>
      <w:r>
        <w:rPr>
          <w:rFonts w:hint="eastAsia" w:asciiTheme="minorEastAsia" w:hAnsiTheme="minorEastAsia" w:cstheme="minorEastAsia"/>
          <w:kern w:val="0"/>
          <w:szCs w:val="21"/>
          <w:lang w:eastAsia="zh-CN"/>
        </w:rPr>
        <w:t>。</w:t>
      </w:r>
    </w:p>
    <w:p w14:paraId="3D97DEA0">
      <w:pPr>
        <w:widowControl/>
        <w:shd w:val="clear" w:color="auto" w:fill="FFFFFF"/>
        <w:spacing w:line="360" w:lineRule="auto"/>
        <w:ind w:firstLine="840" w:firstLineChars="400"/>
        <w:jc w:val="left"/>
        <w:rPr>
          <w:rFonts w:asciiTheme="minorEastAsia" w:hAnsiTheme="minorEastAsia" w:cstheme="minorEastAsia"/>
          <w:kern w:val="0"/>
          <w:szCs w:val="21"/>
        </w:rPr>
      </w:pPr>
      <w:r>
        <w:rPr>
          <w:rFonts w:hint="eastAsia" w:asciiTheme="minorEastAsia" w:hAnsiTheme="minorEastAsia" w:cstheme="minorEastAsia"/>
          <w:kern w:val="0"/>
          <w:szCs w:val="21"/>
        </w:rPr>
        <w:t>1.3供应商须有依法缴纳税收和社会保险的相关材料（提供202</w:t>
      </w:r>
      <w:r>
        <w:rPr>
          <w:rFonts w:hint="eastAsia" w:asciiTheme="minorEastAsia" w:hAnsiTheme="minorEastAsia" w:cstheme="minorEastAsia"/>
          <w:kern w:val="0"/>
          <w:szCs w:val="21"/>
          <w:lang w:val="en-US" w:eastAsia="zh-CN"/>
        </w:rPr>
        <w:t>4</w:t>
      </w:r>
      <w:r>
        <w:rPr>
          <w:rFonts w:hint="eastAsia" w:asciiTheme="minorEastAsia" w:hAnsiTheme="minorEastAsia" w:cstheme="minorEastAsia"/>
          <w:kern w:val="0"/>
          <w:szCs w:val="21"/>
        </w:rPr>
        <w:t>年1月以来任意1个月的纳税凭证和社保证明）。</w:t>
      </w:r>
    </w:p>
    <w:p w14:paraId="4405E25F">
      <w:pPr>
        <w:widowControl/>
        <w:shd w:val="clear" w:color="auto" w:fill="FFFFFF"/>
        <w:spacing w:line="360" w:lineRule="auto"/>
        <w:ind w:firstLine="840" w:firstLineChars="400"/>
        <w:jc w:val="left"/>
        <w:rPr>
          <w:rFonts w:asciiTheme="minorEastAsia" w:hAnsiTheme="minorEastAsia" w:cstheme="minorEastAsia"/>
          <w:kern w:val="0"/>
          <w:szCs w:val="21"/>
        </w:rPr>
      </w:pPr>
      <w:r>
        <w:rPr>
          <w:rFonts w:hint="eastAsia" w:asciiTheme="minorEastAsia" w:hAnsiTheme="minorEastAsia" w:cstheme="minorEastAsia"/>
          <w:kern w:val="0"/>
          <w:szCs w:val="21"/>
        </w:rPr>
        <w:t>1.4供应商须出具参加政府采购活动前三年内在经营活动中没有重大违法记录的书面声明（提供声明函，格式自拟）。</w:t>
      </w:r>
    </w:p>
    <w:p w14:paraId="64B60551">
      <w:pPr>
        <w:widowControl/>
        <w:shd w:val="clear" w:color="auto" w:fill="FFFFFF"/>
        <w:spacing w:line="360" w:lineRule="auto"/>
        <w:ind w:firstLine="688" w:firstLineChars="328"/>
        <w:jc w:val="left"/>
        <w:rPr>
          <w:rFonts w:asciiTheme="minorEastAsia" w:hAnsiTheme="minorEastAsia" w:cstheme="minorEastAsia"/>
          <w:kern w:val="0"/>
          <w:szCs w:val="21"/>
        </w:rPr>
      </w:pPr>
      <w:r>
        <w:rPr>
          <w:rFonts w:hint="eastAsia" w:asciiTheme="minorEastAsia" w:hAnsiTheme="minorEastAsia" w:cstheme="minorEastAsia"/>
          <w:kern w:val="0"/>
          <w:szCs w:val="21"/>
        </w:rPr>
        <w:t xml:space="preserve"> 1.5供应商须具有履行合同所必需的设备和专业技术能力（提供声明函，格式自拟）。</w:t>
      </w:r>
    </w:p>
    <w:p w14:paraId="78995E76">
      <w:pPr>
        <w:spacing w:line="360" w:lineRule="auto"/>
        <w:ind w:firstLine="420" w:firstLineChars="200"/>
        <w:rPr>
          <w:rFonts w:asciiTheme="minorEastAsia" w:hAnsiTheme="minorEastAsia" w:cstheme="minorEastAsia"/>
          <w:kern w:val="0"/>
          <w:szCs w:val="21"/>
        </w:rPr>
      </w:pPr>
      <w:r>
        <w:rPr>
          <w:rFonts w:hint="eastAsia" w:asciiTheme="minorEastAsia" w:hAnsiTheme="minorEastAsia" w:cstheme="minorEastAsia"/>
          <w:szCs w:val="21"/>
        </w:rPr>
        <w:t>2.</w:t>
      </w:r>
      <w:r>
        <w:rPr>
          <w:rFonts w:hint="eastAsia" w:asciiTheme="minorEastAsia" w:hAnsiTheme="minorEastAsia" w:cstheme="minorEastAsia"/>
          <w:kern w:val="0"/>
          <w:szCs w:val="21"/>
        </w:rPr>
        <w:t>根据《关于在政府采购活动中查询及使用信用记录有关问题的通知》(财库[2016]125 号)的规定，对列入失信被执行人、重大税收违法案件当事人名单、政府采购严重违法失信行为记录名单及其他不符合《中华人民共和国政府采购法》第二十二条规定条件的供应商，拒绝参与本项目政府采购活动。【提供“中国执行信息公开网”网站《失信被执行人》（查询对象：企业、法定代表人）”和“信用中国”网站《重大税收违法失信主体》（查询对象：企业）”以及“中国政府采购网”网站《政府采购严重违法失信行为记录名单》（查询对象：企业）的查询结果页面截图】</w:t>
      </w:r>
    </w:p>
    <w:p w14:paraId="76FD5820">
      <w:pPr>
        <w:spacing w:line="360" w:lineRule="auto"/>
        <w:rPr>
          <w:rFonts w:asciiTheme="minorEastAsia" w:hAnsiTheme="minorEastAsia" w:cstheme="minorEastAsia"/>
          <w:b/>
          <w:bCs/>
          <w:szCs w:val="21"/>
        </w:rPr>
      </w:pPr>
      <w:r>
        <w:rPr>
          <w:rFonts w:hint="eastAsia" w:asciiTheme="minorEastAsia" w:hAnsiTheme="minorEastAsia" w:cstheme="minorEastAsia"/>
          <w:b/>
          <w:bCs/>
          <w:szCs w:val="21"/>
        </w:rPr>
        <w:t>七、获取单一来源采购文件：</w:t>
      </w:r>
      <w:r>
        <w:rPr>
          <w:rFonts w:hint="eastAsia" w:asciiTheme="minorEastAsia" w:hAnsiTheme="minorEastAsia" w:cstheme="minorEastAsia"/>
          <w:szCs w:val="21"/>
        </w:rPr>
        <w:br w:type="textWrapping"/>
      </w:r>
      <w:r>
        <w:rPr>
          <w:rFonts w:hint="eastAsia" w:asciiTheme="minorEastAsia" w:hAnsiTheme="minorEastAsia" w:cstheme="minorEastAsia"/>
          <w:szCs w:val="21"/>
        </w:rPr>
        <w:t xml:space="preserve">    1.时间</w:t>
      </w:r>
      <w:r>
        <w:rPr>
          <w:rFonts w:hint="eastAsia" w:asciiTheme="minorEastAsia" w:hAnsiTheme="minorEastAsia" w:cstheme="minorEastAsia"/>
          <w:szCs w:val="21"/>
          <w:highlight w:val="none"/>
        </w:rPr>
        <w:t>：202</w:t>
      </w:r>
      <w:r>
        <w:rPr>
          <w:rFonts w:hint="eastAsia" w:asciiTheme="minorEastAsia" w:hAnsiTheme="minorEastAsia" w:cstheme="minorEastAsia"/>
          <w:szCs w:val="21"/>
          <w:highlight w:val="none"/>
          <w:lang w:val="en-US" w:eastAsia="zh-CN"/>
        </w:rPr>
        <w:t>5</w:t>
      </w:r>
      <w:r>
        <w:rPr>
          <w:rFonts w:hint="eastAsia" w:asciiTheme="minorEastAsia" w:hAnsiTheme="minorEastAsia" w:cstheme="minorEastAsia"/>
          <w:szCs w:val="21"/>
          <w:highlight w:val="none"/>
        </w:rPr>
        <w:t>年</w:t>
      </w:r>
      <w:r>
        <w:rPr>
          <w:rFonts w:hint="eastAsia" w:asciiTheme="minorEastAsia" w:hAnsiTheme="minorEastAsia" w:cstheme="minorEastAsia"/>
          <w:szCs w:val="21"/>
          <w:highlight w:val="none"/>
          <w:lang w:val="en-US" w:eastAsia="zh-CN"/>
        </w:rPr>
        <w:t>02</w:t>
      </w:r>
      <w:r>
        <w:rPr>
          <w:rFonts w:hint="eastAsia" w:asciiTheme="minorEastAsia" w:hAnsiTheme="minorEastAsia" w:cstheme="minorEastAsia"/>
          <w:szCs w:val="21"/>
          <w:highlight w:val="none"/>
        </w:rPr>
        <w:t>月</w:t>
      </w:r>
      <w:r>
        <w:rPr>
          <w:rFonts w:hint="eastAsia" w:asciiTheme="minorEastAsia" w:hAnsiTheme="minorEastAsia" w:cstheme="minorEastAsia"/>
          <w:szCs w:val="21"/>
          <w:highlight w:val="none"/>
          <w:lang w:val="en-US" w:eastAsia="zh-CN"/>
        </w:rPr>
        <w:t>19</w:t>
      </w:r>
      <w:r>
        <w:rPr>
          <w:rFonts w:hint="eastAsia" w:asciiTheme="minorEastAsia" w:hAnsiTheme="minorEastAsia" w:cstheme="minorEastAsia"/>
          <w:szCs w:val="21"/>
          <w:highlight w:val="none"/>
        </w:rPr>
        <w:t>日至 202</w:t>
      </w:r>
      <w:r>
        <w:rPr>
          <w:rFonts w:hint="eastAsia" w:asciiTheme="minorEastAsia" w:hAnsiTheme="minorEastAsia" w:cstheme="minorEastAsia"/>
          <w:szCs w:val="21"/>
          <w:highlight w:val="none"/>
          <w:lang w:val="en-US" w:eastAsia="zh-CN"/>
        </w:rPr>
        <w:t>5</w:t>
      </w:r>
      <w:r>
        <w:rPr>
          <w:rFonts w:hint="eastAsia" w:asciiTheme="minorEastAsia" w:hAnsiTheme="minorEastAsia" w:cstheme="minorEastAsia"/>
          <w:szCs w:val="21"/>
          <w:highlight w:val="none"/>
        </w:rPr>
        <w:t>年</w:t>
      </w:r>
      <w:r>
        <w:rPr>
          <w:rFonts w:hint="eastAsia" w:asciiTheme="minorEastAsia" w:hAnsiTheme="minorEastAsia" w:cstheme="minorEastAsia"/>
          <w:szCs w:val="21"/>
          <w:highlight w:val="none"/>
          <w:lang w:val="en-US" w:eastAsia="zh-CN"/>
        </w:rPr>
        <w:t>02</w:t>
      </w:r>
      <w:r>
        <w:rPr>
          <w:rFonts w:hint="eastAsia" w:asciiTheme="minorEastAsia" w:hAnsiTheme="minorEastAsia" w:cstheme="minorEastAsia"/>
          <w:szCs w:val="21"/>
          <w:highlight w:val="none"/>
        </w:rPr>
        <w:t>月</w:t>
      </w:r>
      <w:r>
        <w:rPr>
          <w:rFonts w:hint="eastAsia" w:asciiTheme="minorEastAsia" w:hAnsiTheme="minorEastAsia" w:cstheme="minorEastAsia"/>
          <w:szCs w:val="21"/>
          <w:highlight w:val="none"/>
          <w:lang w:val="en-US" w:eastAsia="zh-CN"/>
        </w:rPr>
        <w:t>21</w:t>
      </w:r>
      <w:r>
        <w:rPr>
          <w:rFonts w:hint="eastAsia" w:asciiTheme="minorEastAsia" w:hAnsiTheme="minorEastAsia" w:cstheme="minorEastAsia"/>
          <w:szCs w:val="21"/>
          <w:highlight w:val="none"/>
        </w:rPr>
        <w:t>日，</w:t>
      </w:r>
      <w:r>
        <w:rPr>
          <w:rFonts w:hint="eastAsia" w:asciiTheme="minorEastAsia" w:hAnsiTheme="minorEastAsia" w:cstheme="minorEastAsia"/>
          <w:szCs w:val="21"/>
        </w:rPr>
        <w:t>每天上午9：00至12:00，下午14:00至17:00（北京时间，法定节假日除外）。</w:t>
      </w:r>
      <w:r>
        <w:rPr>
          <w:rFonts w:hint="eastAsia" w:asciiTheme="minorEastAsia" w:hAnsiTheme="minorEastAsia" w:cstheme="minorEastAsia"/>
          <w:szCs w:val="21"/>
        </w:rPr>
        <w:br w:type="textWrapping"/>
      </w:r>
      <w:r>
        <w:rPr>
          <w:rFonts w:hint="eastAsia" w:asciiTheme="minorEastAsia" w:hAnsiTheme="minorEastAsia" w:cstheme="minorEastAsia"/>
          <w:szCs w:val="21"/>
        </w:rPr>
        <w:t xml:space="preserve">    2.方式：将第六项“供应商资格要求”中规定的材料以电子邮件的形式发送至</w:t>
      </w:r>
      <w:r>
        <w:rPr>
          <w:rFonts w:hint="eastAsia" w:asciiTheme="minorEastAsia" w:hAnsiTheme="minorEastAsia" w:cstheme="minorEastAsia"/>
          <w:szCs w:val="21"/>
          <w:lang w:val="en-US" w:eastAsia="zh-CN"/>
        </w:rPr>
        <w:t>xintouweihua@163</w:t>
      </w:r>
      <w:r>
        <w:rPr>
          <w:rFonts w:asciiTheme="minorEastAsia" w:hAnsiTheme="minorEastAsia" w:cstheme="minorEastAsia"/>
          <w:szCs w:val="21"/>
        </w:rPr>
        <w:t>.com</w:t>
      </w:r>
      <w:r>
        <w:rPr>
          <w:rFonts w:hint="eastAsia" w:asciiTheme="minorEastAsia" w:hAnsiTheme="minorEastAsia" w:cstheme="minorEastAsia"/>
          <w:szCs w:val="21"/>
        </w:rPr>
        <w:br w:type="textWrapping"/>
      </w:r>
      <w:r>
        <w:rPr>
          <w:rFonts w:hint="eastAsia" w:asciiTheme="minorEastAsia" w:hAnsiTheme="minorEastAsia" w:cstheme="minorEastAsia"/>
          <w:b/>
          <w:bCs/>
          <w:szCs w:val="21"/>
        </w:rPr>
        <w:t>八、参加协商会时间、地点：</w:t>
      </w:r>
      <w:r>
        <w:rPr>
          <w:rFonts w:hint="eastAsia" w:asciiTheme="minorEastAsia" w:hAnsiTheme="minorEastAsia" w:cstheme="minorEastAsia"/>
          <w:szCs w:val="21"/>
        </w:rPr>
        <w:br w:type="textWrapping"/>
      </w:r>
      <w:r>
        <w:rPr>
          <w:rFonts w:hint="eastAsia" w:asciiTheme="minorEastAsia" w:hAnsiTheme="minorEastAsia" w:cstheme="minorEastAsia"/>
          <w:szCs w:val="21"/>
        </w:rPr>
        <w:t xml:space="preserve">   1.协商时间</w:t>
      </w:r>
      <w:r>
        <w:rPr>
          <w:rFonts w:hint="eastAsia" w:asciiTheme="minorEastAsia" w:hAnsiTheme="minorEastAsia" w:cstheme="minorEastAsia"/>
          <w:szCs w:val="21"/>
          <w:highlight w:val="none"/>
        </w:rPr>
        <w:t>：202</w:t>
      </w:r>
      <w:r>
        <w:rPr>
          <w:rFonts w:hint="eastAsia" w:asciiTheme="minorEastAsia" w:hAnsiTheme="minorEastAsia" w:cstheme="minorEastAsia"/>
          <w:szCs w:val="21"/>
          <w:highlight w:val="none"/>
          <w:lang w:val="en-US" w:eastAsia="zh-CN"/>
        </w:rPr>
        <w:t>5</w:t>
      </w:r>
      <w:r>
        <w:rPr>
          <w:rFonts w:hint="eastAsia" w:asciiTheme="minorEastAsia" w:hAnsiTheme="minorEastAsia" w:cstheme="minorEastAsia"/>
          <w:szCs w:val="21"/>
          <w:highlight w:val="none"/>
        </w:rPr>
        <w:t>年</w:t>
      </w:r>
      <w:r>
        <w:rPr>
          <w:rFonts w:hint="eastAsia" w:asciiTheme="minorEastAsia" w:hAnsiTheme="minorEastAsia" w:cstheme="minorEastAsia"/>
          <w:szCs w:val="21"/>
          <w:highlight w:val="none"/>
          <w:lang w:val="en-US" w:eastAsia="zh-CN"/>
        </w:rPr>
        <w:t>02</w:t>
      </w:r>
      <w:r>
        <w:rPr>
          <w:rFonts w:hint="eastAsia" w:asciiTheme="minorEastAsia" w:hAnsiTheme="minorEastAsia" w:cstheme="minorEastAsia"/>
          <w:szCs w:val="21"/>
          <w:highlight w:val="none"/>
        </w:rPr>
        <w:t>月</w:t>
      </w:r>
      <w:r>
        <w:rPr>
          <w:rFonts w:hint="eastAsia" w:asciiTheme="minorEastAsia" w:hAnsiTheme="minorEastAsia" w:cstheme="minorEastAsia"/>
          <w:szCs w:val="21"/>
          <w:highlight w:val="none"/>
          <w:lang w:val="en-US" w:eastAsia="zh-CN"/>
        </w:rPr>
        <w:t>24</w:t>
      </w:r>
      <w:r>
        <w:rPr>
          <w:rFonts w:hint="eastAsia" w:asciiTheme="minorEastAsia" w:hAnsiTheme="minorEastAsia" w:cstheme="minorEastAsia"/>
          <w:szCs w:val="21"/>
          <w:highlight w:val="none"/>
        </w:rPr>
        <w:t>日</w:t>
      </w:r>
      <w:r>
        <w:rPr>
          <w:rFonts w:hint="eastAsia" w:asciiTheme="minorEastAsia" w:hAnsiTheme="minorEastAsia" w:cstheme="minorEastAsia"/>
          <w:szCs w:val="21"/>
          <w:highlight w:val="none"/>
          <w:lang w:val="en-US" w:eastAsia="zh-CN"/>
        </w:rPr>
        <w:t>上午09</w:t>
      </w:r>
      <w:r>
        <w:rPr>
          <w:rFonts w:hint="eastAsia" w:asciiTheme="minorEastAsia" w:hAnsiTheme="minorEastAsia" w:cstheme="minorEastAsia"/>
          <w:szCs w:val="21"/>
          <w:highlight w:val="none"/>
        </w:rPr>
        <w:t>时</w:t>
      </w:r>
      <w:r>
        <w:rPr>
          <w:rFonts w:hint="eastAsia" w:asciiTheme="minorEastAsia" w:hAnsiTheme="minorEastAsia" w:cstheme="minorEastAsia"/>
          <w:szCs w:val="21"/>
          <w:highlight w:val="none"/>
          <w:lang w:val="en-US" w:eastAsia="zh-CN"/>
        </w:rPr>
        <w:t>3</w:t>
      </w:r>
      <w:r>
        <w:rPr>
          <w:rFonts w:hint="eastAsia" w:asciiTheme="minorEastAsia" w:hAnsiTheme="minorEastAsia" w:cstheme="minorEastAsia"/>
          <w:szCs w:val="21"/>
          <w:highlight w:val="none"/>
        </w:rPr>
        <w:t>0分</w:t>
      </w:r>
      <w:r>
        <w:rPr>
          <w:rFonts w:hint="eastAsia" w:asciiTheme="minorEastAsia" w:hAnsiTheme="minorEastAsia" w:cstheme="minorEastAsia"/>
          <w:szCs w:val="21"/>
        </w:rPr>
        <w:t xml:space="preserve"> </w:t>
      </w:r>
      <w:r>
        <w:rPr>
          <w:rFonts w:hint="eastAsia" w:asciiTheme="minorEastAsia" w:hAnsiTheme="minorEastAsia" w:cstheme="minorEastAsia"/>
          <w:szCs w:val="21"/>
        </w:rPr>
        <w:br w:type="textWrapping"/>
      </w:r>
      <w:r>
        <w:rPr>
          <w:rFonts w:hint="eastAsia" w:asciiTheme="minorEastAsia" w:hAnsiTheme="minorEastAsia" w:cstheme="minorEastAsia"/>
          <w:szCs w:val="21"/>
        </w:rPr>
        <w:t xml:space="preserve">   2.协商地点：信投为华企业管理（河南）有限公司（开封市示范区宋城路大朱屯村27号）一楼开标室</w:t>
      </w:r>
      <w:r>
        <w:rPr>
          <w:rFonts w:hint="eastAsia" w:asciiTheme="minorEastAsia" w:hAnsiTheme="minorEastAsia" w:cstheme="minorEastAsia"/>
          <w:szCs w:val="21"/>
        </w:rPr>
        <w:br w:type="textWrapping"/>
      </w:r>
      <w:r>
        <w:rPr>
          <w:rFonts w:hint="eastAsia" w:asciiTheme="minorEastAsia" w:hAnsiTheme="minorEastAsia" w:cstheme="minorEastAsia"/>
          <w:b/>
          <w:bCs/>
          <w:szCs w:val="21"/>
        </w:rPr>
        <w:t>九、确认方式：</w:t>
      </w:r>
    </w:p>
    <w:p w14:paraId="39C29975">
      <w:pPr>
        <w:spacing w:line="360" w:lineRule="auto"/>
        <w:ind w:firstLine="420" w:firstLineChars="200"/>
        <w:rPr>
          <w:rFonts w:asciiTheme="minorEastAsia" w:hAnsiTheme="minorEastAsia" w:cstheme="minorEastAsia"/>
          <w:kern w:val="0"/>
          <w:szCs w:val="21"/>
        </w:rPr>
      </w:pPr>
      <w:r>
        <w:rPr>
          <w:rFonts w:hint="eastAsia" w:asciiTheme="minorEastAsia" w:hAnsiTheme="minorEastAsia" w:cstheme="minorEastAsia"/>
          <w:szCs w:val="21"/>
        </w:rPr>
        <w:t>请贵单位自收到本邀请函后24小时内以电子邮件扫描件的形式将确认函发送至</w:t>
      </w:r>
      <w:r>
        <w:rPr>
          <w:rFonts w:hint="eastAsia" w:asciiTheme="minorEastAsia" w:hAnsiTheme="minorEastAsia" w:cstheme="minorEastAsia"/>
          <w:szCs w:val="21"/>
          <w:lang w:val="en-US" w:eastAsia="zh-CN"/>
        </w:rPr>
        <w:t>信投为华企业管理（河南）</w:t>
      </w:r>
      <w:r>
        <w:rPr>
          <w:rFonts w:hint="eastAsia" w:asciiTheme="minorEastAsia" w:hAnsiTheme="minorEastAsia" w:cstheme="minorEastAsia"/>
          <w:szCs w:val="21"/>
        </w:rPr>
        <w:t>有限公司邮箱（</w:t>
      </w:r>
      <w:r>
        <w:rPr>
          <w:rFonts w:hint="eastAsia" w:asciiTheme="minorEastAsia" w:hAnsiTheme="minorEastAsia" w:cstheme="minorEastAsia"/>
          <w:szCs w:val="21"/>
          <w:lang w:val="en-US" w:eastAsia="zh-CN"/>
        </w:rPr>
        <w:t>xintouweihua@163.</w:t>
      </w:r>
      <w:r>
        <w:rPr>
          <w:rFonts w:asciiTheme="minorEastAsia" w:hAnsiTheme="minorEastAsia" w:cstheme="minorEastAsia"/>
          <w:szCs w:val="21"/>
        </w:rPr>
        <w:t>com</w:t>
      </w:r>
      <w:r>
        <w:rPr>
          <w:rFonts w:hint="eastAsia" w:asciiTheme="minorEastAsia" w:hAnsiTheme="minorEastAsia" w:cstheme="minorEastAsia"/>
          <w:szCs w:val="21"/>
        </w:rPr>
        <w:t>）。</w:t>
      </w:r>
      <w:r>
        <w:rPr>
          <w:rFonts w:hint="eastAsia" w:asciiTheme="minorEastAsia" w:hAnsiTheme="minorEastAsia" w:cstheme="minorEastAsia"/>
          <w:szCs w:val="21"/>
        </w:rPr>
        <w:br w:type="textWrapping"/>
      </w:r>
      <w:r>
        <w:rPr>
          <w:rFonts w:hint="eastAsia" w:asciiTheme="minorEastAsia" w:hAnsiTheme="minorEastAsia" w:cstheme="minorEastAsia"/>
          <w:b/>
          <w:bCs/>
          <w:szCs w:val="21"/>
        </w:rPr>
        <w:t>十、联系方式</w:t>
      </w:r>
    </w:p>
    <w:p w14:paraId="5D879C27">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采购人：开封市生态环境局</w:t>
      </w:r>
    </w:p>
    <w:p w14:paraId="6A66FA40">
      <w:pPr>
        <w:spacing w:line="360" w:lineRule="auto"/>
        <w:ind w:firstLine="420" w:firstLineChars="200"/>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rPr>
        <w:t>地</w:t>
      </w:r>
      <w:r>
        <w:rPr>
          <w:rFonts w:hint="eastAsia" w:asciiTheme="minorEastAsia" w:hAnsiTheme="minorEastAsia" w:cstheme="minorEastAsia"/>
          <w:szCs w:val="21"/>
          <w:lang w:val="en-US" w:eastAsia="zh-CN"/>
        </w:rPr>
        <w:t xml:space="preserve">  </w:t>
      </w:r>
      <w:r>
        <w:rPr>
          <w:rFonts w:hint="eastAsia" w:asciiTheme="minorEastAsia" w:hAnsiTheme="minorEastAsia" w:cstheme="minorEastAsia"/>
          <w:szCs w:val="21"/>
        </w:rPr>
        <w:t>址：开封市新区八大街市直机关综合办公楼八楼</w:t>
      </w:r>
    </w:p>
    <w:p w14:paraId="54FB755C">
      <w:pPr>
        <w:spacing w:line="360" w:lineRule="auto"/>
        <w:ind w:firstLine="420" w:firstLineChars="200"/>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rPr>
        <w:t>联系人：李女士</w:t>
      </w:r>
    </w:p>
    <w:p w14:paraId="0A128F97">
      <w:pPr>
        <w:spacing w:line="360" w:lineRule="auto"/>
        <w:ind w:firstLine="420" w:firstLineChars="200"/>
        <w:rPr>
          <w:rFonts w:hint="default" w:asciiTheme="minorEastAsia" w:hAnsiTheme="minorEastAsia" w:cstheme="minorEastAsia"/>
          <w:szCs w:val="21"/>
          <w:lang w:val="en-US" w:eastAsia="zh-CN"/>
        </w:rPr>
      </w:pPr>
      <w:r>
        <w:rPr>
          <w:rFonts w:hint="eastAsia" w:asciiTheme="minorEastAsia" w:hAnsiTheme="minorEastAsia" w:cstheme="minorEastAsia"/>
          <w:szCs w:val="21"/>
        </w:rPr>
        <w:t>联系方式：0371-23150603</w:t>
      </w:r>
    </w:p>
    <w:p w14:paraId="467E4FF9">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代理机构：信投为华企业管理（河南）有限公司</w:t>
      </w:r>
    </w:p>
    <w:p w14:paraId="3F34B225">
      <w:pPr>
        <w:spacing w:line="360" w:lineRule="auto"/>
        <w:ind w:firstLine="420" w:firstLineChars="200"/>
        <w:rPr>
          <w:rFonts w:hint="eastAsia" w:asciiTheme="minorEastAsia" w:hAnsiTheme="minorEastAsia" w:cstheme="minorEastAsia"/>
          <w:szCs w:val="21"/>
          <w:lang w:val="en-US" w:eastAsia="zh-CN"/>
        </w:rPr>
      </w:pPr>
      <w:r>
        <w:rPr>
          <w:rFonts w:hint="eastAsia" w:asciiTheme="minorEastAsia" w:hAnsiTheme="minorEastAsia" w:cstheme="minorEastAsia"/>
          <w:szCs w:val="21"/>
        </w:rPr>
        <w:t>地址：河南自贸试验区开封片区郑开大道296号自贸大厦</w:t>
      </w:r>
    </w:p>
    <w:p w14:paraId="755FBC01">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联系人：</w:t>
      </w:r>
      <w:r>
        <w:rPr>
          <w:rFonts w:hint="eastAsia" w:asciiTheme="minorEastAsia" w:hAnsiTheme="minorEastAsia" w:cstheme="minorEastAsia"/>
          <w:szCs w:val="21"/>
          <w:lang w:val="en-US" w:eastAsia="zh-CN"/>
        </w:rPr>
        <w:t>刘女士</w:t>
      </w:r>
    </w:p>
    <w:p w14:paraId="49D1895A">
      <w:pPr>
        <w:spacing w:line="360" w:lineRule="auto"/>
        <w:ind w:firstLine="420" w:firstLineChars="200"/>
        <w:rPr>
          <w:rFonts w:hint="default" w:asciiTheme="minorEastAsia" w:hAnsiTheme="minorEastAsia" w:cstheme="minorEastAsia"/>
          <w:szCs w:val="21"/>
          <w:lang w:val="en-US" w:eastAsia="zh-CN"/>
        </w:rPr>
      </w:pPr>
      <w:r>
        <w:rPr>
          <w:rFonts w:hint="eastAsia" w:asciiTheme="minorEastAsia" w:hAnsiTheme="minorEastAsia" w:cstheme="minorEastAsia"/>
          <w:szCs w:val="21"/>
        </w:rPr>
        <w:t>联系方式：</w:t>
      </w:r>
      <w:r>
        <w:rPr>
          <w:rFonts w:hint="eastAsia" w:asciiTheme="minorEastAsia" w:hAnsiTheme="minorEastAsia" w:cstheme="minorEastAsia"/>
          <w:szCs w:val="21"/>
          <w:lang w:val="en-US" w:eastAsia="zh-CN"/>
        </w:rPr>
        <w:t>15703782656</w:t>
      </w:r>
    </w:p>
    <w:p w14:paraId="4C52EE31">
      <w:pPr>
        <w:spacing w:line="300" w:lineRule="auto"/>
        <w:ind w:firstLine="420" w:firstLineChars="200"/>
        <w:rPr>
          <w:rFonts w:asciiTheme="minorEastAsia" w:hAnsiTheme="minorEastAsia" w:cstheme="minorEastAsia"/>
          <w:bCs/>
          <w:szCs w:val="21"/>
        </w:rPr>
      </w:pPr>
    </w:p>
    <w:p w14:paraId="47ABD20D">
      <w:pPr>
        <w:spacing w:line="220" w:lineRule="atLeast"/>
        <w:jc w:val="center"/>
        <w:rPr>
          <w:sz w:val="32"/>
        </w:rPr>
      </w:pPr>
    </w:p>
    <w:p w14:paraId="10E32EB7">
      <w:pPr>
        <w:spacing w:line="220" w:lineRule="atLeast"/>
        <w:jc w:val="center"/>
        <w:rPr>
          <w:sz w:val="32"/>
        </w:rPr>
      </w:pPr>
    </w:p>
    <w:p w14:paraId="03D61C04">
      <w:pPr>
        <w:spacing w:line="220" w:lineRule="atLeast"/>
        <w:jc w:val="center"/>
        <w:rPr>
          <w:sz w:val="32"/>
        </w:rPr>
      </w:pPr>
    </w:p>
    <w:p w14:paraId="060C7051">
      <w:pPr>
        <w:spacing w:line="220" w:lineRule="atLeast"/>
        <w:jc w:val="center"/>
        <w:rPr>
          <w:sz w:val="32"/>
        </w:rPr>
      </w:pPr>
    </w:p>
    <w:p w14:paraId="31B1CC36">
      <w:pPr>
        <w:pStyle w:val="2"/>
        <w:jc w:val="both"/>
        <w:rPr>
          <w:rFonts w:asciiTheme="minorEastAsia" w:hAnsiTheme="minorEastAsia" w:cstheme="minorEastAsia"/>
          <w:sz w:val="28"/>
          <w:szCs w:val="30"/>
        </w:rPr>
      </w:pPr>
      <w:r>
        <w:rPr>
          <w:rFonts w:hint="eastAsia" w:asciiTheme="minorEastAsia" w:hAnsiTheme="minorEastAsia" w:cstheme="minorEastAsia"/>
          <w:sz w:val="28"/>
          <w:szCs w:val="30"/>
        </w:rPr>
        <w:br w:type="page"/>
      </w:r>
    </w:p>
    <w:p w14:paraId="21EE1045">
      <w:pPr>
        <w:pStyle w:val="2"/>
        <w:jc w:val="center"/>
        <w:rPr>
          <w:rFonts w:asciiTheme="minorEastAsia" w:hAnsiTheme="minorEastAsia" w:cstheme="minorEastAsia"/>
          <w:sz w:val="30"/>
          <w:szCs w:val="30"/>
        </w:rPr>
      </w:pPr>
      <w:bookmarkStart w:id="1" w:name="_Toc114760389"/>
      <w:r>
        <w:rPr>
          <w:rFonts w:hint="eastAsia" w:asciiTheme="minorEastAsia" w:hAnsiTheme="minorEastAsia" w:cstheme="minorEastAsia"/>
          <w:sz w:val="30"/>
          <w:szCs w:val="30"/>
        </w:rPr>
        <w:t>第二章 供应商须知</w:t>
      </w:r>
      <w:bookmarkEnd w:id="1"/>
      <w:bookmarkStart w:id="2" w:name="_Toc184635070"/>
    </w:p>
    <w:p w14:paraId="2CD27E9C">
      <w:pPr>
        <w:pStyle w:val="3"/>
        <w:spacing w:before="0" w:after="0" w:line="360" w:lineRule="auto"/>
        <w:jc w:val="center"/>
        <w:rPr>
          <w:rFonts w:asciiTheme="minorEastAsia" w:hAnsiTheme="minorEastAsia" w:cstheme="minorEastAsia"/>
          <w:sz w:val="24"/>
          <w:szCs w:val="24"/>
        </w:rPr>
      </w:pPr>
      <w:bookmarkStart w:id="3" w:name="_Toc6141"/>
      <w:bookmarkStart w:id="4" w:name="_Toc29435"/>
      <w:bookmarkStart w:id="5" w:name="_Toc5005"/>
      <w:bookmarkStart w:id="6" w:name="_Toc12597"/>
      <w:bookmarkStart w:id="7" w:name="_Toc114760390"/>
      <w:bookmarkStart w:id="8" w:name="_Toc498152751"/>
      <w:bookmarkStart w:id="9" w:name="_Toc1057"/>
      <w:bookmarkStart w:id="10" w:name="_Toc6394324"/>
      <w:r>
        <w:rPr>
          <w:rFonts w:hint="eastAsia" w:asciiTheme="minorEastAsia" w:hAnsiTheme="minorEastAsia" w:cstheme="minorEastAsia"/>
          <w:sz w:val="24"/>
          <w:szCs w:val="24"/>
        </w:rPr>
        <w:t>一、供应商须知前附表</w:t>
      </w:r>
      <w:bookmarkEnd w:id="2"/>
      <w:bookmarkEnd w:id="3"/>
      <w:bookmarkEnd w:id="4"/>
      <w:bookmarkEnd w:id="5"/>
      <w:bookmarkEnd w:id="6"/>
      <w:bookmarkEnd w:id="7"/>
      <w:bookmarkEnd w:id="8"/>
      <w:bookmarkEnd w:id="9"/>
      <w:bookmarkEnd w:id="10"/>
    </w:p>
    <w:tbl>
      <w:tblPr>
        <w:tblStyle w:val="20"/>
        <w:tblW w:w="9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268"/>
        <w:gridCol w:w="6582"/>
      </w:tblGrid>
      <w:tr w14:paraId="69D9C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1" w:type="dxa"/>
            <w:vAlign w:val="center"/>
          </w:tcPr>
          <w:p w14:paraId="065D9F34">
            <w:pPr>
              <w:spacing w:line="360" w:lineRule="auto"/>
              <w:jc w:val="center"/>
              <w:rPr>
                <w:rFonts w:asciiTheme="minorEastAsia" w:hAnsiTheme="minorEastAsia" w:cstheme="minorEastAsia"/>
                <w:b/>
                <w:szCs w:val="21"/>
              </w:rPr>
            </w:pPr>
            <w:r>
              <w:rPr>
                <w:rFonts w:hint="eastAsia" w:asciiTheme="minorEastAsia" w:hAnsiTheme="minorEastAsia" w:cstheme="minorEastAsia"/>
                <w:b/>
                <w:szCs w:val="21"/>
              </w:rPr>
              <w:t>项号</w:t>
            </w:r>
          </w:p>
        </w:tc>
        <w:tc>
          <w:tcPr>
            <w:tcW w:w="2268" w:type="dxa"/>
            <w:vAlign w:val="center"/>
          </w:tcPr>
          <w:p w14:paraId="4154EBE2">
            <w:pPr>
              <w:spacing w:line="360" w:lineRule="auto"/>
              <w:jc w:val="center"/>
              <w:rPr>
                <w:rFonts w:asciiTheme="minorEastAsia" w:hAnsiTheme="minorEastAsia" w:cstheme="minorEastAsia"/>
                <w:b/>
                <w:szCs w:val="21"/>
              </w:rPr>
            </w:pPr>
            <w:r>
              <w:rPr>
                <w:rFonts w:hint="eastAsia" w:asciiTheme="minorEastAsia" w:hAnsiTheme="minorEastAsia" w:cstheme="minorEastAsia"/>
                <w:b/>
                <w:szCs w:val="21"/>
              </w:rPr>
              <w:t>条款名称</w:t>
            </w:r>
          </w:p>
        </w:tc>
        <w:tc>
          <w:tcPr>
            <w:tcW w:w="6582" w:type="dxa"/>
            <w:vAlign w:val="center"/>
          </w:tcPr>
          <w:p w14:paraId="6689A784">
            <w:pPr>
              <w:spacing w:line="360" w:lineRule="auto"/>
              <w:jc w:val="center"/>
              <w:rPr>
                <w:rFonts w:asciiTheme="minorEastAsia" w:hAnsiTheme="minorEastAsia" w:cstheme="minorEastAsia"/>
                <w:b/>
                <w:szCs w:val="21"/>
              </w:rPr>
            </w:pPr>
            <w:r>
              <w:rPr>
                <w:rFonts w:hint="eastAsia" w:asciiTheme="minorEastAsia" w:hAnsiTheme="minorEastAsia" w:cstheme="minorEastAsia"/>
                <w:b/>
                <w:szCs w:val="21"/>
              </w:rPr>
              <w:t>编列内容</w:t>
            </w:r>
          </w:p>
        </w:tc>
      </w:tr>
      <w:tr w14:paraId="69CBC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74B67832">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w:t>
            </w:r>
          </w:p>
        </w:tc>
        <w:tc>
          <w:tcPr>
            <w:tcW w:w="2268" w:type="dxa"/>
            <w:vAlign w:val="center"/>
          </w:tcPr>
          <w:p w14:paraId="6611AA98">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采购人</w:t>
            </w:r>
          </w:p>
        </w:tc>
        <w:tc>
          <w:tcPr>
            <w:tcW w:w="6582" w:type="dxa"/>
            <w:vAlign w:val="center"/>
          </w:tcPr>
          <w:p w14:paraId="3584BC1A">
            <w:pPr>
              <w:spacing w:line="360" w:lineRule="auto"/>
              <w:rPr>
                <w:rFonts w:asciiTheme="minorEastAsia" w:hAnsiTheme="minorEastAsia" w:cstheme="minorEastAsia"/>
                <w:szCs w:val="21"/>
              </w:rPr>
            </w:pPr>
            <w:r>
              <w:rPr>
                <w:rFonts w:hint="eastAsia" w:asciiTheme="minorEastAsia" w:hAnsiTheme="minorEastAsia" w:cstheme="minorEastAsia"/>
                <w:szCs w:val="21"/>
              </w:rPr>
              <w:t>采购人：开封市生态环境局</w:t>
            </w:r>
          </w:p>
          <w:p w14:paraId="490A1B34">
            <w:pPr>
              <w:spacing w:line="360" w:lineRule="auto"/>
              <w:rPr>
                <w:rFonts w:hint="default" w:asciiTheme="minorEastAsia" w:hAnsiTheme="minorEastAsia" w:cstheme="minorEastAsia"/>
                <w:szCs w:val="21"/>
                <w:lang w:val="en-US" w:eastAsia="zh-CN"/>
              </w:rPr>
            </w:pPr>
            <w:r>
              <w:rPr>
                <w:rFonts w:hint="eastAsia" w:asciiTheme="minorEastAsia" w:hAnsiTheme="minorEastAsia" w:cstheme="minorEastAsia"/>
                <w:szCs w:val="21"/>
              </w:rPr>
              <w:t>地</w:t>
            </w:r>
            <w:r>
              <w:rPr>
                <w:rFonts w:hint="eastAsia" w:asciiTheme="minorEastAsia" w:hAnsiTheme="minorEastAsia" w:cstheme="minorEastAsia"/>
                <w:szCs w:val="21"/>
                <w:lang w:val="en-US" w:eastAsia="zh-CN"/>
              </w:rPr>
              <w:t xml:space="preserve">  </w:t>
            </w:r>
            <w:r>
              <w:rPr>
                <w:rFonts w:hint="eastAsia" w:asciiTheme="minorEastAsia" w:hAnsiTheme="minorEastAsia" w:cstheme="minorEastAsia"/>
                <w:szCs w:val="21"/>
              </w:rPr>
              <w:t>址：开封市新区八大街市直机关综合办公楼八楼</w:t>
            </w:r>
          </w:p>
          <w:p w14:paraId="329F4D5B">
            <w:pPr>
              <w:spacing w:line="360" w:lineRule="auto"/>
              <w:rPr>
                <w:rFonts w:hint="default" w:asciiTheme="minorEastAsia" w:hAnsiTheme="minorEastAsia" w:cstheme="minorEastAsia"/>
                <w:szCs w:val="21"/>
                <w:lang w:val="en-US" w:eastAsia="zh-CN"/>
              </w:rPr>
            </w:pPr>
            <w:r>
              <w:rPr>
                <w:rFonts w:hint="eastAsia" w:asciiTheme="minorEastAsia" w:hAnsiTheme="minorEastAsia" w:cstheme="minorEastAsia"/>
                <w:szCs w:val="21"/>
              </w:rPr>
              <w:t>联系人：李女士</w:t>
            </w:r>
          </w:p>
          <w:p w14:paraId="01E14814">
            <w:pPr>
              <w:spacing w:line="360" w:lineRule="auto"/>
              <w:rPr>
                <w:rFonts w:asciiTheme="minorEastAsia" w:hAnsiTheme="minorEastAsia" w:cstheme="minorEastAsia"/>
                <w:szCs w:val="21"/>
              </w:rPr>
            </w:pPr>
            <w:r>
              <w:rPr>
                <w:rFonts w:hint="eastAsia" w:asciiTheme="minorEastAsia" w:hAnsiTheme="minorEastAsia" w:cstheme="minorEastAsia"/>
                <w:szCs w:val="21"/>
              </w:rPr>
              <w:t>联系方式：0371-23150603</w:t>
            </w:r>
          </w:p>
        </w:tc>
      </w:tr>
      <w:tr w14:paraId="7BBB3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6934184A">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2</w:t>
            </w:r>
          </w:p>
        </w:tc>
        <w:tc>
          <w:tcPr>
            <w:tcW w:w="2268" w:type="dxa"/>
            <w:vAlign w:val="center"/>
          </w:tcPr>
          <w:p w14:paraId="65C3D5ED">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采购代理机构</w:t>
            </w:r>
          </w:p>
        </w:tc>
        <w:tc>
          <w:tcPr>
            <w:tcW w:w="6582" w:type="dxa"/>
            <w:vAlign w:val="center"/>
          </w:tcPr>
          <w:p w14:paraId="2753766D">
            <w:pPr>
              <w:spacing w:line="360" w:lineRule="auto"/>
              <w:rPr>
                <w:rFonts w:hint="default" w:asciiTheme="minorEastAsia" w:hAnsiTheme="minorEastAsia" w:cstheme="minorEastAsia"/>
                <w:bCs/>
                <w:szCs w:val="21"/>
                <w:lang w:val="en-US"/>
              </w:rPr>
            </w:pPr>
            <w:r>
              <w:rPr>
                <w:rFonts w:hint="default" w:asciiTheme="minorEastAsia" w:hAnsiTheme="minorEastAsia" w:cstheme="minorEastAsia"/>
                <w:bCs/>
                <w:szCs w:val="21"/>
                <w:lang w:val="en-US"/>
              </w:rPr>
              <w:t>代理机构：信投为华企业管理（河南）有限公司</w:t>
            </w:r>
          </w:p>
          <w:p w14:paraId="26D1C03B">
            <w:pPr>
              <w:spacing w:line="360" w:lineRule="auto"/>
              <w:rPr>
                <w:rFonts w:hint="default" w:asciiTheme="minorEastAsia" w:hAnsiTheme="minorEastAsia" w:cstheme="minorEastAsia"/>
                <w:bCs/>
                <w:szCs w:val="21"/>
                <w:lang w:val="en-US" w:eastAsia="zh-CN"/>
              </w:rPr>
            </w:pPr>
            <w:r>
              <w:rPr>
                <w:rFonts w:hint="default" w:asciiTheme="minorEastAsia" w:hAnsiTheme="minorEastAsia" w:cstheme="minorEastAsia"/>
                <w:bCs/>
                <w:szCs w:val="21"/>
                <w:lang w:val="en-US"/>
              </w:rPr>
              <w:t>地址：河南自贸试验区开封片区郑开大道296号自贸大厦</w:t>
            </w:r>
          </w:p>
          <w:p w14:paraId="380C18E5">
            <w:pPr>
              <w:spacing w:line="360" w:lineRule="auto"/>
              <w:rPr>
                <w:rFonts w:hint="default" w:asciiTheme="minorEastAsia" w:hAnsiTheme="minorEastAsia" w:cstheme="minorEastAsia"/>
                <w:bCs/>
                <w:szCs w:val="21"/>
                <w:lang w:val="en-US"/>
              </w:rPr>
            </w:pPr>
            <w:r>
              <w:rPr>
                <w:rFonts w:hint="default" w:asciiTheme="minorEastAsia" w:hAnsiTheme="minorEastAsia" w:cstheme="minorEastAsia"/>
                <w:bCs/>
                <w:szCs w:val="21"/>
                <w:lang w:val="en-US"/>
              </w:rPr>
              <w:t>联系人：</w:t>
            </w:r>
            <w:r>
              <w:rPr>
                <w:rFonts w:hint="default" w:asciiTheme="minorEastAsia" w:hAnsiTheme="minorEastAsia" w:cstheme="minorEastAsia"/>
                <w:bCs/>
                <w:szCs w:val="21"/>
                <w:lang w:val="en-US" w:eastAsia="zh-CN"/>
              </w:rPr>
              <w:t>刘女士</w:t>
            </w:r>
          </w:p>
          <w:p w14:paraId="48413835">
            <w:pPr>
              <w:spacing w:line="360" w:lineRule="auto"/>
              <w:rPr>
                <w:rFonts w:hint="default" w:asciiTheme="minorEastAsia" w:hAnsiTheme="minorEastAsia" w:cstheme="minorEastAsia"/>
                <w:bCs/>
                <w:szCs w:val="21"/>
                <w:lang w:val="en-US"/>
              </w:rPr>
            </w:pPr>
            <w:r>
              <w:rPr>
                <w:rFonts w:hint="default" w:asciiTheme="minorEastAsia" w:hAnsiTheme="minorEastAsia" w:cstheme="minorEastAsia"/>
                <w:bCs/>
                <w:szCs w:val="21"/>
                <w:lang w:val="en-US"/>
              </w:rPr>
              <w:t>联系方式：</w:t>
            </w:r>
            <w:r>
              <w:rPr>
                <w:rFonts w:hint="default" w:asciiTheme="minorEastAsia" w:hAnsiTheme="minorEastAsia" w:cstheme="minorEastAsia"/>
                <w:bCs/>
                <w:szCs w:val="21"/>
                <w:lang w:val="en-US" w:eastAsia="zh-CN"/>
              </w:rPr>
              <w:t>15703782656</w:t>
            </w:r>
          </w:p>
        </w:tc>
      </w:tr>
      <w:tr w14:paraId="588E9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81" w:type="dxa"/>
            <w:vAlign w:val="center"/>
          </w:tcPr>
          <w:p w14:paraId="17C70131">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3</w:t>
            </w:r>
          </w:p>
        </w:tc>
        <w:tc>
          <w:tcPr>
            <w:tcW w:w="2268" w:type="dxa"/>
            <w:vAlign w:val="center"/>
          </w:tcPr>
          <w:p w14:paraId="30DDA387">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项目名称</w:t>
            </w:r>
          </w:p>
        </w:tc>
        <w:tc>
          <w:tcPr>
            <w:tcW w:w="6582" w:type="dxa"/>
            <w:vAlign w:val="center"/>
          </w:tcPr>
          <w:p w14:paraId="4F3B87DA">
            <w:pPr>
              <w:autoSpaceDE w:val="0"/>
              <w:autoSpaceDN w:val="0"/>
              <w:adjustRightInd w:val="0"/>
              <w:spacing w:line="360" w:lineRule="auto"/>
              <w:rPr>
                <w:rFonts w:asciiTheme="minorEastAsia" w:hAnsiTheme="minorEastAsia" w:cstheme="minorEastAsia"/>
                <w:szCs w:val="21"/>
              </w:rPr>
            </w:pPr>
            <w:r>
              <w:rPr>
                <w:rFonts w:hint="eastAsia" w:asciiTheme="minorEastAsia" w:hAnsiTheme="minorEastAsia" w:cstheme="minorEastAsia"/>
                <w:szCs w:val="21"/>
              </w:rPr>
              <w:t>开封市生态环境局大气颗粒物组分监测设备租赁及运维服务项目</w:t>
            </w:r>
          </w:p>
        </w:tc>
      </w:tr>
      <w:tr w14:paraId="36129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81" w:type="dxa"/>
            <w:vAlign w:val="center"/>
          </w:tcPr>
          <w:p w14:paraId="250B31B7">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4</w:t>
            </w:r>
          </w:p>
        </w:tc>
        <w:tc>
          <w:tcPr>
            <w:tcW w:w="2268" w:type="dxa"/>
            <w:vAlign w:val="center"/>
          </w:tcPr>
          <w:p w14:paraId="1854FE55">
            <w:pPr>
              <w:spacing w:line="360"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项目编号</w:t>
            </w:r>
          </w:p>
        </w:tc>
        <w:tc>
          <w:tcPr>
            <w:tcW w:w="6582" w:type="dxa"/>
            <w:vAlign w:val="center"/>
          </w:tcPr>
          <w:p w14:paraId="731630DB">
            <w:pPr>
              <w:spacing w:line="360" w:lineRule="auto"/>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cstheme="minorEastAsia"/>
                <w:b/>
                <w:bCs/>
                <w:szCs w:val="21"/>
                <w:highlight w:val="none"/>
              </w:rPr>
              <w:t>汴财单</w:t>
            </w:r>
            <w:r>
              <w:rPr>
                <w:rFonts w:hint="eastAsia" w:asciiTheme="minorEastAsia" w:hAnsiTheme="minorEastAsia" w:cstheme="minorEastAsia"/>
                <w:b/>
                <w:bCs/>
                <w:szCs w:val="21"/>
                <w:highlight w:val="none"/>
                <w:lang w:val="en-US" w:eastAsia="zh-CN"/>
              </w:rPr>
              <w:t>一</w:t>
            </w:r>
            <w:r>
              <w:rPr>
                <w:rFonts w:hint="eastAsia" w:asciiTheme="minorEastAsia" w:hAnsiTheme="minorEastAsia" w:cstheme="minorEastAsia"/>
                <w:b/>
                <w:bCs/>
                <w:szCs w:val="21"/>
                <w:highlight w:val="none"/>
              </w:rPr>
              <w:t>采购-2025-1</w:t>
            </w:r>
          </w:p>
        </w:tc>
      </w:tr>
      <w:tr w14:paraId="76A4A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81" w:type="dxa"/>
            <w:vAlign w:val="center"/>
          </w:tcPr>
          <w:p w14:paraId="62A825BA">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5</w:t>
            </w:r>
          </w:p>
        </w:tc>
        <w:tc>
          <w:tcPr>
            <w:tcW w:w="2268" w:type="dxa"/>
            <w:vAlign w:val="center"/>
          </w:tcPr>
          <w:p w14:paraId="05A10B02">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采购方式</w:t>
            </w:r>
          </w:p>
        </w:tc>
        <w:tc>
          <w:tcPr>
            <w:tcW w:w="6582" w:type="dxa"/>
            <w:vAlign w:val="center"/>
          </w:tcPr>
          <w:p w14:paraId="14F8B8F3">
            <w:pPr>
              <w:spacing w:line="360" w:lineRule="auto"/>
              <w:rPr>
                <w:rFonts w:asciiTheme="minorEastAsia" w:hAnsiTheme="minorEastAsia" w:cstheme="minorEastAsia"/>
                <w:szCs w:val="21"/>
              </w:rPr>
            </w:pPr>
            <w:r>
              <w:rPr>
                <w:rFonts w:hint="eastAsia" w:asciiTheme="minorEastAsia" w:hAnsiTheme="minorEastAsia" w:cstheme="minorEastAsia"/>
              </w:rPr>
              <w:t>单一来源采购</w:t>
            </w:r>
          </w:p>
        </w:tc>
      </w:tr>
      <w:tr w14:paraId="2B236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7519ABBA">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6</w:t>
            </w:r>
          </w:p>
        </w:tc>
        <w:tc>
          <w:tcPr>
            <w:tcW w:w="2268" w:type="dxa"/>
            <w:vAlign w:val="center"/>
          </w:tcPr>
          <w:p w14:paraId="0A4EEC52">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项目实施地点</w:t>
            </w:r>
          </w:p>
        </w:tc>
        <w:tc>
          <w:tcPr>
            <w:tcW w:w="6582" w:type="dxa"/>
            <w:vAlign w:val="center"/>
          </w:tcPr>
          <w:p w14:paraId="65A6B4DA">
            <w:pPr>
              <w:spacing w:line="360" w:lineRule="auto"/>
              <w:rPr>
                <w:rFonts w:asciiTheme="minorEastAsia" w:hAnsiTheme="minorEastAsia" w:cstheme="minorEastAsia"/>
                <w:szCs w:val="21"/>
              </w:rPr>
            </w:pPr>
            <w:r>
              <w:rPr>
                <w:rFonts w:hint="eastAsia" w:asciiTheme="minorEastAsia" w:hAnsiTheme="minorEastAsia" w:cstheme="minorEastAsia"/>
                <w:szCs w:val="21"/>
              </w:rPr>
              <w:t>开封市</w:t>
            </w:r>
          </w:p>
        </w:tc>
      </w:tr>
      <w:tr w14:paraId="05DB3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4DBF3C5E">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7</w:t>
            </w:r>
          </w:p>
        </w:tc>
        <w:tc>
          <w:tcPr>
            <w:tcW w:w="2268" w:type="dxa"/>
            <w:vAlign w:val="center"/>
          </w:tcPr>
          <w:p w14:paraId="2C7C023A">
            <w:pPr>
              <w:spacing w:line="360" w:lineRule="auto"/>
              <w:ind w:right="25" w:rightChars="12"/>
              <w:rPr>
                <w:rFonts w:asciiTheme="minorEastAsia" w:hAnsiTheme="minorEastAsia" w:cstheme="minorEastAsia"/>
                <w:szCs w:val="21"/>
              </w:rPr>
            </w:pPr>
            <w:r>
              <w:rPr>
                <w:rFonts w:hint="eastAsia" w:asciiTheme="minorEastAsia" w:hAnsiTheme="minorEastAsia" w:cstheme="minorEastAsia"/>
                <w:szCs w:val="21"/>
              </w:rPr>
              <w:t xml:space="preserve"> 响应文件递交地点</w:t>
            </w:r>
          </w:p>
        </w:tc>
        <w:tc>
          <w:tcPr>
            <w:tcW w:w="6582" w:type="dxa"/>
            <w:vAlign w:val="center"/>
          </w:tcPr>
          <w:p w14:paraId="448FBBB3">
            <w:pPr>
              <w:spacing w:line="360" w:lineRule="auto"/>
              <w:ind w:right="25" w:rightChars="12"/>
              <w:rPr>
                <w:rFonts w:asciiTheme="minorEastAsia" w:hAnsiTheme="minorEastAsia" w:cstheme="minorEastAsia"/>
                <w:szCs w:val="21"/>
              </w:rPr>
            </w:pPr>
            <w:r>
              <w:rPr>
                <w:rFonts w:hint="eastAsia" w:asciiTheme="minorEastAsia" w:hAnsiTheme="minorEastAsia" w:cstheme="minorEastAsia"/>
                <w:szCs w:val="21"/>
              </w:rPr>
              <w:t>信投为华企业管理（河南）有限公司（开封市示范区宋城路大朱屯村27号）一楼开标室</w:t>
            </w:r>
          </w:p>
        </w:tc>
      </w:tr>
      <w:tr w14:paraId="27935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2A64624B">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8</w:t>
            </w:r>
          </w:p>
        </w:tc>
        <w:tc>
          <w:tcPr>
            <w:tcW w:w="2268" w:type="dxa"/>
            <w:vAlign w:val="center"/>
          </w:tcPr>
          <w:p w14:paraId="4F9DB327">
            <w:pPr>
              <w:spacing w:line="360" w:lineRule="auto"/>
              <w:ind w:right="25" w:rightChars="12"/>
              <w:rPr>
                <w:rFonts w:asciiTheme="minorEastAsia" w:hAnsiTheme="minorEastAsia" w:cstheme="minorEastAsia"/>
                <w:szCs w:val="21"/>
              </w:rPr>
            </w:pPr>
            <w:r>
              <w:rPr>
                <w:rFonts w:hint="eastAsia" w:asciiTheme="minorEastAsia" w:hAnsiTheme="minorEastAsia" w:cstheme="minorEastAsia"/>
                <w:szCs w:val="21"/>
              </w:rPr>
              <w:t xml:space="preserve"> 响应文件递交时间</w:t>
            </w:r>
          </w:p>
        </w:tc>
        <w:tc>
          <w:tcPr>
            <w:tcW w:w="6582" w:type="dxa"/>
            <w:vAlign w:val="center"/>
          </w:tcPr>
          <w:p w14:paraId="47040861">
            <w:pPr>
              <w:spacing w:line="360" w:lineRule="auto"/>
              <w:ind w:right="25" w:rightChars="12"/>
              <w:rPr>
                <w:rFonts w:asciiTheme="minorEastAsia" w:hAnsiTheme="minorEastAsia" w:cstheme="minorEastAsia"/>
                <w:szCs w:val="21"/>
              </w:rPr>
            </w:pPr>
            <w:r>
              <w:rPr>
                <w:rFonts w:hint="eastAsia" w:asciiTheme="minorEastAsia" w:hAnsiTheme="minorEastAsia" w:cstheme="minorEastAsia"/>
                <w:szCs w:val="21"/>
                <w:highlight w:val="none"/>
              </w:rPr>
              <w:t>202</w:t>
            </w:r>
            <w:r>
              <w:rPr>
                <w:rFonts w:hint="eastAsia" w:asciiTheme="minorEastAsia" w:hAnsiTheme="minorEastAsia" w:cstheme="minorEastAsia"/>
                <w:szCs w:val="21"/>
                <w:highlight w:val="none"/>
                <w:lang w:val="en-US" w:eastAsia="zh-CN"/>
              </w:rPr>
              <w:t>5</w:t>
            </w:r>
            <w:r>
              <w:rPr>
                <w:rFonts w:hint="eastAsia" w:asciiTheme="minorEastAsia" w:hAnsiTheme="minorEastAsia" w:cstheme="minorEastAsia"/>
                <w:szCs w:val="21"/>
                <w:highlight w:val="none"/>
              </w:rPr>
              <w:t>年</w:t>
            </w:r>
            <w:r>
              <w:rPr>
                <w:rFonts w:hint="eastAsia" w:asciiTheme="minorEastAsia" w:hAnsiTheme="minorEastAsia" w:cstheme="minorEastAsia"/>
                <w:szCs w:val="21"/>
                <w:highlight w:val="none"/>
                <w:lang w:val="en-US" w:eastAsia="zh-CN"/>
              </w:rPr>
              <w:t>02</w:t>
            </w:r>
            <w:r>
              <w:rPr>
                <w:rFonts w:hint="eastAsia" w:asciiTheme="minorEastAsia" w:hAnsiTheme="minorEastAsia" w:cstheme="minorEastAsia"/>
                <w:szCs w:val="21"/>
                <w:highlight w:val="none"/>
              </w:rPr>
              <w:t>月</w:t>
            </w:r>
            <w:r>
              <w:rPr>
                <w:rFonts w:hint="eastAsia" w:asciiTheme="minorEastAsia" w:hAnsiTheme="minorEastAsia" w:cstheme="minorEastAsia"/>
                <w:szCs w:val="21"/>
                <w:highlight w:val="none"/>
                <w:lang w:val="en-US" w:eastAsia="zh-CN"/>
              </w:rPr>
              <w:t>24</w:t>
            </w:r>
            <w:r>
              <w:rPr>
                <w:rFonts w:hint="eastAsia" w:asciiTheme="minorEastAsia" w:hAnsiTheme="minorEastAsia" w:cstheme="minorEastAsia"/>
                <w:szCs w:val="21"/>
                <w:highlight w:val="none"/>
              </w:rPr>
              <w:t>日</w:t>
            </w:r>
            <w:r>
              <w:rPr>
                <w:rFonts w:hint="eastAsia" w:asciiTheme="minorEastAsia" w:hAnsiTheme="minorEastAsia" w:cstheme="minorEastAsia"/>
                <w:szCs w:val="21"/>
                <w:highlight w:val="none"/>
                <w:lang w:val="en-US" w:eastAsia="zh-CN"/>
              </w:rPr>
              <w:t>上午09</w:t>
            </w:r>
            <w:r>
              <w:rPr>
                <w:rFonts w:hint="eastAsia" w:asciiTheme="minorEastAsia" w:hAnsiTheme="minorEastAsia" w:cstheme="minorEastAsia"/>
                <w:szCs w:val="21"/>
                <w:highlight w:val="none"/>
              </w:rPr>
              <w:t>时</w:t>
            </w:r>
            <w:r>
              <w:rPr>
                <w:rFonts w:hint="eastAsia" w:asciiTheme="minorEastAsia" w:hAnsiTheme="minorEastAsia" w:cstheme="minorEastAsia"/>
                <w:szCs w:val="21"/>
                <w:highlight w:val="none"/>
                <w:lang w:val="en-US" w:eastAsia="zh-CN"/>
              </w:rPr>
              <w:t>3</w:t>
            </w:r>
            <w:r>
              <w:rPr>
                <w:rFonts w:hint="eastAsia" w:asciiTheme="minorEastAsia" w:hAnsiTheme="minorEastAsia" w:cstheme="minorEastAsia"/>
                <w:szCs w:val="21"/>
                <w:highlight w:val="none"/>
              </w:rPr>
              <w:t>0分</w:t>
            </w:r>
          </w:p>
        </w:tc>
      </w:tr>
      <w:tr w14:paraId="63A4B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77983C28">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9</w:t>
            </w:r>
          </w:p>
        </w:tc>
        <w:tc>
          <w:tcPr>
            <w:tcW w:w="2268" w:type="dxa"/>
            <w:vAlign w:val="center"/>
          </w:tcPr>
          <w:p w14:paraId="541AF66D">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供应商资格要求</w:t>
            </w:r>
          </w:p>
        </w:tc>
        <w:tc>
          <w:tcPr>
            <w:tcW w:w="6582" w:type="dxa"/>
            <w:vAlign w:val="center"/>
          </w:tcPr>
          <w:p w14:paraId="4C8083B2">
            <w:pPr>
              <w:widowControl/>
              <w:shd w:val="clear" w:color="auto" w:fill="FFFFFF"/>
              <w:spacing w:line="360" w:lineRule="auto"/>
              <w:jc w:val="left"/>
              <w:rPr>
                <w:rFonts w:asciiTheme="minorEastAsia" w:hAnsiTheme="minorEastAsia" w:cstheme="minorEastAsia"/>
                <w:kern w:val="0"/>
                <w:szCs w:val="21"/>
              </w:rPr>
            </w:pPr>
            <w:r>
              <w:rPr>
                <w:rFonts w:hint="eastAsia" w:asciiTheme="minorEastAsia" w:hAnsiTheme="minorEastAsia" w:cstheme="minorEastAsia"/>
                <w:kern w:val="0"/>
                <w:szCs w:val="21"/>
              </w:rPr>
              <w:t>1.符合《中华人民共和国政府采购法》第二十二条要求，并提供以下材料：</w:t>
            </w:r>
            <w:bookmarkStart w:id="78" w:name="_GoBack"/>
            <w:bookmarkEnd w:id="78"/>
          </w:p>
          <w:p w14:paraId="39508D0A">
            <w:pPr>
              <w:widowControl/>
              <w:shd w:val="clear" w:color="auto" w:fill="FFFFFF"/>
              <w:spacing w:line="360" w:lineRule="auto"/>
              <w:jc w:val="left"/>
              <w:rPr>
                <w:rFonts w:asciiTheme="minorEastAsia" w:hAnsiTheme="minorEastAsia" w:cstheme="minorEastAsia"/>
                <w:kern w:val="0"/>
                <w:szCs w:val="21"/>
              </w:rPr>
            </w:pPr>
            <w:r>
              <w:rPr>
                <w:rFonts w:hint="eastAsia" w:asciiTheme="minorEastAsia" w:hAnsiTheme="minorEastAsia" w:cstheme="minorEastAsia"/>
                <w:kern w:val="0"/>
                <w:szCs w:val="21"/>
              </w:rPr>
              <w:t xml:space="preserve"> 1.1供应商须具有独立承担民事责任的能力，具有有效的营业执照。</w:t>
            </w:r>
          </w:p>
          <w:p w14:paraId="68FD0DF9">
            <w:pPr>
              <w:widowControl/>
              <w:shd w:val="clear" w:color="auto" w:fill="FFFFFF"/>
              <w:spacing w:line="360" w:lineRule="auto"/>
              <w:jc w:val="left"/>
              <w:rPr>
                <w:rFonts w:hint="eastAsia" w:asciiTheme="minorEastAsia" w:hAnsiTheme="minorEastAsia" w:eastAsiaTheme="minorEastAsia" w:cstheme="minorEastAsia"/>
                <w:kern w:val="0"/>
                <w:szCs w:val="21"/>
                <w:lang w:eastAsia="zh-CN"/>
              </w:rPr>
            </w:pPr>
            <w:r>
              <w:rPr>
                <w:rFonts w:hint="eastAsia" w:asciiTheme="minorEastAsia" w:hAnsiTheme="minorEastAsia" w:cstheme="minorEastAsia"/>
                <w:kern w:val="0"/>
                <w:szCs w:val="21"/>
              </w:rPr>
              <w:t>1.2供应商须提供经审计的202</w:t>
            </w:r>
            <w:r>
              <w:rPr>
                <w:rFonts w:hint="eastAsia" w:asciiTheme="minorEastAsia" w:hAnsiTheme="minorEastAsia" w:cstheme="minorEastAsia"/>
                <w:kern w:val="0"/>
                <w:szCs w:val="21"/>
                <w:lang w:val="en-US" w:eastAsia="zh-CN"/>
              </w:rPr>
              <w:t>2</w:t>
            </w:r>
            <w:r>
              <w:rPr>
                <w:rFonts w:hint="eastAsia" w:asciiTheme="minorEastAsia" w:hAnsiTheme="minorEastAsia" w:cstheme="minorEastAsia"/>
                <w:kern w:val="0"/>
                <w:szCs w:val="21"/>
              </w:rPr>
              <w:t>年度</w:t>
            </w:r>
            <w:r>
              <w:rPr>
                <w:rFonts w:hint="eastAsia" w:asciiTheme="minorEastAsia" w:hAnsiTheme="minorEastAsia" w:cstheme="minorEastAsia"/>
                <w:kern w:val="0"/>
                <w:szCs w:val="21"/>
                <w:lang w:val="en-US" w:eastAsia="zh-CN"/>
              </w:rPr>
              <w:t>或2023年度</w:t>
            </w:r>
            <w:r>
              <w:rPr>
                <w:rFonts w:hint="eastAsia" w:asciiTheme="minorEastAsia" w:hAnsiTheme="minorEastAsia" w:cstheme="minorEastAsia"/>
                <w:kern w:val="0"/>
                <w:szCs w:val="21"/>
              </w:rPr>
              <w:t>财务报告</w:t>
            </w:r>
            <w:r>
              <w:rPr>
                <w:rFonts w:hint="eastAsia" w:asciiTheme="minorEastAsia" w:hAnsiTheme="minorEastAsia" w:cstheme="minorEastAsia"/>
                <w:kern w:val="0"/>
                <w:szCs w:val="21"/>
                <w:lang w:eastAsia="zh-CN"/>
              </w:rPr>
              <w:t>。</w:t>
            </w:r>
          </w:p>
          <w:p w14:paraId="4D8F45B5">
            <w:pPr>
              <w:widowControl/>
              <w:shd w:val="clear" w:color="auto" w:fill="FFFFFF"/>
              <w:spacing w:line="360" w:lineRule="auto"/>
              <w:jc w:val="left"/>
              <w:rPr>
                <w:rFonts w:asciiTheme="minorEastAsia" w:hAnsiTheme="minorEastAsia" w:cstheme="minorEastAsia"/>
                <w:kern w:val="0"/>
                <w:szCs w:val="21"/>
              </w:rPr>
            </w:pPr>
            <w:r>
              <w:rPr>
                <w:rFonts w:hint="eastAsia" w:asciiTheme="minorEastAsia" w:hAnsiTheme="minorEastAsia" w:cstheme="minorEastAsia"/>
                <w:kern w:val="0"/>
                <w:szCs w:val="21"/>
              </w:rPr>
              <w:t>1.3供应商须有依法缴纳税收和社会保险的相关材料（提供202</w:t>
            </w:r>
            <w:r>
              <w:rPr>
                <w:rFonts w:hint="eastAsia" w:asciiTheme="minorEastAsia" w:hAnsiTheme="minorEastAsia" w:cstheme="minorEastAsia"/>
                <w:kern w:val="0"/>
                <w:szCs w:val="21"/>
                <w:lang w:val="en-US" w:eastAsia="zh-CN"/>
              </w:rPr>
              <w:t>4</w:t>
            </w:r>
            <w:r>
              <w:rPr>
                <w:rFonts w:hint="eastAsia" w:asciiTheme="minorEastAsia" w:hAnsiTheme="minorEastAsia" w:cstheme="minorEastAsia"/>
                <w:kern w:val="0"/>
                <w:szCs w:val="21"/>
              </w:rPr>
              <w:t>年1月以来任意1个月的纳税凭证和社保证明）。</w:t>
            </w:r>
          </w:p>
          <w:p w14:paraId="18410B72">
            <w:pPr>
              <w:widowControl/>
              <w:shd w:val="clear" w:color="auto" w:fill="FFFFFF"/>
              <w:spacing w:line="360" w:lineRule="auto"/>
              <w:jc w:val="left"/>
              <w:rPr>
                <w:rFonts w:asciiTheme="minorEastAsia" w:hAnsiTheme="minorEastAsia" w:cstheme="minorEastAsia"/>
                <w:kern w:val="0"/>
                <w:szCs w:val="21"/>
              </w:rPr>
            </w:pPr>
            <w:r>
              <w:rPr>
                <w:rFonts w:hint="eastAsia" w:asciiTheme="minorEastAsia" w:hAnsiTheme="minorEastAsia" w:cstheme="minorEastAsia"/>
                <w:kern w:val="0"/>
                <w:szCs w:val="21"/>
              </w:rPr>
              <w:t>1.4供应商须出具参加政府采购活动前三年内在经营活动中没有重大违法记录的书面声明（提供声明函，格式自拟）。</w:t>
            </w:r>
          </w:p>
          <w:p w14:paraId="21AC3AC7">
            <w:pPr>
              <w:widowControl/>
              <w:shd w:val="clear" w:color="auto" w:fill="FFFFFF"/>
              <w:spacing w:line="360" w:lineRule="auto"/>
              <w:jc w:val="left"/>
              <w:rPr>
                <w:rFonts w:asciiTheme="minorEastAsia" w:hAnsiTheme="minorEastAsia" w:cstheme="minorEastAsia"/>
                <w:kern w:val="0"/>
                <w:szCs w:val="21"/>
              </w:rPr>
            </w:pPr>
            <w:r>
              <w:rPr>
                <w:rFonts w:hint="eastAsia" w:asciiTheme="minorEastAsia" w:hAnsiTheme="minorEastAsia" w:cstheme="minorEastAsia"/>
                <w:kern w:val="0"/>
                <w:szCs w:val="21"/>
              </w:rPr>
              <w:t>1.5供应商须具有履行合同所必需的设备和专业技术能力（提供声明函，格式自拟）。</w:t>
            </w:r>
          </w:p>
          <w:p w14:paraId="1C7064B0">
            <w:pPr>
              <w:spacing w:line="360" w:lineRule="auto"/>
              <w:rPr>
                <w:rFonts w:asciiTheme="minorEastAsia" w:hAnsiTheme="minorEastAsia" w:cstheme="minorEastAsia"/>
                <w:szCs w:val="21"/>
              </w:rPr>
            </w:pPr>
            <w:r>
              <w:rPr>
                <w:rFonts w:hint="eastAsia" w:asciiTheme="minorEastAsia" w:hAnsiTheme="minorEastAsia" w:cstheme="minorEastAsia"/>
                <w:szCs w:val="21"/>
              </w:rPr>
              <w:t>2.</w:t>
            </w:r>
            <w:r>
              <w:rPr>
                <w:rFonts w:hint="eastAsia" w:asciiTheme="minorEastAsia" w:hAnsiTheme="minorEastAsia" w:cstheme="minorEastAsia"/>
                <w:kern w:val="0"/>
                <w:szCs w:val="21"/>
              </w:rPr>
              <w:t>根据《关于在政府采购活动中查询及使用信用记录有关问题的通知》(财库[2016]125 号)的规定，对列入失信被执行人、重大税收违法案件当事人名单、政府采购严重违法失信行为记录名单及其他不符合《中华人民共和国政府采购法》第二十二条规定条件的供应商，拒绝参与本项目政府采购活动。【提供“中国执行信息公开网”网站《失信被执行人》（查询对象：企业、法定代表人）”和“信用中国”网站《重大税收违法失信主体》（查询对象：企业）”以及“中国政府采购网”网站《政府采购严重违法失信行为记录名单》（查询对象：企业）的查询结果页面截图】</w:t>
            </w:r>
          </w:p>
        </w:tc>
      </w:tr>
      <w:tr w14:paraId="59F48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350BE03D">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2268" w:type="dxa"/>
            <w:vAlign w:val="center"/>
          </w:tcPr>
          <w:p w14:paraId="4F60DAE1">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投标有效期</w:t>
            </w:r>
          </w:p>
        </w:tc>
        <w:tc>
          <w:tcPr>
            <w:tcW w:w="6582" w:type="dxa"/>
            <w:vAlign w:val="center"/>
          </w:tcPr>
          <w:p w14:paraId="359AB3A4">
            <w:pPr>
              <w:spacing w:line="360" w:lineRule="auto"/>
              <w:rPr>
                <w:rFonts w:asciiTheme="minorEastAsia" w:hAnsiTheme="minorEastAsia" w:cstheme="minorEastAsia"/>
                <w:szCs w:val="21"/>
              </w:rPr>
            </w:pPr>
            <w:r>
              <w:rPr>
                <w:rFonts w:hint="eastAsia" w:asciiTheme="minorEastAsia" w:hAnsiTheme="minorEastAsia" w:cstheme="minorEastAsia"/>
                <w:szCs w:val="21"/>
              </w:rPr>
              <w:t>自响应文件递交截止之日起60日历天。</w:t>
            </w:r>
          </w:p>
        </w:tc>
      </w:tr>
      <w:tr w14:paraId="194B9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6F1D6CA5">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11</w:t>
            </w:r>
          </w:p>
        </w:tc>
        <w:tc>
          <w:tcPr>
            <w:tcW w:w="2268" w:type="dxa"/>
            <w:vAlign w:val="center"/>
          </w:tcPr>
          <w:p w14:paraId="709966C5">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响应文件份数</w:t>
            </w:r>
          </w:p>
        </w:tc>
        <w:tc>
          <w:tcPr>
            <w:tcW w:w="6582" w:type="dxa"/>
            <w:vAlign w:val="center"/>
          </w:tcPr>
          <w:p w14:paraId="3506D27D">
            <w:pPr>
              <w:spacing w:line="360" w:lineRule="auto"/>
              <w:rPr>
                <w:rFonts w:asciiTheme="minorEastAsia" w:hAnsiTheme="minorEastAsia" w:cstheme="minorEastAsia"/>
                <w:szCs w:val="21"/>
              </w:rPr>
            </w:pPr>
            <w:r>
              <w:rPr>
                <w:rFonts w:hint="eastAsia" w:asciiTheme="minorEastAsia" w:hAnsiTheme="minorEastAsia" w:cstheme="minorEastAsia"/>
                <w:szCs w:val="21"/>
              </w:rPr>
              <w:t>正本</w:t>
            </w:r>
            <w:r>
              <w:rPr>
                <w:rFonts w:hint="eastAsia" w:asciiTheme="minorEastAsia" w:hAnsiTheme="minorEastAsia" w:cstheme="minorEastAsia"/>
                <w:szCs w:val="21"/>
                <w:u w:val="single"/>
              </w:rPr>
              <w:t>壹</w:t>
            </w:r>
            <w:r>
              <w:rPr>
                <w:rFonts w:hint="eastAsia" w:asciiTheme="minorEastAsia" w:hAnsiTheme="minorEastAsia" w:cstheme="minorEastAsia"/>
                <w:szCs w:val="21"/>
              </w:rPr>
              <w:t>份、副本</w:t>
            </w:r>
            <w:r>
              <w:rPr>
                <w:rFonts w:hint="eastAsia" w:asciiTheme="minorEastAsia" w:hAnsiTheme="minorEastAsia" w:cstheme="minorEastAsia"/>
                <w:szCs w:val="21"/>
                <w:u w:val="single"/>
              </w:rPr>
              <w:t>贰</w:t>
            </w:r>
            <w:r>
              <w:rPr>
                <w:rFonts w:hint="eastAsia" w:asciiTheme="minorEastAsia" w:hAnsiTheme="minorEastAsia" w:cstheme="minorEastAsia"/>
                <w:szCs w:val="21"/>
              </w:rPr>
              <w:t>份。</w:t>
            </w:r>
          </w:p>
        </w:tc>
      </w:tr>
      <w:tr w14:paraId="47959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0E2F2D16">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12</w:t>
            </w:r>
          </w:p>
        </w:tc>
        <w:tc>
          <w:tcPr>
            <w:tcW w:w="2268" w:type="dxa"/>
            <w:vAlign w:val="center"/>
          </w:tcPr>
          <w:p w14:paraId="06999A15">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装订要求</w:t>
            </w:r>
          </w:p>
        </w:tc>
        <w:tc>
          <w:tcPr>
            <w:tcW w:w="6582" w:type="dxa"/>
            <w:vAlign w:val="center"/>
          </w:tcPr>
          <w:p w14:paraId="3956B22A">
            <w:pPr>
              <w:spacing w:line="360" w:lineRule="auto"/>
              <w:rPr>
                <w:rFonts w:asciiTheme="minorEastAsia" w:hAnsiTheme="minorEastAsia" w:cstheme="minorEastAsia"/>
                <w:spacing w:val="4"/>
                <w:szCs w:val="21"/>
              </w:rPr>
            </w:pPr>
            <w:r>
              <w:rPr>
                <w:rFonts w:hint="eastAsia" w:asciiTheme="minorEastAsia" w:hAnsiTheme="minorEastAsia" w:cstheme="minorEastAsia"/>
                <w:szCs w:val="21"/>
              </w:rPr>
              <w:t>所有响应文件采用胶装方式装订，不得采用活页夹等可随时拆换的方式装订，并编制目录。</w:t>
            </w:r>
          </w:p>
        </w:tc>
      </w:tr>
      <w:tr w14:paraId="6C490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81" w:type="dxa"/>
            <w:vAlign w:val="center"/>
          </w:tcPr>
          <w:p w14:paraId="6AAB085D">
            <w:pPr>
              <w:tabs>
                <w:tab w:val="left" w:pos="319"/>
              </w:tabs>
              <w:spacing w:line="360" w:lineRule="auto"/>
              <w:jc w:val="center"/>
              <w:rPr>
                <w:rFonts w:asciiTheme="minorEastAsia" w:hAnsiTheme="minorEastAsia" w:cstheme="minorEastAsia"/>
                <w:szCs w:val="21"/>
              </w:rPr>
            </w:pPr>
            <w:r>
              <w:rPr>
                <w:rFonts w:hint="eastAsia" w:asciiTheme="minorEastAsia" w:hAnsiTheme="minorEastAsia" w:cstheme="minorEastAsia"/>
                <w:szCs w:val="21"/>
              </w:rPr>
              <w:t>13</w:t>
            </w:r>
          </w:p>
        </w:tc>
        <w:tc>
          <w:tcPr>
            <w:tcW w:w="2268" w:type="dxa"/>
            <w:vAlign w:val="center"/>
          </w:tcPr>
          <w:p w14:paraId="677CA6CE">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密封要求</w:t>
            </w:r>
          </w:p>
        </w:tc>
        <w:tc>
          <w:tcPr>
            <w:tcW w:w="6582" w:type="dxa"/>
            <w:vAlign w:val="center"/>
          </w:tcPr>
          <w:p w14:paraId="776A8145">
            <w:pPr>
              <w:spacing w:line="360" w:lineRule="auto"/>
              <w:rPr>
                <w:rFonts w:asciiTheme="minorEastAsia" w:hAnsiTheme="minorEastAsia" w:cstheme="minorEastAsia"/>
                <w:spacing w:val="4"/>
                <w:szCs w:val="21"/>
              </w:rPr>
            </w:pPr>
            <w:r>
              <w:rPr>
                <w:rFonts w:hint="eastAsia" w:asciiTheme="minorEastAsia" w:hAnsiTheme="minorEastAsia" w:cstheme="minorEastAsia"/>
                <w:szCs w:val="21"/>
              </w:rPr>
              <w:t>响应文件应密封，供应商应将响应文件所有正、副本</w:t>
            </w:r>
            <w:r>
              <w:rPr>
                <w:rFonts w:hint="eastAsia" w:asciiTheme="minorEastAsia" w:hAnsiTheme="minorEastAsia" w:cstheme="minorEastAsia"/>
                <w:szCs w:val="21"/>
                <w:lang w:val="en-US" w:eastAsia="zh-CN"/>
              </w:rPr>
              <w:t>及电子版U盘</w:t>
            </w:r>
            <w:r>
              <w:rPr>
                <w:rFonts w:hint="eastAsia" w:asciiTheme="minorEastAsia" w:hAnsiTheme="minorEastAsia" w:cstheme="minorEastAsia"/>
                <w:szCs w:val="21"/>
              </w:rPr>
              <w:t>全部密封于一袋（箱）内。</w:t>
            </w:r>
          </w:p>
        </w:tc>
      </w:tr>
      <w:tr w14:paraId="4C277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81" w:type="dxa"/>
            <w:vAlign w:val="center"/>
          </w:tcPr>
          <w:p w14:paraId="76A2265C">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4</w:t>
            </w:r>
          </w:p>
        </w:tc>
        <w:tc>
          <w:tcPr>
            <w:tcW w:w="2268" w:type="dxa"/>
            <w:vAlign w:val="center"/>
          </w:tcPr>
          <w:p w14:paraId="1D3A958B">
            <w:pPr>
              <w:spacing w:line="360" w:lineRule="auto"/>
              <w:jc w:val="center"/>
              <w:rPr>
                <w:rFonts w:asciiTheme="minorEastAsia" w:hAnsiTheme="minorEastAsia" w:cstheme="minorEastAsia"/>
                <w:kern w:val="0"/>
                <w:szCs w:val="21"/>
              </w:rPr>
            </w:pPr>
            <w:r>
              <w:rPr>
                <w:rFonts w:hint="eastAsia" w:asciiTheme="minorEastAsia" w:hAnsiTheme="minorEastAsia" w:cstheme="minorEastAsia"/>
                <w:kern w:val="0"/>
                <w:szCs w:val="21"/>
              </w:rPr>
              <w:t>服务质量</w:t>
            </w:r>
          </w:p>
        </w:tc>
        <w:tc>
          <w:tcPr>
            <w:tcW w:w="6582" w:type="dxa"/>
            <w:vAlign w:val="center"/>
          </w:tcPr>
          <w:p w14:paraId="5890DA81">
            <w:pPr>
              <w:spacing w:line="360" w:lineRule="auto"/>
              <w:rPr>
                <w:rFonts w:asciiTheme="minorEastAsia" w:hAnsiTheme="minorEastAsia" w:cstheme="minorEastAsia"/>
                <w:kern w:val="0"/>
                <w:szCs w:val="21"/>
              </w:rPr>
            </w:pPr>
            <w:r>
              <w:rPr>
                <w:rFonts w:hint="eastAsia" w:asciiTheme="minorEastAsia" w:hAnsiTheme="minorEastAsia" w:cstheme="minorEastAsia"/>
                <w:kern w:val="0"/>
                <w:szCs w:val="21"/>
              </w:rPr>
              <w:t>合格，满足采购人使用需求</w:t>
            </w:r>
          </w:p>
        </w:tc>
      </w:tr>
      <w:tr w14:paraId="17878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1" w:type="dxa"/>
            <w:vAlign w:val="center"/>
          </w:tcPr>
          <w:p w14:paraId="7A39BABE">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5</w:t>
            </w:r>
          </w:p>
        </w:tc>
        <w:tc>
          <w:tcPr>
            <w:tcW w:w="2268" w:type="dxa"/>
            <w:vAlign w:val="center"/>
          </w:tcPr>
          <w:p w14:paraId="2E1154DB">
            <w:pPr>
              <w:spacing w:line="360" w:lineRule="auto"/>
              <w:jc w:val="center"/>
              <w:rPr>
                <w:rFonts w:asciiTheme="minorEastAsia" w:hAnsiTheme="minorEastAsia" w:cstheme="minorEastAsia"/>
                <w:kern w:val="0"/>
                <w:szCs w:val="21"/>
              </w:rPr>
            </w:pPr>
            <w:r>
              <w:rPr>
                <w:rFonts w:hint="eastAsia" w:asciiTheme="minorEastAsia" w:hAnsiTheme="minorEastAsia" w:cstheme="minorEastAsia"/>
                <w:kern w:val="0"/>
                <w:szCs w:val="21"/>
              </w:rPr>
              <w:t>最高限价</w:t>
            </w:r>
          </w:p>
        </w:tc>
        <w:tc>
          <w:tcPr>
            <w:tcW w:w="6582" w:type="dxa"/>
            <w:vAlign w:val="center"/>
          </w:tcPr>
          <w:p w14:paraId="4CF689F9">
            <w:pPr>
              <w:spacing w:line="360" w:lineRule="auto"/>
              <w:rPr>
                <w:rFonts w:asciiTheme="minorEastAsia" w:hAnsiTheme="minorEastAsia" w:cstheme="minorEastAsia"/>
                <w:kern w:val="0"/>
                <w:szCs w:val="21"/>
              </w:rPr>
            </w:pPr>
            <w:r>
              <w:rPr>
                <w:rFonts w:hint="eastAsia" w:asciiTheme="minorEastAsia" w:hAnsiTheme="minorEastAsia" w:cstheme="minorEastAsia"/>
                <w:kern w:val="0"/>
                <w:szCs w:val="21"/>
                <w:lang w:val="en-US" w:eastAsia="zh-CN"/>
              </w:rPr>
              <w:t>750000</w:t>
            </w:r>
            <w:r>
              <w:rPr>
                <w:rFonts w:hint="eastAsia" w:asciiTheme="minorEastAsia" w:hAnsiTheme="minorEastAsia" w:cstheme="minorEastAsia"/>
                <w:kern w:val="0"/>
                <w:szCs w:val="21"/>
              </w:rPr>
              <w:t>.00元</w:t>
            </w:r>
          </w:p>
        </w:tc>
      </w:tr>
      <w:tr w14:paraId="47A0D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81" w:type="dxa"/>
            <w:vAlign w:val="center"/>
          </w:tcPr>
          <w:p w14:paraId="278CD037">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cstheme="minorEastAsia"/>
                <w:bCs/>
                <w:kern w:val="0"/>
                <w:szCs w:val="21"/>
              </w:rPr>
              <w:t>1</w:t>
            </w:r>
            <w:r>
              <w:rPr>
                <w:rFonts w:hint="eastAsia" w:asciiTheme="minorEastAsia" w:hAnsiTheme="minorEastAsia" w:cstheme="minorEastAsia"/>
                <w:bCs/>
                <w:kern w:val="0"/>
                <w:szCs w:val="21"/>
                <w:lang w:val="en-US" w:eastAsia="zh-CN"/>
              </w:rPr>
              <w:t>6</w:t>
            </w:r>
          </w:p>
        </w:tc>
        <w:tc>
          <w:tcPr>
            <w:tcW w:w="2268" w:type="dxa"/>
            <w:vAlign w:val="center"/>
          </w:tcPr>
          <w:p w14:paraId="7079E021">
            <w:pPr>
              <w:spacing w:line="360" w:lineRule="auto"/>
              <w:jc w:val="center"/>
              <w:rPr>
                <w:rFonts w:asciiTheme="minorEastAsia" w:hAnsiTheme="minorEastAsia" w:cstheme="minorEastAsia"/>
                <w:kern w:val="0"/>
                <w:szCs w:val="21"/>
                <w:highlight w:val="none"/>
              </w:rPr>
            </w:pPr>
            <w:r>
              <w:rPr>
                <w:rFonts w:hint="eastAsia" w:asciiTheme="minorEastAsia" w:hAnsiTheme="minorEastAsia" w:cstheme="minorEastAsia"/>
                <w:kern w:val="0"/>
                <w:szCs w:val="21"/>
                <w:highlight w:val="none"/>
              </w:rPr>
              <w:t>付款方式</w:t>
            </w:r>
          </w:p>
        </w:tc>
        <w:tc>
          <w:tcPr>
            <w:tcW w:w="6582" w:type="dxa"/>
          </w:tcPr>
          <w:p w14:paraId="3B88ADA0">
            <w:pPr>
              <w:spacing w:line="360" w:lineRule="auto"/>
              <w:rPr>
                <w:rFonts w:hint="default" w:asciiTheme="minorEastAsia" w:hAnsiTheme="minorEastAsia" w:eastAsiaTheme="minorEastAsia" w:cstheme="minorEastAsia"/>
                <w:kern w:val="0"/>
                <w:szCs w:val="21"/>
                <w:highlight w:val="none"/>
                <w:lang w:val="en-US" w:eastAsia="zh-CN"/>
              </w:rPr>
            </w:pPr>
            <w:r>
              <w:rPr>
                <w:rFonts w:hint="eastAsia" w:asciiTheme="minorEastAsia" w:hAnsiTheme="minorEastAsia" w:cstheme="minorEastAsia"/>
                <w:kern w:val="0"/>
                <w:szCs w:val="21"/>
                <w:highlight w:val="none"/>
                <w:lang w:val="en-US" w:eastAsia="zh-CN"/>
              </w:rPr>
              <w:t>合同约定</w:t>
            </w:r>
          </w:p>
        </w:tc>
      </w:tr>
      <w:tr w14:paraId="7EE61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81" w:type="dxa"/>
            <w:vAlign w:val="center"/>
          </w:tcPr>
          <w:p w14:paraId="07A8501C">
            <w:pPr>
              <w:spacing w:line="360" w:lineRule="auto"/>
              <w:jc w:val="center"/>
              <w:rPr>
                <w:rFonts w:hint="default" w:asciiTheme="minorEastAsia" w:hAnsiTheme="minorEastAsia" w:eastAsiaTheme="minorEastAsia" w:cstheme="minorEastAsia"/>
                <w:bCs/>
                <w:kern w:val="0"/>
                <w:szCs w:val="21"/>
                <w:lang w:val="en-US" w:eastAsia="zh-CN"/>
              </w:rPr>
            </w:pPr>
            <w:r>
              <w:rPr>
                <w:rFonts w:hint="eastAsia" w:asciiTheme="minorEastAsia" w:hAnsiTheme="minorEastAsia" w:cstheme="minorEastAsia"/>
                <w:bCs/>
                <w:kern w:val="0"/>
                <w:szCs w:val="21"/>
                <w:lang w:val="en-US" w:eastAsia="zh-CN"/>
              </w:rPr>
              <w:t>17</w:t>
            </w:r>
          </w:p>
        </w:tc>
        <w:tc>
          <w:tcPr>
            <w:tcW w:w="2268" w:type="dxa"/>
            <w:vAlign w:val="center"/>
          </w:tcPr>
          <w:p w14:paraId="671461F6">
            <w:pPr>
              <w:spacing w:line="360" w:lineRule="auto"/>
              <w:jc w:val="center"/>
              <w:rPr>
                <w:rFonts w:hint="default" w:asciiTheme="minorEastAsia" w:hAnsiTheme="minorEastAsia" w:eastAsiaTheme="minorEastAsia" w:cstheme="minorEastAsia"/>
                <w:kern w:val="0"/>
                <w:szCs w:val="21"/>
                <w:lang w:val="en-US" w:eastAsia="zh-CN"/>
              </w:rPr>
            </w:pPr>
            <w:r>
              <w:rPr>
                <w:rFonts w:hint="eastAsia" w:asciiTheme="minorEastAsia" w:hAnsiTheme="minorEastAsia" w:cstheme="minorEastAsia"/>
                <w:kern w:val="0"/>
                <w:szCs w:val="21"/>
                <w:lang w:val="en-US" w:eastAsia="zh-CN"/>
              </w:rPr>
              <w:t>履约保证金</w:t>
            </w:r>
          </w:p>
        </w:tc>
        <w:tc>
          <w:tcPr>
            <w:tcW w:w="6582" w:type="dxa"/>
          </w:tcPr>
          <w:p w14:paraId="168B6B2E">
            <w:pPr>
              <w:spacing w:line="360" w:lineRule="auto"/>
              <w:rPr>
                <w:rFonts w:hint="default" w:asciiTheme="minorEastAsia" w:hAnsiTheme="minorEastAsia" w:eastAsiaTheme="minorEastAsia" w:cstheme="minorEastAsia"/>
                <w:kern w:val="0"/>
                <w:szCs w:val="21"/>
                <w:lang w:val="en-US" w:eastAsia="zh-CN"/>
              </w:rPr>
            </w:pPr>
            <w:r>
              <w:rPr>
                <w:rFonts w:hint="default" w:asciiTheme="minorEastAsia" w:hAnsiTheme="minorEastAsia" w:eastAsiaTheme="minorEastAsia" w:cstheme="minorEastAsia"/>
                <w:kern w:val="0"/>
                <w:szCs w:val="21"/>
                <w:lang w:val="en-US" w:eastAsia="zh-CN"/>
              </w:rPr>
              <w:t>本项目不收取履约保证金。</w:t>
            </w:r>
          </w:p>
        </w:tc>
      </w:tr>
      <w:tr w14:paraId="0D829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81" w:type="dxa"/>
            <w:vAlign w:val="center"/>
          </w:tcPr>
          <w:p w14:paraId="37EBE24F">
            <w:pPr>
              <w:autoSpaceDE w:val="0"/>
              <w:autoSpaceDN w:val="0"/>
              <w:adjustRightInd w:val="0"/>
              <w:spacing w:line="360" w:lineRule="auto"/>
              <w:jc w:val="center"/>
              <w:rPr>
                <w:rFonts w:hint="eastAsia" w:asciiTheme="minorEastAsia" w:hAnsiTheme="minorEastAsia" w:eastAsiaTheme="minorEastAsia" w:cstheme="minorEastAsia"/>
                <w:bCs/>
                <w:kern w:val="0"/>
                <w:szCs w:val="21"/>
                <w:lang w:eastAsia="zh-CN"/>
              </w:rPr>
            </w:pPr>
            <w:r>
              <w:rPr>
                <w:rFonts w:hint="eastAsia" w:asciiTheme="minorEastAsia" w:hAnsiTheme="minorEastAsia" w:cstheme="minorEastAsia"/>
                <w:bCs/>
                <w:kern w:val="0"/>
                <w:szCs w:val="21"/>
              </w:rPr>
              <w:t>1</w:t>
            </w:r>
            <w:r>
              <w:rPr>
                <w:rFonts w:hint="eastAsia" w:asciiTheme="minorEastAsia" w:hAnsiTheme="minorEastAsia" w:cstheme="minorEastAsia"/>
                <w:bCs/>
                <w:kern w:val="0"/>
                <w:szCs w:val="21"/>
                <w:lang w:val="en-US" w:eastAsia="zh-CN"/>
              </w:rPr>
              <w:t>8</w:t>
            </w:r>
          </w:p>
        </w:tc>
        <w:tc>
          <w:tcPr>
            <w:tcW w:w="2268" w:type="dxa"/>
            <w:vAlign w:val="center"/>
          </w:tcPr>
          <w:p w14:paraId="48679A6E">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未尽事宜</w:t>
            </w:r>
          </w:p>
        </w:tc>
        <w:tc>
          <w:tcPr>
            <w:tcW w:w="6582" w:type="dxa"/>
            <w:vAlign w:val="center"/>
          </w:tcPr>
          <w:p w14:paraId="38EEF0E1">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其它未尽事宜，按国家有关法律、法规执行。</w:t>
            </w:r>
          </w:p>
        </w:tc>
      </w:tr>
      <w:tr w14:paraId="00C98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81" w:type="dxa"/>
            <w:vAlign w:val="center"/>
          </w:tcPr>
          <w:p w14:paraId="19F8D34B">
            <w:pPr>
              <w:autoSpaceDE w:val="0"/>
              <w:autoSpaceDN w:val="0"/>
              <w:adjustRightInd w:val="0"/>
              <w:spacing w:line="360" w:lineRule="auto"/>
              <w:jc w:val="center"/>
              <w:rPr>
                <w:rFonts w:hint="eastAsia" w:asciiTheme="minorEastAsia" w:hAnsiTheme="minorEastAsia" w:eastAsiaTheme="minorEastAsia" w:cstheme="minorEastAsia"/>
                <w:bCs/>
                <w:kern w:val="0"/>
                <w:szCs w:val="21"/>
                <w:lang w:eastAsia="zh-CN"/>
              </w:rPr>
            </w:pPr>
            <w:r>
              <w:rPr>
                <w:rFonts w:hint="eastAsia" w:asciiTheme="minorEastAsia" w:hAnsiTheme="minorEastAsia" w:cstheme="minorEastAsia"/>
                <w:kern w:val="0"/>
                <w:szCs w:val="21"/>
              </w:rPr>
              <w:t>1</w:t>
            </w:r>
            <w:r>
              <w:rPr>
                <w:rFonts w:hint="eastAsia" w:asciiTheme="minorEastAsia" w:hAnsiTheme="minorEastAsia" w:cstheme="minorEastAsia"/>
                <w:kern w:val="0"/>
                <w:szCs w:val="21"/>
                <w:lang w:val="en-US" w:eastAsia="zh-CN"/>
              </w:rPr>
              <w:t>9</w:t>
            </w:r>
          </w:p>
        </w:tc>
        <w:tc>
          <w:tcPr>
            <w:tcW w:w="8850" w:type="dxa"/>
            <w:gridSpan w:val="2"/>
            <w:vAlign w:val="center"/>
          </w:tcPr>
          <w:p w14:paraId="7C2D54B7">
            <w:pPr>
              <w:autoSpaceDE w:val="0"/>
              <w:autoSpaceDN w:val="0"/>
              <w:adjustRightInd w:val="0"/>
              <w:spacing w:line="360" w:lineRule="auto"/>
              <w:jc w:val="left"/>
              <w:rPr>
                <w:rFonts w:hint="default" w:asciiTheme="minorEastAsia" w:hAnsiTheme="minorEastAsia" w:eastAsiaTheme="minorEastAsia" w:cstheme="minorEastAsia"/>
                <w:bCs/>
                <w:kern w:val="0"/>
                <w:szCs w:val="21"/>
                <w:lang w:val="en-US" w:eastAsia="zh-CN"/>
              </w:rPr>
            </w:pPr>
            <w:r>
              <w:rPr>
                <w:rFonts w:hint="eastAsia" w:asciiTheme="minorEastAsia" w:hAnsiTheme="minorEastAsia" w:cstheme="minorEastAsia"/>
                <w:bCs/>
                <w:kern w:val="0"/>
                <w:szCs w:val="21"/>
                <w:lang w:val="en-US" w:eastAsia="zh-CN"/>
              </w:rPr>
              <w:t>代理服务费：根据《河南省招标代理服务收费指导意见》豫招协[2023]002号文件规定的标准收取代理服务费，由中标人领取中标通知书时缴纳（不含税）。</w:t>
            </w:r>
          </w:p>
        </w:tc>
      </w:tr>
      <w:tr w14:paraId="68699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781" w:type="dxa"/>
            <w:vAlign w:val="center"/>
          </w:tcPr>
          <w:p w14:paraId="24D574C3">
            <w:pPr>
              <w:autoSpaceDE w:val="0"/>
              <w:autoSpaceDN w:val="0"/>
              <w:adjustRightInd w:val="0"/>
              <w:spacing w:line="360" w:lineRule="auto"/>
              <w:jc w:val="center"/>
              <w:rPr>
                <w:rFonts w:hint="default" w:asciiTheme="minorEastAsia" w:hAnsiTheme="minorEastAsia" w:eastAsiaTheme="minorEastAsia" w:cstheme="minorEastAsia"/>
                <w:bCs/>
                <w:kern w:val="0"/>
                <w:szCs w:val="21"/>
                <w:lang w:val="en-US" w:eastAsia="zh-CN"/>
              </w:rPr>
            </w:pPr>
            <w:r>
              <w:rPr>
                <w:rFonts w:hint="eastAsia" w:asciiTheme="minorEastAsia" w:hAnsiTheme="minorEastAsia" w:cstheme="minorEastAsia"/>
                <w:kern w:val="0"/>
                <w:szCs w:val="21"/>
                <w:lang w:val="en-US" w:eastAsia="zh-CN"/>
              </w:rPr>
              <w:t>20</w:t>
            </w:r>
          </w:p>
        </w:tc>
        <w:tc>
          <w:tcPr>
            <w:tcW w:w="8850" w:type="dxa"/>
            <w:gridSpan w:val="2"/>
            <w:vAlign w:val="center"/>
          </w:tcPr>
          <w:p w14:paraId="0EFFE466">
            <w:pPr>
              <w:autoSpaceDE w:val="0"/>
              <w:autoSpaceDN w:val="0"/>
              <w:adjustRightInd w:val="0"/>
              <w:spacing w:line="360" w:lineRule="auto"/>
              <w:jc w:val="left"/>
              <w:rPr>
                <w:rFonts w:asciiTheme="minorEastAsia" w:hAnsiTheme="minorEastAsia" w:cstheme="minorEastAsia"/>
                <w:bCs/>
                <w:kern w:val="0"/>
                <w:szCs w:val="21"/>
              </w:rPr>
            </w:pPr>
            <w:r>
              <w:rPr>
                <w:rFonts w:hint="eastAsia" w:asciiTheme="minorEastAsia" w:hAnsiTheme="minorEastAsia" w:cstheme="minorEastAsia"/>
                <w:bCs/>
                <w:kern w:val="0"/>
                <w:szCs w:val="21"/>
              </w:rPr>
              <w:t>协商小组构成：采购人代表1人、专家2人。</w:t>
            </w:r>
          </w:p>
          <w:p w14:paraId="51C814F8">
            <w:pPr>
              <w:autoSpaceDE w:val="0"/>
              <w:autoSpaceDN w:val="0"/>
              <w:adjustRightInd w:val="0"/>
              <w:spacing w:line="360" w:lineRule="auto"/>
              <w:jc w:val="left"/>
              <w:rPr>
                <w:rFonts w:asciiTheme="minorEastAsia" w:hAnsiTheme="minorEastAsia" w:cstheme="minorEastAsia"/>
                <w:bCs/>
                <w:kern w:val="0"/>
                <w:szCs w:val="21"/>
              </w:rPr>
            </w:pPr>
            <w:r>
              <w:rPr>
                <w:rFonts w:hint="eastAsia" w:asciiTheme="minorEastAsia" w:hAnsiTheme="minorEastAsia" w:cstheme="minorEastAsia"/>
                <w:bCs/>
                <w:kern w:val="0"/>
                <w:szCs w:val="21"/>
              </w:rPr>
              <w:t>协商小组的组建：从相关专家库中</w:t>
            </w:r>
            <w:r>
              <w:rPr>
                <w:rFonts w:hint="eastAsia" w:asciiTheme="minorEastAsia" w:hAnsiTheme="minorEastAsia" w:cstheme="minorEastAsia"/>
                <w:bCs/>
                <w:kern w:val="0"/>
                <w:szCs w:val="21"/>
                <w:lang w:val="en-US" w:eastAsia="zh-CN"/>
              </w:rPr>
              <w:t>邀请</w:t>
            </w:r>
            <w:r>
              <w:rPr>
                <w:rFonts w:hint="eastAsia" w:asciiTheme="minorEastAsia" w:hAnsiTheme="minorEastAsia" w:cstheme="minorEastAsia"/>
                <w:bCs/>
                <w:kern w:val="0"/>
                <w:szCs w:val="21"/>
              </w:rPr>
              <w:t>。</w:t>
            </w:r>
          </w:p>
        </w:tc>
      </w:tr>
      <w:tr w14:paraId="02A95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7192191C">
            <w:pPr>
              <w:autoSpaceDE w:val="0"/>
              <w:autoSpaceDN w:val="0"/>
              <w:adjustRightInd w:val="0"/>
              <w:spacing w:line="360" w:lineRule="auto"/>
              <w:jc w:val="center"/>
              <w:rPr>
                <w:rFonts w:hint="eastAsia" w:asciiTheme="minorEastAsia" w:hAnsiTheme="minorEastAsia" w:eastAsiaTheme="minorEastAsia" w:cstheme="minorEastAsia"/>
                <w:kern w:val="0"/>
                <w:szCs w:val="21"/>
                <w:lang w:eastAsia="zh-CN"/>
              </w:rPr>
            </w:pPr>
            <w:r>
              <w:rPr>
                <w:rFonts w:hint="eastAsia" w:asciiTheme="minorEastAsia" w:hAnsiTheme="minorEastAsia" w:cstheme="minorEastAsia"/>
                <w:kern w:val="0"/>
                <w:szCs w:val="21"/>
              </w:rPr>
              <w:t>2</w:t>
            </w:r>
            <w:r>
              <w:rPr>
                <w:rFonts w:hint="eastAsia" w:asciiTheme="minorEastAsia" w:hAnsiTheme="minorEastAsia" w:cstheme="minorEastAsia"/>
                <w:kern w:val="0"/>
                <w:szCs w:val="21"/>
                <w:lang w:val="en-US" w:eastAsia="zh-CN"/>
              </w:rPr>
              <w:t>1</w:t>
            </w:r>
          </w:p>
        </w:tc>
        <w:tc>
          <w:tcPr>
            <w:tcW w:w="8850" w:type="dxa"/>
            <w:gridSpan w:val="2"/>
            <w:vAlign w:val="center"/>
          </w:tcPr>
          <w:p w14:paraId="4C12B95F">
            <w:pPr>
              <w:autoSpaceDE w:val="0"/>
              <w:autoSpaceDN w:val="0"/>
              <w:adjustRightInd w:val="0"/>
              <w:spacing w:line="360" w:lineRule="auto"/>
              <w:rPr>
                <w:rFonts w:asciiTheme="minorEastAsia" w:hAnsiTheme="minorEastAsia" w:cstheme="minorEastAsia"/>
                <w:bCs/>
                <w:szCs w:val="21"/>
              </w:rPr>
            </w:pPr>
            <w:r>
              <w:rPr>
                <w:rFonts w:hint="eastAsia" w:asciiTheme="minorEastAsia" w:hAnsiTheme="minorEastAsia" w:cstheme="minorEastAsia"/>
                <w:bCs/>
                <w:szCs w:val="21"/>
              </w:rPr>
              <w:t>供应商的联系方式：自购买单一来源采购文件之日起供应商应保证其提供的联系方式（电话、传真、电子邮件等）一直有效，以保证往来函件（单一来源采购文件的澄清、修改等）能及时通知供应商，并能及时反馈信息，否则采购人不承担由此引起的一切后果。</w:t>
            </w:r>
          </w:p>
        </w:tc>
      </w:tr>
      <w:tr w14:paraId="3EA7B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6B3E7012">
            <w:pPr>
              <w:autoSpaceDE w:val="0"/>
              <w:autoSpaceDN w:val="0"/>
              <w:adjustRightInd w:val="0"/>
              <w:spacing w:line="360" w:lineRule="auto"/>
              <w:jc w:val="center"/>
              <w:rPr>
                <w:rFonts w:hint="eastAsia" w:asciiTheme="minorEastAsia" w:hAnsiTheme="minorEastAsia" w:eastAsiaTheme="minorEastAsia" w:cstheme="minorEastAsia"/>
                <w:kern w:val="0"/>
                <w:szCs w:val="21"/>
                <w:lang w:eastAsia="zh-CN"/>
              </w:rPr>
            </w:pPr>
            <w:r>
              <w:rPr>
                <w:rFonts w:hint="eastAsia" w:asciiTheme="minorEastAsia" w:hAnsiTheme="minorEastAsia" w:cstheme="minorEastAsia"/>
                <w:kern w:val="0"/>
                <w:szCs w:val="21"/>
              </w:rPr>
              <w:t>2</w:t>
            </w:r>
            <w:r>
              <w:rPr>
                <w:rFonts w:hint="eastAsia" w:asciiTheme="minorEastAsia" w:hAnsiTheme="minorEastAsia" w:cstheme="minorEastAsia"/>
                <w:kern w:val="0"/>
                <w:szCs w:val="21"/>
                <w:lang w:val="en-US" w:eastAsia="zh-CN"/>
              </w:rPr>
              <w:t>2</w:t>
            </w:r>
          </w:p>
        </w:tc>
        <w:tc>
          <w:tcPr>
            <w:tcW w:w="8850" w:type="dxa"/>
            <w:gridSpan w:val="2"/>
            <w:vAlign w:val="center"/>
          </w:tcPr>
          <w:p w14:paraId="19A0A041">
            <w:pPr>
              <w:autoSpaceDE w:val="0"/>
              <w:autoSpaceDN w:val="0"/>
              <w:adjustRightInd w:val="0"/>
              <w:spacing w:line="360" w:lineRule="auto"/>
              <w:jc w:val="left"/>
              <w:rPr>
                <w:rFonts w:asciiTheme="minorEastAsia" w:hAnsiTheme="minorEastAsia" w:cstheme="minorEastAsia"/>
                <w:sz w:val="24"/>
              </w:rPr>
            </w:pPr>
            <w:r>
              <w:rPr>
                <w:rFonts w:hint="eastAsia" w:asciiTheme="minorEastAsia" w:hAnsiTheme="minorEastAsia" w:cstheme="minorEastAsia"/>
                <w:szCs w:val="21"/>
              </w:rPr>
              <w:t>其他：本单一来源采购文件最终解释权归采购人，其它未尽事宜，按国家有关法律、法规执行</w:t>
            </w:r>
          </w:p>
        </w:tc>
      </w:tr>
    </w:tbl>
    <w:p w14:paraId="4BE365A0">
      <w:bookmarkStart w:id="11" w:name="_Toc29520"/>
      <w:bookmarkStart w:id="12" w:name="_Toc1979"/>
      <w:bookmarkStart w:id="13" w:name="_Toc13786"/>
      <w:bookmarkStart w:id="14" w:name="_Toc498152752"/>
      <w:bookmarkStart w:id="15" w:name="_Toc645"/>
      <w:bookmarkStart w:id="16" w:name="_Toc21518"/>
      <w:bookmarkStart w:id="17" w:name="_Toc6394325"/>
      <w:bookmarkStart w:id="18" w:name="_Toc29339"/>
      <w:bookmarkStart w:id="19" w:name="_Toc533314947"/>
      <w:bookmarkStart w:id="20" w:name="_Toc3829"/>
      <w:bookmarkStart w:id="21" w:name="_Toc184635071"/>
    </w:p>
    <w:p w14:paraId="0EBDB071">
      <w:pPr>
        <w:pStyle w:val="3"/>
        <w:spacing w:before="0" w:after="0" w:line="360" w:lineRule="auto"/>
        <w:jc w:val="center"/>
        <w:rPr>
          <w:rFonts w:asciiTheme="minorEastAsia" w:hAnsiTheme="minorEastAsia" w:cstheme="minorEastAsia"/>
          <w:sz w:val="24"/>
          <w:szCs w:val="24"/>
        </w:rPr>
      </w:pPr>
      <w:bookmarkStart w:id="22" w:name="_Toc114760391"/>
      <w:r>
        <w:rPr>
          <w:rFonts w:hint="eastAsia" w:asciiTheme="minorEastAsia" w:hAnsiTheme="minorEastAsia" w:cstheme="minorEastAsia"/>
          <w:sz w:val="24"/>
          <w:szCs w:val="24"/>
        </w:rPr>
        <w:t>二、供应商须知</w:t>
      </w:r>
      <w:bookmarkEnd w:id="11"/>
      <w:bookmarkEnd w:id="12"/>
      <w:bookmarkEnd w:id="13"/>
      <w:bookmarkEnd w:id="14"/>
      <w:bookmarkEnd w:id="15"/>
      <w:bookmarkEnd w:id="16"/>
      <w:bookmarkEnd w:id="17"/>
      <w:bookmarkEnd w:id="18"/>
      <w:bookmarkEnd w:id="19"/>
      <w:bookmarkEnd w:id="20"/>
      <w:bookmarkEnd w:id="22"/>
    </w:p>
    <w:p w14:paraId="64B79221">
      <w:pPr>
        <w:spacing w:line="360" w:lineRule="auto"/>
        <w:jc w:val="center"/>
        <w:rPr>
          <w:rFonts w:asciiTheme="minorEastAsia" w:hAnsiTheme="minorEastAsia" w:cstheme="minorEastAsia"/>
          <w:b/>
          <w:sz w:val="24"/>
        </w:rPr>
      </w:pPr>
      <w:r>
        <w:rPr>
          <w:rFonts w:hint="eastAsia" w:asciiTheme="minorEastAsia" w:hAnsiTheme="minorEastAsia" w:cstheme="minorEastAsia"/>
          <w:b/>
          <w:sz w:val="24"/>
        </w:rPr>
        <w:t>（一）总则</w:t>
      </w:r>
    </w:p>
    <w:p w14:paraId="3B8CE8C8">
      <w:pPr>
        <w:spacing w:line="360" w:lineRule="auto"/>
        <w:rPr>
          <w:rFonts w:asciiTheme="minorEastAsia" w:hAnsiTheme="minorEastAsia" w:cstheme="minorEastAsia"/>
          <w:b/>
          <w:szCs w:val="21"/>
        </w:rPr>
      </w:pPr>
      <w:r>
        <w:rPr>
          <w:rFonts w:hint="eastAsia" w:asciiTheme="minorEastAsia" w:hAnsiTheme="minorEastAsia" w:cstheme="minorEastAsia"/>
          <w:b/>
          <w:szCs w:val="21"/>
        </w:rPr>
        <w:t>1、适用范围</w:t>
      </w:r>
    </w:p>
    <w:p w14:paraId="623EA7DF">
      <w:pPr>
        <w:spacing w:line="360" w:lineRule="auto"/>
        <w:ind w:firstLine="420" w:firstLineChars="200"/>
        <w:rPr>
          <w:rFonts w:asciiTheme="minorEastAsia" w:hAnsiTheme="minorEastAsia" w:cstheme="minorEastAsia"/>
          <w:szCs w:val="21"/>
        </w:rPr>
      </w:pPr>
      <w:bookmarkStart w:id="23" w:name="_Toc5102"/>
      <w:bookmarkStart w:id="24" w:name="_Toc444608123"/>
      <w:r>
        <w:rPr>
          <w:rFonts w:hint="eastAsia" w:asciiTheme="minorEastAsia" w:hAnsiTheme="minorEastAsia" w:cstheme="minorEastAsia"/>
          <w:szCs w:val="21"/>
        </w:rPr>
        <w:t>本范本是根据《中华人民共和国政府采购法》等相关法律、法规制订。</w:t>
      </w:r>
      <w:bookmarkEnd w:id="23"/>
      <w:bookmarkEnd w:id="24"/>
    </w:p>
    <w:p w14:paraId="3C5906E1">
      <w:pPr>
        <w:spacing w:line="360" w:lineRule="auto"/>
        <w:ind w:firstLine="420" w:firstLineChars="200"/>
        <w:rPr>
          <w:rFonts w:asciiTheme="minorEastAsia" w:hAnsiTheme="minorEastAsia" w:cstheme="minorEastAsia"/>
          <w:szCs w:val="21"/>
        </w:rPr>
      </w:pPr>
      <w:bookmarkStart w:id="25" w:name="_Toc26150"/>
      <w:bookmarkStart w:id="26" w:name="_Toc444608124"/>
      <w:r>
        <w:rPr>
          <w:rFonts w:hint="eastAsia" w:asciiTheme="minorEastAsia" w:hAnsiTheme="minorEastAsia" w:cstheme="minorEastAsia"/>
          <w:szCs w:val="21"/>
        </w:rPr>
        <w:t>本文件仅适用于本次单一来源政府采购项目。</w:t>
      </w:r>
      <w:bookmarkEnd w:id="25"/>
      <w:bookmarkEnd w:id="26"/>
    </w:p>
    <w:p w14:paraId="4EFDCCF7">
      <w:pPr>
        <w:spacing w:line="360" w:lineRule="auto"/>
        <w:rPr>
          <w:rFonts w:asciiTheme="minorEastAsia" w:hAnsiTheme="minorEastAsia" w:cstheme="minorEastAsia"/>
          <w:b/>
          <w:szCs w:val="21"/>
        </w:rPr>
      </w:pPr>
      <w:r>
        <w:rPr>
          <w:rFonts w:hint="eastAsia" w:asciiTheme="minorEastAsia" w:hAnsiTheme="minorEastAsia" w:cstheme="minorEastAsia"/>
          <w:b/>
          <w:szCs w:val="21"/>
        </w:rPr>
        <w:t>2、定义</w:t>
      </w:r>
    </w:p>
    <w:p w14:paraId="4E870AA3">
      <w:pPr>
        <w:spacing w:line="360" w:lineRule="auto"/>
        <w:ind w:firstLine="420" w:firstLineChars="200"/>
        <w:rPr>
          <w:rFonts w:hint="eastAsia" w:asciiTheme="minorEastAsia" w:hAnsiTheme="minorEastAsia" w:cstheme="minorEastAsia"/>
          <w:szCs w:val="21"/>
          <w:lang w:val="en-US" w:eastAsia="zh-CN"/>
        </w:rPr>
      </w:pPr>
      <w:bookmarkStart w:id="27" w:name="_Toc444608126"/>
      <w:bookmarkStart w:id="28" w:name="_Toc13227"/>
      <w:r>
        <w:rPr>
          <w:rFonts w:hint="eastAsia" w:asciiTheme="minorEastAsia" w:hAnsiTheme="minorEastAsia" w:cstheme="minorEastAsia"/>
          <w:szCs w:val="21"/>
        </w:rPr>
        <w:t>采购单位：</w:t>
      </w:r>
      <w:r>
        <w:rPr>
          <w:rFonts w:hint="eastAsia" w:asciiTheme="minorEastAsia" w:hAnsiTheme="minorEastAsia" w:cstheme="minorEastAsia"/>
          <w:szCs w:val="21"/>
          <w:lang w:val="en-US" w:eastAsia="zh-CN"/>
        </w:rPr>
        <w:t>开封市生态环境局。</w:t>
      </w:r>
      <w:bookmarkEnd w:id="27"/>
      <w:bookmarkEnd w:id="28"/>
    </w:p>
    <w:p w14:paraId="427E4F47">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采购代理机构：</w:t>
      </w:r>
      <w:r>
        <w:rPr>
          <w:rFonts w:hint="eastAsia" w:asciiTheme="minorEastAsia" w:hAnsiTheme="minorEastAsia" w:cstheme="minorEastAsia"/>
          <w:szCs w:val="21"/>
          <w:lang w:val="en-US" w:eastAsia="zh-CN"/>
        </w:rPr>
        <w:t>信投为华企业管理（河南）</w:t>
      </w:r>
      <w:r>
        <w:rPr>
          <w:rFonts w:hint="eastAsia" w:asciiTheme="minorEastAsia" w:hAnsiTheme="minorEastAsia" w:cstheme="minorEastAsia"/>
          <w:szCs w:val="21"/>
        </w:rPr>
        <w:t>有限公司。</w:t>
      </w:r>
    </w:p>
    <w:p w14:paraId="7FA244D9">
      <w:pPr>
        <w:spacing w:line="360" w:lineRule="auto"/>
        <w:rPr>
          <w:rFonts w:asciiTheme="minorEastAsia" w:hAnsiTheme="minorEastAsia" w:cstheme="minorEastAsia"/>
          <w:b/>
          <w:szCs w:val="21"/>
        </w:rPr>
      </w:pPr>
      <w:r>
        <w:rPr>
          <w:rFonts w:hint="eastAsia" w:asciiTheme="minorEastAsia" w:hAnsiTheme="minorEastAsia" w:cstheme="minorEastAsia"/>
          <w:b/>
          <w:szCs w:val="21"/>
        </w:rPr>
        <w:t>3、供应商资格要求</w:t>
      </w:r>
    </w:p>
    <w:p w14:paraId="7AF338CE">
      <w:pPr>
        <w:widowControl/>
        <w:shd w:val="clear" w:color="auto" w:fill="FFFFFF"/>
        <w:spacing w:line="360" w:lineRule="auto"/>
        <w:jc w:val="left"/>
        <w:rPr>
          <w:rFonts w:asciiTheme="minorEastAsia" w:hAnsiTheme="minorEastAsia" w:cstheme="minorEastAsia"/>
          <w:kern w:val="0"/>
          <w:szCs w:val="21"/>
        </w:rPr>
      </w:pPr>
      <w:r>
        <w:rPr>
          <w:rFonts w:hint="eastAsia" w:asciiTheme="minorEastAsia" w:hAnsiTheme="minorEastAsia" w:cstheme="minorEastAsia"/>
          <w:kern w:val="0"/>
          <w:szCs w:val="21"/>
        </w:rPr>
        <w:t>1.符合《中华人民共和国政府采购法》第二十二条要求，并提供以下材料：</w:t>
      </w:r>
    </w:p>
    <w:p w14:paraId="242B9F6D">
      <w:pPr>
        <w:widowControl/>
        <w:shd w:val="clear" w:color="auto" w:fill="FFFFFF"/>
        <w:spacing w:line="360" w:lineRule="auto"/>
        <w:jc w:val="left"/>
        <w:rPr>
          <w:rFonts w:asciiTheme="minorEastAsia" w:hAnsiTheme="minorEastAsia" w:cstheme="minorEastAsia"/>
          <w:kern w:val="0"/>
          <w:szCs w:val="21"/>
        </w:rPr>
      </w:pPr>
      <w:r>
        <w:rPr>
          <w:rFonts w:hint="eastAsia" w:asciiTheme="minorEastAsia" w:hAnsiTheme="minorEastAsia" w:cstheme="minorEastAsia"/>
          <w:kern w:val="0"/>
          <w:szCs w:val="21"/>
        </w:rPr>
        <w:t xml:space="preserve"> 1.1供应商须具有独立承担民事责任的能力，具有有效的营业执照。</w:t>
      </w:r>
    </w:p>
    <w:p w14:paraId="32F7AC6F">
      <w:pPr>
        <w:widowControl/>
        <w:shd w:val="clear" w:color="auto" w:fill="FFFFFF"/>
        <w:spacing w:line="360" w:lineRule="auto"/>
        <w:jc w:val="left"/>
        <w:rPr>
          <w:rFonts w:hint="eastAsia" w:asciiTheme="minorEastAsia" w:hAnsiTheme="minorEastAsia" w:eastAsiaTheme="minorEastAsia" w:cstheme="minorEastAsia"/>
          <w:kern w:val="0"/>
          <w:szCs w:val="21"/>
          <w:lang w:eastAsia="zh-CN"/>
        </w:rPr>
      </w:pPr>
      <w:r>
        <w:rPr>
          <w:rFonts w:hint="eastAsia" w:asciiTheme="minorEastAsia" w:hAnsiTheme="minorEastAsia" w:cstheme="minorEastAsia"/>
          <w:kern w:val="0"/>
          <w:szCs w:val="21"/>
        </w:rPr>
        <w:t>1.2供应商须提供经审计的202</w:t>
      </w:r>
      <w:r>
        <w:rPr>
          <w:rFonts w:hint="eastAsia" w:asciiTheme="minorEastAsia" w:hAnsiTheme="minorEastAsia" w:cstheme="minorEastAsia"/>
          <w:kern w:val="0"/>
          <w:szCs w:val="21"/>
          <w:lang w:val="en-US" w:eastAsia="zh-CN"/>
        </w:rPr>
        <w:t>2</w:t>
      </w:r>
      <w:r>
        <w:rPr>
          <w:rFonts w:hint="eastAsia" w:asciiTheme="minorEastAsia" w:hAnsiTheme="minorEastAsia" w:cstheme="minorEastAsia"/>
          <w:kern w:val="0"/>
          <w:szCs w:val="21"/>
        </w:rPr>
        <w:t>年度</w:t>
      </w:r>
      <w:r>
        <w:rPr>
          <w:rFonts w:hint="eastAsia" w:asciiTheme="minorEastAsia" w:hAnsiTheme="minorEastAsia" w:cstheme="minorEastAsia"/>
          <w:kern w:val="0"/>
          <w:szCs w:val="21"/>
          <w:lang w:val="en-US" w:eastAsia="zh-CN"/>
        </w:rPr>
        <w:t>或2023年度</w:t>
      </w:r>
      <w:r>
        <w:rPr>
          <w:rFonts w:hint="eastAsia" w:asciiTheme="minorEastAsia" w:hAnsiTheme="minorEastAsia" w:cstheme="minorEastAsia"/>
          <w:kern w:val="0"/>
          <w:szCs w:val="21"/>
        </w:rPr>
        <w:t>财务报告</w:t>
      </w:r>
      <w:r>
        <w:rPr>
          <w:rFonts w:hint="eastAsia" w:asciiTheme="minorEastAsia" w:hAnsiTheme="minorEastAsia" w:cstheme="minorEastAsia"/>
          <w:kern w:val="0"/>
          <w:szCs w:val="21"/>
          <w:lang w:eastAsia="zh-CN"/>
        </w:rPr>
        <w:t>。</w:t>
      </w:r>
    </w:p>
    <w:p w14:paraId="2FFE0CE5">
      <w:pPr>
        <w:widowControl/>
        <w:shd w:val="clear" w:color="auto" w:fill="FFFFFF"/>
        <w:spacing w:line="360" w:lineRule="auto"/>
        <w:jc w:val="left"/>
        <w:rPr>
          <w:rFonts w:asciiTheme="minorEastAsia" w:hAnsiTheme="minorEastAsia" w:cstheme="minorEastAsia"/>
          <w:kern w:val="0"/>
          <w:szCs w:val="21"/>
        </w:rPr>
      </w:pPr>
      <w:r>
        <w:rPr>
          <w:rFonts w:hint="eastAsia" w:asciiTheme="minorEastAsia" w:hAnsiTheme="minorEastAsia" w:cstheme="minorEastAsia"/>
          <w:kern w:val="0"/>
          <w:szCs w:val="21"/>
        </w:rPr>
        <w:t>1.3供应商须有依法缴纳税收和社会保险的相关材料（提供202</w:t>
      </w:r>
      <w:r>
        <w:rPr>
          <w:rFonts w:hint="eastAsia" w:asciiTheme="minorEastAsia" w:hAnsiTheme="minorEastAsia" w:cstheme="minorEastAsia"/>
          <w:kern w:val="0"/>
          <w:szCs w:val="21"/>
          <w:lang w:val="en-US" w:eastAsia="zh-CN"/>
        </w:rPr>
        <w:t>4</w:t>
      </w:r>
      <w:r>
        <w:rPr>
          <w:rFonts w:hint="eastAsia" w:asciiTheme="minorEastAsia" w:hAnsiTheme="minorEastAsia" w:cstheme="minorEastAsia"/>
          <w:kern w:val="0"/>
          <w:szCs w:val="21"/>
        </w:rPr>
        <w:t>年1月以来任意1个月的纳税凭证和社保证明）。</w:t>
      </w:r>
    </w:p>
    <w:p w14:paraId="48F555D3">
      <w:pPr>
        <w:widowControl/>
        <w:shd w:val="clear" w:color="auto" w:fill="FFFFFF"/>
        <w:spacing w:line="360" w:lineRule="auto"/>
        <w:jc w:val="left"/>
        <w:rPr>
          <w:rFonts w:asciiTheme="minorEastAsia" w:hAnsiTheme="minorEastAsia" w:cstheme="minorEastAsia"/>
          <w:kern w:val="0"/>
          <w:szCs w:val="21"/>
        </w:rPr>
      </w:pPr>
      <w:r>
        <w:rPr>
          <w:rFonts w:hint="eastAsia" w:asciiTheme="minorEastAsia" w:hAnsiTheme="minorEastAsia" w:cstheme="minorEastAsia"/>
          <w:kern w:val="0"/>
          <w:szCs w:val="21"/>
        </w:rPr>
        <w:t>1.4供应商须出具参加政府采购活动前三年内在经营活动中没有重大违法记录的书面声明（提供声明函，格式自拟）。</w:t>
      </w:r>
    </w:p>
    <w:p w14:paraId="22F46AA0">
      <w:pPr>
        <w:widowControl/>
        <w:shd w:val="clear" w:color="auto" w:fill="FFFFFF"/>
        <w:spacing w:line="360" w:lineRule="auto"/>
        <w:jc w:val="left"/>
        <w:rPr>
          <w:rFonts w:asciiTheme="minorEastAsia" w:hAnsiTheme="minorEastAsia" w:cstheme="minorEastAsia"/>
          <w:kern w:val="0"/>
          <w:szCs w:val="21"/>
        </w:rPr>
      </w:pPr>
      <w:r>
        <w:rPr>
          <w:rFonts w:hint="eastAsia" w:asciiTheme="minorEastAsia" w:hAnsiTheme="minorEastAsia" w:cstheme="minorEastAsia"/>
          <w:kern w:val="0"/>
          <w:szCs w:val="21"/>
        </w:rPr>
        <w:t>1.5供应商须具有履行合同所必需的设备和专业技术能力（提供声明函，格式自拟）。</w:t>
      </w:r>
    </w:p>
    <w:p w14:paraId="384F6E81">
      <w:pPr>
        <w:spacing w:line="360" w:lineRule="auto"/>
        <w:ind w:firstLine="420" w:firstLineChars="200"/>
        <w:rPr>
          <w:rFonts w:asciiTheme="minorEastAsia" w:hAnsiTheme="minorEastAsia" w:cstheme="minorEastAsia"/>
          <w:kern w:val="0"/>
          <w:szCs w:val="21"/>
          <w:shd w:val="clear" w:color="auto" w:fill="FFFFFF"/>
        </w:rPr>
      </w:pPr>
      <w:r>
        <w:rPr>
          <w:rFonts w:hint="eastAsia" w:asciiTheme="minorEastAsia" w:hAnsiTheme="minorEastAsia" w:cstheme="minorEastAsia"/>
          <w:szCs w:val="21"/>
        </w:rPr>
        <w:t>2.</w:t>
      </w:r>
      <w:r>
        <w:rPr>
          <w:rFonts w:hint="eastAsia" w:asciiTheme="minorEastAsia" w:hAnsiTheme="minorEastAsia" w:cstheme="minorEastAsia"/>
          <w:kern w:val="0"/>
          <w:szCs w:val="21"/>
        </w:rPr>
        <w:t>根据《关于在政府采购活动中查询及使用信用记录有关问题的通知》(财库[2016]125 号)的规定，对列入失信被执行人、重大税收违法案件当事人名单、政府采购严重违法失信行为记录名单及其他不符合《中华人民共和国政府采购法》第二十二条规定条件的供应商，拒绝参与本项目政府采购活动。【提供“中国执行信息公开网”网站《失信被执行人》（查询对象：企业、法定代表人）”和“信用中国”网站《重大税收违法失信主体》（查询对象：企业）”以及“中国政府采购网”网站《政府采购严重违法失信行为记录名单》（查询对象：企业）的查询结果页面截图】</w:t>
      </w:r>
    </w:p>
    <w:p w14:paraId="535667D4">
      <w:pPr>
        <w:spacing w:line="360" w:lineRule="auto"/>
        <w:rPr>
          <w:rFonts w:asciiTheme="minorEastAsia" w:hAnsiTheme="minorEastAsia" w:cstheme="minorEastAsia"/>
          <w:b/>
          <w:szCs w:val="21"/>
        </w:rPr>
      </w:pPr>
      <w:r>
        <w:rPr>
          <w:rFonts w:hint="eastAsia" w:asciiTheme="minorEastAsia" w:hAnsiTheme="minorEastAsia" w:cstheme="minorEastAsia"/>
          <w:b/>
          <w:szCs w:val="21"/>
        </w:rPr>
        <w:t>4、供应商参与协商活动的费用</w:t>
      </w:r>
    </w:p>
    <w:p w14:paraId="6AAC8FD9">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供应商必须自行承担所有与参加政府采购活动有关的费用。不论结果如何，采购单位在任何情况下均无义务和责任承担这些费用。</w:t>
      </w:r>
    </w:p>
    <w:p w14:paraId="33518ABF">
      <w:pPr>
        <w:spacing w:line="360" w:lineRule="auto"/>
        <w:jc w:val="center"/>
        <w:rPr>
          <w:rFonts w:asciiTheme="minorEastAsia" w:hAnsiTheme="minorEastAsia" w:cstheme="minorEastAsia"/>
          <w:b/>
          <w:szCs w:val="21"/>
        </w:rPr>
      </w:pPr>
      <w:r>
        <w:rPr>
          <w:rFonts w:hint="eastAsia" w:asciiTheme="minorEastAsia" w:hAnsiTheme="minorEastAsia" w:cstheme="minorEastAsia"/>
          <w:b/>
          <w:szCs w:val="21"/>
        </w:rPr>
        <w:t>(二)单一来源采购文件</w:t>
      </w:r>
    </w:p>
    <w:p w14:paraId="4E23D7D3">
      <w:pPr>
        <w:spacing w:line="360" w:lineRule="auto"/>
        <w:rPr>
          <w:rFonts w:asciiTheme="minorEastAsia" w:hAnsiTheme="minorEastAsia" w:cstheme="minorEastAsia"/>
          <w:b/>
          <w:szCs w:val="21"/>
        </w:rPr>
      </w:pPr>
      <w:r>
        <w:rPr>
          <w:rFonts w:hint="eastAsia" w:asciiTheme="minorEastAsia" w:hAnsiTheme="minorEastAsia" w:cstheme="minorEastAsia"/>
          <w:b/>
          <w:szCs w:val="21"/>
        </w:rPr>
        <w:t>5、单一来源采购文件构成</w:t>
      </w:r>
    </w:p>
    <w:p w14:paraId="42887965">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单一来源采购文件包括：</w:t>
      </w:r>
    </w:p>
    <w:p w14:paraId="78E0D1D2">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单一来源采购邀请函</w:t>
      </w:r>
    </w:p>
    <w:p w14:paraId="50D36FCA">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供应商须知</w:t>
      </w:r>
    </w:p>
    <w:p w14:paraId="501EE51C">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合同条款</w:t>
      </w:r>
    </w:p>
    <w:p w14:paraId="2CC6433F">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采购需求</w:t>
      </w:r>
    </w:p>
    <w:p w14:paraId="2EC4F6C1">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响应文件格式</w:t>
      </w:r>
    </w:p>
    <w:p w14:paraId="0D1A1686">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供应商应认真阅读和充分理解单一来源采购文件中所有的内容。如果其单一来源采购响应文件没有满足单一来源采购文件的有关要求，其风险由供应商自行承担。</w:t>
      </w:r>
    </w:p>
    <w:p w14:paraId="7CD9C299">
      <w:pPr>
        <w:spacing w:line="360" w:lineRule="auto"/>
        <w:rPr>
          <w:rFonts w:asciiTheme="minorEastAsia" w:hAnsiTheme="minorEastAsia" w:cstheme="minorEastAsia"/>
          <w:b/>
          <w:szCs w:val="21"/>
        </w:rPr>
      </w:pPr>
      <w:r>
        <w:rPr>
          <w:rFonts w:hint="eastAsia" w:asciiTheme="minorEastAsia" w:hAnsiTheme="minorEastAsia" w:cstheme="minorEastAsia"/>
          <w:b/>
          <w:szCs w:val="21"/>
        </w:rPr>
        <w:t>6、单一来源采购文件的修改</w:t>
      </w:r>
    </w:p>
    <w:p w14:paraId="5C46940F">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在某些情况下，采购单位可能对单一来源采购文件进行修改，采购单位会将这些修改在与供应商协商之前以书面的方式告知供应商。</w:t>
      </w:r>
    </w:p>
    <w:bookmarkEnd w:id="21"/>
    <w:p w14:paraId="537CE9EE">
      <w:pPr>
        <w:spacing w:line="360" w:lineRule="auto"/>
        <w:jc w:val="center"/>
        <w:rPr>
          <w:rFonts w:asciiTheme="minorEastAsia" w:hAnsiTheme="minorEastAsia" w:cstheme="minorEastAsia"/>
          <w:b/>
          <w:sz w:val="24"/>
        </w:rPr>
      </w:pPr>
      <w:bookmarkStart w:id="29" w:name="_Toc184635081"/>
      <w:bookmarkStart w:id="30" w:name="_Toc398912810"/>
      <w:bookmarkStart w:id="31" w:name="_Toc428297612"/>
      <w:bookmarkStart w:id="32" w:name="_Toc428297700"/>
      <w:r>
        <w:rPr>
          <w:rFonts w:hint="eastAsia" w:asciiTheme="minorEastAsia" w:hAnsiTheme="minorEastAsia" w:cstheme="minorEastAsia"/>
          <w:b/>
          <w:sz w:val="24"/>
        </w:rPr>
        <w:t>（三）单一来源采购响应文件的编制</w:t>
      </w:r>
    </w:p>
    <w:p w14:paraId="4B64E971">
      <w:pPr>
        <w:spacing w:line="360" w:lineRule="auto"/>
        <w:rPr>
          <w:rFonts w:asciiTheme="minorEastAsia" w:hAnsiTheme="minorEastAsia" w:cstheme="minorEastAsia"/>
          <w:b/>
          <w:szCs w:val="21"/>
        </w:rPr>
      </w:pPr>
      <w:r>
        <w:rPr>
          <w:rFonts w:hint="eastAsia" w:asciiTheme="minorEastAsia" w:hAnsiTheme="minorEastAsia" w:cstheme="minorEastAsia"/>
          <w:b/>
          <w:szCs w:val="21"/>
        </w:rPr>
        <w:t>7、单一来源采购响应书的语言及度量衡单位</w:t>
      </w:r>
    </w:p>
    <w:p w14:paraId="14B118D9">
      <w:pPr>
        <w:numPr>
          <w:ilvl w:val="0"/>
          <w:numId w:val="2"/>
        </w:numPr>
        <w:spacing w:line="360" w:lineRule="auto"/>
        <w:rPr>
          <w:rFonts w:asciiTheme="minorEastAsia" w:hAnsiTheme="minorEastAsia" w:cstheme="minorEastAsia"/>
          <w:szCs w:val="21"/>
        </w:rPr>
      </w:pPr>
      <w:r>
        <w:rPr>
          <w:rFonts w:hint="eastAsia" w:asciiTheme="minorEastAsia" w:hAnsiTheme="minorEastAsia" w:cstheme="minorEastAsia"/>
          <w:szCs w:val="21"/>
        </w:rPr>
        <w:t>供应商的单一来源采购响应文件、以及供应商与采购单位就有关协商事项的所有来往函电均须使用简体中文。</w:t>
      </w:r>
    </w:p>
    <w:p w14:paraId="580DCCC8">
      <w:pPr>
        <w:numPr>
          <w:ilvl w:val="0"/>
          <w:numId w:val="2"/>
        </w:numPr>
        <w:spacing w:line="360" w:lineRule="auto"/>
        <w:rPr>
          <w:rFonts w:asciiTheme="minorEastAsia" w:hAnsiTheme="minorEastAsia" w:cstheme="minorEastAsia"/>
          <w:szCs w:val="21"/>
        </w:rPr>
      </w:pPr>
      <w:r>
        <w:rPr>
          <w:rFonts w:hint="eastAsia" w:asciiTheme="minorEastAsia" w:hAnsiTheme="minorEastAsia" w:cstheme="minorEastAsia"/>
          <w:szCs w:val="21"/>
        </w:rPr>
        <w:t>除单一来源采购文件中另有规定外，单一来源采购响应文件所使用的度量衡均须采用法定计量单位。</w:t>
      </w:r>
    </w:p>
    <w:p w14:paraId="2EA28CAD">
      <w:pPr>
        <w:spacing w:line="360" w:lineRule="auto"/>
        <w:rPr>
          <w:rFonts w:asciiTheme="minorEastAsia" w:hAnsiTheme="minorEastAsia" w:cstheme="minorEastAsia"/>
          <w:b/>
          <w:szCs w:val="21"/>
        </w:rPr>
      </w:pPr>
      <w:r>
        <w:rPr>
          <w:rFonts w:hint="eastAsia" w:asciiTheme="minorEastAsia" w:hAnsiTheme="minorEastAsia" w:cstheme="minorEastAsia"/>
          <w:b/>
          <w:szCs w:val="21"/>
        </w:rPr>
        <w:t>8、单一来源采购响应书构成</w:t>
      </w:r>
    </w:p>
    <w:p w14:paraId="74DF8AE7">
      <w:pPr>
        <w:numPr>
          <w:ilvl w:val="0"/>
          <w:numId w:val="3"/>
        </w:numPr>
        <w:spacing w:line="360" w:lineRule="auto"/>
        <w:rPr>
          <w:rFonts w:asciiTheme="minorEastAsia" w:hAnsiTheme="minorEastAsia" w:cstheme="minorEastAsia"/>
          <w:szCs w:val="21"/>
        </w:rPr>
      </w:pPr>
      <w:r>
        <w:rPr>
          <w:rFonts w:hint="eastAsia" w:asciiTheme="minorEastAsia" w:hAnsiTheme="minorEastAsia" w:cstheme="minorEastAsia"/>
          <w:szCs w:val="21"/>
        </w:rPr>
        <w:t>单一来源采购响应文件必须按照</w:t>
      </w:r>
      <w:r>
        <w:rPr>
          <w:rFonts w:hint="eastAsia" w:asciiTheme="minorEastAsia" w:hAnsiTheme="minorEastAsia" w:cstheme="minorEastAsia"/>
        </w:rPr>
        <w:t>响应文件格式</w:t>
      </w:r>
      <w:r>
        <w:rPr>
          <w:rFonts w:hint="eastAsia" w:asciiTheme="minorEastAsia" w:hAnsiTheme="minorEastAsia" w:cstheme="minorEastAsia"/>
          <w:szCs w:val="21"/>
        </w:rPr>
        <w:t>规定的内容和顺序进行编写，标明页码，装订牢固，但供应商在协商中形成的补充文件除外。</w:t>
      </w:r>
    </w:p>
    <w:p w14:paraId="1D1C88F0">
      <w:pPr>
        <w:numPr>
          <w:ilvl w:val="0"/>
          <w:numId w:val="3"/>
        </w:numPr>
        <w:spacing w:line="360" w:lineRule="auto"/>
        <w:rPr>
          <w:rFonts w:asciiTheme="minorEastAsia" w:hAnsiTheme="minorEastAsia" w:cstheme="minorEastAsia"/>
          <w:szCs w:val="21"/>
        </w:rPr>
      </w:pPr>
      <w:r>
        <w:rPr>
          <w:rFonts w:hint="eastAsia" w:asciiTheme="minorEastAsia" w:hAnsiTheme="minorEastAsia" w:cstheme="minorEastAsia"/>
          <w:szCs w:val="21"/>
        </w:rPr>
        <w:t>供应商所提供的单一来源采购响应文件，应在其封面上清楚地标明“正本”或“副本”字样，正本与副本内容应一致；若副本与正本不一致，以正本为准。</w:t>
      </w:r>
    </w:p>
    <w:p w14:paraId="01E0D6F9">
      <w:pPr>
        <w:numPr>
          <w:ilvl w:val="0"/>
          <w:numId w:val="3"/>
        </w:numPr>
        <w:spacing w:line="360" w:lineRule="auto"/>
        <w:rPr>
          <w:rFonts w:asciiTheme="minorEastAsia" w:hAnsiTheme="minorEastAsia" w:cstheme="minorEastAsia"/>
          <w:szCs w:val="21"/>
        </w:rPr>
      </w:pPr>
      <w:r>
        <w:rPr>
          <w:rFonts w:hint="eastAsia" w:asciiTheme="minorEastAsia" w:hAnsiTheme="minorEastAsia" w:cstheme="minorEastAsia"/>
          <w:szCs w:val="21"/>
        </w:rPr>
        <w:t>全套响应文件应无涂改和行间插字，除非这些改动是为改正供应商造成的必须修改的错误而进行的。有改动时，修改处应由供应商法定代表人或其委托代理人签字或盖章，同时并加盖公章，但非供应商出具的材料，供应商改动无效。</w:t>
      </w:r>
    </w:p>
    <w:p w14:paraId="62F191C3">
      <w:pPr>
        <w:numPr>
          <w:ilvl w:val="0"/>
          <w:numId w:val="3"/>
        </w:num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供应商必须对其单一来源采购响应文件的真实性与准确性负责。供应商一旦成为成交人，其单一来源采购响应文件将作为合同的重要组成部分。 </w:t>
      </w:r>
    </w:p>
    <w:p w14:paraId="21A0D2B6">
      <w:pPr>
        <w:numPr>
          <w:ilvl w:val="0"/>
          <w:numId w:val="3"/>
        </w:numPr>
        <w:spacing w:line="360" w:lineRule="auto"/>
        <w:rPr>
          <w:rFonts w:asciiTheme="minorEastAsia" w:hAnsiTheme="minorEastAsia" w:cstheme="minorEastAsia"/>
          <w:szCs w:val="21"/>
        </w:rPr>
      </w:pPr>
      <w:r>
        <w:rPr>
          <w:rFonts w:hint="eastAsia" w:asciiTheme="minorEastAsia" w:hAnsiTheme="minorEastAsia" w:cstheme="minorEastAsia"/>
          <w:szCs w:val="21"/>
        </w:rPr>
        <w:t>供应商不得在未征得采购单位许可的情况下，擅自对单一来源采购文件的格式、条款和技术要求进行修改。</w:t>
      </w:r>
    </w:p>
    <w:p w14:paraId="2AC56786">
      <w:pPr>
        <w:numPr>
          <w:ilvl w:val="0"/>
          <w:numId w:val="3"/>
        </w:numPr>
        <w:spacing w:line="360" w:lineRule="auto"/>
        <w:rPr>
          <w:rFonts w:asciiTheme="minorEastAsia" w:hAnsiTheme="minorEastAsia" w:cstheme="minorEastAsia"/>
          <w:szCs w:val="21"/>
        </w:rPr>
      </w:pPr>
      <w:r>
        <w:rPr>
          <w:rFonts w:hint="eastAsia" w:asciiTheme="minorEastAsia" w:hAnsiTheme="minorEastAsia" w:cstheme="minorEastAsia"/>
          <w:szCs w:val="21"/>
        </w:rPr>
        <w:t>供应商应将响应文件所有正、副本、全部密封于一袋（箱）内。</w:t>
      </w:r>
    </w:p>
    <w:p w14:paraId="5CC09944">
      <w:pPr>
        <w:numPr>
          <w:ilvl w:val="0"/>
          <w:numId w:val="3"/>
        </w:numPr>
        <w:spacing w:line="360" w:lineRule="auto"/>
        <w:rPr>
          <w:rFonts w:asciiTheme="minorEastAsia" w:hAnsiTheme="minorEastAsia" w:cstheme="minorEastAsia"/>
          <w:b/>
          <w:szCs w:val="21"/>
        </w:rPr>
      </w:pPr>
      <w:r>
        <w:rPr>
          <w:rFonts w:hint="eastAsia" w:asciiTheme="minorEastAsia" w:hAnsiTheme="minorEastAsia" w:cstheme="minorEastAsia"/>
          <w:bCs/>
          <w:szCs w:val="21"/>
        </w:rPr>
        <w:t>所有密封袋（箱）上均应符合以下要求：注明单一来源采购文件中指明的项目名称、采购编号和“于年月日时分（开标日期、时间）之前不准启封”的字样。</w:t>
      </w:r>
    </w:p>
    <w:p w14:paraId="0772E4C9">
      <w:pPr>
        <w:numPr>
          <w:ilvl w:val="0"/>
          <w:numId w:val="3"/>
        </w:numPr>
        <w:spacing w:line="360" w:lineRule="auto"/>
        <w:rPr>
          <w:rFonts w:asciiTheme="minorEastAsia" w:hAnsiTheme="minorEastAsia" w:cstheme="minorEastAsia"/>
          <w:szCs w:val="21"/>
        </w:rPr>
      </w:pPr>
      <w:r>
        <w:rPr>
          <w:rFonts w:hint="eastAsia" w:asciiTheme="minorEastAsia" w:hAnsiTheme="minorEastAsia" w:cstheme="minorEastAsia"/>
          <w:szCs w:val="21"/>
        </w:rPr>
        <w:t>在密封袋（箱）的封装处加盖投标人公章。</w:t>
      </w:r>
    </w:p>
    <w:p w14:paraId="12CEE31D">
      <w:pPr>
        <w:numPr>
          <w:ilvl w:val="0"/>
          <w:numId w:val="4"/>
        </w:numPr>
        <w:spacing w:line="360" w:lineRule="auto"/>
        <w:ind w:hanging="122"/>
        <w:rPr>
          <w:rFonts w:asciiTheme="minorEastAsia" w:hAnsiTheme="minorEastAsia" w:cstheme="minorEastAsia"/>
          <w:b/>
          <w:szCs w:val="21"/>
        </w:rPr>
      </w:pPr>
      <w:r>
        <w:rPr>
          <w:rFonts w:hint="eastAsia" w:asciiTheme="minorEastAsia" w:hAnsiTheme="minorEastAsia" w:cstheme="minorEastAsia"/>
          <w:b/>
          <w:szCs w:val="21"/>
        </w:rPr>
        <w:t>单一来源采购报价</w:t>
      </w:r>
    </w:p>
    <w:p w14:paraId="41BFC0C9">
      <w:pPr>
        <w:tabs>
          <w:tab w:val="left" w:pos="540"/>
          <w:tab w:val="left" w:pos="900"/>
        </w:tabs>
        <w:spacing w:line="360" w:lineRule="auto"/>
        <w:ind w:left="360"/>
        <w:rPr>
          <w:rFonts w:asciiTheme="minorEastAsia" w:hAnsiTheme="minorEastAsia" w:cstheme="minorEastAsia"/>
          <w:szCs w:val="21"/>
        </w:rPr>
      </w:pPr>
      <w:r>
        <w:rPr>
          <w:rFonts w:hint="eastAsia" w:asciiTheme="minorEastAsia" w:hAnsiTheme="minorEastAsia" w:cstheme="minorEastAsia"/>
          <w:szCs w:val="21"/>
        </w:rPr>
        <w:t>9.1  本项目根据采购需求及要求，供应商投报相应的总价，总价为投标方所能承受的一次性最终报价，以人民币为结算货币，投标报价为项目服务期内所提供的全部服务所需要的一切费用。已综合包括了实施完成本项目全部工作所需的生活设施、劳务费、技术服务费、测量、交通、通讯、保险、税费和利润以及为完成本项目所提供的专用仪器、设备和设施等与项目业务有关的所有一切费用。</w:t>
      </w:r>
    </w:p>
    <w:p w14:paraId="055B127F">
      <w:pPr>
        <w:tabs>
          <w:tab w:val="left" w:pos="540"/>
          <w:tab w:val="left" w:pos="900"/>
        </w:tabs>
        <w:spacing w:line="360" w:lineRule="auto"/>
        <w:ind w:left="360"/>
        <w:rPr>
          <w:rFonts w:asciiTheme="minorEastAsia" w:hAnsiTheme="minorEastAsia" w:cstheme="minorEastAsia"/>
          <w:szCs w:val="21"/>
        </w:rPr>
      </w:pPr>
      <w:r>
        <w:rPr>
          <w:rFonts w:hint="eastAsia" w:asciiTheme="minorEastAsia" w:hAnsiTheme="minorEastAsia" w:cstheme="minorEastAsia"/>
          <w:szCs w:val="21"/>
        </w:rPr>
        <w:t>9.2  供应商报价须以人民币报价。</w:t>
      </w:r>
    </w:p>
    <w:p w14:paraId="3A26A194">
      <w:pPr>
        <w:numPr>
          <w:ilvl w:val="0"/>
          <w:numId w:val="4"/>
        </w:numPr>
        <w:spacing w:line="360" w:lineRule="auto"/>
        <w:ind w:hanging="122"/>
        <w:rPr>
          <w:rFonts w:asciiTheme="minorEastAsia" w:hAnsiTheme="minorEastAsia" w:cstheme="minorEastAsia"/>
          <w:b/>
          <w:szCs w:val="21"/>
        </w:rPr>
      </w:pPr>
      <w:r>
        <w:rPr>
          <w:rFonts w:hint="eastAsia" w:asciiTheme="minorEastAsia" w:hAnsiTheme="minorEastAsia" w:cstheme="minorEastAsia"/>
          <w:b/>
          <w:szCs w:val="21"/>
        </w:rPr>
        <w:t>证明供应商合格的资格文件</w:t>
      </w:r>
    </w:p>
    <w:p w14:paraId="5329D5B5">
      <w:pPr>
        <w:tabs>
          <w:tab w:val="left" w:pos="540"/>
          <w:tab w:val="left" w:pos="900"/>
        </w:tabs>
        <w:spacing w:line="360" w:lineRule="auto"/>
        <w:ind w:left="360"/>
        <w:rPr>
          <w:rFonts w:asciiTheme="minorEastAsia" w:hAnsiTheme="minorEastAsia" w:cstheme="minorEastAsia"/>
          <w:szCs w:val="21"/>
        </w:rPr>
      </w:pPr>
      <w:r>
        <w:rPr>
          <w:rFonts w:hint="eastAsia" w:asciiTheme="minorEastAsia" w:hAnsiTheme="minorEastAsia" w:cstheme="minorEastAsia"/>
          <w:szCs w:val="21"/>
        </w:rPr>
        <w:t>10.1为使响应人在中标后具有履行合同的资格和能力，响应人应提供合法的资格文件。</w:t>
      </w:r>
    </w:p>
    <w:bookmarkEnd w:id="29"/>
    <w:bookmarkEnd w:id="30"/>
    <w:bookmarkEnd w:id="31"/>
    <w:bookmarkEnd w:id="32"/>
    <w:p w14:paraId="3FF89BCE">
      <w:pPr>
        <w:spacing w:line="360" w:lineRule="auto"/>
        <w:rPr>
          <w:rFonts w:asciiTheme="minorEastAsia" w:hAnsiTheme="minorEastAsia" w:cstheme="minorEastAsia"/>
          <w:b/>
          <w:szCs w:val="21"/>
        </w:rPr>
      </w:pPr>
      <w:r>
        <w:rPr>
          <w:rFonts w:hint="eastAsia" w:asciiTheme="minorEastAsia" w:hAnsiTheme="minorEastAsia" w:cstheme="minorEastAsia"/>
          <w:b/>
          <w:szCs w:val="21"/>
        </w:rPr>
        <w:t>11. 保证金</w:t>
      </w:r>
    </w:p>
    <w:p w14:paraId="381A86E7">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不收取</w:t>
      </w:r>
    </w:p>
    <w:p w14:paraId="137CDE4C">
      <w:pPr>
        <w:spacing w:line="360" w:lineRule="auto"/>
        <w:rPr>
          <w:rFonts w:asciiTheme="minorEastAsia" w:hAnsiTheme="minorEastAsia" w:cstheme="minorEastAsia"/>
          <w:b/>
          <w:szCs w:val="21"/>
        </w:rPr>
      </w:pPr>
      <w:r>
        <w:rPr>
          <w:rFonts w:hint="eastAsia" w:asciiTheme="minorEastAsia" w:hAnsiTheme="minorEastAsia" w:cstheme="minorEastAsia"/>
          <w:b/>
          <w:szCs w:val="21"/>
        </w:rPr>
        <w:t>12.单一来源采购响应书签署</w:t>
      </w:r>
    </w:p>
    <w:p w14:paraId="0D5B71FC">
      <w:pPr>
        <w:tabs>
          <w:tab w:val="left" w:pos="540"/>
          <w:tab w:val="left" w:pos="900"/>
        </w:tabs>
        <w:spacing w:line="360" w:lineRule="auto"/>
        <w:ind w:left="360"/>
        <w:rPr>
          <w:rFonts w:asciiTheme="minorEastAsia" w:hAnsiTheme="minorEastAsia" w:cstheme="minorEastAsia"/>
          <w:szCs w:val="21"/>
        </w:rPr>
      </w:pPr>
      <w:r>
        <w:rPr>
          <w:rFonts w:hint="eastAsia" w:asciiTheme="minorEastAsia" w:hAnsiTheme="minorEastAsia" w:cstheme="minorEastAsia"/>
          <w:szCs w:val="21"/>
        </w:rPr>
        <w:t>12.1 单一来源采购响应文件应由供应商的法定代表人或其授权代表正确签署。</w:t>
      </w:r>
    </w:p>
    <w:p w14:paraId="74239599">
      <w:pPr>
        <w:tabs>
          <w:tab w:val="left" w:pos="540"/>
          <w:tab w:val="left" w:pos="900"/>
        </w:tabs>
        <w:spacing w:line="360" w:lineRule="auto"/>
        <w:ind w:left="360"/>
        <w:rPr>
          <w:rFonts w:asciiTheme="minorEastAsia" w:hAnsiTheme="minorEastAsia" w:cstheme="minorEastAsia"/>
          <w:szCs w:val="21"/>
        </w:rPr>
      </w:pPr>
      <w:r>
        <w:rPr>
          <w:rFonts w:hint="eastAsia" w:asciiTheme="minorEastAsia" w:hAnsiTheme="minorEastAsia" w:cstheme="minorEastAsia"/>
          <w:szCs w:val="21"/>
        </w:rPr>
        <w:t>12.2 单一来源采购响应文件不得行间插字、涂改或增删。如有修改错漏处，必须由供应商的法定代表人或其授权代表签字或盖章。</w:t>
      </w:r>
    </w:p>
    <w:p w14:paraId="55C0EBDC">
      <w:pPr>
        <w:spacing w:line="360" w:lineRule="auto"/>
        <w:jc w:val="center"/>
        <w:rPr>
          <w:rFonts w:asciiTheme="minorEastAsia" w:hAnsiTheme="minorEastAsia" w:cstheme="minorEastAsia"/>
          <w:b/>
          <w:szCs w:val="21"/>
        </w:rPr>
      </w:pPr>
      <w:r>
        <w:rPr>
          <w:rFonts w:hint="eastAsia" w:asciiTheme="minorEastAsia" w:hAnsiTheme="minorEastAsia" w:cstheme="minorEastAsia"/>
          <w:b/>
          <w:szCs w:val="21"/>
        </w:rPr>
        <w:t>（四）协商</w:t>
      </w:r>
    </w:p>
    <w:p w14:paraId="586C3A61">
      <w:pPr>
        <w:spacing w:line="360" w:lineRule="auto"/>
        <w:rPr>
          <w:rFonts w:asciiTheme="minorEastAsia" w:hAnsiTheme="minorEastAsia" w:cstheme="minorEastAsia"/>
          <w:b/>
          <w:szCs w:val="21"/>
        </w:rPr>
      </w:pPr>
      <w:r>
        <w:rPr>
          <w:rFonts w:hint="eastAsia" w:asciiTheme="minorEastAsia" w:hAnsiTheme="minorEastAsia" w:cstheme="minorEastAsia"/>
          <w:b/>
          <w:szCs w:val="21"/>
        </w:rPr>
        <w:t>13.协商</w:t>
      </w:r>
    </w:p>
    <w:p w14:paraId="641056F4">
      <w:pPr>
        <w:spacing w:line="360" w:lineRule="auto"/>
        <w:ind w:left="266"/>
        <w:rPr>
          <w:rFonts w:asciiTheme="minorEastAsia" w:hAnsiTheme="minorEastAsia" w:cstheme="minorEastAsia"/>
          <w:szCs w:val="21"/>
        </w:rPr>
      </w:pPr>
      <w:r>
        <w:rPr>
          <w:rFonts w:hint="eastAsia" w:asciiTheme="minorEastAsia" w:hAnsiTheme="minorEastAsia" w:cstheme="minorEastAsia"/>
          <w:szCs w:val="21"/>
        </w:rPr>
        <w:t>13.1单一来源采购响应文件应由供应商在规定的协商时间前和地点递交。单一来源采购响应文件正本与副本应同时递交。</w:t>
      </w:r>
    </w:p>
    <w:p w14:paraId="4AF6259A">
      <w:pPr>
        <w:spacing w:line="360" w:lineRule="auto"/>
        <w:ind w:left="266"/>
        <w:rPr>
          <w:rFonts w:asciiTheme="minorEastAsia" w:hAnsiTheme="minorEastAsia" w:cstheme="minorEastAsia"/>
          <w:szCs w:val="21"/>
        </w:rPr>
      </w:pPr>
      <w:r>
        <w:rPr>
          <w:rFonts w:hint="eastAsia" w:asciiTheme="minorEastAsia" w:hAnsiTheme="minorEastAsia" w:cstheme="minorEastAsia"/>
          <w:szCs w:val="21"/>
        </w:rPr>
        <w:t>13.2采购单位将在“供应商须知前附表”规定的时间和地点组织协商。供应商应由其法定代表人或授权代表参与协商。</w:t>
      </w:r>
    </w:p>
    <w:p w14:paraId="48A90C64">
      <w:pPr>
        <w:spacing w:line="360" w:lineRule="auto"/>
        <w:ind w:left="266"/>
        <w:rPr>
          <w:rFonts w:asciiTheme="minorEastAsia" w:hAnsiTheme="minorEastAsia" w:cstheme="minorEastAsia"/>
          <w:szCs w:val="21"/>
        </w:rPr>
      </w:pPr>
      <w:r>
        <w:rPr>
          <w:rFonts w:hint="eastAsia" w:asciiTheme="minorEastAsia" w:hAnsiTheme="minorEastAsia" w:cstheme="minorEastAsia"/>
          <w:szCs w:val="21"/>
        </w:rPr>
        <w:t>13.3采购单位的协商小组由采购人代表1人、</w:t>
      </w:r>
      <w:r>
        <w:rPr>
          <w:rFonts w:hint="eastAsia" w:asciiTheme="minorEastAsia" w:hAnsiTheme="minorEastAsia" w:cstheme="minorEastAsia"/>
          <w:kern w:val="0"/>
          <w:szCs w:val="21"/>
        </w:rPr>
        <w:t>行业技术专家2人，共3人</w:t>
      </w:r>
      <w:r>
        <w:rPr>
          <w:rFonts w:hint="eastAsia" w:asciiTheme="minorEastAsia" w:hAnsiTheme="minorEastAsia" w:cstheme="minorEastAsia"/>
          <w:szCs w:val="21"/>
        </w:rPr>
        <w:t>组成。</w:t>
      </w:r>
    </w:p>
    <w:p w14:paraId="3B1DF05A">
      <w:pPr>
        <w:spacing w:line="360" w:lineRule="auto"/>
        <w:ind w:left="266"/>
        <w:rPr>
          <w:rFonts w:asciiTheme="minorEastAsia" w:hAnsiTheme="minorEastAsia" w:cstheme="minorEastAsia"/>
          <w:b/>
          <w:szCs w:val="21"/>
        </w:rPr>
      </w:pPr>
      <w:r>
        <w:rPr>
          <w:rFonts w:hint="eastAsia" w:asciiTheme="minorEastAsia" w:hAnsiTheme="minorEastAsia" w:cstheme="minorEastAsia"/>
          <w:b/>
          <w:szCs w:val="21"/>
        </w:rPr>
        <w:t>13.4协商开始前，协商小组将首先认真审查供应商提交的单一来源采购响应文件</w:t>
      </w:r>
    </w:p>
    <w:p w14:paraId="78801BA3">
      <w:pPr>
        <w:spacing w:line="360" w:lineRule="auto"/>
        <w:ind w:firstLine="316" w:firstLineChars="150"/>
        <w:rPr>
          <w:rFonts w:asciiTheme="minorEastAsia" w:hAnsiTheme="minorEastAsia" w:cstheme="minorEastAsia"/>
          <w:b/>
          <w:szCs w:val="21"/>
        </w:rPr>
      </w:pPr>
      <w:r>
        <w:rPr>
          <w:rFonts w:hint="eastAsia" w:asciiTheme="minorEastAsia" w:hAnsiTheme="minorEastAsia" w:cstheme="minorEastAsia"/>
          <w:b/>
          <w:szCs w:val="21"/>
        </w:rPr>
        <w:t>13.4.1资格性审查：供应商是否满足单一来源响应文件对供应商的资格要求；</w:t>
      </w:r>
    </w:p>
    <w:p w14:paraId="77B3D70C">
      <w:pPr>
        <w:spacing w:line="360" w:lineRule="auto"/>
        <w:ind w:firstLine="316" w:firstLineChars="150"/>
        <w:rPr>
          <w:rFonts w:asciiTheme="minorEastAsia" w:hAnsiTheme="minorEastAsia" w:cstheme="minorEastAsia"/>
          <w:b/>
          <w:szCs w:val="21"/>
        </w:rPr>
      </w:pPr>
      <w:r>
        <w:rPr>
          <w:rFonts w:hint="eastAsia" w:asciiTheme="minorEastAsia" w:hAnsiTheme="minorEastAsia" w:cstheme="minorEastAsia"/>
          <w:b/>
          <w:szCs w:val="21"/>
        </w:rPr>
        <w:t>13.4.2符合性审查：响应文件有下列情形之一的，视为其没有通过符合性审查：</w:t>
      </w:r>
    </w:p>
    <w:p w14:paraId="0047F707">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①第一次报价（响应文件中的报价）超过采购人预算价的；</w:t>
      </w:r>
    </w:p>
    <w:p w14:paraId="283389BA">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②响应文件未按规定的格式填写、内容不全或字迹模糊辨认不清的，响应文件数量不满足单一来源采购文件要求的，未按照响应文件格式中明示的要求签字盖章的；</w:t>
      </w:r>
    </w:p>
    <w:p w14:paraId="1B2CE235">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③响应文件附有采购人不能接受的条件；</w:t>
      </w:r>
    </w:p>
    <w:p w14:paraId="073BAE8E">
      <w:pPr>
        <w:spacing w:line="360" w:lineRule="auto"/>
        <w:ind w:firstLine="420" w:firstLineChars="200"/>
        <w:rPr>
          <w:rFonts w:asciiTheme="minorEastAsia" w:hAnsiTheme="minorEastAsia" w:cstheme="minorEastAsia"/>
          <w:b/>
          <w:szCs w:val="21"/>
        </w:rPr>
      </w:pPr>
      <w:r>
        <w:rPr>
          <w:rFonts w:hint="eastAsia" w:asciiTheme="minorEastAsia" w:hAnsiTheme="minorEastAsia" w:cstheme="minorEastAsia"/>
          <w:szCs w:val="21"/>
        </w:rPr>
        <w:t>④不符合采购文件中规定的其他实质性要求的。</w:t>
      </w:r>
    </w:p>
    <w:p w14:paraId="09F3CB81">
      <w:pPr>
        <w:spacing w:line="360" w:lineRule="auto"/>
        <w:ind w:left="266"/>
        <w:rPr>
          <w:rFonts w:asciiTheme="minorEastAsia" w:hAnsiTheme="minorEastAsia" w:cstheme="minorEastAsia"/>
          <w:szCs w:val="21"/>
        </w:rPr>
      </w:pPr>
      <w:r>
        <w:rPr>
          <w:rFonts w:hint="eastAsia" w:asciiTheme="minorEastAsia" w:hAnsiTheme="minorEastAsia" w:cstheme="minorEastAsia"/>
          <w:b/>
          <w:szCs w:val="21"/>
        </w:rPr>
        <w:t>13.5供应商的单一来源采购响应文件通过初步审查后，协商小组将与供应商进行协商。</w:t>
      </w:r>
    </w:p>
    <w:p w14:paraId="736B5E0B">
      <w:pPr>
        <w:spacing w:line="360" w:lineRule="auto"/>
        <w:ind w:left="266"/>
        <w:rPr>
          <w:rFonts w:asciiTheme="minorEastAsia" w:hAnsiTheme="minorEastAsia" w:cstheme="minorEastAsia"/>
          <w:szCs w:val="21"/>
        </w:rPr>
      </w:pPr>
      <w:r>
        <w:rPr>
          <w:rFonts w:hint="eastAsia" w:asciiTheme="minorEastAsia" w:hAnsiTheme="minorEastAsia" w:cstheme="minorEastAsia"/>
          <w:szCs w:val="21"/>
        </w:rPr>
        <w:t>13.6协商小组要求供应商就单一来源采购响应文件中含糊不清、错漏的地方进行澄清，并提出问题，然后与供应商就其价格构成与高低进行协商。在其后的协商中，协商小组将要求供应商就之前提出的问题进行确认，然后报出自己能承受的最终价格。</w:t>
      </w:r>
    </w:p>
    <w:p w14:paraId="081A5A25">
      <w:pPr>
        <w:spacing w:line="360" w:lineRule="auto"/>
        <w:ind w:left="266"/>
        <w:rPr>
          <w:rFonts w:asciiTheme="minorEastAsia" w:hAnsiTheme="minorEastAsia" w:cstheme="minorEastAsia"/>
          <w:szCs w:val="21"/>
        </w:rPr>
      </w:pPr>
      <w:r>
        <w:rPr>
          <w:rFonts w:hint="eastAsia" w:asciiTheme="minorEastAsia" w:hAnsiTheme="minorEastAsia" w:cstheme="minorEastAsia"/>
          <w:szCs w:val="21"/>
        </w:rPr>
        <w:t>13.7协商中，采购单位的采购文件如果有实质性变动的，协商小组应以书面形式通知供应商。供应商也可以对自己响应文件中有关售后服务和报价等方面的问题进行修改，以符合单一来源采购文件的要求。</w:t>
      </w:r>
    </w:p>
    <w:p w14:paraId="673CA592">
      <w:pPr>
        <w:spacing w:line="360" w:lineRule="auto"/>
        <w:rPr>
          <w:rFonts w:asciiTheme="minorEastAsia" w:hAnsiTheme="minorEastAsia" w:cstheme="minorEastAsia"/>
          <w:b/>
          <w:szCs w:val="21"/>
        </w:rPr>
      </w:pPr>
      <w:r>
        <w:rPr>
          <w:rFonts w:hint="eastAsia" w:asciiTheme="minorEastAsia" w:hAnsiTheme="minorEastAsia" w:cstheme="minorEastAsia"/>
          <w:b/>
          <w:szCs w:val="21"/>
        </w:rPr>
        <w:t>14.响应文件计算错误的修正</w:t>
      </w:r>
    </w:p>
    <w:p w14:paraId="5812145D">
      <w:pPr>
        <w:spacing w:line="360" w:lineRule="auto"/>
        <w:ind w:left="266"/>
        <w:rPr>
          <w:rFonts w:asciiTheme="minorEastAsia" w:hAnsiTheme="minorEastAsia" w:cstheme="minorEastAsia"/>
          <w:szCs w:val="21"/>
        </w:rPr>
      </w:pPr>
      <w:r>
        <w:rPr>
          <w:rFonts w:hint="eastAsia" w:asciiTheme="minorEastAsia" w:hAnsiTheme="minorEastAsia" w:cstheme="minorEastAsia"/>
          <w:szCs w:val="21"/>
        </w:rPr>
        <w:t>14.1正本与副本中明细表内容不一致的，以正本为准。</w:t>
      </w:r>
    </w:p>
    <w:p w14:paraId="35E706BE">
      <w:pPr>
        <w:spacing w:line="360" w:lineRule="auto"/>
        <w:ind w:left="266"/>
        <w:rPr>
          <w:rFonts w:asciiTheme="minorEastAsia" w:hAnsiTheme="minorEastAsia" w:cstheme="minorEastAsia"/>
          <w:szCs w:val="21"/>
        </w:rPr>
      </w:pPr>
      <w:r>
        <w:rPr>
          <w:rFonts w:hint="eastAsia" w:asciiTheme="minorEastAsia" w:hAnsiTheme="minorEastAsia" w:cstheme="minorEastAsia"/>
          <w:szCs w:val="21"/>
        </w:rPr>
        <w:t>14.2响应文件中的大写金额和小写金额不一致的，以大写金额为准；</w:t>
      </w:r>
    </w:p>
    <w:p w14:paraId="6604BE05">
      <w:pPr>
        <w:spacing w:line="360" w:lineRule="auto"/>
        <w:ind w:left="266"/>
        <w:rPr>
          <w:rFonts w:asciiTheme="minorEastAsia" w:hAnsiTheme="minorEastAsia" w:cstheme="minorEastAsia"/>
          <w:szCs w:val="21"/>
        </w:rPr>
      </w:pPr>
      <w:r>
        <w:rPr>
          <w:rFonts w:hint="eastAsia" w:asciiTheme="minorEastAsia" w:hAnsiTheme="minorEastAsia" w:cstheme="minorEastAsia"/>
          <w:szCs w:val="21"/>
        </w:rPr>
        <w:t>14.3总价金额与单价金额不一致的，以单价金额为准，但单价金额小数点有明显错误的除外；</w:t>
      </w:r>
    </w:p>
    <w:p w14:paraId="7AD5DE93">
      <w:pPr>
        <w:spacing w:line="360" w:lineRule="auto"/>
        <w:ind w:left="266"/>
        <w:rPr>
          <w:rFonts w:asciiTheme="minorEastAsia" w:hAnsiTheme="minorEastAsia" w:cstheme="minorEastAsia"/>
          <w:szCs w:val="21"/>
        </w:rPr>
      </w:pPr>
      <w:r>
        <w:rPr>
          <w:rFonts w:hint="eastAsia" w:asciiTheme="minorEastAsia" w:hAnsiTheme="minorEastAsia" w:cstheme="minorEastAsia"/>
          <w:szCs w:val="21"/>
        </w:rPr>
        <w:t>14.4对不同文字文本响应文件的解释发生异议的，以中文文本为准。</w:t>
      </w:r>
    </w:p>
    <w:p w14:paraId="3437F819">
      <w:pPr>
        <w:spacing w:line="360" w:lineRule="auto"/>
        <w:ind w:left="266"/>
        <w:rPr>
          <w:rFonts w:asciiTheme="minorEastAsia" w:hAnsiTheme="minorEastAsia" w:cstheme="minorEastAsia"/>
          <w:szCs w:val="21"/>
        </w:rPr>
      </w:pPr>
      <w:r>
        <w:rPr>
          <w:rFonts w:hint="eastAsia" w:asciiTheme="minorEastAsia" w:hAnsiTheme="minorEastAsia" w:cstheme="minorEastAsia"/>
          <w:szCs w:val="21"/>
        </w:rPr>
        <w:t>14.5按上述修正错误的原则及方法调整或修正响应文件的报价，供应商同意后，调整后的报价对供应商起约束作用。如果供应商不接受修正后的报价，则其响应文件将被拒绝。</w:t>
      </w:r>
    </w:p>
    <w:p w14:paraId="490B68B0">
      <w:pPr>
        <w:spacing w:line="360" w:lineRule="auto"/>
        <w:rPr>
          <w:rFonts w:asciiTheme="minorEastAsia" w:hAnsiTheme="minorEastAsia" w:cstheme="minorEastAsia"/>
          <w:b/>
          <w:szCs w:val="21"/>
        </w:rPr>
      </w:pPr>
      <w:r>
        <w:rPr>
          <w:rFonts w:hint="eastAsia" w:asciiTheme="minorEastAsia" w:hAnsiTheme="minorEastAsia" w:cstheme="minorEastAsia"/>
          <w:b/>
          <w:szCs w:val="21"/>
        </w:rPr>
        <w:t>15.推荐成交供应商</w:t>
      </w:r>
    </w:p>
    <w:p w14:paraId="224B585F">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15.1协商小组将向采购人出具书面论证报告，并向采购人推荐成交供应商。</w:t>
      </w:r>
    </w:p>
    <w:p w14:paraId="292E1975">
      <w:pPr>
        <w:spacing w:line="360" w:lineRule="auto"/>
        <w:ind w:left="840" w:hanging="840"/>
        <w:jc w:val="center"/>
        <w:rPr>
          <w:rFonts w:asciiTheme="minorEastAsia" w:hAnsiTheme="minorEastAsia" w:cstheme="minorEastAsia"/>
          <w:b/>
          <w:szCs w:val="21"/>
        </w:rPr>
      </w:pPr>
      <w:r>
        <w:rPr>
          <w:rFonts w:hint="eastAsia" w:asciiTheme="minorEastAsia" w:hAnsiTheme="minorEastAsia" w:cstheme="minorEastAsia"/>
          <w:b/>
          <w:szCs w:val="21"/>
        </w:rPr>
        <w:t>（五）协商结果</w:t>
      </w:r>
    </w:p>
    <w:p w14:paraId="15AE9F3A">
      <w:pPr>
        <w:spacing w:line="360" w:lineRule="auto"/>
        <w:ind w:left="105" w:leftChars="50" w:firstLine="315" w:firstLineChars="150"/>
        <w:jc w:val="left"/>
        <w:rPr>
          <w:rFonts w:asciiTheme="minorEastAsia" w:hAnsiTheme="minorEastAsia" w:cstheme="minorEastAsia"/>
          <w:szCs w:val="21"/>
        </w:rPr>
      </w:pPr>
      <w:r>
        <w:rPr>
          <w:rFonts w:hint="eastAsia" w:asciiTheme="minorEastAsia" w:hAnsiTheme="minorEastAsia" w:cstheme="minorEastAsia"/>
          <w:szCs w:val="21"/>
        </w:rPr>
        <w:t>16.1采购代理机构应当在协商结束后 2个工作日内将论证报告送采购人。采购人应当在收到论证报告后 5个工作日内，按照论证报告确定成交供应商。</w:t>
      </w:r>
    </w:p>
    <w:p w14:paraId="4C1EF501">
      <w:pPr>
        <w:spacing w:line="360" w:lineRule="auto"/>
        <w:ind w:firstLine="420"/>
        <w:jc w:val="center"/>
        <w:rPr>
          <w:rFonts w:asciiTheme="minorEastAsia" w:hAnsiTheme="minorEastAsia" w:cstheme="minorEastAsia"/>
          <w:b/>
          <w:szCs w:val="21"/>
        </w:rPr>
      </w:pPr>
      <w:r>
        <w:rPr>
          <w:rFonts w:hint="eastAsia" w:asciiTheme="minorEastAsia" w:hAnsiTheme="minorEastAsia" w:cstheme="minorEastAsia"/>
          <w:b/>
          <w:szCs w:val="21"/>
        </w:rPr>
        <w:t>（六）成交通知书</w:t>
      </w:r>
    </w:p>
    <w:p w14:paraId="2ACC685B">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17.1成交通知书是合同的组成部分；</w:t>
      </w:r>
    </w:p>
    <w:p w14:paraId="46BDD976">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17.2若供应商未能或拒绝按本文件中签订合同的规定签订合同，采购人可以重新组织采购。</w:t>
      </w:r>
    </w:p>
    <w:p w14:paraId="6B23FC8E">
      <w:pPr>
        <w:spacing w:line="360" w:lineRule="auto"/>
        <w:ind w:left="840" w:hanging="840"/>
        <w:jc w:val="center"/>
        <w:rPr>
          <w:rFonts w:asciiTheme="minorEastAsia" w:hAnsiTheme="minorEastAsia" w:cstheme="minorEastAsia"/>
          <w:b/>
          <w:szCs w:val="21"/>
        </w:rPr>
      </w:pPr>
      <w:r>
        <w:rPr>
          <w:rFonts w:hint="eastAsia" w:asciiTheme="minorEastAsia" w:hAnsiTheme="minorEastAsia" w:cstheme="minorEastAsia"/>
          <w:b/>
          <w:szCs w:val="21"/>
        </w:rPr>
        <w:t>（七）签订合同</w:t>
      </w:r>
    </w:p>
    <w:p w14:paraId="0B5A6DDF">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17.1成交供应商收到成交通知书后，应在</w:t>
      </w:r>
      <w:r>
        <w:rPr>
          <w:rFonts w:hint="eastAsia" w:asciiTheme="minorEastAsia" w:hAnsiTheme="minorEastAsia" w:cstheme="minorEastAsia"/>
          <w:szCs w:val="21"/>
          <w:lang w:val="en-US" w:eastAsia="zh-CN"/>
        </w:rPr>
        <w:t>7</w:t>
      </w:r>
      <w:r>
        <w:rPr>
          <w:rFonts w:hint="eastAsia" w:asciiTheme="minorEastAsia" w:hAnsiTheme="minorEastAsia" w:cstheme="minorEastAsia"/>
          <w:szCs w:val="21"/>
        </w:rPr>
        <w:t xml:space="preserve">日内与采购人签订合同，具体的合同条款待甲乙双方商定； </w:t>
      </w:r>
    </w:p>
    <w:p w14:paraId="3AE50B06">
      <w:pPr>
        <w:spacing w:line="360" w:lineRule="auto"/>
        <w:ind w:left="105" w:leftChars="50" w:firstLine="420" w:firstLineChars="200"/>
        <w:jc w:val="left"/>
        <w:rPr>
          <w:rFonts w:asciiTheme="minorEastAsia" w:hAnsiTheme="minorEastAsia" w:cstheme="minorEastAsia"/>
          <w:szCs w:val="21"/>
        </w:rPr>
      </w:pPr>
      <w:r>
        <w:rPr>
          <w:rFonts w:hint="eastAsia" w:asciiTheme="minorEastAsia" w:hAnsiTheme="minorEastAsia" w:cstheme="minorEastAsia"/>
          <w:szCs w:val="21"/>
        </w:rPr>
        <w:t xml:space="preserve">17.2单一来源采购文件、响应文件及协商过程中产生的协商记录及承诺等均作为合同的不可分割的组成部分； </w:t>
      </w:r>
    </w:p>
    <w:p w14:paraId="24FC4E80">
      <w:pPr>
        <w:spacing w:line="360" w:lineRule="auto"/>
        <w:ind w:left="105" w:leftChars="50" w:firstLine="420" w:firstLineChars="200"/>
        <w:jc w:val="left"/>
        <w:rPr>
          <w:rFonts w:asciiTheme="minorEastAsia" w:hAnsiTheme="minorEastAsia" w:cstheme="minorEastAsia"/>
          <w:szCs w:val="21"/>
        </w:rPr>
      </w:pPr>
      <w:r>
        <w:rPr>
          <w:rFonts w:hint="eastAsia" w:asciiTheme="minorEastAsia" w:hAnsiTheme="minorEastAsia" w:cstheme="minorEastAsia"/>
          <w:szCs w:val="21"/>
        </w:rPr>
        <w:t>17.3如果成交供应商不按其响应文件承诺、单一来源采购文件和协商期间的承诺签订合同，采购人将有充分理由没收其保证金并重新采购。</w:t>
      </w:r>
    </w:p>
    <w:p w14:paraId="523145FA">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17.4成交供应商有下列情形之一的，责令限期改正，情节严重的，列入不良行为记录名单，在1至3年内禁止参加政府采购活动，并予以通报：</w:t>
      </w:r>
    </w:p>
    <w:p w14:paraId="61D74A74">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（一）未按照采购文件确定的事项签订政府采购合同，或者与采购人另行订立背离合同实质性内容的协议的；</w:t>
      </w:r>
    </w:p>
    <w:p w14:paraId="2694784C">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（二）成交后无正当理由不与采购人签订合同的；</w:t>
      </w:r>
    </w:p>
    <w:p w14:paraId="79633584">
      <w:pPr>
        <w:spacing w:line="360" w:lineRule="auto"/>
        <w:ind w:left="105" w:leftChars="50" w:firstLine="315" w:firstLineChars="150"/>
        <w:jc w:val="left"/>
        <w:rPr>
          <w:rFonts w:asciiTheme="minorEastAsia" w:hAnsiTheme="minorEastAsia" w:cstheme="minorEastAsia"/>
          <w:szCs w:val="21"/>
        </w:rPr>
      </w:pPr>
      <w:r>
        <w:rPr>
          <w:rFonts w:hint="eastAsia" w:asciiTheme="minorEastAsia" w:hAnsiTheme="minorEastAsia" w:cstheme="minorEastAsia"/>
          <w:szCs w:val="21"/>
        </w:rPr>
        <w:t>（三）拒绝履行合同义务的。</w:t>
      </w:r>
    </w:p>
    <w:p w14:paraId="42D2A3FF">
      <w:pPr>
        <w:spacing w:line="360" w:lineRule="auto"/>
        <w:ind w:left="105" w:leftChars="50" w:firstLine="315" w:firstLineChars="150"/>
        <w:jc w:val="left"/>
        <w:rPr>
          <w:rFonts w:asciiTheme="minorEastAsia" w:hAnsiTheme="minorEastAsia" w:cstheme="minorEastAsia"/>
          <w:szCs w:val="21"/>
        </w:rPr>
      </w:pPr>
      <w:r>
        <w:rPr>
          <w:rFonts w:hint="eastAsia" w:asciiTheme="minorEastAsia" w:hAnsiTheme="minorEastAsia" w:cstheme="minorEastAsia"/>
          <w:szCs w:val="21"/>
        </w:rPr>
        <w:t>17.5采购人应在采购合同签订之日起7个工作日内将合同副本报同级财政部门备案。</w:t>
      </w:r>
    </w:p>
    <w:p w14:paraId="57574E26">
      <w:pPr>
        <w:spacing w:line="360" w:lineRule="auto"/>
        <w:ind w:left="840" w:hanging="840"/>
        <w:jc w:val="center"/>
        <w:rPr>
          <w:rFonts w:asciiTheme="minorEastAsia" w:hAnsiTheme="minorEastAsia" w:cstheme="minorEastAsia"/>
          <w:b/>
          <w:szCs w:val="21"/>
        </w:rPr>
      </w:pPr>
      <w:r>
        <w:rPr>
          <w:rFonts w:hint="eastAsia" w:asciiTheme="minorEastAsia" w:hAnsiTheme="minorEastAsia" w:cstheme="minorEastAsia"/>
          <w:b/>
          <w:szCs w:val="21"/>
        </w:rPr>
        <w:t>（八）其他</w:t>
      </w:r>
    </w:p>
    <w:p w14:paraId="6D65E4B4">
      <w:pPr>
        <w:spacing w:line="360" w:lineRule="auto"/>
        <w:ind w:left="105" w:leftChars="50" w:firstLine="315" w:firstLineChars="150"/>
        <w:jc w:val="left"/>
        <w:rPr>
          <w:rFonts w:asciiTheme="minorEastAsia" w:hAnsiTheme="minorEastAsia" w:cstheme="minorEastAsia"/>
          <w:szCs w:val="21"/>
        </w:rPr>
      </w:pPr>
      <w:r>
        <w:rPr>
          <w:rFonts w:hint="eastAsia" w:asciiTheme="minorEastAsia" w:hAnsiTheme="minorEastAsia" w:cstheme="minorEastAsia"/>
        </w:rPr>
        <w:t>18.1</w:t>
      </w:r>
      <w:r>
        <w:rPr>
          <w:rFonts w:hint="eastAsia" w:asciiTheme="minorEastAsia" w:hAnsiTheme="minorEastAsia" w:cstheme="minorEastAsia"/>
          <w:szCs w:val="21"/>
        </w:rPr>
        <w:t>未尽事宜按国家有关规定执行。</w:t>
      </w:r>
    </w:p>
    <w:p w14:paraId="2F7027CF">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18.2本文件的解释权归采购人。</w:t>
      </w:r>
    </w:p>
    <w:p w14:paraId="4A0CF0CC">
      <w:pPr>
        <w:rPr>
          <w:rFonts w:asciiTheme="minorEastAsia" w:hAnsiTheme="minorEastAsia" w:cstheme="minorEastAsia"/>
        </w:rPr>
      </w:pPr>
    </w:p>
    <w:p w14:paraId="40B1691D">
      <w:pPr>
        <w:rPr>
          <w:rFonts w:asciiTheme="minorEastAsia" w:hAnsiTheme="minorEastAsia" w:cstheme="minorEastAsia"/>
        </w:rPr>
      </w:pPr>
    </w:p>
    <w:p w14:paraId="77ACE320">
      <w:pPr>
        <w:pStyle w:val="2"/>
        <w:jc w:val="center"/>
        <w:rPr>
          <w:rFonts w:asciiTheme="minorEastAsia" w:hAnsiTheme="minorEastAsia" w:cstheme="minorEastAsia"/>
          <w:sz w:val="30"/>
          <w:szCs w:val="30"/>
        </w:rPr>
      </w:pPr>
      <w:r>
        <w:rPr>
          <w:rFonts w:hint="eastAsia" w:asciiTheme="minorEastAsia" w:hAnsiTheme="minorEastAsia" w:cstheme="minorEastAsia"/>
          <w:sz w:val="30"/>
          <w:szCs w:val="30"/>
        </w:rPr>
        <w:br w:type="page"/>
      </w:r>
    </w:p>
    <w:p w14:paraId="38EC0F94">
      <w:pPr>
        <w:pStyle w:val="2"/>
        <w:jc w:val="center"/>
        <w:rPr>
          <w:rFonts w:asciiTheme="minorEastAsia" w:hAnsiTheme="minorEastAsia" w:cstheme="minorEastAsia"/>
          <w:sz w:val="30"/>
          <w:szCs w:val="30"/>
        </w:rPr>
      </w:pPr>
      <w:bookmarkStart w:id="33" w:name="_Toc114760392"/>
      <w:r>
        <w:rPr>
          <w:rFonts w:hint="eastAsia" w:asciiTheme="minorEastAsia" w:hAnsiTheme="minorEastAsia" w:cstheme="minorEastAsia"/>
          <w:sz w:val="30"/>
          <w:szCs w:val="30"/>
        </w:rPr>
        <w:t>第三章 合同条款</w:t>
      </w:r>
      <w:bookmarkEnd w:id="33"/>
    </w:p>
    <w:p w14:paraId="0BE92D64">
      <w:pPr>
        <w:widowControl/>
        <w:snapToGrid w:val="0"/>
        <w:spacing w:line="520" w:lineRule="exact"/>
        <w:ind w:firstLine="420" w:firstLineChars="200"/>
        <w:jc w:val="center"/>
        <w:rPr>
          <w:rFonts w:asciiTheme="minorEastAsia" w:hAnsiTheme="minorEastAsia" w:cstheme="minorEastAsia"/>
          <w:kern w:val="0"/>
          <w:szCs w:val="21"/>
        </w:rPr>
      </w:pPr>
      <w:r>
        <w:rPr>
          <w:rFonts w:hint="eastAsia" w:asciiTheme="minorEastAsia" w:hAnsiTheme="minorEastAsia" w:cstheme="minorEastAsia"/>
          <w:bCs/>
          <w:kern w:val="0"/>
          <w:szCs w:val="21"/>
        </w:rPr>
        <w:t>（合同条款由</w:t>
      </w:r>
      <w:r>
        <w:rPr>
          <w:rFonts w:hint="eastAsia" w:asciiTheme="minorEastAsia" w:hAnsiTheme="minorEastAsia" w:cstheme="minorEastAsia"/>
          <w:kern w:val="0"/>
          <w:szCs w:val="21"/>
        </w:rPr>
        <w:t>采购人与成交人根据采购项目的实际情况自行协商定制</w:t>
      </w:r>
      <w:r>
        <w:rPr>
          <w:rFonts w:hint="eastAsia" w:asciiTheme="minorEastAsia" w:hAnsiTheme="minorEastAsia" w:cstheme="minorEastAsia"/>
          <w:b/>
          <w:bCs/>
          <w:kern w:val="0"/>
          <w:szCs w:val="21"/>
        </w:rPr>
        <w:t>）</w:t>
      </w:r>
    </w:p>
    <w:p w14:paraId="5989195C">
      <w:pPr>
        <w:rPr>
          <w:rFonts w:asciiTheme="minorEastAsia" w:hAnsiTheme="minorEastAsia" w:cstheme="minorEastAsia"/>
        </w:rPr>
      </w:pPr>
    </w:p>
    <w:p w14:paraId="1743F29F">
      <w:pPr>
        <w:rPr>
          <w:rFonts w:asciiTheme="minorEastAsia" w:hAnsiTheme="minorEastAsia" w:cstheme="minorEastAsia"/>
        </w:rPr>
      </w:pPr>
    </w:p>
    <w:p w14:paraId="1EB6D307">
      <w:pPr>
        <w:rPr>
          <w:rFonts w:asciiTheme="minorEastAsia" w:hAnsiTheme="minorEastAsia" w:cstheme="minorEastAsia"/>
        </w:rPr>
      </w:pPr>
    </w:p>
    <w:p w14:paraId="46784AFF">
      <w:pPr>
        <w:tabs>
          <w:tab w:val="left" w:pos="4225"/>
        </w:tabs>
        <w:rPr>
          <w:rFonts w:asciiTheme="minorEastAsia" w:hAnsiTheme="minorEastAsia" w:cstheme="minorEastAsia"/>
        </w:rPr>
      </w:pPr>
      <w:r>
        <w:rPr>
          <w:rFonts w:asciiTheme="minorEastAsia" w:hAnsiTheme="minorEastAsia" w:cstheme="minorEastAsia"/>
        </w:rPr>
        <w:tab/>
      </w:r>
    </w:p>
    <w:p w14:paraId="30A7ED46">
      <w:pPr>
        <w:widowControl/>
        <w:jc w:val="left"/>
        <w:rPr>
          <w:rFonts w:asciiTheme="minorEastAsia" w:hAnsiTheme="minorEastAsia" w:cstheme="minorEastAsia"/>
        </w:rPr>
      </w:pPr>
      <w:r>
        <w:rPr>
          <w:rFonts w:asciiTheme="minorEastAsia" w:hAnsiTheme="minorEastAsia" w:cstheme="minorEastAsia"/>
        </w:rPr>
        <w:br w:type="page"/>
      </w:r>
    </w:p>
    <w:p w14:paraId="06576F17">
      <w:pPr>
        <w:pStyle w:val="2"/>
        <w:jc w:val="center"/>
        <w:rPr>
          <w:rFonts w:hint="eastAsia" w:asciiTheme="minorEastAsia" w:hAnsiTheme="minorEastAsia" w:cstheme="minorEastAsia"/>
          <w:sz w:val="30"/>
          <w:szCs w:val="30"/>
        </w:rPr>
      </w:pPr>
      <w:bookmarkStart w:id="34" w:name="_Toc114760393"/>
      <w:r>
        <w:rPr>
          <w:rFonts w:hint="eastAsia" w:asciiTheme="minorEastAsia" w:hAnsiTheme="minorEastAsia" w:cstheme="minorEastAsia"/>
          <w:sz w:val="30"/>
          <w:szCs w:val="30"/>
        </w:rPr>
        <w:t>第四章</w:t>
      </w:r>
      <w:bookmarkEnd w:id="34"/>
      <w:r>
        <w:rPr>
          <w:rFonts w:hint="eastAsia" w:asciiTheme="minorEastAsia" w:hAnsiTheme="minorEastAsia" w:cstheme="minorEastAsia"/>
          <w:sz w:val="30"/>
          <w:szCs w:val="30"/>
          <w:lang w:val="en-US" w:eastAsia="zh-CN"/>
        </w:rPr>
        <w:t xml:space="preserve"> </w:t>
      </w:r>
      <w:r>
        <w:rPr>
          <w:rFonts w:hint="eastAsia" w:asciiTheme="minorEastAsia" w:hAnsiTheme="minorEastAsia" w:cstheme="minorEastAsia"/>
          <w:sz w:val="30"/>
          <w:szCs w:val="30"/>
        </w:rPr>
        <w:t>技术参数</w:t>
      </w:r>
    </w:p>
    <w:p w14:paraId="027CC108">
      <w:pPr>
        <w:rPr>
          <w:rFonts w:hint="eastAsia"/>
        </w:rPr>
      </w:pPr>
      <w:bookmarkStart w:id="35" w:name="_Toc217446095"/>
      <w:bookmarkEnd w:id="35"/>
      <w:bookmarkStart w:id="36" w:name="_Toc241324662"/>
      <w:bookmarkStart w:id="37" w:name="_Toc241324650"/>
      <w:r>
        <w:rPr>
          <w:rFonts w:hint="eastAsia"/>
          <w:sz w:val="21"/>
          <w:szCs w:val="21"/>
        </w:rPr>
        <w:t>▲</w:t>
      </w:r>
      <w:r>
        <w:rPr>
          <w:rFonts w:hint="eastAsia"/>
        </w:rPr>
        <w:t>为保证本项目设备集成及后续运维工作、服务工作的稳定性，投标人所投入本项目的OCEC分析仪、在线离子分析仪、大气重金属分析仪和PM2.5颗粒物自动监测仪须为同一品牌。</w:t>
      </w:r>
    </w:p>
    <w:p w14:paraId="1BDC0ABE">
      <w:pPr>
        <w:pStyle w:val="3"/>
        <w:rPr>
          <w:rFonts w:hint="eastAsia"/>
        </w:rPr>
      </w:pPr>
      <w:r>
        <w:rPr>
          <w:rFonts w:hint="eastAsia"/>
        </w:rPr>
        <w:t>大气重金属分析仪（核心产品）</w:t>
      </w:r>
    </w:p>
    <w:p w14:paraId="3D8678DC">
      <w:pPr>
        <w:rPr>
          <w:b/>
        </w:rPr>
      </w:pPr>
      <w:r>
        <w:rPr>
          <w:rFonts w:hint="eastAsia"/>
          <w:b/>
        </w:rPr>
        <w:t>1、总体要求：</w:t>
      </w:r>
    </w:p>
    <w:p w14:paraId="60233260">
      <w:pPr>
        <w:numPr>
          <w:ilvl w:val="0"/>
          <w:numId w:val="5"/>
        </w:numPr>
        <w:rPr>
          <w:szCs w:val="21"/>
        </w:rPr>
      </w:pPr>
      <w:r>
        <w:rPr>
          <w:rFonts w:hint="eastAsia"/>
          <w:sz w:val="21"/>
          <w:szCs w:val="21"/>
        </w:rPr>
        <w:t>▲</w:t>
      </w:r>
      <w:r>
        <w:rPr>
          <w:szCs w:val="21"/>
        </w:rPr>
        <w:t>采用β射线原位监测技术和X射线荧光技术，能够连续测量大气中的颗粒物（PM</w:t>
      </w:r>
      <w:r>
        <w:rPr>
          <w:szCs w:val="21"/>
          <w:vertAlign w:val="subscript"/>
        </w:rPr>
        <w:t>10</w:t>
      </w:r>
      <w:r>
        <w:rPr>
          <w:szCs w:val="21"/>
        </w:rPr>
        <w:t>或PM</w:t>
      </w:r>
      <w:r>
        <w:rPr>
          <w:szCs w:val="21"/>
          <w:vertAlign w:val="subscript"/>
        </w:rPr>
        <w:t>2.5</w:t>
      </w:r>
      <w:r>
        <w:rPr>
          <w:szCs w:val="21"/>
        </w:rPr>
        <w:t>）浓度和其中的中铅、镉、铬、砷等</w:t>
      </w:r>
      <w:r>
        <w:rPr>
          <w:rFonts w:hint="eastAsia"/>
          <w:szCs w:val="21"/>
        </w:rPr>
        <w:t>30</w:t>
      </w:r>
      <w:r>
        <w:rPr>
          <w:szCs w:val="21"/>
        </w:rPr>
        <w:t>种重金属含量</w:t>
      </w:r>
      <w:r>
        <w:rPr>
          <w:rFonts w:hint="eastAsia"/>
          <w:szCs w:val="21"/>
        </w:rPr>
        <w:t>。</w:t>
      </w:r>
    </w:p>
    <w:p w14:paraId="78A1848D">
      <w:pPr>
        <w:rPr>
          <w:b/>
          <w:szCs w:val="21"/>
        </w:rPr>
      </w:pPr>
      <w:r>
        <w:rPr>
          <w:rFonts w:hint="eastAsia"/>
          <w:b/>
          <w:szCs w:val="21"/>
        </w:rPr>
        <w:t>2、系统配置要求：</w:t>
      </w:r>
      <w:r>
        <w:rPr>
          <w:b/>
          <w:szCs w:val="21"/>
        </w:rPr>
        <w:t xml:space="preserve"> </w:t>
      </w:r>
    </w:p>
    <w:p w14:paraId="72793C06">
      <w:pPr>
        <w:numPr>
          <w:ilvl w:val="0"/>
          <w:numId w:val="6"/>
        </w:numPr>
        <w:rPr>
          <w:szCs w:val="21"/>
        </w:rPr>
      </w:pPr>
      <w:r>
        <w:rPr>
          <w:szCs w:val="21"/>
        </w:rPr>
        <w:t>采样系统：包括采样探头（PM</w:t>
      </w:r>
      <w:r>
        <w:rPr>
          <w:szCs w:val="21"/>
          <w:vertAlign w:val="subscript"/>
        </w:rPr>
        <w:t>10</w:t>
      </w:r>
      <w:r>
        <w:rPr>
          <w:szCs w:val="21"/>
        </w:rPr>
        <w:t>切割头、PM</w:t>
      </w:r>
      <w:r>
        <w:rPr>
          <w:szCs w:val="21"/>
          <w:vertAlign w:val="subscript"/>
        </w:rPr>
        <w:t>2.5</w:t>
      </w:r>
      <w:r>
        <w:rPr>
          <w:szCs w:val="21"/>
        </w:rPr>
        <w:t>切割头</w:t>
      </w:r>
      <w:r>
        <w:rPr>
          <w:rFonts w:hint="eastAsia"/>
          <w:szCs w:val="21"/>
        </w:rPr>
        <w:t>）</w:t>
      </w:r>
      <w:r>
        <w:rPr>
          <w:szCs w:val="21"/>
        </w:rPr>
        <w:t>、加热器、流量计、电动针阀、采样泵等；</w:t>
      </w:r>
    </w:p>
    <w:p w14:paraId="0C10C17C">
      <w:pPr>
        <w:numPr>
          <w:ilvl w:val="0"/>
          <w:numId w:val="6"/>
        </w:numPr>
        <w:rPr>
          <w:szCs w:val="21"/>
        </w:rPr>
      </w:pPr>
      <w:r>
        <w:rPr>
          <w:szCs w:val="21"/>
        </w:rPr>
        <w:t>运动系统：卷膜、滤膜运动装置；</w:t>
      </w:r>
    </w:p>
    <w:p w14:paraId="1985385E">
      <w:pPr>
        <w:numPr>
          <w:ilvl w:val="0"/>
          <w:numId w:val="6"/>
        </w:numPr>
        <w:rPr>
          <w:szCs w:val="21"/>
        </w:rPr>
      </w:pPr>
      <w:r>
        <w:rPr>
          <w:szCs w:val="21"/>
        </w:rPr>
        <w:t>分析系统： XRF分析仪及算法分析软件；</w:t>
      </w:r>
    </w:p>
    <w:p w14:paraId="29430A29">
      <w:pPr>
        <w:numPr>
          <w:ilvl w:val="0"/>
          <w:numId w:val="6"/>
        </w:numPr>
        <w:rPr>
          <w:szCs w:val="21"/>
        </w:rPr>
      </w:pPr>
      <w:r>
        <w:rPr>
          <w:szCs w:val="21"/>
        </w:rPr>
        <w:t>控制系统：其功能由计算机完成，主要实现控制采样、卷膜运动、XRF检测、流量记录、污染物浓度计算、结果显示等。</w:t>
      </w:r>
    </w:p>
    <w:p w14:paraId="4B51B6C1">
      <w:pPr>
        <w:rPr>
          <w:b/>
          <w:szCs w:val="21"/>
        </w:rPr>
      </w:pPr>
      <w:r>
        <w:rPr>
          <w:b/>
          <w:szCs w:val="21"/>
        </w:rPr>
        <w:t>3</w:t>
      </w:r>
      <w:r>
        <w:rPr>
          <w:rFonts w:hint="eastAsia"/>
          <w:b/>
          <w:szCs w:val="21"/>
        </w:rPr>
        <w:t>、</w:t>
      </w:r>
      <w:r>
        <w:rPr>
          <w:b/>
          <w:szCs w:val="21"/>
        </w:rPr>
        <w:t>技术性能指标要求</w:t>
      </w:r>
      <w:r>
        <w:rPr>
          <w:rFonts w:hint="eastAsia"/>
          <w:b/>
          <w:szCs w:val="21"/>
        </w:rPr>
        <w:t>：</w:t>
      </w:r>
    </w:p>
    <w:p w14:paraId="5DA7381B">
      <w:pPr>
        <w:numPr>
          <w:ilvl w:val="0"/>
          <w:numId w:val="7"/>
        </w:numPr>
        <w:rPr>
          <w:szCs w:val="21"/>
        </w:rPr>
      </w:pPr>
      <w:r>
        <w:rPr>
          <w:szCs w:val="21"/>
        </w:rPr>
        <w:t>可监测PM</w:t>
      </w:r>
      <w:r>
        <w:rPr>
          <w:szCs w:val="21"/>
          <w:vertAlign w:val="subscript"/>
        </w:rPr>
        <w:t>10</w:t>
      </w:r>
      <w:r>
        <w:rPr>
          <w:szCs w:val="21"/>
        </w:rPr>
        <w:t>/PM</w:t>
      </w:r>
      <w:r>
        <w:rPr>
          <w:szCs w:val="21"/>
          <w:vertAlign w:val="subscript"/>
        </w:rPr>
        <w:t>2.5</w:t>
      </w:r>
      <w:r>
        <w:rPr>
          <w:szCs w:val="21"/>
        </w:rPr>
        <w:t>空气颗粒物（PM）质量总浓度；</w:t>
      </w:r>
    </w:p>
    <w:p w14:paraId="6EA0F02B">
      <w:pPr>
        <w:numPr>
          <w:ilvl w:val="0"/>
          <w:numId w:val="7"/>
        </w:numPr>
        <w:rPr>
          <w:szCs w:val="21"/>
        </w:rPr>
      </w:pPr>
      <w:r>
        <w:rPr>
          <w:rFonts w:hint="eastAsia" w:ascii="宋体" w:hAnsi="宋体" w:cs="宋体"/>
          <w:szCs w:val="21"/>
        </w:rPr>
        <w:t>▲</w:t>
      </w:r>
      <w:r>
        <w:rPr>
          <w:szCs w:val="21"/>
        </w:rPr>
        <w:t>测量结果：1）单位质量颗粒物中的重金属质量浓度，μg/g；2）单位体积内的重金属质量浓度，</w:t>
      </w:r>
      <w:r>
        <w:rPr>
          <w:rFonts w:hint="eastAsia"/>
          <w:szCs w:val="21"/>
        </w:rPr>
        <w:t>n</w:t>
      </w:r>
      <w:r>
        <w:rPr>
          <w:szCs w:val="21"/>
        </w:rPr>
        <w:t>g/m</w:t>
      </w:r>
      <w:r>
        <w:rPr>
          <w:szCs w:val="21"/>
          <w:vertAlign w:val="superscript"/>
        </w:rPr>
        <w:t>3</w:t>
      </w:r>
      <w:r>
        <w:rPr>
          <w:rFonts w:hint="eastAsia"/>
          <w:szCs w:val="21"/>
        </w:rPr>
        <w:t>；3</w:t>
      </w:r>
      <w:r>
        <w:rPr>
          <w:szCs w:val="21"/>
        </w:rPr>
        <w:t>）单位体积内的</w:t>
      </w:r>
      <w:r>
        <w:rPr>
          <w:rFonts w:hint="eastAsia"/>
          <w:szCs w:val="21"/>
        </w:rPr>
        <w:t>颗粒物</w:t>
      </w:r>
      <w:r>
        <w:rPr>
          <w:szCs w:val="21"/>
        </w:rPr>
        <w:t>质量浓度，μg/m</w:t>
      </w:r>
      <w:r>
        <w:rPr>
          <w:szCs w:val="21"/>
          <w:vertAlign w:val="superscript"/>
        </w:rPr>
        <w:t>3</w:t>
      </w:r>
      <w:r>
        <w:rPr>
          <w:rFonts w:hint="eastAsia"/>
          <w:szCs w:val="21"/>
        </w:rPr>
        <w:t>。</w:t>
      </w:r>
      <w:r>
        <w:rPr>
          <w:szCs w:val="21"/>
        </w:rPr>
        <w:t xml:space="preserve"> </w:t>
      </w:r>
    </w:p>
    <w:p w14:paraId="0585FBD2">
      <w:pPr>
        <w:numPr>
          <w:ilvl w:val="0"/>
          <w:numId w:val="7"/>
        </w:numPr>
        <w:rPr>
          <w:szCs w:val="21"/>
        </w:rPr>
      </w:pPr>
      <w:r>
        <w:rPr>
          <w:szCs w:val="21"/>
        </w:rPr>
        <w:t>工作方式：连续自动监测；</w:t>
      </w:r>
    </w:p>
    <w:p w14:paraId="742D3671">
      <w:pPr>
        <w:numPr>
          <w:ilvl w:val="0"/>
          <w:numId w:val="7"/>
        </w:numPr>
        <w:rPr>
          <w:szCs w:val="21"/>
        </w:rPr>
      </w:pPr>
      <w:r>
        <w:rPr>
          <w:szCs w:val="21"/>
        </w:rPr>
        <w:t>单机性能：系统均应具备停电来电自恢复功能和不少于一年的无故障运行时间；</w:t>
      </w:r>
    </w:p>
    <w:p w14:paraId="73508A41">
      <w:pPr>
        <w:numPr>
          <w:ilvl w:val="0"/>
          <w:numId w:val="7"/>
        </w:numPr>
        <w:rPr>
          <w:szCs w:val="21"/>
        </w:rPr>
      </w:pPr>
      <w:r>
        <w:rPr>
          <w:szCs w:val="21"/>
        </w:rPr>
        <w:t>主要监测元素：</w:t>
      </w:r>
      <w:r>
        <w:rPr>
          <w:rFonts w:hint="eastAsia"/>
        </w:rPr>
        <w:t>Pb（铅）、Cd（镉）、Hg（汞）、As（砷）、Cr（铬）、Cu（铜）、Zn（锌）、Ni（镍）、Ba（钡）、Fe（铁）、Ag（银）、Se（硒）、Br（溴）、Te（碲）、Sb（锑）、Sn（锡）、Ti（钛）、Co（钴）、Mn（锰）、Pd（钯）、Tl（铊）、Sc (钪)、Mo（钼）、V（钒）、Ca（钙）、K（钾）、Ga（镓）、Cs（铯）、Al（铝）、Si（硅）等3</w:t>
      </w:r>
      <w:r>
        <w:t>0</w:t>
      </w:r>
      <w:r>
        <w:rPr>
          <w:rFonts w:hint="eastAsia"/>
        </w:rPr>
        <w:t>种元素</w:t>
      </w:r>
      <w:r>
        <w:rPr>
          <w:szCs w:val="21"/>
        </w:rPr>
        <w:t>（其它元素可根据用户后续需求扩展）</w:t>
      </w:r>
    </w:p>
    <w:p w14:paraId="46A0FC29">
      <w:pPr>
        <w:numPr>
          <w:ilvl w:val="0"/>
          <w:numId w:val="7"/>
        </w:numPr>
        <w:rPr>
          <w:szCs w:val="21"/>
        </w:rPr>
      </w:pPr>
      <w:r>
        <w:rPr>
          <w:szCs w:val="21"/>
        </w:rPr>
        <w:t>重金属元素测量范围（0～100）μg/m3；颗粒物测量范围：</w:t>
      </w:r>
      <w:r>
        <w:rPr>
          <w:rFonts w:hint="eastAsia"/>
          <w:szCs w:val="21"/>
        </w:rPr>
        <w:t>0~1、2、5、10 mg/m3</w:t>
      </w:r>
    </w:p>
    <w:p w14:paraId="781EC0A7">
      <w:pPr>
        <w:numPr>
          <w:ilvl w:val="0"/>
          <w:numId w:val="7"/>
        </w:numPr>
        <w:rPr>
          <w:szCs w:val="21"/>
        </w:rPr>
      </w:pPr>
      <w:r>
        <w:rPr>
          <w:rFonts w:hint="eastAsia"/>
          <w:szCs w:val="21"/>
        </w:rPr>
        <w:t xml:space="preserve">重金属检出限： </w:t>
      </w:r>
      <w:r>
        <w:rPr>
          <w:szCs w:val="21"/>
        </w:rPr>
        <w:t xml:space="preserve">5 </w:t>
      </w:r>
      <w:r>
        <w:rPr>
          <w:rFonts w:hint="eastAsia"/>
          <w:szCs w:val="21"/>
        </w:rPr>
        <w:t>ng/m</w:t>
      </w:r>
      <w:r>
        <w:rPr>
          <w:szCs w:val="21"/>
        </w:rPr>
        <w:t>3；</w:t>
      </w:r>
    </w:p>
    <w:p w14:paraId="600F32D0">
      <w:pPr>
        <w:numPr>
          <w:ilvl w:val="0"/>
          <w:numId w:val="7"/>
        </w:numPr>
        <w:rPr>
          <w:szCs w:val="21"/>
        </w:rPr>
      </w:pPr>
      <w:r>
        <w:rPr>
          <w:szCs w:val="21"/>
        </w:rPr>
        <w:t>颗粒物检出限：5μg/m3</w:t>
      </w:r>
      <w:r>
        <w:rPr>
          <w:rFonts w:hint="eastAsia"/>
          <w:szCs w:val="21"/>
        </w:rPr>
        <w:t>；</w:t>
      </w:r>
    </w:p>
    <w:p w14:paraId="348C42A0">
      <w:pPr>
        <w:numPr>
          <w:ilvl w:val="0"/>
          <w:numId w:val="7"/>
        </w:numPr>
        <w:rPr>
          <w:szCs w:val="21"/>
        </w:rPr>
      </w:pPr>
      <w:r>
        <w:rPr>
          <w:szCs w:val="21"/>
        </w:rPr>
        <w:t>采样流</w:t>
      </w:r>
      <w:r>
        <w:rPr>
          <w:rFonts w:hint="eastAsia"/>
          <w:szCs w:val="21"/>
        </w:rPr>
        <w:t>速：</w:t>
      </w:r>
      <w:r>
        <w:rPr>
          <w:szCs w:val="21"/>
        </w:rPr>
        <w:t>(</w:t>
      </w:r>
      <w:r>
        <w:rPr>
          <w:rFonts w:hint="eastAsia"/>
          <w:szCs w:val="21"/>
        </w:rPr>
        <w:t>4</w:t>
      </w:r>
      <w:r>
        <w:rPr>
          <w:szCs w:val="21"/>
        </w:rPr>
        <w:t>～20)L/min 可调节</w:t>
      </w:r>
    </w:p>
    <w:p w14:paraId="44C86E83">
      <w:pPr>
        <w:numPr>
          <w:ilvl w:val="0"/>
          <w:numId w:val="7"/>
        </w:numPr>
        <w:rPr>
          <w:szCs w:val="21"/>
        </w:rPr>
      </w:pPr>
      <w:r>
        <w:rPr>
          <w:rFonts w:ascii="Segoe UI Symbol" w:hAnsi="Segoe UI Symbol" w:cs="Segoe UI Symbol"/>
          <w:szCs w:val="21"/>
        </w:rPr>
        <w:t>▲</w:t>
      </w:r>
      <w:r>
        <w:rPr>
          <w:szCs w:val="21"/>
        </w:rPr>
        <w:t>平均流量偏差：≤5%</w:t>
      </w:r>
    </w:p>
    <w:p w14:paraId="2AFFF8A1">
      <w:pPr>
        <w:numPr>
          <w:ilvl w:val="0"/>
          <w:numId w:val="7"/>
        </w:numPr>
        <w:rPr>
          <w:szCs w:val="21"/>
        </w:rPr>
      </w:pPr>
      <w:r>
        <w:rPr>
          <w:szCs w:val="21"/>
        </w:rPr>
        <w:t>采样及分析时间</w:t>
      </w:r>
      <w:r>
        <w:rPr>
          <w:rFonts w:hint="eastAsia"/>
          <w:szCs w:val="21"/>
        </w:rPr>
        <w:t>：</w:t>
      </w:r>
      <w:r>
        <w:rPr>
          <w:szCs w:val="21"/>
        </w:rPr>
        <w:t>10～300分钟，可选</w:t>
      </w:r>
    </w:p>
    <w:p w14:paraId="1D597222">
      <w:pPr>
        <w:numPr>
          <w:ilvl w:val="0"/>
          <w:numId w:val="7"/>
        </w:numPr>
        <w:rPr>
          <w:szCs w:val="21"/>
        </w:rPr>
      </w:pPr>
      <w:r>
        <w:rPr>
          <w:rFonts w:hint="eastAsia" w:ascii="宋体" w:hAnsi="宋体" w:cs="宋体"/>
          <w:szCs w:val="21"/>
        </w:rPr>
        <w:t>▲</w:t>
      </w:r>
      <w:r>
        <w:rPr>
          <w:szCs w:val="21"/>
        </w:rPr>
        <w:t>线性度要求</w:t>
      </w:r>
      <w:r>
        <w:rPr>
          <w:rFonts w:hint="eastAsia"/>
          <w:szCs w:val="21"/>
        </w:rPr>
        <w:t>：</w:t>
      </w:r>
      <w:r>
        <w:rPr>
          <w:szCs w:val="21"/>
        </w:rPr>
        <w:t>线性相关系数</w:t>
      </w:r>
      <w:r>
        <w:rPr>
          <w:rFonts w:hint="eastAsia"/>
          <w:szCs w:val="21"/>
        </w:rPr>
        <w:t xml:space="preserve">r </w:t>
      </w:r>
      <w:r>
        <w:rPr>
          <w:szCs w:val="21"/>
        </w:rPr>
        <w:t>&gt;0.99；</w:t>
      </w:r>
    </w:p>
    <w:p w14:paraId="76FDB4CF">
      <w:pPr>
        <w:numPr>
          <w:ilvl w:val="0"/>
          <w:numId w:val="7"/>
        </w:numPr>
        <w:rPr>
          <w:szCs w:val="21"/>
        </w:rPr>
      </w:pPr>
      <w:r>
        <w:rPr>
          <w:rFonts w:hint="eastAsia" w:ascii="宋体" w:hAnsi="宋体" w:cs="宋体"/>
          <w:szCs w:val="21"/>
        </w:rPr>
        <w:t>▲</w:t>
      </w:r>
      <w:r>
        <w:rPr>
          <w:rFonts w:hint="eastAsia"/>
          <w:szCs w:val="21"/>
        </w:rPr>
        <w:t>有效数据率：≥</w:t>
      </w:r>
      <w:r>
        <w:rPr>
          <w:szCs w:val="21"/>
        </w:rPr>
        <w:t>95%</w:t>
      </w:r>
    </w:p>
    <w:p w14:paraId="2C2C492B">
      <w:pPr>
        <w:numPr>
          <w:ilvl w:val="0"/>
          <w:numId w:val="7"/>
        </w:numPr>
        <w:rPr>
          <w:szCs w:val="21"/>
        </w:rPr>
      </w:pPr>
      <w:r>
        <w:rPr>
          <w:rFonts w:hint="eastAsia" w:ascii="宋体" w:hAnsi="宋体" w:cs="宋体"/>
          <w:szCs w:val="21"/>
        </w:rPr>
        <w:t>▲</w:t>
      </w:r>
      <w:r>
        <w:rPr>
          <w:rFonts w:hint="eastAsia"/>
          <w:szCs w:val="21"/>
        </w:rPr>
        <w:t>重金属元素重复性：RSD&lt;1%( Pb元素)；</w:t>
      </w:r>
    </w:p>
    <w:p w14:paraId="44782C74">
      <w:pPr>
        <w:numPr>
          <w:ilvl w:val="0"/>
          <w:numId w:val="7"/>
        </w:numPr>
        <w:rPr>
          <w:szCs w:val="21"/>
        </w:rPr>
      </w:pPr>
      <w:r>
        <w:rPr>
          <w:rFonts w:hint="eastAsia" w:ascii="宋体" w:hAnsi="宋体" w:cs="宋体"/>
          <w:szCs w:val="21"/>
        </w:rPr>
        <w:t>▲</w:t>
      </w:r>
      <w:r>
        <w:rPr>
          <w:rFonts w:hint="eastAsia"/>
          <w:szCs w:val="21"/>
        </w:rPr>
        <w:t>颗粒物重复性：校准膜重现性≤2%</w:t>
      </w:r>
      <w:r>
        <w:rPr>
          <w:rFonts w:hint="eastAsia"/>
          <w:szCs w:val="21"/>
          <w:lang w:eastAsia="zh-CN"/>
        </w:rPr>
        <w:t>；</w:t>
      </w:r>
    </w:p>
    <w:p w14:paraId="7078BB45">
      <w:pPr>
        <w:numPr>
          <w:ilvl w:val="0"/>
          <w:numId w:val="7"/>
        </w:numPr>
        <w:rPr>
          <w:szCs w:val="21"/>
        </w:rPr>
      </w:pPr>
      <w:r>
        <w:rPr>
          <w:rFonts w:hint="eastAsia"/>
          <w:szCs w:val="21"/>
        </w:rPr>
        <w:t>采样滤膜：采样滤膜应为PTFE材质滤纸，对0.3μg颗粒物的截留效率≥99.7%；</w:t>
      </w:r>
    </w:p>
    <w:p w14:paraId="17056EA7">
      <w:pPr>
        <w:numPr>
          <w:ilvl w:val="0"/>
          <w:numId w:val="7"/>
        </w:numPr>
        <w:rPr>
          <w:szCs w:val="21"/>
        </w:rPr>
      </w:pPr>
      <w:r>
        <w:rPr>
          <w:szCs w:val="21"/>
        </w:rPr>
        <w:t>安装方式：机柜式安装或车载安装</w:t>
      </w:r>
    </w:p>
    <w:p w14:paraId="1AD8F454">
      <w:pPr>
        <w:numPr>
          <w:ilvl w:val="0"/>
          <w:numId w:val="7"/>
        </w:numPr>
        <w:rPr>
          <w:szCs w:val="21"/>
        </w:rPr>
      </w:pPr>
      <w:r>
        <w:rPr>
          <w:szCs w:val="21"/>
        </w:rPr>
        <w:t>控制方式：计算机控制，并有自我诊断及设定功能、实时状态监控功能，并可存储十年以上监测数据</w:t>
      </w:r>
    </w:p>
    <w:p w14:paraId="64AED77A">
      <w:pPr>
        <w:numPr>
          <w:ilvl w:val="0"/>
          <w:numId w:val="7"/>
        </w:numPr>
        <w:rPr>
          <w:rStyle w:val="26"/>
        </w:rPr>
      </w:pPr>
      <w:r>
        <w:rPr>
          <w:szCs w:val="21"/>
        </w:rPr>
        <w:t>操作界面：中文操作界面，显示实时采样流量，采样时间，测量状态，重金属浓度值、含量曲线等信息</w:t>
      </w:r>
    </w:p>
    <w:p w14:paraId="62C5C85A">
      <w:pPr>
        <w:numPr>
          <w:ilvl w:val="0"/>
          <w:numId w:val="7"/>
        </w:numPr>
        <w:rPr>
          <w:rFonts w:hint="eastAsia"/>
          <w:szCs w:val="21"/>
        </w:rPr>
      </w:pPr>
      <w:r>
        <w:rPr>
          <w:rFonts w:hint="eastAsia"/>
          <w:szCs w:val="21"/>
        </w:rPr>
        <w:t>散热：内置TEC制冷模块，无需配置空调机柜</w:t>
      </w:r>
    </w:p>
    <w:p w14:paraId="6612992D">
      <w:pPr>
        <w:ind w:firstLine="175" w:firstLineChars="83"/>
        <w:rPr>
          <w:rFonts w:hint="eastAsia"/>
          <w:b/>
          <w:szCs w:val="21"/>
        </w:rPr>
      </w:pPr>
      <w:r>
        <w:rPr>
          <w:rFonts w:hint="eastAsia"/>
          <w:b/>
          <w:szCs w:val="21"/>
        </w:rPr>
        <w:t>6、</w:t>
      </w:r>
      <w:r>
        <w:rPr>
          <w:b/>
          <w:szCs w:val="21"/>
        </w:rPr>
        <w:t>功能指标要求</w:t>
      </w:r>
      <w:r>
        <w:rPr>
          <w:rFonts w:hint="eastAsia"/>
          <w:b/>
          <w:szCs w:val="21"/>
        </w:rPr>
        <w:t>：</w:t>
      </w:r>
    </w:p>
    <w:p w14:paraId="3895AAFC">
      <w:pPr>
        <w:numPr>
          <w:ilvl w:val="0"/>
          <w:numId w:val="8"/>
        </w:numPr>
        <w:ind w:left="420"/>
        <w:rPr>
          <w:szCs w:val="21"/>
        </w:rPr>
      </w:pPr>
      <w:r>
        <w:rPr>
          <w:rFonts w:hint="eastAsia"/>
          <w:szCs w:val="21"/>
        </w:rPr>
        <w:t>产品软件</w:t>
      </w:r>
      <w:r>
        <w:rPr>
          <w:szCs w:val="21"/>
        </w:rPr>
        <w:t>具有计算机软件著作权登记证书。</w:t>
      </w:r>
    </w:p>
    <w:p w14:paraId="28FE24EA">
      <w:pPr>
        <w:numPr>
          <w:ilvl w:val="0"/>
          <w:numId w:val="8"/>
        </w:numPr>
        <w:ind w:left="420"/>
        <w:rPr>
          <w:szCs w:val="21"/>
        </w:rPr>
      </w:pPr>
      <w:r>
        <w:rPr>
          <w:rFonts w:hint="eastAsia" w:ascii="宋体" w:hAnsi="宋体" w:cs="宋体"/>
          <w:szCs w:val="21"/>
        </w:rPr>
        <w:t>▲</w:t>
      </w:r>
      <w:r>
        <w:rPr>
          <w:rFonts w:hint="eastAsia"/>
          <w:szCs w:val="21"/>
        </w:rPr>
        <w:t>仪器具有XRF模块动态温控功能，可以根据环境温度、湿度的变化调整温度，并实现激发过程恒温控制，需要提供第三方权威证明材料。</w:t>
      </w:r>
    </w:p>
    <w:p w14:paraId="4DE63F22">
      <w:pPr>
        <w:numPr>
          <w:ilvl w:val="0"/>
          <w:numId w:val="8"/>
        </w:numPr>
        <w:ind w:left="420"/>
        <w:rPr>
          <w:szCs w:val="21"/>
        </w:rPr>
      </w:pPr>
      <w:r>
        <w:rPr>
          <w:rFonts w:hint="eastAsia" w:ascii="宋体" w:hAnsi="宋体" w:cs="宋体"/>
          <w:szCs w:val="21"/>
        </w:rPr>
        <w:t>▲</w:t>
      </w:r>
      <w:r>
        <w:rPr>
          <w:rFonts w:hint="eastAsia"/>
          <w:szCs w:val="21"/>
        </w:rPr>
        <w:t>仪器具有基于采样滤膜运动的自动校准功能，在采样滤膜运动到特定位置时，仪器能够根据滤膜的信息触发XRF校准，实现XRF自动校准功能，需要提供第三方权威证明材料。</w:t>
      </w:r>
    </w:p>
    <w:p w14:paraId="31243A2C">
      <w:pPr>
        <w:numPr>
          <w:ilvl w:val="0"/>
          <w:numId w:val="8"/>
        </w:numPr>
        <w:ind w:left="420"/>
        <w:rPr>
          <w:rFonts w:hint="eastAsia"/>
          <w:szCs w:val="21"/>
        </w:rPr>
      </w:pPr>
      <w:r>
        <w:rPr>
          <w:szCs w:val="21"/>
        </w:rPr>
        <w:t>仪器均有停电后来电自启动功能、仪器具有故障报警、判别错误信息、校准以及系统故障信息的保存和查询功能</w:t>
      </w:r>
      <w:r>
        <w:rPr>
          <w:rFonts w:hint="eastAsia"/>
          <w:szCs w:val="21"/>
        </w:rPr>
        <w:t>。</w:t>
      </w:r>
    </w:p>
    <w:p w14:paraId="34C39ADB">
      <w:pPr>
        <w:numPr>
          <w:ilvl w:val="0"/>
          <w:numId w:val="8"/>
        </w:numPr>
        <w:ind w:left="420"/>
        <w:rPr>
          <w:szCs w:val="21"/>
        </w:rPr>
      </w:pPr>
      <w:r>
        <w:rPr>
          <w:szCs w:val="21"/>
        </w:rPr>
        <w:t>分析仪的光源应保证无故障运行</w:t>
      </w:r>
      <w:r>
        <w:rPr>
          <w:rFonts w:hint="eastAsia"/>
          <w:szCs w:val="21"/>
        </w:rPr>
        <w:t>1</w:t>
      </w:r>
      <w:r>
        <w:rPr>
          <w:szCs w:val="21"/>
        </w:rPr>
        <w:t>年以上</w:t>
      </w:r>
      <w:r>
        <w:rPr>
          <w:rFonts w:hint="eastAsia"/>
          <w:szCs w:val="21"/>
        </w:rPr>
        <w:t>。</w:t>
      </w:r>
    </w:p>
    <w:p w14:paraId="333C8818">
      <w:pPr>
        <w:numPr>
          <w:ilvl w:val="0"/>
          <w:numId w:val="8"/>
        </w:numPr>
        <w:ind w:left="420"/>
        <w:rPr>
          <w:rFonts w:hint="eastAsia"/>
          <w:szCs w:val="21"/>
        </w:rPr>
      </w:pPr>
      <w:r>
        <w:rPr>
          <w:szCs w:val="21"/>
        </w:rPr>
        <w:t>系统具备运行参数的远程监控和检验能力，系统可通过环境中心平台对系统仪器、设备的运行状态进行远程实时监控。</w:t>
      </w:r>
    </w:p>
    <w:p w14:paraId="53F9048D">
      <w:pPr>
        <w:numPr>
          <w:ilvl w:val="0"/>
          <w:numId w:val="8"/>
        </w:numPr>
        <w:ind w:left="420"/>
        <w:rPr>
          <w:szCs w:val="21"/>
        </w:rPr>
      </w:pPr>
      <w:r>
        <w:rPr>
          <w:rFonts w:hint="eastAsia" w:ascii="宋体" w:hAnsi="宋体" w:cs="宋体"/>
          <w:szCs w:val="21"/>
        </w:rPr>
        <w:t>▲</w:t>
      </w:r>
      <w:r>
        <w:rPr>
          <w:rFonts w:hint="eastAsia"/>
          <w:szCs w:val="21"/>
        </w:rPr>
        <w:t>设备具有双重辐射防护保护</w:t>
      </w:r>
      <w:r>
        <w:rPr>
          <w:rFonts w:hint="eastAsia"/>
          <w:szCs w:val="21"/>
          <w:lang w:eastAsia="zh-CN"/>
        </w:rPr>
        <w:t>；</w:t>
      </w:r>
    </w:p>
    <w:p w14:paraId="06565762">
      <w:pPr>
        <w:numPr>
          <w:ilvl w:val="0"/>
          <w:numId w:val="8"/>
        </w:numPr>
        <w:ind w:left="420"/>
        <w:rPr>
          <w:szCs w:val="21"/>
        </w:rPr>
      </w:pPr>
      <w:r>
        <w:rPr>
          <w:rFonts w:hint="eastAsia"/>
          <w:szCs w:val="21"/>
        </w:rPr>
        <w:t>安全防护：辐射剂量必须满足《X射线衍射仪和荧光分析仪卫生防护标准》规定的距离设备5cm处，射线的空气比释动能率不超过2.5μGy/h。</w:t>
      </w:r>
    </w:p>
    <w:p w14:paraId="1604BE40">
      <w:pPr>
        <w:numPr>
          <w:ilvl w:val="0"/>
          <w:numId w:val="8"/>
        </w:numPr>
        <w:ind w:left="420"/>
        <w:rPr>
          <w:szCs w:val="21"/>
        </w:rPr>
      </w:pPr>
      <w:r>
        <w:rPr>
          <w:szCs w:val="21"/>
        </w:rPr>
        <w:t>软件功能</w:t>
      </w:r>
    </w:p>
    <w:p w14:paraId="1B917B95">
      <w:pPr>
        <w:ind w:firstLine="480"/>
        <w:rPr>
          <w:szCs w:val="21"/>
        </w:rPr>
      </w:pPr>
      <w:r>
        <w:rPr>
          <w:szCs w:val="21"/>
        </w:rPr>
        <w:t>实时显示系统运行状态图；</w:t>
      </w:r>
    </w:p>
    <w:p w14:paraId="21A603EB">
      <w:pPr>
        <w:ind w:firstLine="480"/>
        <w:rPr>
          <w:szCs w:val="21"/>
        </w:rPr>
      </w:pPr>
      <w:r>
        <w:rPr>
          <w:szCs w:val="21"/>
        </w:rPr>
        <w:t>显示实时测量数据列表以及曲线图；</w:t>
      </w:r>
    </w:p>
    <w:p w14:paraId="1581FDD3">
      <w:pPr>
        <w:ind w:firstLine="480"/>
        <w:rPr>
          <w:rFonts w:hint="eastAsia"/>
          <w:szCs w:val="21"/>
        </w:rPr>
      </w:pPr>
      <w:r>
        <w:rPr>
          <w:rFonts w:hint="eastAsia" w:ascii="宋体" w:hAnsi="宋体" w:cs="宋体"/>
          <w:szCs w:val="21"/>
        </w:rPr>
        <w:t>▲</w:t>
      </w:r>
      <w:r>
        <w:rPr>
          <w:rFonts w:hint="eastAsia"/>
          <w:szCs w:val="21"/>
        </w:rPr>
        <w:t>可通过RS232/485，GPRS，以太网接口，来远程输出数据，可实现运行参数、状态及数据的远程传输、监控和检验；</w:t>
      </w:r>
    </w:p>
    <w:p w14:paraId="1ED9A520">
      <w:pPr>
        <w:ind w:firstLine="480"/>
        <w:rPr>
          <w:szCs w:val="21"/>
        </w:rPr>
      </w:pPr>
      <w:r>
        <w:rPr>
          <w:szCs w:val="21"/>
        </w:rPr>
        <w:t>拥有X光管激发声光报警功能、仪器异常报警功能、含量异常报警功能；系统故障可短信通知用户；</w:t>
      </w:r>
    </w:p>
    <w:p w14:paraId="5EF8CD9C">
      <w:pPr>
        <w:ind w:firstLine="480"/>
        <w:rPr>
          <w:szCs w:val="21"/>
        </w:rPr>
      </w:pPr>
      <w:r>
        <w:rPr>
          <w:szCs w:val="21"/>
        </w:rPr>
        <w:t>停电复电后仪器自动运行，参数、数据永久保存不丢失，系统具备数据备份与回复功能；</w:t>
      </w:r>
    </w:p>
    <w:p w14:paraId="6DEF6ACC">
      <w:pPr>
        <w:ind w:firstLine="480"/>
        <w:rPr>
          <w:szCs w:val="21"/>
        </w:rPr>
      </w:pPr>
      <w:r>
        <w:rPr>
          <w:szCs w:val="21"/>
        </w:rPr>
        <w:t>单机数据USB接口导出备份功能，导出数据既可直接导入管理平台数据库，又以EXCEL格式在任意计算机上显示；</w:t>
      </w:r>
    </w:p>
    <w:p w14:paraId="0E8A0A08">
      <w:pPr>
        <w:ind w:firstLine="480"/>
        <w:rPr>
          <w:szCs w:val="21"/>
        </w:rPr>
      </w:pPr>
      <w:r>
        <w:rPr>
          <w:szCs w:val="21"/>
        </w:rPr>
        <w:t>提供日、月、年统计报表查询以及图示；</w:t>
      </w:r>
    </w:p>
    <w:p w14:paraId="57988761">
      <w:pPr>
        <w:ind w:firstLine="480"/>
        <w:rPr>
          <w:szCs w:val="21"/>
        </w:rPr>
      </w:pPr>
      <w:r>
        <w:rPr>
          <w:rFonts w:hint="eastAsia"/>
          <w:szCs w:val="21"/>
        </w:rPr>
        <w:t>具备</w:t>
      </w:r>
      <w:r>
        <w:rPr>
          <w:szCs w:val="21"/>
        </w:rPr>
        <w:t>当前报警以及历史报警查询功能；</w:t>
      </w:r>
    </w:p>
    <w:p w14:paraId="22EF4C97">
      <w:pPr>
        <w:ind w:firstLine="480"/>
        <w:rPr>
          <w:szCs w:val="21"/>
        </w:rPr>
      </w:pPr>
      <w:r>
        <w:rPr>
          <w:szCs w:val="21"/>
        </w:rPr>
        <w:t>具备系统运行信息日志记录并查询功能；</w:t>
      </w:r>
    </w:p>
    <w:p w14:paraId="5BF6C374">
      <w:pPr>
        <w:ind w:firstLine="480"/>
        <w:rPr>
          <w:szCs w:val="21"/>
        </w:rPr>
      </w:pPr>
      <w:r>
        <w:rPr>
          <w:rFonts w:hint="eastAsia"/>
          <w:szCs w:val="21"/>
        </w:rPr>
        <w:t>具备</w:t>
      </w:r>
      <w:r>
        <w:rPr>
          <w:szCs w:val="21"/>
        </w:rPr>
        <w:t>测量周期等测量参数设置功能；</w:t>
      </w:r>
    </w:p>
    <w:p w14:paraId="66AA169F">
      <w:pPr>
        <w:ind w:firstLine="480"/>
        <w:rPr>
          <w:szCs w:val="21"/>
        </w:rPr>
      </w:pPr>
      <w:r>
        <w:rPr>
          <w:szCs w:val="21"/>
        </w:rPr>
        <w:t>具备仪器校准功能</w:t>
      </w:r>
      <w:r>
        <w:rPr>
          <w:rFonts w:hint="eastAsia"/>
          <w:szCs w:val="21"/>
        </w:rPr>
        <w:t>，刻度、含量自动校准功能，校准周期可设置</w:t>
      </w:r>
    </w:p>
    <w:p w14:paraId="463368FA">
      <w:pPr>
        <w:ind w:firstLine="480"/>
        <w:rPr>
          <w:szCs w:val="21"/>
        </w:rPr>
      </w:pPr>
      <w:r>
        <w:rPr>
          <w:rFonts w:hint="eastAsia"/>
          <w:szCs w:val="21"/>
        </w:rPr>
        <w:t>软件可根据用户要求，在监测结果的计算运用、图形表达、数据管理等方面进行定制更新。</w:t>
      </w:r>
    </w:p>
    <w:p w14:paraId="441BAC5D">
      <w:pPr>
        <w:numPr>
          <w:ilvl w:val="0"/>
          <w:numId w:val="8"/>
        </w:numPr>
        <w:ind w:left="420"/>
        <w:rPr>
          <w:szCs w:val="21"/>
        </w:rPr>
      </w:pPr>
      <w:r>
        <w:rPr>
          <w:szCs w:val="21"/>
        </w:rPr>
        <w:t>数据采集存储与传输</w:t>
      </w:r>
    </w:p>
    <w:p w14:paraId="199A8847">
      <w:pPr>
        <w:ind w:firstLine="480"/>
        <w:rPr>
          <w:szCs w:val="21"/>
        </w:rPr>
      </w:pPr>
      <w:r>
        <w:rPr>
          <w:szCs w:val="21"/>
        </w:rPr>
        <w:t>系统具有信息的实时采集能力和向信息中心站的同步远程传输能力，现场实时数据、日均数据、图像信息的显示能力。同时，系统的仪器、设备须预留RS232/485、USB，保证系统分析仪器的数据传输和手动导出；</w:t>
      </w:r>
    </w:p>
    <w:p w14:paraId="17FB602F">
      <w:pPr>
        <w:ind w:firstLine="480"/>
        <w:rPr>
          <w:szCs w:val="21"/>
        </w:rPr>
      </w:pPr>
      <w:r>
        <w:rPr>
          <w:szCs w:val="21"/>
        </w:rPr>
        <w:t>系统的数据传输、远程管理与环境管理平台兼容，</w:t>
      </w:r>
      <w:r>
        <w:rPr>
          <w:rFonts w:hint="eastAsia"/>
          <w:szCs w:val="21"/>
        </w:rPr>
        <w:t>支持</w:t>
      </w:r>
      <w:r>
        <w:rPr>
          <w:szCs w:val="21"/>
        </w:rPr>
        <w:t>环境中心平台对子站的远程监控、实时无障碍传输；</w:t>
      </w:r>
    </w:p>
    <w:p w14:paraId="38848870">
      <w:pPr>
        <w:ind w:firstLine="480"/>
        <w:rPr>
          <w:szCs w:val="21"/>
        </w:rPr>
        <w:sectPr>
          <w:footerReference r:id="rId6" w:type="default"/>
          <w:pgSz w:w="11906" w:h="16838"/>
          <w:pgMar w:top="1440" w:right="1800" w:bottom="1440" w:left="1800" w:header="851" w:footer="992" w:gutter="0"/>
          <w:pgNumType w:fmt="decimal" w:start="1"/>
          <w:cols w:space="720" w:num="1"/>
          <w:docGrid w:type="lines" w:linePitch="312" w:charSpace="0"/>
        </w:sectPr>
      </w:pPr>
      <w:r>
        <w:rPr>
          <w:szCs w:val="21"/>
        </w:rPr>
        <w:t>系统的通讯协议、接口、数据采集、存储、传输必须符合《污染源在线自动监控（监测）系统数据传输标准》（HJ/T 212），厂商根据本招标技术要求进行扩展，但不得与该标准发生冲突；必须同时具有点对多点的无线（两点或两点以上，GPRS或CDMA）和有线（ADSL或光纤）数据传输功能，保证系统具有向系统环境管理平台自动传输监测数据、资料、设备状态参数的能力。同时，系统供应商必须提供系统及系统设备的通讯协议、接口、数据采集、存储、传输等标准。</w:t>
      </w:r>
    </w:p>
    <w:p w14:paraId="618B21FA">
      <w:pPr>
        <w:pStyle w:val="3"/>
      </w:pPr>
      <w:r>
        <w:t>OCEC分析仪</w:t>
      </w:r>
    </w:p>
    <w:p w14:paraId="44192A36">
      <w:pPr>
        <w:pStyle w:val="35"/>
        <w:numPr>
          <w:ilvl w:val="0"/>
          <w:numId w:val="9"/>
        </w:numPr>
        <w:ind w:firstLineChars="0"/>
        <w:rPr>
          <w:b/>
        </w:rPr>
      </w:pPr>
      <w:r>
        <w:rPr>
          <w:rFonts w:hint="eastAsia"/>
          <w:b/>
        </w:rPr>
        <w:t>总体要求：</w:t>
      </w:r>
    </w:p>
    <w:p w14:paraId="680D76E0">
      <w:pPr>
        <w:pStyle w:val="35"/>
        <w:numPr>
          <w:ilvl w:val="0"/>
          <w:numId w:val="10"/>
        </w:numPr>
        <w:ind w:firstLineChars="0"/>
      </w:pPr>
      <w:r>
        <w:rPr>
          <w:rFonts w:hint="eastAsia"/>
        </w:rPr>
        <w:t>要求可在线、实时测量颗粒物样品中的有机碳（OC）、元素碳（EC）的含量，数据可用于含碳颗粒物来源分析研究。</w:t>
      </w:r>
    </w:p>
    <w:p w14:paraId="07E759AF">
      <w:pPr>
        <w:pStyle w:val="35"/>
        <w:numPr>
          <w:ilvl w:val="0"/>
          <w:numId w:val="10"/>
        </w:numPr>
        <w:ind w:firstLineChars="0"/>
      </w:pPr>
      <w:r>
        <w:rPr>
          <w:rFonts w:hint="eastAsia"/>
        </w:rPr>
        <w:t>要求基于热光法在线监测大气中的OC/EC，实现大气颗粒物中OC和EC的精确分割和定量。</w:t>
      </w:r>
    </w:p>
    <w:p w14:paraId="0F749CF5">
      <w:pPr>
        <w:pStyle w:val="35"/>
        <w:numPr>
          <w:ilvl w:val="0"/>
          <w:numId w:val="10"/>
        </w:numPr>
        <w:ind w:firstLineChars="0"/>
      </w:pPr>
      <w:r>
        <w:rPr>
          <w:rFonts w:hint="eastAsia"/>
        </w:rPr>
        <w:t>要求通过集成一体化工控机实现仪器的自动化控制，控制软件界面友好，操作简便。</w:t>
      </w:r>
    </w:p>
    <w:p w14:paraId="7258E5AA">
      <w:pPr>
        <w:pStyle w:val="35"/>
        <w:numPr>
          <w:ilvl w:val="0"/>
          <w:numId w:val="10"/>
        </w:numPr>
        <w:ind w:firstLineChars="0"/>
      </w:pPr>
      <w:r>
        <w:rPr>
          <w:rFonts w:hint="eastAsia"/>
        </w:rPr>
        <w:t>要求可用于居民区、工业区、路边站等场所颗粒物中OCEC的在线监测，可安装在固定站房，也可以车载安装。</w:t>
      </w:r>
    </w:p>
    <w:p w14:paraId="2BAAA9C8">
      <w:pPr>
        <w:pStyle w:val="35"/>
        <w:numPr>
          <w:ilvl w:val="0"/>
          <w:numId w:val="10"/>
        </w:numPr>
        <w:ind w:firstLineChars="0"/>
      </w:pPr>
      <w:r>
        <w:rPr>
          <w:rFonts w:hint="eastAsia"/>
        </w:rPr>
        <w:t>要求监测过程无需人员值守。</w:t>
      </w:r>
    </w:p>
    <w:p w14:paraId="011578BC">
      <w:pPr>
        <w:rPr>
          <w:b/>
        </w:rPr>
      </w:pPr>
      <w:r>
        <w:rPr>
          <w:rFonts w:hint="eastAsia"/>
          <w:b/>
        </w:rPr>
        <w:t>2、仪器性能要求</w:t>
      </w:r>
      <w:r>
        <w:rPr>
          <w:b/>
        </w:rPr>
        <w:t>：</w:t>
      </w:r>
    </w:p>
    <w:p w14:paraId="701FB8A3">
      <w:pPr>
        <w:pStyle w:val="35"/>
        <w:numPr>
          <w:ilvl w:val="0"/>
          <w:numId w:val="11"/>
        </w:numPr>
        <w:ind w:firstLineChars="0"/>
      </w:pPr>
      <w:r>
        <w:rPr>
          <w:rFonts w:hint="eastAsia"/>
        </w:rPr>
        <w:t>参考标准：NIOSH5040、IMPROVE，可根据实际情况自定义</w:t>
      </w:r>
    </w:p>
    <w:p w14:paraId="4F2F61A6">
      <w:pPr>
        <w:numPr>
          <w:ilvl w:val="0"/>
          <w:numId w:val="11"/>
        </w:numPr>
        <w:rPr>
          <w:rFonts w:hint="eastAsia"/>
          <w:szCs w:val="22"/>
        </w:rPr>
      </w:pPr>
      <w:r>
        <w:rPr>
          <w:rFonts w:hint="eastAsia"/>
          <w:sz w:val="21"/>
          <w:szCs w:val="21"/>
        </w:rPr>
        <w:t>▲</w:t>
      </w:r>
      <w:r>
        <w:t>测量方法</w:t>
      </w:r>
      <w:r>
        <w:rPr>
          <w:rFonts w:hint="eastAsia"/>
        </w:rPr>
        <w:t>：</w:t>
      </w:r>
      <w:r>
        <w:t>热光法（</w:t>
      </w:r>
      <w:r>
        <w:rPr>
          <w:rFonts w:hint="eastAsia"/>
        </w:rPr>
        <w:t>热光透射法</w:t>
      </w:r>
      <w:r>
        <w:t>TOT&amp;</w:t>
      </w:r>
      <w:r>
        <w:rPr>
          <w:rFonts w:hint="eastAsia"/>
        </w:rPr>
        <w:t>热光反射法</w:t>
      </w:r>
      <w:r>
        <w:t>TOR）</w:t>
      </w:r>
    </w:p>
    <w:p w14:paraId="2A7E69D5">
      <w:pPr>
        <w:pStyle w:val="35"/>
        <w:numPr>
          <w:ilvl w:val="0"/>
          <w:numId w:val="11"/>
        </w:numPr>
        <w:ind w:firstLineChars="0"/>
      </w:pPr>
      <w:r>
        <w:rPr>
          <w:rFonts w:hint="eastAsia"/>
        </w:rPr>
        <w:t>检测方式：CO</w:t>
      </w:r>
      <w:r>
        <w:rPr>
          <w:rFonts w:hint="eastAsia"/>
          <w:vertAlign w:val="subscript"/>
        </w:rPr>
        <w:t>2</w:t>
      </w:r>
      <w:r>
        <w:rPr>
          <w:rFonts w:hint="eastAsia"/>
        </w:rPr>
        <w:t>、NDIR</w:t>
      </w:r>
    </w:p>
    <w:p w14:paraId="6332CC07">
      <w:pPr>
        <w:pStyle w:val="35"/>
        <w:numPr>
          <w:ilvl w:val="0"/>
          <w:numId w:val="11"/>
        </w:numPr>
        <w:ind w:firstLineChars="0"/>
      </w:pPr>
      <w:r>
        <w:t>测量范围</w:t>
      </w:r>
      <w:r>
        <w:rPr>
          <w:rFonts w:hint="eastAsia"/>
        </w:rPr>
        <w:t>：</w:t>
      </w:r>
      <w:r>
        <w:t>0～1000μg/ m</w:t>
      </w:r>
      <w:r>
        <w:rPr>
          <w:vertAlign w:val="superscript"/>
        </w:rPr>
        <w:t>3</w:t>
      </w:r>
      <w:r>
        <w:t>（采样0.32m</w:t>
      </w:r>
      <w:r>
        <w:rPr>
          <w:vertAlign w:val="superscript"/>
        </w:rPr>
        <w:t>3</w:t>
      </w:r>
      <w:r>
        <w:t>）</w:t>
      </w:r>
    </w:p>
    <w:p w14:paraId="20EB419B">
      <w:pPr>
        <w:numPr>
          <w:ilvl w:val="0"/>
          <w:numId w:val="11"/>
        </w:numPr>
        <w:rPr>
          <w:rFonts w:hint="eastAsia"/>
          <w:szCs w:val="22"/>
        </w:rPr>
      </w:pPr>
      <w:r>
        <w:rPr>
          <w:rFonts w:hint="eastAsia"/>
        </w:rPr>
        <w:t>最低检出限：≤0.2</w:t>
      </w:r>
      <w:r>
        <w:t xml:space="preserve"> </w:t>
      </w:r>
      <w:r>
        <w:rPr>
          <w:rFonts w:hint="eastAsia"/>
        </w:rPr>
        <w:t>ugC</w:t>
      </w:r>
    </w:p>
    <w:p w14:paraId="0493A285">
      <w:pPr>
        <w:pStyle w:val="35"/>
        <w:numPr>
          <w:ilvl w:val="0"/>
          <w:numId w:val="11"/>
        </w:numPr>
        <w:ind w:firstLineChars="0"/>
      </w:pPr>
      <w:r>
        <w:rPr>
          <w:szCs w:val="21"/>
        </w:rPr>
        <w:t>24h零点漂移：</w:t>
      </w:r>
      <w:r>
        <w:t>±1μgC</w:t>
      </w:r>
    </w:p>
    <w:p w14:paraId="4BB86B2C">
      <w:pPr>
        <w:pStyle w:val="35"/>
        <w:numPr>
          <w:ilvl w:val="0"/>
          <w:numId w:val="11"/>
        </w:numPr>
        <w:ind w:firstLineChars="0"/>
      </w:pPr>
      <w:r>
        <w:rPr>
          <w:rFonts w:hint="eastAsia"/>
          <w:sz w:val="21"/>
          <w:szCs w:val="21"/>
        </w:rPr>
        <w:t>▲</w:t>
      </w:r>
      <w:r>
        <w:t>重复性：＜5%</w:t>
      </w:r>
    </w:p>
    <w:p w14:paraId="61B5A537">
      <w:pPr>
        <w:pStyle w:val="35"/>
        <w:numPr>
          <w:ilvl w:val="0"/>
          <w:numId w:val="11"/>
        </w:numPr>
        <w:ind w:firstLineChars="0"/>
      </w:pPr>
      <w:r>
        <w:rPr>
          <w:rFonts w:hint="eastAsia"/>
          <w:sz w:val="21"/>
          <w:szCs w:val="21"/>
        </w:rPr>
        <w:t>▲</w:t>
      </w:r>
      <w:r>
        <w:rPr>
          <w:rFonts w:hint="eastAsia"/>
        </w:rPr>
        <w:t>校准曲线线性相关系数：r</w:t>
      </w:r>
      <w:r>
        <w:t xml:space="preserve"> </w:t>
      </w:r>
      <w:r>
        <w:rPr>
          <w:rFonts w:hint="eastAsia"/>
        </w:rPr>
        <w:t>≥</w:t>
      </w:r>
      <w:r>
        <w:t>0.995</w:t>
      </w:r>
    </w:p>
    <w:p w14:paraId="42DB10E2">
      <w:pPr>
        <w:pStyle w:val="35"/>
        <w:numPr>
          <w:ilvl w:val="0"/>
          <w:numId w:val="11"/>
        </w:numPr>
        <w:ind w:firstLineChars="0"/>
      </w:pPr>
      <w:r>
        <w:t>滤膜种类：石英滤膜</w:t>
      </w:r>
    </w:p>
    <w:p w14:paraId="1CBAECED">
      <w:pPr>
        <w:numPr>
          <w:ilvl w:val="0"/>
          <w:numId w:val="11"/>
        </w:numPr>
        <w:rPr>
          <w:rFonts w:hint="eastAsia"/>
          <w:szCs w:val="22"/>
        </w:rPr>
      </w:pPr>
      <w:r>
        <w:t>采样</w:t>
      </w:r>
      <w:r>
        <w:rPr>
          <w:rFonts w:hint="eastAsia"/>
        </w:rPr>
        <w:t>流量：0</w:t>
      </w:r>
      <w:r>
        <w:t xml:space="preserve">~8L/min </w:t>
      </w:r>
      <w:r>
        <w:rPr>
          <w:rFonts w:hint="eastAsia"/>
        </w:rPr>
        <w:t>可调</w:t>
      </w:r>
    </w:p>
    <w:p w14:paraId="4DA24B66">
      <w:pPr>
        <w:pStyle w:val="35"/>
        <w:numPr>
          <w:ilvl w:val="0"/>
          <w:numId w:val="11"/>
        </w:numPr>
        <w:ind w:firstLineChars="0"/>
      </w:pPr>
      <w:r>
        <w:rPr>
          <w:rFonts w:hint="eastAsia"/>
        </w:rPr>
        <w:t>采样</w:t>
      </w:r>
      <w:r>
        <w:t>流量误差</w:t>
      </w:r>
      <w:r>
        <w:rPr>
          <w:rFonts w:hint="eastAsia"/>
        </w:rPr>
        <w:t>：</w:t>
      </w:r>
      <w:r>
        <w:t>±2%F•S</w:t>
      </w:r>
    </w:p>
    <w:p w14:paraId="33E847AD">
      <w:pPr>
        <w:pStyle w:val="35"/>
        <w:numPr>
          <w:ilvl w:val="0"/>
          <w:numId w:val="11"/>
        </w:numPr>
        <w:ind w:firstLineChars="0"/>
      </w:pPr>
      <w:r>
        <w:rPr>
          <w:rFonts w:hint="eastAsia"/>
        </w:rPr>
        <w:t>校准：</w:t>
      </w:r>
    </w:p>
    <w:p w14:paraId="3C6F8454">
      <w:pPr>
        <w:pStyle w:val="35"/>
        <w:numPr>
          <w:ilvl w:val="3"/>
          <w:numId w:val="11"/>
        </w:numPr>
        <w:ind w:left="1418" w:hanging="829" w:firstLineChars="0"/>
      </w:pPr>
      <w:r>
        <w:rPr>
          <w:rFonts w:hint="eastAsia"/>
        </w:rPr>
        <w:t>内标：在每个样品分析结束时系统自动注入标气，以标气对分析结果进行校正。通过定量环进行标气定量，保证每次测量的重复性。同时，一旦出现数据异常，仪器自动检查并报警。</w:t>
      </w:r>
    </w:p>
    <w:p w14:paraId="3B28B1A2">
      <w:pPr>
        <w:pStyle w:val="35"/>
        <w:numPr>
          <w:ilvl w:val="3"/>
          <w:numId w:val="11"/>
        </w:numPr>
        <w:ind w:left="1418" w:hanging="829" w:firstLineChars="0"/>
      </w:pPr>
      <w:r>
        <w:rPr>
          <w:rFonts w:hint="eastAsia"/>
        </w:rPr>
        <w:t>可使用注射器加入液态标准溶液进行校准。</w:t>
      </w:r>
    </w:p>
    <w:p w14:paraId="259054A7">
      <w:pPr>
        <w:pStyle w:val="35"/>
        <w:numPr>
          <w:ilvl w:val="0"/>
          <w:numId w:val="11"/>
        </w:numPr>
        <w:ind w:firstLineChars="0"/>
      </w:pPr>
      <w:r>
        <w:rPr>
          <w:rFonts w:hint="eastAsia"/>
        </w:rPr>
        <w:t>温度设定：在250℃或更高时，控制在1%或5℃之内</w:t>
      </w:r>
    </w:p>
    <w:p w14:paraId="3D2B1BC2">
      <w:pPr>
        <w:pStyle w:val="35"/>
        <w:numPr>
          <w:ilvl w:val="0"/>
          <w:numId w:val="11"/>
        </w:numPr>
        <w:ind w:firstLineChars="0"/>
      </w:pPr>
      <w:r>
        <w:rPr>
          <w:rFonts w:hint="eastAsia"/>
        </w:rPr>
        <w:t>在线分析仪性能可靠，具备长时间、连续监测的能力，能够得到小时平均浓度</w:t>
      </w:r>
    </w:p>
    <w:p w14:paraId="32F2ABCD">
      <w:pPr>
        <w:pStyle w:val="35"/>
        <w:numPr>
          <w:ilvl w:val="0"/>
          <w:numId w:val="11"/>
        </w:numPr>
        <w:ind w:firstLineChars="0"/>
      </w:pPr>
      <w:r>
        <w:t>采样时间</w:t>
      </w:r>
      <w:r>
        <w:rPr>
          <w:rFonts w:hint="eastAsia"/>
        </w:rPr>
        <w:t>：</w:t>
      </w:r>
      <w:r>
        <w:t>(0～300)min</w:t>
      </w:r>
    </w:p>
    <w:p w14:paraId="67C66CB8">
      <w:pPr>
        <w:pStyle w:val="35"/>
        <w:numPr>
          <w:ilvl w:val="0"/>
          <w:numId w:val="11"/>
        </w:numPr>
        <w:ind w:firstLineChars="0"/>
      </w:pPr>
      <w:r>
        <w:t>样品分析时间</w:t>
      </w:r>
      <w:r>
        <w:rPr>
          <w:rFonts w:hint="eastAsia"/>
        </w:rPr>
        <w:t>：</w:t>
      </w:r>
      <w:r>
        <w:t xml:space="preserve">（6~20）min </w:t>
      </w:r>
    </w:p>
    <w:p w14:paraId="27340564">
      <w:pPr>
        <w:pStyle w:val="35"/>
        <w:numPr>
          <w:ilvl w:val="0"/>
          <w:numId w:val="11"/>
        </w:numPr>
        <w:ind w:firstLineChars="0"/>
      </w:pPr>
      <w:r>
        <w:t>通信接口</w:t>
      </w:r>
      <w:r>
        <w:rPr>
          <w:rFonts w:hint="eastAsia"/>
        </w:rPr>
        <w:t>：</w:t>
      </w:r>
      <w:r>
        <w:t>RS232、以太网</w:t>
      </w:r>
    </w:p>
    <w:p w14:paraId="10E20B6F">
      <w:pPr>
        <w:pStyle w:val="35"/>
        <w:numPr>
          <w:ilvl w:val="0"/>
          <w:numId w:val="11"/>
        </w:numPr>
        <w:ind w:firstLineChars="0"/>
      </w:pPr>
      <w:r>
        <w:rPr>
          <w:rFonts w:hint="eastAsia" w:ascii="宋体" w:hAnsi="宋体" w:cs="宋体"/>
          <w:szCs w:val="21"/>
        </w:rPr>
        <w:t>▲具备内嵌式触摸式彩屏，软件界面采用扁平化，人性化的人机界面设计，方便快捷</w:t>
      </w:r>
    </w:p>
    <w:p w14:paraId="783B570B">
      <w:pPr>
        <w:rPr>
          <w:b/>
        </w:rPr>
      </w:pPr>
      <w:r>
        <w:rPr>
          <w:rFonts w:hint="eastAsia"/>
          <w:b/>
        </w:rPr>
        <w:t>3、数据处理软件功能要求</w:t>
      </w:r>
    </w:p>
    <w:p w14:paraId="5F2C724C">
      <w:pPr>
        <w:pStyle w:val="35"/>
        <w:numPr>
          <w:ilvl w:val="0"/>
          <w:numId w:val="12"/>
        </w:numPr>
        <w:ind w:firstLineChars="0"/>
      </w:pPr>
      <w:r>
        <w:rPr>
          <w:rFonts w:hint="eastAsia"/>
        </w:rPr>
        <w:t>软件中预存的“分析方法”必须是可以修改的格式，以便操作人员可以根据具体需求改进方法。</w:t>
      </w:r>
    </w:p>
    <w:p w14:paraId="06294FDD">
      <w:pPr>
        <w:pStyle w:val="35"/>
        <w:numPr>
          <w:ilvl w:val="0"/>
          <w:numId w:val="12"/>
        </w:numPr>
        <w:ind w:firstLineChars="0"/>
      </w:pPr>
      <w:r>
        <w:rPr>
          <w:rFonts w:hint="eastAsia"/>
        </w:rPr>
        <w:t>实时记录仪器工作时升温曲线，并显示OCEC分割点、CO</w:t>
      </w:r>
      <w:r>
        <w:rPr>
          <w:rFonts w:hint="eastAsia"/>
          <w:vertAlign w:val="subscript"/>
        </w:rPr>
        <w:t>2</w:t>
      </w:r>
      <w:r>
        <w:rPr>
          <w:rFonts w:hint="eastAsia"/>
        </w:rPr>
        <w:t>实时浓度曲线、激光信号变化曲线等信息；实时采集流量数据、流量时间等信息并计算出采样累积流量。</w:t>
      </w:r>
    </w:p>
    <w:p w14:paraId="1B43E0EA">
      <w:pPr>
        <w:pStyle w:val="35"/>
        <w:numPr>
          <w:ilvl w:val="0"/>
          <w:numId w:val="12"/>
        </w:numPr>
        <w:ind w:firstLineChars="0"/>
      </w:pPr>
      <w:r>
        <w:rPr>
          <w:rFonts w:hint="eastAsia"/>
        </w:rPr>
        <w:t>能够控制仪器硬件的运行；对形成的数据信息进行储存，可使用EXCEL等格式输出实验结果；可实现在线数据直接输出到所在站点的数据集成工控机上。</w:t>
      </w:r>
    </w:p>
    <w:p w14:paraId="7CEA2CF4">
      <w:pPr>
        <w:pStyle w:val="35"/>
        <w:numPr>
          <w:ilvl w:val="0"/>
          <w:numId w:val="12"/>
        </w:numPr>
        <w:ind w:firstLineChars="0"/>
      </w:pPr>
      <w:r>
        <w:rPr>
          <w:rFonts w:hint="eastAsia"/>
        </w:rPr>
        <w:t>软件可根据用户要求，在监测结果的计算运用、图形表达和数据管理等方面进行定制更新。</w:t>
      </w:r>
    </w:p>
    <w:p w14:paraId="6FDCDB61">
      <w:pPr>
        <w:pStyle w:val="3"/>
        <w:numPr>
          <w:ilvl w:val="0"/>
          <w:numId w:val="13"/>
        </w:numPr>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851" w:footer="992" w:gutter="0"/>
          <w:pgNumType w:fmt="decimal"/>
          <w:cols w:space="720" w:num="1"/>
          <w:docGrid w:type="lines" w:linePitch="312" w:charSpace="0"/>
        </w:sectPr>
      </w:pPr>
    </w:p>
    <w:p w14:paraId="4F9926D3">
      <w:pPr>
        <w:pStyle w:val="3"/>
      </w:pPr>
      <w:r>
        <w:t>在线离子分析仪</w:t>
      </w:r>
    </w:p>
    <w:p w14:paraId="10C39DB7">
      <w:pPr>
        <w:rPr>
          <w:b/>
        </w:rPr>
      </w:pPr>
      <w:r>
        <w:rPr>
          <w:rFonts w:hint="eastAsia"/>
          <w:b/>
        </w:rPr>
        <w:t>1、总体要求</w:t>
      </w:r>
    </w:p>
    <w:p w14:paraId="6D949A65">
      <w:pPr>
        <w:numPr>
          <w:ilvl w:val="0"/>
          <w:numId w:val="14"/>
        </w:numPr>
        <w:rPr>
          <w:szCs w:val="22"/>
        </w:rPr>
      </w:pPr>
      <w:r>
        <w:rPr>
          <w:rFonts w:hint="eastAsia"/>
        </w:rPr>
        <w:t>要求适用于气溶胶中SO</w:t>
      </w:r>
      <w:r>
        <w:rPr>
          <w:rFonts w:hint="eastAsia"/>
          <w:vertAlign w:val="subscript"/>
        </w:rPr>
        <w:t>4</w:t>
      </w:r>
      <w:r>
        <w:rPr>
          <w:rFonts w:hint="eastAsia"/>
          <w:vertAlign w:val="superscript"/>
        </w:rPr>
        <w:t>2-</w:t>
      </w:r>
      <w:r>
        <w:rPr>
          <w:rFonts w:hint="eastAsia"/>
        </w:rPr>
        <w:t>、NO</w:t>
      </w:r>
      <w:r>
        <w:rPr>
          <w:rFonts w:hint="eastAsia"/>
          <w:vertAlign w:val="subscript"/>
        </w:rPr>
        <w:t>2</w:t>
      </w:r>
      <w:r>
        <w:rPr>
          <w:rFonts w:hint="eastAsia"/>
          <w:vertAlign w:val="superscript"/>
        </w:rPr>
        <w:t>-</w:t>
      </w:r>
      <w:r>
        <w:rPr>
          <w:rFonts w:hint="eastAsia"/>
        </w:rPr>
        <w:t>、NO</w:t>
      </w:r>
      <w:r>
        <w:rPr>
          <w:rFonts w:hint="eastAsia"/>
          <w:vertAlign w:val="subscript"/>
        </w:rPr>
        <w:t>3</w:t>
      </w:r>
      <w:r>
        <w:rPr>
          <w:rFonts w:hint="eastAsia"/>
          <w:vertAlign w:val="superscript"/>
        </w:rPr>
        <w:t>-</w:t>
      </w:r>
      <w:r>
        <w:rPr>
          <w:rFonts w:hint="eastAsia"/>
        </w:rPr>
        <w:t>、F</w:t>
      </w:r>
      <w:r>
        <w:rPr>
          <w:rFonts w:hint="eastAsia"/>
          <w:vertAlign w:val="superscript"/>
        </w:rPr>
        <w:t>-</w:t>
      </w:r>
      <w:r>
        <w:rPr>
          <w:rFonts w:hint="eastAsia"/>
        </w:rPr>
        <w:t>、Cl</w:t>
      </w:r>
      <w:r>
        <w:rPr>
          <w:rFonts w:hint="eastAsia"/>
          <w:vertAlign w:val="superscript"/>
        </w:rPr>
        <w:t>-</w:t>
      </w:r>
      <w:r>
        <w:rPr>
          <w:rFonts w:hint="eastAsia"/>
        </w:rPr>
        <w:t>等阴离子，Na</w:t>
      </w:r>
      <w:r>
        <w:rPr>
          <w:rFonts w:hint="eastAsia"/>
          <w:vertAlign w:val="superscript"/>
        </w:rPr>
        <w:t>+</w:t>
      </w:r>
      <w:r>
        <w:rPr>
          <w:rFonts w:hint="eastAsia"/>
        </w:rPr>
        <w:t>、NH</w:t>
      </w:r>
      <w:r>
        <w:rPr>
          <w:rFonts w:hint="eastAsia"/>
          <w:vertAlign w:val="subscript"/>
        </w:rPr>
        <w:t>4</w:t>
      </w:r>
      <w:r>
        <w:rPr>
          <w:rFonts w:hint="eastAsia"/>
          <w:vertAlign w:val="superscript"/>
        </w:rPr>
        <w:t>+</w:t>
      </w:r>
      <w:r>
        <w:rPr>
          <w:rFonts w:hint="eastAsia"/>
        </w:rPr>
        <w:t>、K</w:t>
      </w:r>
      <w:r>
        <w:rPr>
          <w:rFonts w:hint="eastAsia"/>
          <w:vertAlign w:val="superscript"/>
        </w:rPr>
        <w:t>+</w:t>
      </w:r>
      <w:r>
        <w:rPr>
          <w:rFonts w:hint="eastAsia"/>
        </w:rPr>
        <w:t>、Mg</w:t>
      </w:r>
      <w:r>
        <w:rPr>
          <w:rFonts w:hint="eastAsia"/>
          <w:vertAlign w:val="superscript"/>
        </w:rPr>
        <w:t>2+</w:t>
      </w:r>
      <w:r>
        <w:rPr>
          <w:rFonts w:hint="eastAsia"/>
        </w:rPr>
        <w:t>、Ca</w:t>
      </w:r>
      <w:r>
        <w:rPr>
          <w:rFonts w:hint="eastAsia"/>
          <w:vertAlign w:val="superscript"/>
        </w:rPr>
        <w:t>2+</w:t>
      </w:r>
      <w:r>
        <w:rPr>
          <w:rFonts w:hint="eastAsia"/>
        </w:rPr>
        <w:t>等阳离子及SO</w:t>
      </w:r>
      <w:r>
        <w:rPr>
          <w:rFonts w:hint="eastAsia"/>
          <w:vertAlign w:val="subscript"/>
        </w:rPr>
        <w:t>2</w:t>
      </w:r>
      <w:r>
        <w:rPr>
          <w:rFonts w:hint="eastAsia"/>
        </w:rPr>
        <w:t>等气体组分的在线采集和定量分析，可连续工作</w:t>
      </w:r>
      <w:r>
        <w:rPr>
          <w:rFonts w:hint="eastAsia"/>
          <w:szCs w:val="22"/>
        </w:rPr>
        <w:t>。</w:t>
      </w:r>
    </w:p>
    <w:p w14:paraId="5256EF72">
      <w:pPr>
        <w:pStyle w:val="35"/>
        <w:numPr>
          <w:ilvl w:val="0"/>
          <w:numId w:val="14"/>
        </w:numPr>
        <w:ind w:firstLineChars="0"/>
      </w:pPr>
      <w:r>
        <w:rPr>
          <w:rFonts w:hint="eastAsia"/>
        </w:rPr>
        <w:t>要求采用大流量的溶蚀器设计，具有稳定高效的气体吸收效率。</w:t>
      </w:r>
    </w:p>
    <w:p w14:paraId="48A25EAB">
      <w:pPr>
        <w:pStyle w:val="35"/>
        <w:numPr>
          <w:ilvl w:val="0"/>
          <w:numId w:val="14"/>
        </w:numPr>
        <w:ind w:firstLineChars="0"/>
      </w:pPr>
      <w:r>
        <w:rPr>
          <w:rFonts w:hint="eastAsia"/>
        </w:rPr>
        <w:t>要求采用微差压液面传感设计，采样流量实时反馈控制，准确探测收集液体积，保证测量准确性。</w:t>
      </w:r>
    </w:p>
    <w:p w14:paraId="6BE87B94">
      <w:pPr>
        <w:pStyle w:val="35"/>
        <w:numPr>
          <w:ilvl w:val="0"/>
          <w:numId w:val="14"/>
        </w:numPr>
        <w:ind w:firstLineChars="0"/>
      </w:pPr>
      <w:r>
        <w:rPr>
          <w:rFonts w:hint="eastAsia"/>
        </w:rPr>
        <w:t>要求全自动化控制，可长时间无人值守，数据自动分析和实时上传</w:t>
      </w:r>
    </w:p>
    <w:p w14:paraId="231D16D2">
      <w:pPr>
        <w:pStyle w:val="35"/>
        <w:numPr>
          <w:ilvl w:val="0"/>
          <w:numId w:val="14"/>
        </w:numPr>
        <w:ind w:firstLineChars="0"/>
      </w:pPr>
      <w:r>
        <w:rPr>
          <w:rFonts w:hint="eastAsia"/>
        </w:rPr>
        <w:t>可实时在线监测水溶性气体和颗粒物浓度，连续输出测量结果，为管控决策提供数据支持。</w:t>
      </w:r>
    </w:p>
    <w:p w14:paraId="082D8AA0">
      <w:pPr>
        <w:pStyle w:val="35"/>
        <w:numPr>
          <w:ilvl w:val="0"/>
          <w:numId w:val="14"/>
        </w:numPr>
        <w:ind w:firstLineChars="0"/>
        <w:rPr>
          <w:rFonts w:hint="eastAsia"/>
        </w:rPr>
      </w:pPr>
      <w:r>
        <w:rPr>
          <w:rFonts w:hint="eastAsia"/>
        </w:rPr>
        <w:t>数据传输：要求设备形成的数据能够24小时实时、不间断的传输。</w:t>
      </w:r>
    </w:p>
    <w:p w14:paraId="7A34F537">
      <w:pPr>
        <w:rPr>
          <w:b/>
        </w:rPr>
      </w:pPr>
      <w:r>
        <w:rPr>
          <w:rFonts w:hint="eastAsia"/>
          <w:b/>
        </w:rPr>
        <w:t>2、仪器性能要求</w:t>
      </w:r>
    </w:p>
    <w:p w14:paraId="17678CB3">
      <w:pPr>
        <w:pStyle w:val="35"/>
        <w:numPr>
          <w:ilvl w:val="0"/>
          <w:numId w:val="15"/>
        </w:numPr>
        <w:ind w:firstLineChars="0"/>
      </w:pPr>
      <w:r>
        <w:t>可测气体组分</w:t>
      </w:r>
      <w:r>
        <w:tab/>
      </w:r>
      <w:r>
        <w:t>NH</w:t>
      </w:r>
      <w:r>
        <w:rPr>
          <w:vertAlign w:val="subscript"/>
        </w:rPr>
        <w:t>3</w:t>
      </w:r>
      <w:r>
        <w:t>、HCl、HONO、HNO</w:t>
      </w:r>
      <w:r>
        <w:rPr>
          <w:vertAlign w:val="subscript"/>
        </w:rPr>
        <w:t>3</w:t>
      </w:r>
      <w:r>
        <w:t>和SO</w:t>
      </w:r>
      <w:r>
        <w:rPr>
          <w:vertAlign w:val="subscript"/>
        </w:rPr>
        <w:t>2</w:t>
      </w:r>
    </w:p>
    <w:p w14:paraId="5650B89C">
      <w:pPr>
        <w:pStyle w:val="35"/>
        <w:numPr>
          <w:ilvl w:val="0"/>
          <w:numId w:val="15"/>
        </w:numPr>
        <w:ind w:firstLineChars="0"/>
      </w:pPr>
      <w:r>
        <w:t>可测颗粒物组分</w:t>
      </w:r>
      <w:r>
        <w:tab/>
      </w:r>
      <w:r>
        <w:t>F</w:t>
      </w:r>
      <w:r>
        <w:rPr>
          <w:vertAlign w:val="superscript"/>
        </w:rPr>
        <w:t>-</w:t>
      </w:r>
      <w:r>
        <w:t>、Cl</w:t>
      </w:r>
      <w:r>
        <w:rPr>
          <w:vertAlign w:val="superscript"/>
        </w:rPr>
        <w:t>-</w:t>
      </w:r>
      <w:r>
        <w:t>、NO</w:t>
      </w:r>
      <w:r>
        <w:rPr>
          <w:vertAlign w:val="subscript"/>
        </w:rPr>
        <w:t>2</w:t>
      </w:r>
      <w:r>
        <w:rPr>
          <w:vertAlign w:val="superscript"/>
        </w:rPr>
        <w:t>-</w:t>
      </w:r>
      <w:r>
        <w:t>、NO</w:t>
      </w:r>
      <w:r>
        <w:rPr>
          <w:vertAlign w:val="subscript"/>
        </w:rPr>
        <w:t>3</w:t>
      </w:r>
      <w:r>
        <w:rPr>
          <w:vertAlign w:val="superscript"/>
        </w:rPr>
        <w:t>-</w:t>
      </w:r>
      <w:r>
        <w:t>、SO</w:t>
      </w:r>
      <w:r>
        <w:rPr>
          <w:vertAlign w:val="subscript"/>
        </w:rPr>
        <w:t>4</w:t>
      </w:r>
      <w:r>
        <w:rPr>
          <w:vertAlign w:val="superscript"/>
        </w:rPr>
        <w:t>2-</w:t>
      </w:r>
      <w:r>
        <w:t>、Na</w:t>
      </w:r>
      <w:r>
        <w:rPr>
          <w:vertAlign w:val="superscript"/>
        </w:rPr>
        <w:t>+</w:t>
      </w:r>
      <w:r>
        <w:t>、NH</w:t>
      </w:r>
      <w:r>
        <w:rPr>
          <w:vertAlign w:val="subscript"/>
        </w:rPr>
        <w:t>4</w:t>
      </w:r>
      <w:r>
        <w:rPr>
          <w:vertAlign w:val="superscript"/>
        </w:rPr>
        <w:t>+</w:t>
      </w:r>
      <w:r>
        <w:t>、K</w:t>
      </w:r>
      <w:r>
        <w:rPr>
          <w:vertAlign w:val="superscript"/>
        </w:rPr>
        <w:t>+</w:t>
      </w:r>
      <w:r>
        <w:t>、Mg</w:t>
      </w:r>
      <w:r>
        <w:rPr>
          <w:vertAlign w:val="superscript"/>
        </w:rPr>
        <w:t>2+</w:t>
      </w:r>
      <w:r>
        <w:t>、Ca</w:t>
      </w:r>
      <w:r>
        <w:rPr>
          <w:vertAlign w:val="superscript"/>
        </w:rPr>
        <w:t>2+</w:t>
      </w:r>
      <w:r>
        <w:t>等</w:t>
      </w:r>
    </w:p>
    <w:p w14:paraId="1B58879D">
      <w:pPr>
        <w:pStyle w:val="35"/>
        <w:numPr>
          <w:ilvl w:val="0"/>
          <w:numId w:val="15"/>
        </w:numPr>
        <w:ind w:firstLineChars="0"/>
      </w:pPr>
      <w:r>
        <w:rPr>
          <w:rFonts w:ascii="Segoe UI Symbol" w:hAnsi="Segoe UI Symbol" w:cs="Segoe UI Symbol"/>
          <w:szCs w:val="21"/>
        </w:rPr>
        <w:t>▲</w:t>
      </w:r>
      <w:r>
        <w:t>气体捕集方式：湿式平行板溶蚀器</w:t>
      </w:r>
    </w:p>
    <w:p w14:paraId="099AA5D5">
      <w:pPr>
        <w:pStyle w:val="35"/>
        <w:numPr>
          <w:ilvl w:val="0"/>
          <w:numId w:val="15"/>
        </w:numPr>
        <w:ind w:firstLineChars="0"/>
      </w:pPr>
      <w:r>
        <w:rPr>
          <w:rFonts w:ascii="Segoe UI Symbol" w:hAnsi="Segoe UI Symbol" w:cs="Segoe UI Symbol"/>
          <w:szCs w:val="21"/>
        </w:rPr>
        <w:t>▲</w:t>
      </w:r>
      <w:r>
        <w:t>气体捕集效率：≥98%</w:t>
      </w:r>
    </w:p>
    <w:p w14:paraId="2B82CC3E">
      <w:pPr>
        <w:pStyle w:val="35"/>
        <w:numPr>
          <w:ilvl w:val="0"/>
          <w:numId w:val="15"/>
        </w:numPr>
        <w:ind w:firstLineChars="0"/>
      </w:pPr>
      <w:r>
        <w:rPr>
          <w:rFonts w:ascii="Segoe UI Symbol" w:hAnsi="Segoe UI Symbol" w:cs="Segoe UI Symbol"/>
          <w:szCs w:val="21"/>
        </w:rPr>
        <w:t>▲</w:t>
      </w:r>
      <w:r>
        <w:t>颗粒物捕集效率：≥99%</w:t>
      </w:r>
    </w:p>
    <w:p w14:paraId="675E38A2">
      <w:pPr>
        <w:pStyle w:val="35"/>
        <w:numPr>
          <w:ilvl w:val="0"/>
          <w:numId w:val="15"/>
        </w:numPr>
        <w:ind w:firstLineChars="0"/>
      </w:pPr>
      <w:r>
        <w:t>切割器：可选配PM</w:t>
      </w:r>
      <w:r>
        <w:rPr>
          <w:vertAlign w:val="subscript"/>
        </w:rPr>
        <w:t>1.0</w:t>
      </w:r>
      <w:r>
        <w:t>、PM</w:t>
      </w:r>
      <w:r>
        <w:rPr>
          <w:vertAlign w:val="subscript"/>
        </w:rPr>
        <w:t>2.5</w:t>
      </w:r>
      <w:r>
        <w:t>、PM</w:t>
      </w:r>
      <w:r>
        <w:rPr>
          <w:vertAlign w:val="subscript"/>
        </w:rPr>
        <w:t>10</w:t>
      </w:r>
      <w:r>
        <w:t xml:space="preserve"> 的切割器</w:t>
      </w:r>
    </w:p>
    <w:p w14:paraId="457D93C9">
      <w:pPr>
        <w:numPr>
          <w:ilvl w:val="0"/>
          <w:numId w:val="15"/>
        </w:numPr>
        <w:rPr>
          <w:szCs w:val="22"/>
        </w:rPr>
      </w:pPr>
      <w:r>
        <w:t>采样平均流量偏差：在±5%范围内</w:t>
      </w:r>
    </w:p>
    <w:p w14:paraId="3C4C3A1E">
      <w:pPr>
        <w:pStyle w:val="35"/>
        <w:numPr>
          <w:ilvl w:val="0"/>
          <w:numId w:val="15"/>
        </w:numPr>
        <w:ind w:firstLineChars="0"/>
      </w:pPr>
      <w:r>
        <w:rPr>
          <w:rFonts w:ascii="Segoe UI Symbol" w:hAnsi="Segoe UI Symbol" w:cs="Segoe UI Symbol"/>
        </w:rPr>
        <w:t>▲</w:t>
      </w:r>
      <w:r>
        <w:t>仪器检出限：≤0.002 mg/L</w:t>
      </w:r>
    </w:p>
    <w:p w14:paraId="6FFEA844">
      <w:pPr>
        <w:numPr>
          <w:ilvl w:val="0"/>
          <w:numId w:val="15"/>
        </w:numPr>
        <w:rPr>
          <w:szCs w:val="22"/>
        </w:rPr>
      </w:pPr>
      <w:r>
        <w:t>校准曲线线性相关：</w:t>
      </w:r>
      <w:r>
        <w:rPr>
          <w:szCs w:val="22"/>
        </w:rPr>
        <w:t>≥0.995</w:t>
      </w:r>
    </w:p>
    <w:p w14:paraId="085B2B63">
      <w:pPr>
        <w:pStyle w:val="35"/>
        <w:numPr>
          <w:ilvl w:val="0"/>
          <w:numId w:val="15"/>
        </w:numPr>
        <w:ind w:firstLineChars="0"/>
      </w:pPr>
      <w:r>
        <w:t>重复性：≤5%</w:t>
      </w:r>
    </w:p>
    <w:p w14:paraId="5C9B664E">
      <w:pPr>
        <w:numPr>
          <w:ilvl w:val="0"/>
          <w:numId w:val="15"/>
        </w:numPr>
        <w:rPr>
          <w:rFonts w:hint="eastAsia"/>
          <w:szCs w:val="21"/>
        </w:rPr>
      </w:pPr>
      <w:r>
        <w:rPr>
          <w:szCs w:val="21"/>
        </w:rPr>
        <w:t>内标标准偏差：≤2%</w:t>
      </w:r>
    </w:p>
    <w:p w14:paraId="4B2EFB58">
      <w:pPr>
        <w:numPr>
          <w:ilvl w:val="0"/>
          <w:numId w:val="15"/>
        </w:numPr>
        <w:rPr>
          <w:szCs w:val="21"/>
        </w:rPr>
      </w:pPr>
      <w:r>
        <w:rPr>
          <w:rFonts w:ascii="Segoe UI Symbol" w:hAnsi="Segoe UI Symbol" w:cs="Segoe UI Symbol"/>
          <w:szCs w:val="21"/>
        </w:rPr>
        <w:t>▲</w:t>
      </w:r>
      <w:r>
        <w:rPr>
          <w:szCs w:val="21"/>
        </w:rPr>
        <w:t>正确度（示值误差）：≤±5%</w:t>
      </w:r>
    </w:p>
    <w:p w14:paraId="5697A605">
      <w:pPr>
        <w:rPr>
          <w:b/>
        </w:rPr>
      </w:pPr>
      <w:r>
        <w:rPr>
          <w:rFonts w:hint="eastAsia"/>
          <w:b/>
        </w:rPr>
        <w:t>3、</w:t>
      </w:r>
      <w:r>
        <w:rPr>
          <w:b/>
        </w:rPr>
        <w:t>离子色谱系统</w:t>
      </w:r>
    </w:p>
    <w:p w14:paraId="23E4DFB1">
      <w:pPr>
        <w:rPr>
          <w:rFonts w:hint="eastAsia"/>
        </w:rPr>
      </w:pPr>
      <w:r>
        <w:rPr>
          <w:rFonts w:hint="eastAsia"/>
        </w:rPr>
        <w:t>（1）监测项目：样品中各种常规阴阳离子和有机酸离子等的检测。</w:t>
      </w:r>
    </w:p>
    <w:p w14:paraId="479DB2D4">
      <w:pPr>
        <w:rPr>
          <w:rFonts w:hint="eastAsia"/>
        </w:rPr>
      </w:pPr>
      <w:r>
        <w:rPr>
          <w:rFonts w:hint="eastAsia"/>
        </w:rPr>
        <w:t>（2）技术原理：离子色谱法（采用双极脉冲电导检测器）。</w:t>
      </w:r>
    </w:p>
    <w:p w14:paraId="2BEDA1E4">
      <w:pPr>
        <w:rPr>
          <w:rFonts w:hint="eastAsia"/>
        </w:rPr>
      </w:pPr>
      <w:r>
        <w:rPr>
          <w:rFonts w:hint="eastAsia"/>
        </w:rPr>
        <w:t>（3）分析方法：仪器的分析方法采用电导法检测离子信号，离子型化合物经过离子交换色谱柱分离后通过电导检测器完成分析。</w:t>
      </w:r>
    </w:p>
    <w:p w14:paraId="17038DC9">
      <w:pPr>
        <w:rPr>
          <w:rFonts w:hint="eastAsia"/>
        </w:rPr>
      </w:pPr>
      <w:r>
        <w:rPr>
          <w:rFonts w:hint="eastAsia"/>
        </w:rPr>
        <w:t>（4）样品接触材质为PEEK等惰性材质：有效避免金属析出以及管路腐蚀等。</w:t>
      </w:r>
    </w:p>
    <w:p w14:paraId="5DE0FCA5">
      <w:pPr>
        <w:rPr>
          <w:rFonts w:hint="eastAsia"/>
        </w:rPr>
      </w:pPr>
      <w:r>
        <w:rPr>
          <w:rFonts w:hint="eastAsia"/>
        </w:rPr>
        <w:t xml:space="preserve">（5）自动切换PEEK进样阀：自动切换进样阀的状态，降低工作量；和样品接触为PEEK材质。 </w:t>
      </w:r>
    </w:p>
    <w:p w14:paraId="6588082B">
      <w:pPr>
        <w:rPr>
          <w:rFonts w:hint="eastAsia"/>
        </w:rPr>
      </w:pPr>
      <w:r>
        <w:rPr>
          <w:rFonts w:hint="eastAsia"/>
        </w:rPr>
        <w:t>（6）高压泵压力范围：0-5000psi。</w:t>
      </w:r>
    </w:p>
    <w:p w14:paraId="02CD147F">
      <w:pPr>
        <w:rPr>
          <w:rFonts w:hint="eastAsia"/>
        </w:rPr>
      </w:pPr>
      <w:r>
        <w:rPr>
          <w:rFonts w:hint="eastAsia"/>
        </w:rPr>
        <w:t>（7）高压泵的流量范围：0～10ml/min。</w:t>
      </w:r>
    </w:p>
    <w:p w14:paraId="6C3C6D9A">
      <w:pPr>
        <w:rPr>
          <w:rFonts w:hint="eastAsia"/>
        </w:rPr>
      </w:pPr>
      <w:r>
        <w:rPr>
          <w:rFonts w:hint="eastAsia"/>
        </w:rPr>
        <w:t>（8）高压泵流量精度：≤0.1%。</w:t>
      </w:r>
    </w:p>
    <w:p w14:paraId="3F87A0F5">
      <w:pPr>
        <w:rPr>
          <w:rFonts w:hint="eastAsia"/>
        </w:rPr>
      </w:pPr>
      <w:r>
        <w:rPr>
          <w:rFonts w:hint="eastAsia"/>
        </w:rPr>
        <w:t>（9）色谱柱规格：材质PEEK，2X250mm。</w:t>
      </w:r>
    </w:p>
    <w:p w14:paraId="17E3C1C4">
      <w:pPr>
        <w:rPr>
          <w:rFonts w:hint="eastAsia"/>
        </w:rPr>
      </w:pPr>
      <w:r>
        <w:rPr>
          <w:rFonts w:hint="eastAsia"/>
        </w:rPr>
        <w:t>（10）连续再生电解抑制器：抑制器避免酸碱再生，仅用水即可再生抑制器，安全可靠。</w:t>
      </w:r>
    </w:p>
    <w:p w14:paraId="1B1C5A82">
      <w:pPr>
        <w:rPr>
          <w:rFonts w:hint="eastAsia"/>
        </w:rPr>
      </w:pPr>
      <w:r>
        <w:rPr>
          <w:rFonts w:hint="eastAsia"/>
        </w:rPr>
        <w:t>（11）淋洗液消耗少：淋洗液消耗仅为15ml/h ,仅为常规离子色谱仪的1/4。</w:t>
      </w:r>
    </w:p>
    <w:p w14:paraId="03E718D0">
      <w:pPr>
        <w:rPr>
          <w:rFonts w:hint="eastAsia"/>
        </w:rPr>
      </w:pPr>
      <w:r>
        <w:rPr>
          <w:rFonts w:hint="eastAsia"/>
        </w:rPr>
        <w:t>（12）分析仪内置双级温控系统，检测室具备制冷功能。</w:t>
      </w:r>
    </w:p>
    <w:p w14:paraId="2DC428E0">
      <w:pPr>
        <w:rPr>
          <w:rFonts w:hint="eastAsia"/>
        </w:rPr>
      </w:pPr>
      <w:r>
        <w:rPr>
          <w:rFonts w:hint="eastAsia"/>
        </w:rPr>
        <w:t>（13）工作环境温度：0℃-45℃下正常工作。</w:t>
      </w:r>
    </w:p>
    <w:p w14:paraId="71FFD16B">
      <w:r>
        <w:rPr>
          <w:rFonts w:hint="eastAsia"/>
        </w:rPr>
        <w:t>（14）检测器温控范围：环境+5℃到60℃，检测器温控精度±0.001℃；</w:t>
      </w:r>
    </w:p>
    <w:p w14:paraId="6F1A5E92">
      <w:pPr>
        <w:rPr>
          <w:rFonts w:hint="eastAsia"/>
        </w:rPr>
      </w:pPr>
      <w:r>
        <w:rPr>
          <w:rFonts w:hint="eastAsia"/>
        </w:rPr>
        <w:t>（15）具备漏液自动报警功能。</w:t>
      </w:r>
    </w:p>
    <w:p w14:paraId="370515CB">
      <w:pPr>
        <w:rPr>
          <w:rFonts w:hint="eastAsia"/>
        </w:rPr>
      </w:pPr>
      <w:r>
        <w:rPr>
          <w:rFonts w:hint="eastAsia"/>
        </w:rPr>
        <w:t>（16）带真空脱气模块，用来去除进入高压泵的气泡。</w:t>
      </w:r>
    </w:p>
    <w:p w14:paraId="4195CFD4">
      <w:pPr>
        <w:rPr>
          <w:rFonts w:hint="eastAsia"/>
        </w:rPr>
      </w:pPr>
      <w:r>
        <w:rPr>
          <w:rFonts w:hint="eastAsia"/>
        </w:rPr>
        <w:t>（17）电导检测器量程：0-16000μs/cm；</w:t>
      </w:r>
    </w:p>
    <w:p w14:paraId="2D433872">
      <w:pPr>
        <w:rPr>
          <w:rFonts w:hint="eastAsia"/>
        </w:rPr>
      </w:pPr>
      <w:r>
        <w:rPr>
          <w:rFonts w:hint="eastAsia"/>
        </w:rPr>
        <w:t>（19）电导检测器：环境+5℃到60℃，检测器温控精度±0.001℃；</w:t>
      </w:r>
    </w:p>
    <w:p w14:paraId="6EDA84E9">
      <w:pPr>
        <w:rPr>
          <w:rFonts w:hint="eastAsia"/>
        </w:rPr>
      </w:pPr>
      <w:r>
        <w:rPr>
          <w:rFonts w:hint="eastAsia"/>
        </w:rPr>
        <w:t>（2</w:t>
      </w:r>
      <w:r>
        <w:t>0</w:t>
      </w:r>
      <w:r>
        <w:rPr>
          <w:rFonts w:hint="eastAsia"/>
        </w:rPr>
        <w:t>）定性重复性：≤1%；</w:t>
      </w:r>
    </w:p>
    <w:p w14:paraId="1B86C01D">
      <w:pPr>
        <w:rPr>
          <w:rFonts w:hint="eastAsia"/>
        </w:rPr>
      </w:pPr>
      <w:r>
        <w:rPr>
          <w:rFonts w:hint="eastAsia"/>
        </w:rPr>
        <w:t>（2</w:t>
      </w:r>
      <w:r>
        <w:t>1</w:t>
      </w:r>
      <w:r>
        <w:rPr>
          <w:rFonts w:hint="eastAsia"/>
        </w:rPr>
        <w:t>）定量重复性：≤1%；</w:t>
      </w:r>
    </w:p>
    <w:p w14:paraId="4E93B527">
      <w:pPr>
        <w:rPr>
          <w:b/>
        </w:rPr>
      </w:pPr>
      <w:r>
        <w:rPr>
          <w:rFonts w:hint="eastAsia"/>
          <w:b/>
        </w:rPr>
        <w:t>4、数据处理软件功能要求</w:t>
      </w:r>
    </w:p>
    <w:p w14:paraId="7097AA42">
      <w:pPr>
        <w:pStyle w:val="35"/>
        <w:numPr>
          <w:ilvl w:val="0"/>
          <w:numId w:val="16"/>
        </w:numPr>
        <w:ind w:firstLineChars="0"/>
        <w:rPr>
          <w:b/>
        </w:rPr>
      </w:pPr>
      <w:r>
        <w:rPr>
          <w:rFonts w:hint="eastAsia" w:ascii="宋体" w:hAnsi="宋体" w:cs="宋体"/>
          <w:b/>
          <w:szCs w:val="21"/>
        </w:rPr>
        <w:t>▲</w:t>
      </w:r>
      <w:r>
        <w:rPr>
          <w:rFonts w:hint="eastAsia"/>
        </w:rPr>
        <w:t>产品软件需获得计算机软件著作权登记证书</w:t>
      </w:r>
      <w:r>
        <w:rPr>
          <w:rFonts w:hint="eastAsia"/>
          <w:b/>
          <w:szCs w:val="21"/>
        </w:rPr>
        <w:t>。</w:t>
      </w:r>
    </w:p>
    <w:p w14:paraId="62F3D67C">
      <w:pPr>
        <w:pStyle w:val="35"/>
        <w:numPr>
          <w:ilvl w:val="0"/>
          <w:numId w:val="16"/>
        </w:numPr>
        <w:ind w:firstLineChars="0"/>
      </w:pPr>
      <w:r>
        <w:rPr>
          <w:rFonts w:hint="eastAsia"/>
        </w:rPr>
        <w:t>能够控制仪器硬件的运行；对形成的各离子数据信息进行储存，可使用EXCEL等格式输出实验结果；可实现在线数据直接输出到所在站点的数据集成工控机上。</w:t>
      </w:r>
    </w:p>
    <w:p w14:paraId="3F0F1F2A">
      <w:pPr>
        <w:pStyle w:val="35"/>
        <w:numPr>
          <w:ilvl w:val="0"/>
          <w:numId w:val="16"/>
        </w:numPr>
        <w:ind w:firstLineChars="0"/>
      </w:pPr>
      <w:r>
        <w:rPr>
          <w:rFonts w:hint="eastAsia"/>
        </w:rPr>
        <w:t>现场端软件安装环境为配置Windows操作系统的工控机（含显示器等），工控机性能以满足软件运行和数据通过有线或无线方式传输为准。</w:t>
      </w:r>
    </w:p>
    <w:p w14:paraId="6D2D0C03">
      <w:pPr>
        <w:pStyle w:val="35"/>
        <w:numPr>
          <w:ilvl w:val="0"/>
          <w:numId w:val="16"/>
        </w:numPr>
        <w:ind w:firstLineChars="0"/>
      </w:pPr>
      <w:r>
        <w:rPr>
          <w:rFonts w:hint="eastAsia"/>
        </w:rPr>
        <w:t>软件可根据用户要求，在监测结果的计算运用、图形表达、数据管理等方面进行定制更新。</w:t>
      </w:r>
    </w:p>
    <w:bookmarkEnd w:id="36"/>
    <w:bookmarkEnd w:id="37"/>
    <w:p w14:paraId="16E1E4E8">
      <w:pPr>
        <w:pStyle w:val="3"/>
      </w:pPr>
      <w:r>
        <w:t>PM</w:t>
      </w:r>
      <w:r>
        <w:rPr>
          <w:rFonts w:hint="eastAsia"/>
        </w:rPr>
        <w:t>2.5</w:t>
      </w:r>
      <w:r>
        <w:t>颗粒物自动监测仪</w:t>
      </w:r>
    </w:p>
    <w:p w14:paraId="67212432">
      <w:pPr>
        <w:widowControl/>
        <w:jc w:val="left"/>
        <w:rPr>
          <w:kern w:val="0"/>
          <w:szCs w:val="20"/>
        </w:rPr>
      </w:pPr>
      <w:r>
        <w:rPr>
          <w:b/>
          <w:kern w:val="0"/>
          <w:szCs w:val="20"/>
        </w:rPr>
        <w:t>（</w:t>
      </w:r>
      <w:r>
        <w:rPr>
          <w:rFonts w:hint="eastAsia"/>
          <w:b/>
          <w:kern w:val="0"/>
          <w:szCs w:val="20"/>
        </w:rPr>
        <w:t>1</w:t>
      </w:r>
      <w:r>
        <w:rPr>
          <w:b/>
          <w:kern w:val="0"/>
          <w:szCs w:val="20"/>
        </w:rPr>
        <w:t>）设备用途：</w:t>
      </w:r>
      <w:r>
        <w:rPr>
          <w:kern w:val="0"/>
          <w:szCs w:val="20"/>
        </w:rPr>
        <w:t>用于空气中PM</w:t>
      </w:r>
      <w:r>
        <w:rPr>
          <w:kern w:val="0"/>
          <w:szCs w:val="20"/>
          <w:vertAlign w:val="subscript"/>
        </w:rPr>
        <w:t>2.5</w:t>
      </w:r>
      <w:r>
        <w:rPr>
          <w:kern w:val="0"/>
          <w:szCs w:val="20"/>
        </w:rPr>
        <w:t>颗粒物质量浓度的监测。</w:t>
      </w:r>
    </w:p>
    <w:p w14:paraId="12A5925C">
      <w:pPr>
        <w:widowControl/>
        <w:jc w:val="left"/>
        <w:rPr>
          <w:kern w:val="0"/>
          <w:szCs w:val="20"/>
        </w:rPr>
      </w:pPr>
      <w:r>
        <w:rPr>
          <w:b/>
          <w:kern w:val="0"/>
          <w:szCs w:val="20"/>
        </w:rPr>
        <w:t>（</w:t>
      </w:r>
      <w:r>
        <w:rPr>
          <w:rFonts w:hint="eastAsia"/>
          <w:b/>
          <w:kern w:val="0"/>
          <w:szCs w:val="20"/>
        </w:rPr>
        <w:t>2</w:t>
      </w:r>
      <w:r>
        <w:rPr>
          <w:b/>
          <w:kern w:val="0"/>
          <w:szCs w:val="20"/>
        </w:rPr>
        <w:t>）配置要求：</w:t>
      </w:r>
      <w:r>
        <w:rPr>
          <w:kern w:val="0"/>
          <w:szCs w:val="20"/>
        </w:rPr>
        <w:t>含PM</w:t>
      </w:r>
      <w:r>
        <w:rPr>
          <w:kern w:val="0"/>
          <w:szCs w:val="20"/>
          <w:vertAlign w:val="subscript"/>
        </w:rPr>
        <w:t>2.5</w:t>
      </w:r>
      <w:r>
        <w:rPr>
          <w:kern w:val="0"/>
          <w:szCs w:val="20"/>
        </w:rPr>
        <w:t>切割头、采样纸带等。</w:t>
      </w:r>
    </w:p>
    <w:p w14:paraId="42C01CDC">
      <w:pPr>
        <w:widowControl/>
        <w:jc w:val="left"/>
        <w:rPr>
          <w:kern w:val="0"/>
          <w:szCs w:val="20"/>
        </w:rPr>
      </w:pPr>
      <w:r>
        <w:rPr>
          <w:b/>
          <w:kern w:val="0"/>
          <w:szCs w:val="20"/>
        </w:rPr>
        <w:t>（</w:t>
      </w:r>
      <w:r>
        <w:rPr>
          <w:rFonts w:hint="eastAsia"/>
          <w:b/>
          <w:kern w:val="0"/>
          <w:szCs w:val="20"/>
        </w:rPr>
        <w:t>3</w:t>
      </w:r>
      <w:r>
        <w:rPr>
          <w:b/>
          <w:kern w:val="0"/>
          <w:szCs w:val="20"/>
        </w:rPr>
        <w:t>）技术参数要求</w:t>
      </w:r>
    </w:p>
    <w:p w14:paraId="7243937A">
      <w:pPr>
        <w:widowControl/>
        <w:numPr>
          <w:ilvl w:val="0"/>
          <w:numId w:val="17"/>
        </w:numPr>
        <w:ind w:left="0" w:firstLine="420" w:firstLineChars="200"/>
        <w:jc w:val="left"/>
        <w:rPr>
          <w:kern w:val="0"/>
          <w:szCs w:val="20"/>
        </w:rPr>
      </w:pPr>
      <w:r>
        <w:rPr>
          <w:kern w:val="0"/>
          <w:szCs w:val="20"/>
        </w:rPr>
        <w:t>分析方法：β射线吸收法；</w:t>
      </w:r>
    </w:p>
    <w:p w14:paraId="200410E0">
      <w:pPr>
        <w:widowControl/>
        <w:numPr>
          <w:ilvl w:val="0"/>
          <w:numId w:val="17"/>
        </w:numPr>
        <w:ind w:left="0" w:firstLine="420" w:firstLineChars="200"/>
        <w:jc w:val="left"/>
        <w:rPr>
          <w:kern w:val="0"/>
          <w:szCs w:val="20"/>
        </w:rPr>
      </w:pPr>
      <w:r>
        <w:rPr>
          <w:kern w:val="0"/>
          <w:szCs w:val="20"/>
        </w:rPr>
        <w:t>测量范围：0~1000 μg/m</w:t>
      </w:r>
      <w:r>
        <w:rPr>
          <w:kern w:val="0"/>
          <w:szCs w:val="20"/>
          <w:vertAlign w:val="superscript"/>
        </w:rPr>
        <w:t>3</w:t>
      </w:r>
      <w:r>
        <w:rPr>
          <w:kern w:val="0"/>
          <w:szCs w:val="20"/>
        </w:rPr>
        <w:t>；</w:t>
      </w:r>
    </w:p>
    <w:p w14:paraId="1E6EFFA7">
      <w:pPr>
        <w:widowControl/>
        <w:numPr>
          <w:ilvl w:val="0"/>
          <w:numId w:val="17"/>
        </w:numPr>
        <w:ind w:left="0" w:firstLine="420" w:firstLineChars="200"/>
        <w:jc w:val="left"/>
        <w:rPr>
          <w:kern w:val="0"/>
          <w:szCs w:val="20"/>
        </w:rPr>
      </w:pPr>
      <w:r>
        <w:rPr>
          <w:kern w:val="0"/>
          <w:szCs w:val="20"/>
        </w:rPr>
        <w:t>最小显示单位：0.1μg/m</w:t>
      </w:r>
      <w:r>
        <w:rPr>
          <w:kern w:val="0"/>
          <w:szCs w:val="20"/>
          <w:vertAlign w:val="superscript"/>
        </w:rPr>
        <w:t>3</w:t>
      </w:r>
      <w:r>
        <w:rPr>
          <w:kern w:val="0"/>
          <w:szCs w:val="20"/>
        </w:rPr>
        <w:t>；</w:t>
      </w:r>
    </w:p>
    <w:p w14:paraId="1B86616A">
      <w:pPr>
        <w:widowControl/>
        <w:numPr>
          <w:ilvl w:val="0"/>
          <w:numId w:val="17"/>
        </w:numPr>
        <w:ind w:left="0" w:firstLine="420" w:firstLineChars="200"/>
        <w:jc w:val="left"/>
        <w:rPr>
          <w:kern w:val="0"/>
          <w:szCs w:val="20"/>
        </w:rPr>
      </w:pPr>
      <w:r>
        <w:rPr>
          <w:kern w:val="0"/>
          <w:szCs w:val="20"/>
        </w:rPr>
        <w:t>校准膜示值误差：±0.5%；</w:t>
      </w:r>
    </w:p>
    <w:p w14:paraId="3419DF6F">
      <w:pPr>
        <w:widowControl/>
        <w:numPr>
          <w:ilvl w:val="0"/>
          <w:numId w:val="17"/>
        </w:numPr>
        <w:ind w:left="0" w:firstLine="420" w:firstLineChars="200"/>
        <w:jc w:val="left"/>
        <w:rPr>
          <w:kern w:val="0"/>
          <w:szCs w:val="20"/>
        </w:rPr>
      </w:pPr>
      <w:r>
        <w:rPr>
          <w:kern w:val="0"/>
          <w:szCs w:val="20"/>
        </w:rPr>
        <w:t>温度测量示值误差：±0.5℃；</w:t>
      </w:r>
    </w:p>
    <w:p w14:paraId="4BE64C68">
      <w:pPr>
        <w:widowControl/>
        <w:numPr>
          <w:ilvl w:val="0"/>
          <w:numId w:val="17"/>
        </w:numPr>
        <w:ind w:left="0" w:firstLine="420" w:firstLineChars="200"/>
        <w:jc w:val="left"/>
        <w:rPr>
          <w:kern w:val="0"/>
          <w:szCs w:val="20"/>
        </w:rPr>
      </w:pPr>
      <w:r>
        <w:rPr>
          <w:kern w:val="0"/>
          <w:szCs w:val="20"/>
        </w:rPr>
        <w:t>湿度测量示值误差：±2%RH；</w:t>
      </w:r>
    </w:p>
    <w:p w14:paraId="2E79638B">
      <w:pPr>
        <w:widowControl/>
        <w:numPr>
          <w:ilvl w:val="0"/>
          <w:numId w:val="17"/>
        </w:numPr>
        <w:ind w:left="0" w:firstLine="420" w:firstLineChars="200"/>
        <w:jc w:val="left"/>
        <w:rPr>
          <w:kern w:val="0"/>
          <w:szCs w:val="20"/>
        </w:rPr>
      </w:pPr>
      <w:r>
        <w:rPr>
          <w:kern w:val="0"/>
          <w:szCs w:val="20"/>
        </w:rPr>
        <w:t>时钟误差：≤±1s；</w:t>
      </w:r>
    </w:p>
    <w:p w14:paraId="1A946E77">
      <w:pPr>
        <w:widowControl/>
        <w:numPr>
          <w:ilvl w:val="0"/>
          <w:numId w:val="17"/>
        </w:numPr>
        <w:ind w:left="0" w:firstLine="420" w:firstLineChars="200"/>
        <w:jc w:val="left"/>
        <w:rPr>
          <w:kern w:val="0"/>
          <w:szCs w:val="20"/>
        </w:rPr>
      </w:pPr>
      <w:r>
        <w:rPr>
          <w:rFonts w:ascii="Segoe UI Symbol" w:hAnsi="Segoe UI Symbol" w:cs="Segoe UI Symbol"/>
          <w:kern w:val="0"/>
          <w:szCs w:val="20"/>
        </w:rPr>
        <w:t>▲</w:t>
      </w:r>
      <w:r>
        <w:rPr>
          <w:kern w:val="0"/>
          <w:szCs w:val="20"/>
        </w:rPr>
        <w:t>流量测试：平均流量偏差±0.3%，流量相对标准偏差≤0.2%，平均流量示值误差≤0.3%；</w:t>
      </w:r>
    </w:p>
    <w:p w14:paraId="10F4D680">
      <w:pPr>
        <w:widowControl/>
        <w:numPr>
          <w:ilvl w:val="0"/>
          <w:numId w:val="17"/>
        </w:numPr>
        <w:ind w:left="0" w:firstLine="420" w:firstLineChars="200"/>
        <w:jc w:val="left"/>
        <w:rPr>
          <w:kern w:val="0"/>
          <w:szCs w:val="20"/>
        </w:rPr>
      </w:pPr>
      <w:r>
        <w:rPr>
          <w:kern w:val="0"/>
          <w:szCs w:val="20"/>
        </w:rPr>
        <w:t>平行性：≤15%；</w:t>
      </w:r>
    </w:p>
    <w:p w14:paraId="30291154">
      <w:pPr>
        <w:widowControl/>
        <w:numPr>
          <w:ilvl w:val="0"/>
          <w:numId w:val="17"/>
        </w:numPr>
        <w:ind w:left="0" w:firstLine="420" w:firstLineChars="200"/>
        <w:jc w:val="left"/>
        <w:rPr>
          <w:kern w:val="0"/>
          <w:szCs w:val="20"/>
        </w:rPr>
      </w:pPr>
      <w:r>
        <w:rPr>
          <w:kern w:val="0"/>
          <w:szCs w:val="20"/>
        </w:rPr>
        <w:t>有效数据率：≥99.9%；</w:t>
      </w:r>
    </w:p>
    <w:p w14:paraId="7FF9C660">
      <w:pPr>
        <w:widowControl/>
        <w:numPr>
          <w:ilvl w:val="0"/>
          <w:numId w:val="17"/>
        </w:numPr>
        <w:ind w:left="0" w:firstLine="420" w:firstLineChars="200"/>
        <w:jc w:val="left"/>
        <w:rPr>
          <w:kern w:val="0"/>
          <w:szCs w:val="20"/>
        </w:rPr>
      </w:pPr>
      <w:r>
        <w:rPr>
          <w:kern w:val="0"/>
          <w:szCs w:val="20"/>
        </w:rPr>
        <w:t>相关系数：≥0.95；</w:t>
      </w:r>
    </w:p>
    <w:p w14:paraId="5E773166">
      <w:pPr>
        <w:widowControl/>
        <w:ind w:firstLine="420" w:firstLineChars="200"/>
        <w:jc w:val="left"/>
        <w:rPr>
          <w:kern w:val="0"/>
          <w:szCs w:val="20"/>
        </w:rPr>
      </w:pPr>
      <w:r>
        <w:rPr>
          <w:kern w:val="0"/>
          <w:szCs w:val="20"/>
        </w:rPr>
        <w:t>以上参数若在测试中有检测结果，需以环境保护部环境监测仪器质量监督检验中心出具的有效期内检测报告证明，需检测结果每次都满足。</w:t>
      </w:r>
    </w:p>
    <w:p w14:paraId="745E89A8">
      <w:pPr>
        <w:widowControl/>
        <w:jc w:val="left"/>
        <w:rPr>
          <w:b/>
          <w:kern w:val="0"/>
          <w:szCs w:val="20"/>
        </w:rPr>
      </w:pPr>
      <w:r>
        <w:rPr>
          <w:rFonts w:hint="eastAsia"/>
          <w:b/>
          <w:kern w:val="0"/>
          <w:szCs w:val="20"/>
        </w:rPr>
        <w:t>（4）</w:t>
      </w:r>
      <w:r>
        <w:rPr>
          <w:b/>
          <w:kern w:val="0"/>
          <w:szCs w:val="20"/>
        </w:rPr>
        <w:t>产品</w:t>
      </w:r>
      <w:r>
        <w:rPr>
          <w:rFonts w:hint="eastAsia"/>
          <w:b/>
          <w:kern w:val="0"/>
          <w:szCs w:val="20"/>
        </w:rPr>
        <w:t>性能要求</w:t>
      </w:r>
    </w:p>
    <w:p w14:paraId="5EF9552A">
      <w:pPr>
        <w:widowControl/>
        <w:numPr>
          <w:ilvl w:val="0"/>
          <w:numId w:val="18"/>
        </w:numPr>
        <w:ind w:left="0" w:firstLine="420" w:firstLineChars="200"/>
        <w:jc w:val="left"/>
        <w:rPr>
          <w:kern w:val="0"/>
          <w:szCs w:val="20"/>
        </w:rPr>
      </w:pPr>
      <w:r>
        <w:rPr>
          <w:kern w:val="0"/>
          <w:szCs w:val="20"/>
        </w:rPr>
        <w:t>具有中文触摸式彩屏，方便查询、操作维护；</w:t>
      </w:r>
    </w:p>
    <w:p w14:paraId="7189AA9C">
      <w:pPr>
        <w:widowControl/>
        <w:numPr>
          <w:ilvl w:val="0"/>
          <w:numId w:val="18"/>
        </w:numPr>
        <w:ind w:left="0" w:firstLine="420" w:firstLineChars="200"/>
        <w:jc w:val="left"/>
        <w:rPr>
          <w:kern w:val="0"/>
          <w:szCs w:val="20"/>
        </w:rPr>
      </w:pPr>
      <w:r>
        <w:rPr>
          <w:kern w:val="0"/>
          <w:szCs w:val="20"/>
        </w:rPr>
        <w:t>具备开机自检和运行自诊断功能；</w:t>
      </w:r>
    </w:p>
    <w:p w14:paraId="0A1B846E">
      <w:pPr>
        <w:widowControl/>
        <w:numPr>
          <w:ilvl w:val="0"/>
          <w:numId w:val="18"/>
        </w:numPr>
        <w:ind w:left="0" w:firstLine="420" w:firstLineChars="200"/>
        <w:jc w:val="left"/>
        <w:rPr>
          <w:kern w:val="0"/>
          <w:szCs w:val="20"/>
        </w:rPr>
      </w:pPr>
      <w:r>
        <w:rPr>
          <w:kern w:val="0"/>
          <w:szCs w:val="20"/>
        </w:rPr>
        <w:t>可自动存储校准数据及报警信息；</w:t>
      </w:r>
    </w:p>
    <w:p w14:paraId="614EAE04">
      <w:pPr>
        <w:widowControl/>
        <w:numPr>
          <w:ilvl w:val="0"/>
          <w:numId w:val="18"/>
        </w:numPr>
        <w:ind w:left="0" w:firstLine="420" w:firstLineChars="200"/>
        <w:jc w:val="left"/>
        <w:rPr>
          <w:kern w:val="0"/>
          <w:szCs w:val="20"/>
        </w:rPr>
      </w:pPr>
      <w:r>
        <w:rPr>
          <w:kern w:val="0"/>
          <w:szCs w:val="20"/>
        </w:rPr>
        <w:t>支持一键查询历史数据；</w:t>
      </w:r>
    </w:p>
    <w:p w14:paraId="55D24842">
      <w:pPr>
        <w:widowControl/>
        <w:numPr>
          <w:ilvl w:val="0"/>
          <w:numId w:val="18"/>
        </w:numPr>
        <w:ind w:left="0" w:firstLine="420" w:firstLineChars="200"/>
        <w:jc w:val="left"/>
        <w:rPr>
          <w:kern w:val="0"/>
          <w:szCs w:val="20"/>
        </w:rPr>
      </w:pPr>
      <w:r>
        <w:rPr>
          <w:kern w:val="0"/>
          <w:szCs w:val="20"/>
        </w:rPr>
        <w:t>支持远程软件系统升级；</w:t>
      </w:r>
    </w:p>
    <w:p w14:paraId="7E1EA38D">
      <w:pPr>
        <w:widowControl/>
        <w:numPr>
          <w:ilvl w:val="0"/>
          <w:numId w:val="18"/>
        </w:numPr>
        <w:ind w:left="0" w:firstLine="420" w:firstLineChars="200"/>
        <w:jc w:val="left"/>
        <w:rPr>
          <w:kern w:val="0"/>
          <w:szCs w:val="20"/>
        </w:rPr>
      </w:pPr>
      <w:r>
        <w:rPr>
          <w:kern w:val="0"/>
          <w:szCs w:val="20"/>
        </w:rPr>
        <w:t>采用动态加热方法解决雨天高湿天气对测量浓度影响；</w:t>
      </w:r>
    </w:p>
    <w:p w14:paraId="2CEFD104">
      <w:pPr>
        <w:widowControl/>
        <w:numPr>
          <w:ilvl w:val="0"/>
          <w:numId w:val="18"/>
        </w:numPr>
        <w:ind w:left="0" w:firstLine="420" w:firstLineChars="200"/>
        <w:jc w:val="left"/>
        <w:rPr>
          <w:kern w:val="0"/>
          <w:szCs w:val="20"/>
        </w:rPr>
      </w:pPr>
      <w:r>
        <w:rPr>
          <w:kern w:val="0"/>
          <w:szCs w:val="20"/>
        </w:rPr>
        <w:t>仪器内置校准膜片，支持自动校准；</w:t>
      </w:r>
    </w:p>
    <w:p w14:paraId="39B7FE6D">
      <w:pPr>
        <w:widowControl/>
        <w:numPr>
          <w:ilvl w:val="0"/>
          <w:numId w:val="18"/>
        </w:numPr>
        <w:ind w:left="0" w:firstLine="420" w:firstLineChars="200"/>
        <w:jc w:val="left"/>
        <w:rPr>
          <w:kern w:val="0"/>
          <w:szCs w:val="20"/>
        </w:rPr>
      </w:pPr>
      <w:r>
        <w:rPr>
          <w:kern w:val="0"/>
          <w:szCs w:val="20"/>
        </w:rPr>
        <w:t>支持整点及周期测量模式；</w:t>
      </w:r>
    </w:p>
    <w:p w14:paraId="23F8E1B5">
      <w:pPr>
        <w:widowControl/>
        <w:numPr>
          <w:ilvl w:val="0"/>
          <w:numId w:val="18"/>
        </w:numPr>
        <w:ind w:left="0" w:firstLine="420" w:firstLineChars="200"/>
        <w:jc w:val="left"/>
        <w:rPr>
          <w:kern w:val="0"/>
          <w:szCs w:val="20"/>
        </w:rPr>
      </w:pPr>
      <w:r>
        <w:rPr>
          <w:kern w:val="0"/>
          <w:szCs w:val="20"/>
        </w:rPr>
        <w:t>测量仪器具有特定标志触发滤纸用完预警功能；</w:t>
      </w:r>
    </w:p>
    <w:p w14:paraId="45E46DE3">
      <w:pPr>
        <w:widowControl/>
        <w:numPr>
          <w:ilvl w:val="0"/>
          <w:numId w:val="18"/>
        </w:numPr>
        <w:ind w:left="0" w:firstLine="420" w:firstLineChars="200"/>
        <w:jc w:val="left"/>
        <w:rPr>
          <w:kern w:val="0"/>
        </w:rPr>
      </w:pPr>
      <w:r>
        <w:rPr>
          <w:kern w:val="0"/>
        </w:rPr>
        <w:t>设备需符合我国生态环境部门对含放射源设备使用的相关管理要求，</w:t>
      </w:r>
      <w:r>
        <w:rPr>
          <w:kern w:val="0"/>
          <w:szCs w:val="20"/>
        </w:rPr>
        <w:t>应具有</w:t>
      </w:r>
      <w:r>
        <w:rPr>
          <w:kern w:val="0"/>
        </w:rPr>
        <w:t>辐射防护保护功能</w:t>
      </w:r>
      <w:r>
        <w:rPr>
          <w:rFonts w:hint="eastAsia"/>
          <w:kern w:val="0"/>
          <w:lang w:eastAsia="zh-CN"/>
        </w:rPr>
        <w:t>；</w:t>
      </w:r>
    </w:p>
    <w:p w14:paraId="3942726E">
      <w:pPr>
        <w:widowControl/>
        <w:numPr>
          <w:ilvl w:val="0"/>
          <w:numId w:val="18"/>
        </w:numPr>
        <w:ind w:left="0" w:firstLine="420" w:firstLineChars="200"/>
        <w:jc w:val="left"/>
        <w:rPr>
          <w:kern w:val="0"/>
          <w:szCs w:val="20"/>
        </w:rPr>
      </w:pPr>
      <w:r>
        <w:rPr>
          <w:kern w:val="0"/>
          <w:szCs w:val="20"/>
        </w:rPr>
        <w:t>▲产品软件获得计算机软件著作权登记证书</w:t>
      </w:r>
      <w:r>
        <w:rPr>
          <w:rFonts w:hint="eastAsia"/>
          <w:kern w:val="0"/>
          <w:szCs w:val="20"/>
          <w:lang w:eastAsia="zh-CN"/>
        </w:rPr>
        <w:t>；</w:t>
      </w:r>
    </w:p>
    <w:p w14:paraId="29FB4E74">
      <w:pPr>
        <w:widowControl/>
        <w:numPr>
          <w:ilvl w:val="0"/>
          <w:numId w:val="18"/>
        </w:numPr>
        <w:ind w:left="0" w:firstLine="420" w:firstLineChars="200"/>
        <w:jc w:val="left"/>
        <w:rPr>
          <w:kern w:val="0"/>
          <w:szCs w:val="20"/>
        </w:rPr>
      </w:pPr>
      <w:r>
        <w:rPr>
          <w:kern w:val="0"/>
          <w:szCs w:val="20"/>
        </w:rPr>
        <w:t>▲</w:t>
      </w:r>
      <w:r>
        <w:rPr>
          <w:rFonts w:hint="eastAsia"/>
          <w:kern w:val="0"/>
          <w:szCs w:val="20"/>
        </w:rPr>
        <w:t>系统组成、外观及功能符合H</w:t>
      </w:r>
      <w:r>
        <w:rPr>
          <w:kern w:val="0"/>
          <w:szCs w:val="20"/>
        </w:rPr>
        <w:t>J653-2021</w:t>
      </w:r>
      <w:r>
        <w:rPr>
          <w:rFonts w:hint="eastAsia"/>
          <w:kern w:val="0"/>
          <w:szCs w:val="20"/>
        </w:rPr>
        <w:t>标准中的要求。</w:t>
      </w:r>
    </w:p>
    <w:p w14:paraId="10162CE7">
      <w:pPr>
        <w:widowControl/>
        <w:jc w:val="left"/>
        <w:rPr>
          <w:kern w:val="0"/>
          <w:szCs w:val="20"/>
        </w:rPr>
      </w:pPr>
    </w:p>
    <w:p w14:paraId="20F354C8">
      <w:pPr>
        <w:pStyle w:val="3"/>
        <w:rPr>
          <w:kern w:val="0"/>
          <w:szCs w:val="20"/>
        </w:rPr>
      </w:pPr>
      <w:r>
        <w:rPr>
          <w:rFonts w:hint="eastAsia"/>
          <w:lang w:val="en-US" w:eastAsia="zh-CN"/>
        </w:rPr>
        <w:t>站房及配套设备</w:t>
      </w:r>
    </w:p>
    <w:p w14:paraId="01794EAC">
      <w:pPr>
        <w:rPr>
          <w:rFonts w:hint="eastAsia"/>
          <w:lang w:val="en-US" w:eastAsia="zh-CN"/>
        </w:rPr>
      </w:pPr>
    </w:p>
    <w:p w14:paraId="55AFAA2E">
      <w:pPr>
        <w:widowControl/>
        <w:numPr>
          <w:ilvl w:val="0"/>
          <w:numId w:val="0"/>
        </w:numPr>
        <w:ind w:leftChars="200"/>
        <w:jc w:val="left"/>
        <w:rPr>
          <w:rFonts w:hint="eastAsia" w:ascii="Times New Roman" w:hAnsi="Times New Roman" w:eastAsia="宋体" w:cs="Times New Roman"/>
          <w:kern w:val="0"/>
          <w:szCs w:val="20"/>
          <w:lang w:val="en-US" w:eastAsia="zh-CN"/>
        </w:rPr>
        <w:sectPr>
          <w:footerReference r:id="rId13" w:type="default"/>
          <w:footerReference r:id="rId14" w:type="even"/>
          <w:pgSz w:w="11906" w:h="16838"/>
          <w:pgMar w:top="1440" w:right="1800" w:bottom="1440" w:left="1800" w:header="851" w:footer="992" w:gutter="0"/>
          <w:pgNumType w:fmt="decimal"/>
          <w:cols w:space="720" w:num="1"/>
          <w:docGrid w:type="lines" w:linePitch="312" w:charSpace="0"/>
        </w:sectPr>
      </w:pPr>
      <w:r>
        <w:rPr>
          <w:b/>
          <w:kern w:val="0"/>
          <w:szCs w:val="20"/>
        </w:rPr>
        <w:t>（</w:t>
      </w:r>
      <w:r>
        <w:rPr>
          <w:rFonts w:hint="eastAsia"/>
          <w:b/>
          <w:kern w:val="0"/>
          <w:szCs w:val="20"/>
        </w:rPr>
        <w:t>1</w:t>
      </w:r>
      <w:r>
        <w:rPr>
          <w:b/>
          <w:kern w:val="0"/>
          <w:szCs w:val="20"/>
        </w:rPr>
        <w:t>）</w:t>
      </w:r>
      <w:r>
        <w:rPr>
          <w:rFonts w:hint="eastAsia" w:ascii="Times New Roman" w:hAnsi="Times New Roman" w:eastAsia="宋体" w:cs="Times New Roman"/>
          <w:kern w:val="0"/>
          <w:szCs w:val="20"/>
          <w:lang w:val="en-US" w:eastAsia="zh-CN"/>
        </w:rPr>
        <w:t>本次服务内容包含站房，站房租赁费用由中标方承担，站房内需配备空调、UPS、冰箱、除湿机、灭火器、温湿度计等辅助设备，以保证站房内颗粒物组分监测系统长期稳定运行。</w:t>
      </w:r>
    </w:p>
    <w:p w14:paraId="3A076904">
      <w:pPr>
        <w:pStyle w:val="3"/>
      </w:pPr>
      <w:r>
        <w:rPr>
          <w:rFonts w:hint="eastAsia"/>
        </w:rPr>
        <w:t>运行维护</w:t>
      </w:r>
    </w:p>
    <w:p w14:paraId="56AA3242">
      <w:pPr>
        <w:pStyle w:val="4"/>
      </w:pPr>
      <w:bookmarkStart w:id="38" w:name="_Toc13671435"/>
      <w:bookmarkStart w:id="39" w:name="_Toc9093"/>
      <w:bookmarkStart w:id="40" w:name="_Toc29373"/>
      <w:bookmarkStart w:id="41" w:name="_Toc484772544"/>
      <w:bookmarkStart w:id="42" w:name="_Toc116984136"/>
      <w:bookmarkStart w:id="43" w:name="_Toc22959"/>
      <w:bookmarkStart w:id="44" w:name="_Toc487017406"/>
      <w:bookmarkStart w:id="45" w:name="_Toc5480"/>
      <w:bookmarkStart w:id="46" w:name="_Toc5705"/>
      <w:r>
        <w:t>总体目标及要求</w:t>
      </w:r>
      <w:bookmarkEnd w:id="38"/>
      <w:bookmarkEnd w:id="39"/>
      <w:bookmarkEnd w:id="40"/>
      <w:bookmarkEnd w:id="41"/>
      <w:bookmarkEnd w:id="42"/>
      <w:bookmarkEnd w:id="43"/>
      <w:bookmarkEnd w:id="44"/>
      <w:bookmarkEnd w:id="45"/>
      <w:bookmarkEnd w:id="46"/>
    </w:p>
    <w:p w14:paraId="03B6E33B">
      <w:pPr>
        <w:ind w:firstLine="420"/>
        <w:rPr>
          <w:b/>
          <w:szCs w:val="22"/>
        </w:rPr>
      </w:pPr>
      <w:r>
        <w:rPr>
          <w:szCs w:val="22"/>
        </w:rPr>
        <w:t>通过全面维护检修工作，保证项目设备各项技术性能指标达到国家相关技术规范要求，保证监测仪器达到上级对委托方子站质量控制要求，监测数据准确可、可靠。每次维护及每台仪器运行考核，能达到甲方的技术指标要求。主要指标为：</w:t>
      </w:r>
    </w:p>
    <w:p w14:paraId="06788C77">
      <w:pPr>
        <w:ind w:firstLine="420" w:firstLineChars="200"/>
      </w:pPr>
      <w:r>
        <w:t>1、单台仪器数据捕获率≥90%（以小时值计），有效数据获取率≥80%（以小时值计）；</w:t>
      </w:r>
    </w:p>
    <w:p w14:paraId="4D40C704">
      <w:pPr>
        <w:ind w:firstLine="420" w:firstLineChars="200"/>
      </w:pPr>
      <w:r>
        <w:t>连续运行时段内单台仪器有效数据获取率=（该仪器获得的有效小时数/应有的小时数）×100%</w:t>
      </w:r>
    </w:p>
    <w:p w14:paraId="623D0BA7">
      <w:pPr>
        <w:ind w:firstLine="420" w:firstLineChars="200"/>
      </w:pPr>
      <w:r>
        <w:t>注：有效数据是指经过审核通过的有效数据，因停电、不可抗力或定期维护和校准损失的小时数在应有小时数中扣除。</w:t>
      </w:r>
    </w:p>
    <w:p w14:paraId="45599AA4">
      <w:pPr>
        <w:ind w:firstLine="420" w:firstLineChars="200"/>
      </w:pPr>
      <w:r>
        <w:t>2、运维与质控任务完成率100%；</w:t>
      </w:r>
    </w:p>
    <w:p w14:paraId="1B01F0AF">
      <w:pPr>
        <w:ind w:firstLine="420" w:firstLineChars="200"/>
      </w:pPr>
      <w:r>
        <w:t>3、异常情况按时处理率100%。</w:t>
      </w:r>
    </w:p>
    <w:p w14:paraId="26187692">
      <w:pPr>
        <w:numPr>
          <w:ilvl w:val="0"/>
          <w:numId w:val="19"/>
        </w:numPr>
        <w:rPr>
          <w:szCs w:val="22"/>
        </w:rPr>
      </w:pPr>
      <w:r>
        <w:rPr>
          <w:szCs w:val="22"/>
        </w:rPr>
        <w:t>总体要求</w:t>
      </w:r>
    </w:p>
    <w:p w14:paraId="41B76FAA">
      <w:pPr>
        <w:ind w:firstLine="420"/>
        <w:rPr>
          <w:szCs w:val="22"/>
        </w:rPr>
      </w:pPr>
      <w:r>
        <w:rPr>
          <w:szCs w:val="22"/>
        </w:rPr>
        <w:t>1、所有运维项目均要求本地有运维工程师，保证在4小时内赶到设备现场；</w:t>
      </w:r>
    </w:p>
    <w:p w14:paraId="323C27F9">
      <w:pPr>
        <w:ind w:firstLine="420"/>
        <w:rPr>
          <w:szCs w:val="22"/>
        </w:rPr>
      </w:pPr>
      <w:r>
        <w:rPr>
          <w:szCs w:val="22"/>
        </w:rPr>
        <w:t>2、例行运维包括周巡检、月检查和季度评估，每次例行运维均应按照技术规范写出运维报告，每季度写出运维评估报告，每年度写出运维总结报告；</w:t>
      </w:r>
    </w:p>
    <w:p w14:paraId="6AD1F033">
      <w:pPr>
        <w:ind w:firstLine="420"/>
        <w:rPr>
          <w:szCs w:val="22"/>
        </w:rPr>
      </w:pPr>
      <w:r>
        <w:rPr>
          <w:szCs w:val="22"/>
        </w:rPr>
        <w:t>3、设备出现故障在4小时内到达现场处理，可现场维修的应马上维修恢复设备运行；</w:t>
      </w:r>
    </w:p>
    <w:p w14:paraId="78103594">
      <w:pPr>
        <w:ind w:firstLine="420"/>
        <w:rPr>
          <w:szCs w:val="22"/>
        </w:rPr>
      </w:pPr>
      <w:r>
        <w:rPr>
          <w:szCs w:val="22"/>
        </w:rPr>
        <w:t>4、通过全面运维工作，保证所有设备各项技术性能指标达到国家相关技术规范要求，保证监测仪器达到委托方质量控制要求，监测数据准确、可靠。每次维护及每台仪器运行考核，能达到甲方的技术指标要求。</w:t>
      </w:r>
    </w:p>
    <w:p w14:paraId="7EEC24E8">
      <w:pPr>
        <w:pStyle w:val="4"/>
      </w:pPr>
      <w:bookmarkStart w:id="47" w:name="_Toc25602"/>
      <w:bookmarkStart w:id="48" w:name="_Toc21130"/>
      <w:bookmarkStart w:id="49" w:name="_Toc116984137"/>
      <w:bookmarkStart w:id="50" w:name="_Toc487017407"/>
      <w:bookmarkStart w:id="51" w:name="_Toc5708"/>
      <w:bookmarkStart w:id="52" w:name="_Toc484772558"/>
      <w:bookmarkStart w:id="53" w:name="_Toc1391"/>
      <w:bookmarkStart w:id="54" w:name="_Toc13671436"/>
      <w:bookmarkStart w:id="55" w:name="_Toc13091"/>
      <w:r>
        <w:t>监测仪器设备的校准及性能审核</w:t>
      </w:r>
      <w:bookmarkEnd w:id="47"/>
      <w:bookmarkEnd w:id="48"/>
      <w:bookmarkEnd w:id="49"/>
      <w:bookmarkEnd w:id="50"/>
      <w:bookmarkEnd w:id="51"/>
      <w:bookmarkEnd w:id="52"/>
      <w:bookmarkEnd w:id="53"/>
      <w:bookmarkEnd w:id="54"/>
      <w:bookmarkEnd w:id="55"/>
    </w:p>
    <w:p w14:paraId="121BBF6F">
      <w:pPr>
        <w:ind w:firstLine="420"/>
        <w:rPr>
          <w:szCs w:val="22"/>
        </w:rPr>
      </w:pPr>
      <w:r>
        <w:rPr>
          <w:szCs w:val="22"/>
        </w:rPr>
        <w:t>利用每周定期巡检工作，对系统中各监测设备进行必要维护，并严格按照仪器说明书相关要求以及国家、地方相关规定进行常规耗材备件更换、仪器校正等工作，保证仪器正常运行，分析数据准确。</w:t>
      </w:r>
    </w:p>
    <w:p w14:paraId="167EF95F">
      <w:pPr>
        <w:pStyle w:val="5"/>
        <w:spacing w:before="240" w:after="240" w:line="360" w:lineRule="auto"/>
        <w:ind w:left="862" w:hanging="862"/>
      </w:pPr>
      <w:r>
        <w:t>大气重金属分析仪</w:t>
      </w:r>
    </w:p>
    <w:p w14:paraId="4B933478">
      <w:pPr>
        <w:pStyle w:val="6"/>
      </w:pPr>
      <w:r>
        <w:t>每</w:t>
      </w:r>
      <w:r>
        <w:rPr>
          <w:rFonts w:hint="eastAsia"/>
        </w:rPr>
        <w:t>日</w:t>
      </w:r>
    </w:p>
    <w:p w14:paraId="5158C492">
      <w:pPr>
        <w:ind w:firstLine="420" w:firstLineChars="200"/>
        <w:jc w:val="left"/>
        <w:rPr>
          <w:rFonts w:cs="黑体"/>
          <w:szCs w:val="22"/>
        </w:rPr>
      </w:pPr>
      <w:r>
        <w:rPr>
          <w:rFonts w:hint="eastAsia" w:cs="黑体"/>
          <w:szCs w:val="22"/>
        </w:rPr>
        <w:t>（1）每日检查仪器运行状态，包括采样流量、环境压力、环境温度、X射线管温度等是否正常，如有异常情况和报警信息应及时处理，保证仪器运行正常。</w:t>
      </w:r>
    </w:p>
    <w:p w14:paraId="431D503C">
      <w:pPr>
        <w:ind w:firstLine="420" w:firstLineChars="200"/>
        <w:jc w:val="left"/>
        <w:rPr>
          <w:rFonts w:cs="黑体"/>
          <w:szCs w:val="22"/>
        </w:rPr>
      </w:pPr>
      <w:r>
        <w:rPr>
          <w:rFonts w:hint="eastAsia" w:cs="黑体"/>
          <w:szCs w:val="22"/>
        </w:rPr>
        <w:t>（2）每日查看仪器采集软件、分析软件是否正常运行和采集数据。</w:t>
      </w:r>
    </w:p>
    <w:p w14:paraId="521D334F">
      <w:pPr>
        <w:ind w:firstLine="420" w:firstLineChars="200"/>
        <w:jc w:val="left"/>
        <w:rPr>
          <w:rFonts w:cs="黑体"/>
          <w:szCs w:val="22"/>
        </w:rPr>
      </w:pPr>
      <w:r>
        <w:rPr>
          <w:rFonts w:hint="eastAsia" w:cs="黑体"/>
          <w:szCs w:val="22"/>
        </w:rPr>
        <w:t>（3）如具有自动质控功能，应检查自动质控结果。质控元素（标准品）测量相对误差应≤±10%，流量相对误差应≤±5%。</w:t>
      </w:r>
    </w:p>
    <w:p w14:paraId="6F23F37C">
      <w:pPr>
        <w:pStyle w:val="6"/>
      </w:pPr>
      <w:r>
        <w:t>每</w:t>
      </w:r>
      <w:r>
        <w:rPr>
          <w:rFonts w:hint="eastAsia"/>
        </w:rPr>
        <w:t>周</w:t>
      </w:r>
    </w:p>
    <w:p w14:paraId="24882F8B">
      <w:pPr>
        <w:ind w:firstLine="420" w:firstLineChars="200"/>
        <w:jc w:val="left"/>
        <w:rPr>
          <w:rFonts w:cs="黑体"/>
          <w:szCs w:val="22"/>
        </w:rPr>
      </w:pPr>
      <w:r>
        <w:rPr>
          <w:rFonts w:hint="eastAsia" w:cs="黑体"/>
          <w:szCs w:val="22"/>
        </w:rPr>
        <w:t>（1）每周至少一次现场巡检，检查仪器运行状态。</w:t>
      </w:r>
    </w:p>
    <w:p w14:paraId="65A2281B">
      <w:pPr>
        <w:ind w:firstLine="420" w:firstLineChars="200"/>
        <w:jc w:val="left"/>
        <w:rPr>
          <w:rFonts w:cs="黑体"/>
          <w:szCs w:val="22"/>
        </w:rPr>
      </w:pPr>
      <w:r>
        <w:rPr>
          <w:rFonts w:hint="eastAsia" w:cs="黑体"/>
          <w:szCs w:val="22"/>
        </w:rPr>
        <w:t>（2）每周检查纸带位置是否正常，采样斑点是否圆滑（边界清晰）、均匀、完整；检查纸带剩余长度，如长度不足时应提前更换。更换纸带时应佩戴无粉丁腈手套，避免对测量系统造成背景污染。更换后应进行纸带的空白测试，80%的目标物质空白测试结果应小于仪器检测限，所有目标物质空白测试结果应小于仪器定测定下限。</w:t>
      </w:r>
    </w:p>
    <w:p w14:paraId="540856F1">
      <w:pPr>
        <w:ind w:firstLine="420" w:firstLineChars="200"/>
        <w:jc w:val="left"/>
        <w:rPr>
          <w:rFonts w:cs="黑体"/>
          <w:szCs w:val="22"/>
        </w:rPr>
      </w:pPr>
      <w:r>
        <w:rPr>
          <w:rFonts w:hint="eastAsia" w:cs="黑体"/>
          <w:szCs w:val="22"/>
        </w:rPr>
        <w:t>（3）每周检查户外PM10采样头滤水杯积水情况、风扇滤网积尘情况、采样管加热器和采样泵工作状态。</w:t>
      </w:r>
    </w:p>
    <w:p w14:paraId="540C524E">
      <w:pPr>
        <w:ind w:firstLine="420" w:firstLineChars="200"/>
        <w:jc w:val="left"/>
        <w:rPr>
          <w:rFonts w:cs="黑体"/>
          <w:szCs w:val="22"/>
        </w:rPr>
      </w:pPr>
      <w:r>
        <w:rPr>
          <w:rFonts w:hint="eastAsia" w:cs="黑体"/>
          <w:szCs w:val="22"/>
        </w:rPr>
        <w:t>（4）如配置冷风机，应及时将储水箱内积水排出，并清理散热滤网。</w:t>
      </w:r>
    </w:p>
    <w:p w14:paraId="6F2B9B2F">
      <w:pPr>
        <w:pStyle w:val="6"/>
      </w:pPr>
      <w:r>
        <w:t>每月</w:t>
      </w:r>
    </w:p>
    <w:p w14:paraId="4D13A461">
      <w:pPr>
        <w:ind w:firstLine="420" w:firstLineChars="200"/>
        <w:jc w:val="left"/>
        <w:rPr>
          <w:rFonts w:cs="黑体"/>
          <w:szCs w:val="22"/>
        </w:rPr>
      </w:pPr>
      <w:r>
        <w:rPr>
          <w:rFonts w:hint="eastAsia" w:cs="黑体"/>
          <w:szCs w:val="22"/>
        </w:rPr>
        <w:t>（1）每月应对仪器散热风扇过滤网进行清洗。</w:t>
      </w:r>
    </w:p>
    <w:p w14:paraId="31B6DC93">
      <w:pPr>
        <w:ind w:firstLine="420" w:firstLineChars="200"/>
        <w:jc w:val="left"/>
        <w:rPr>
          <w:rFonts w:cs="黑体"/>
          <w:szCs w:val="22"/>
        </w:rPr>
      </w:pPr>
      <w:r>
        <w:rPr>
          <w:rFonts w:hint="eastAsia" w:cs="黑体"/>
          <w:szCs w:val="22"/>
        </w:rPr>
        <w:t>（2）如设备配置冷风机，每月检查排风管或过滤器，防止堵塞。</w:t>
      </w:r>
    </w:p>
    <w:p w14:paraId="0E3661C3">
      <w:pPr>
        <w:ind w:firstLine="420" w:firstLineChars="200"/>
        <w:jc w:val="left"/>
        <w:rPr>
          <w:rFonts w:cs="黑体"/>
          <w:szCs w:val="22"/>
        </w:rPr>
      </w:pPr>
      <w:r>
        <w:rPr>
          <w:rFonts w:hint="eastAsia" w:cs="黑体"/>
          <w:szCs w:val="22"/>
        </w:rPr>
        <w:t>（3）每月至少清洁一次PM10采样头和PM2.5旋风分离器，若遇到重污染或沙尘天气，应在污染过程结束后及时清洁。</w:t>
      </w:r>
    </w:p>
    <w:p w14:paraId="4A8D578A">
      <w:pPr>
        <w:ind w:firstLine="420" w:firstLineChars="200"/>
        <w:jc w:val="left"/>
        <w:rPr>
          <w:rFonts w:cs="黑体"/>
          <w:szCs w:val="22"/>
        </w:rPr>
      </w:pPr>
      <w:r>
        <w:rPr>
          <w:rFonts w:hint="eastAsia" w:cs="黑体"/>
          <w:szCs w:val="22"/>
        </w:rPr>
        <w:t>（4）每月至少进行一次仪器原始数据备份。</w:t>
      </w:r>
    </w:p>
    <w:p w14:paraId="4285E06D">
      <w:pPr>
        <w:ind w:firstLine="420" w:firstLineChars="200"/>
        <w:jc w:val="left"/>
        <w:rPr>
          <w:rFonts w:cs="黑体"/>
          <w:szCs w:val="22"/>
        </w:rPr>
      </w:pPr>
      <w:r>
        <w:rPr>
          <w:rFonts w:hint="eastAsia" w:cs="黑体"/>
          <w:szCs w:val="22"/>
        </w:rPr>
        <w:t>（5）根据仪器说明书的要求更换耗材、试剂与配件。</w:t>
      </w:r>
    </w:p>
    <w:p w14:paraId="3140F12E">
      <w:pPr>
        <w:pStyle w:val="6"/>
      </w:pPr>
      <w:r>
        <w:t>每季度</w:t>
      </w:r>
    </w:p>
    <w:p w14:paraId="5C29753F">
      <w:pPr>
        <w:numPr>
          <w:ilvl w:val="0"/>
          <w:numId w:val="20"/>
        </w:numPr>
        <w:ind w:left="0" w:firstLine="420" w:firstLineChars="200"/>
        <w:jc w:val="left"/>
      </w:pPr>
      <w:r>
        <w:t>检查滤膜，按需更换；</w:t>
      </w:r>
    </w:p>
    <w:p w14:paraId="6EE74F4B">
      <w:pPr>
        <w:numPr>
          <w:ilvl w:val="0"/>
          <w:numId w:val="20"/>
        </w:numPr>
        <w:ind w:left="0" w:firstLine="420" w:firstLineChars="200"/>
        <w:jc w:val="left"/>
      </w:pPr>
      <w:r>
        <w:t>进行流量校正；</w:t>
      </w:r>
    </w:p>
    <w:p w14:paraId="7AC85370">
      <w:pPr>
        <w:numPr>
          <w:ilvl w:val="0"/>
          <w:numId w:val="20"/>
        </w:numPr>
        <w:ind w:left="0" w:firstLine="420" w:firstLineChars="200"/>
        <w:jc w:val="left"/>
      </w:pPr>
      <w:r>
        <w:t>进行XRF每个档位2个元素（即6种）的校正。</w:t>
      </w:r>
    </w:p>
    <w:p w14:paraId="67399AA3">
      <w:pPr>
        <w:pStyle w:val="6"/>
      </w:pPr>
      <w:r>
        <w:t>每年</w:t>
      </w:r>
    </w:p>
    <w:p w14:paraId="43FAD91F">
      <w:pPr>
        <w:ind w:firstLine="420" w:firstLineChars="200"/>
        <w:jc w:val="left"/>
        <w:rPr>
          <w:rFonts w:cs="黑体"/>
          <w:szCs w:val="22"/>
        </w:rPr>
      </w:pPr>
      <w:r>
        <w:rPr>
          <w:rFonts w:hint="eastAsia" w:cs="黑体"/>
          <w:szCs w:val="22"/>
        </w:rPr>
        <w:t>每年对仪器进行一次预防性维护，对采样系统、测量系统进行检查与清洁，更换必要的耗材与配件。保养后，应对仪器进行全面校准与检查，包括膜片核查、重复性、稳定性，以确保仪器在维护前后数据的准确性和可比性。</w:t>
      </w:r>
    </w:p>
    <w:p w14:paraId="2D429D36">
      <w:pPr>
        <w:pStyle w:val="5"/>
        <w:spacing w:before="240" w:after="240" w:line="360" w:lineRule="auto"/>
        <w:ind w:left="862" w:hanging="862"/>
      </w:pPr>
      <w:r>
        <w:t>OCEC分析仪</w:t>
      </w:r>
    </w:p>
    <w:p w14:paraId="5B31111A">
      <w:pPr>
        <w:pStyle w:val="6"/>
      </w:pPr>
      <w:r>
        <w:t>每日</w:t>
      </w:r>
    </w:p>
    <w:p w14:paraId="4AB81532">
      <w:pPr>
        <w:ind w:firstLine="420" w:firstLineChars="200"/>
        <w:jc w:val="left"/>
        <w:rPr>
          <w:rFonts w:cs="黑体"/>
          <w:szCs w:val="22"/>
        </w:rPr>
      </w:pPr>
      <w:r>
        <w:rPr>
          <w:rFonts w:hint="eastAsia" w:cs="黑体"/>
          <w:szCs w:val="22"/>
        </w:rPr>
        <w:t>（1）每日检查仪器运行状况，包括采样流量、各通道（氦气、氦氧和氦甲烷）流量稳定性、石英炉内压力、透射反射激光强度等关键参数，判断是否正常，如有异常情况和报警信息应及时处理，保证仪器运行正常。</w:t>
      </w:r>
    </w:p>
    <w:p w14:paraId="4F03FC04">
      <w:pPr>
        <w:ind w:firstLine="420" w:firstLineChars="200"/>
        <w:jc w:val="left"/>
        <w:rPr>
          <w:rFonts w:cs="黑体"/>
          <w:szCs w:val="22"/>
        </w:rPr>
      </w:pPr>
      <w:r>
        <w:rPr>
          <w:rFonts w:hint="eastAsia" w:cs="黑体"/>
          <w:szCs w:val="22"/>
        </w:rPr>
        <w:t>（2）每日查看仪器采集软件、分析软件是否正常运行和采集数据。</w:t>
      </w:r>
    </w:p>
    <w:p w14:paraId="15FE505D">
      <w:pPr>
        <w:ind w:firstLine="420" w:firstLineChars="200"/>
        <w:jc w:val="left"/>
        <w:rPr>
          <w:rFonts w:cs="黑体"/>
          <w:szCs w:val="22"/>
        </w:rPr>
      </w:pPr>
      <w:r>
        <w:rPr>
          <w:rFonts w:hint="eastAsia" w:cs="黑体"/>
          <w:szCs w:val="22"/>
        </w:rPr>
        <w:t>（3）每日检查仪器分析结果，包括对环境样图谱的检查，如升温程序是否正常、有机碳和元素碳分割时间点是否出现突变、有机碳和元素碳占比是否出现突变、甲烷峰响应是否波动等。每日24小时内有机碳和元素碳分析过程中甲烷峰面积相对标准偏差≤5%。</w:t>
      </w:r>
    </w:p>
    <w:p w14:paraId="1745BED9">
      <w:pPr>
        <w:ind w:firstLine="420" w:firstLineChars="200"/>
        <w:jc w:val="left"/>
        <w:rPr>
          <w:rFonts w:cs="黑体"/>
          <w:szCs w:val="22"/>
        </w:rPr>
      </w:pPr>
      <w:r>
        <w:rPr>
          <w:rFonts w:hint="eastAsia" w:cs="黑体"/>
          <w:szCs w:val="22"/>
        </w:rPr>
        <w:t>（4）检查每日自动空白结果，空白结果TC≤0.</w:t>
      </w:r>
      <w:r>
        <w:rPr>
          <w:rFonts w:cs="黑体"/>
          <w:szCs w:val="22"/>
        </w:rPr>
        <w:t>2</w:t>
      </w:r>
      <w:r>
        <w:rPr>
          <w:rFonts w:hint="eastAsia" w:cs="黑体"/>
          <w:szCs w:val="22"/>
        </w:rPr>
        <w:t>μgC，如超出，应及时检查排查问题，重新测试空白。</w:t>
      </w:r>
    </w:p>
    <w:p w14:paraId="0B2EB7B9">
      <w:pPr>
        <w:pStyle w:val="6"/>
      </w:pPr>
      <w:r>
        <w:t>每周</w:t>
      </w:r>
    </w:p>
    <w:p w14:paraId="6EE95B44">
      <w:pPr>
        <w:ind w:firstLine="420" w:firstLineChars="200"/>
        <w:jc w:val="left"/>
        <w:rPr>
          <w:rFonts w:cs="黑体"/>
          <w:szCs w:val="22"/>
        </w:rPr>
      </w:pPr>
      <w:r>
        <w:rPr>
          <w:rFonts w:hint="eastAsia" w:cs="黑体"/>
          <w:szCs w:val="22"/>
        </w:rPr>
        <w:t>（1）每周至少一次现场巡检，检查仪器运行状态。</w:t>
      </w:r>
    </w:p>
    <w:p w14:paraId="37555171">
      <w:pPr>
        <w:ind w:firstLine="420" w:firstLineChars="200"/>
        <w:jc w:val="left"/>
        <w:rPr>
          <w:rFonts w:cs="黑体"/>
          <w:szCs w:val="22"/>
        </w:rPr>
      </w:pPr>
      <w:r>
        <w:rPr>
          <w:rFonts w:hint="eastAsia" w:cs="黑体"/>
          <w:szCs w:val="22"/>
        </w:rPr>
        <w:t>（2）每周检查氦气、氦甲烷、氦氧钢瓶气压力和有效期，应在有效期截止前或压力低于2MPa时更换气瓶，更换气瓶后应进行检漏；更换氦气、氦氧气体后应进行校准曲线中间浓度点的核查，更换氦甲烷应重新建立校准曲线。</w:t>
      </w:r>
    </w:p>
    <w:p w14:paraId="58DB89E6">
      <w:pPr>
        <w:ind w:firstLine="420" w:firstLineChars="200"/>
        <w:jc w:val="left"/>
        <w:rPr>
          <w:rFonts w:cs="黑体"/>
          <w:szCs w:val="22"/>
        </w:rPr>
      </w:pPr>
      <w:r>
        <w:rPr>
          <w:rFonts w:hint="eastAsia" w:cs="黑体"/>
          <w:szCs w:val="22"/>
        </w:rPr>
        <w:t>（3）检查采样泵是否运转正常；检查采样管路、石英炉是否有漏气或堵塞现象，必要时更换配件和耗材。</w:t>
      </w:r>
    </w:p>
    <w:p w14:paraId="0D2B4835">
      <w:pPr>
        <w:ind w:firstLine="420" w:firstLineChars="200"/>
        <w:jc w:val="left"/>
        <w:rPr>
          <w:rFonts w:cs="黑体"/>
          <w:szCs w:val="22"/>
        </w:rPr>
      </w:pPr>
      <w:r>
        <w:rPr>
          <w:rFonts w:hint="eastAsia" w:cs="黑体"/>
          <w:szCs w:val="22"/>
        </w:rPr>
        <w:t>（4）至少每周更换一次滤膜，或根据当地污染程度加大更换频率；更换滤膜后应执行至少一次烤炉程序，去除新滤膜的本底影响，然后执行滤膜空白测试，空白测试的结果TC≤0.</w:t>
      </w:r>
      <w:r>
        <w:rPr>
          <w:rFonts w:cs="黑体"/>
          <w:szCs w:val="22"/>
        </w:rPr>
        <w:t>2</w:t>
      </w:r>
      <w:r>
        <w:rPr>
          <w:rFonts w:hint="eastAsia" w:cs="黑体"/>
          <w:szCs w:val="22"/>
        </w:rPr>
        <w:t>ugC。</w:t>
      </w:r>
    </w:p>
    <w:p w14:paraId="25B20611">
      <w:pPr>
        <w:ind w:firstLine="420" w:firstLineChars="200"/>
        <w:jc w:val="left"/>
        <w:rPr>
          <w:rFonts w:cs="黑体"/>
          <w:szCs w:val="22"/>
        </w:rPr>
      </w:pPr>
      <w:r>
        <w:rPr>
          <w:rFonts w:hint="eastAsia" w:cs="黑体"/>
          <w:szCs w:val="22"/>
        </w:rPr>
        <w:t>（5）每周检查溶蚀器雨漏，如积水过多，应检查溶蚀器碳膜片，有水痕需及时更换。</w:t>
      </w:r>
    </w:p>
    <w:p w14:paraId="75AFCCC7">
      <w:pPr>
        <w:pStyle w:val="6"/>
      </w:pPr>
      <w:r>
        <w:t>每月</w:t>
      </w:r>
    </w:p>
    <w:p w14:paraId="07F41A7C">
      <w:pPr>
        <w:ind w:firstLine="420"/>
        <w:rPr>
          <w:rFonts w:cs="黑体"/>
          <w:szCs w:val="22"/>
        </w:rPr>
      </w:pPr>
      <w:r>
        <w:rPr>
          <w:rFonts w:hint="eastAsia" w:cs="黑体"/>
          <w:szCs w:val="22"/>
        </w:rPr>
        <w:t>（1）每月至少清洁一次PM</w:t>
      </w:r>
      <w:r>
        <w:rPr>
          <w:rFonts w:hint="eastAsia" w:cs="黑体"/>
          <w:szCs w:val="22"/>
          <w:vertAlign w:val="subscript"/>
        </w:rPr>
        <w:t>2.5</w:t>
      </w:r>
      <w:r>
        <w:rPr>
          <w:rFonts w:hint="eastAsia" w:cs="黑体"/>
          <w:szCs w:val="22"/>
        </w:rPr>
        <w:t>采样头，若遇到重污染或沙尘天气，应在污染过程结束后及时清洁。</w:t>
      </w:r>
    </w:p>
    <w:p w14:paraId="183D5552">
      <w:pPr>
        <w:ind w:firstLine="420"/>
        <w:rPr>
          <w:rFonts w:cs="黑体"/>
          <w:szCs w:val="22"/>
        </w:rPr>
      </w:pPr>
      <w:r>
        <w:rPr>
          <w:rFonts w:hint="eastAsia" w:cs="黑体"/>
          <w:szCs w:val="22"/>
        </w:rPr>
        <w:t>（2）每月至少进行一次仪器原始数据备份。</w:t>
      </w:r>
    </w:p>
    <w:p w14:paraId="56D52BAE">
      <w:pPr>
        <w:ind w:firstLine="420"/>
        <w:rPr>
          <w:rFonts w:cs="黑体"/>
          <w:szCs w:val="22"/>
        </w:rPr>
      </w:pPr>
      <w:r>
        <w:rPr>
          <w:rFonts w:hint="eastAsia" w:cs="黑体"/>
          <w:szCs w:val="22"/>
        </w:rPr>
        <w:t>（3）根据仪器说明书的要求更换耗材、试剂与配件。</w:t>
      </w:r>
    </w:p>
    <w:p w14:paraId="484F371F">
      <w:pPr>
        <w:pStyle w:val="6"/>
      </w:pPr>
      <w:r>
        <w:t>每季度</w:t>
      </w:r>
    </w:p>
    <w:p w14:paraId="28FB0BE0">
      <w:pPr>
        <w:ind w:firstLine="420"/>
        <w:rPr>
          <w:rFonts w:cs="黑体"/>
          <w:szCs w:val="22"/>
        </w:rPr>
      </w:pPr>
      <w:r>
        <w:rPr>
          <w:rFonts w:hint="eastAsia" w:cs="黑体"/>
          <w:szCs w:val="22"/>
        </w:rPr>
        <w:t>（1）每季度至少进行一次溶蚀器和采样管路的清洗，或根据当地污染程度加大清洁频率。</w:t>
      </w:r>
    </w:p>
    <w:p w14:paraId="365C4C05">
      <w:pPr>
        <w:ind w:firstLine="420"/>
        <w:rPr>
          <w:rFonts w:cs="黑体"/>
          <w:szCs w:val="22"/>
        </w:rPr>
      </w:pPr>
      <w:r>
        <w:rPr>
          <w:rFonts w:hint="eastAsia" w:cs="黑体"/>
          <w:szCs w:val="22"/>
        </w:rPr>
        <w:t>（2）每季度至少更换一次溶蚀器滤膜等配件耗材，或根据当地污染程度加大更换频率。</w:t>
      </w:r>
    </w:p>
    <w:p w14:paraId="2A36A0D4">
      <w:pPr>
        <w:pStyle w:val="6"/>
      </w:pPr>
      <w:r>
        <w:t>每年</w:t>
      </w:r>
    </w:p>
    <w:p w14:paraId="0DB2EB4A">
      <w:pPr>
        <w:ind w:firstLine="420"/>
        <w:rPr>
          <w:rFonts w:cs="黑体"/>
          <w:szCs w:val="22"/>
        </w:rPr>
      </w:pPr>
      <w:r>
        <w:rPr>
          <w:rFonts w:hint="eastAsia" w:cs="黑体"/>
          <w:szCs w:val="22"/>
        </w:rPr>
        <w:t>每年对仪器进行一次预防性维护，对采样系统、分析系统（特别是石英炉）进行检查与清洁，更换石英衬管及必要的耗材与配件。保养后，应对仪器进行全面校准与检查，包括多点核查、重复性、稳定性，以确保仪器在维护前后数据的准确性和可比性。</w:t>
      </w:r>
    </w:p>
    <w:p w14:paraId="7992B5A4">
      <w:pPr>
        <w:pStyle w:val="5"/>
        <w:spacing w:before="240" w:after="240" w:line="360" w:lineRule="auto"/>
        <w:ind w:left="862" w:hanging="862"/>
      </w:pPr>
      <w:r>
        <w:rPr>
          <w:rFonts w:hint="eastAsia"/>
        </w:rPr>
        <w:t>在线离子</w:t>
      </w:r>
      <w:r>
        <w:t>分析仪</w:t>
      </w:r>
    </w:p>
    <w:p w14:paraId="2930F8F3">
      <w:pPr>
        <w:pStyle w:val="6"/>
        <w:spacing w:before="120" w:after="120"/>
        <w:ind w:left="1009" w:hanging="1009"/>
      </w:pPr>
      <w:r>
        <w:t>每日</w:t>
      </w:r>
    </w:p>
    <w:p w14:paraId="05CF1A73">
      <w:pPr>
        <w:ind w:firstLine="420" w:firstLineChars="200"/>
        <w:jc w:val="left"/>
        <w:rPr>
          <w:rFonts w:cs="黑体"/>
          <w:szCs w:val="22"/>
        </w:rPr>
      </w:pPr>
      <w:r>
        <w:rPr>
          <w:rFonts w:hint="eastAsia" w:cs="黑体"/>
          <w:szCs w:val="22"/>
        </w:rPr>
        <w:t>（1）每日检查仪器运行状况，包括采样流量、环境压力、环境温度、阴阳离子柱压、流速、背景电导率、收集量等状态参数，如配备淋洗液发生器的系统，检查罐中淋洗液的剩余量。如有异常情况和报警信息应及时处理，保证仪器运行正常。</w:t>
      </w:r>
    </w:p>
    <w:p w14:paraId="32DABEE3">
      <w:pPr>
        <w:ind w:firstLine="420" w:firstLineChars="200"/>
        <w:jc w:val="left"/>
        <w:rPr>
          <w:rFonts w:cs="黑体"/>
          <w:szCs w:val="22"/>
        </w:rPr>
      </w:pPr>
      <w:r>
        <w:rPr>
          <w:rFonts w:hint="eastAsia" w:cs="黑体"/>
          <w:szCs w:val="22"/>
        </w:rPr>
        <w:t>（2）每日查看仪器采集软件、分析软件是否正常运行和采集数据。</w:t>
      </w:r>
    </w:p>
    <w:p w14:paraId="082400C3">
      <w:pPr>
        <w:ind w:firstLine="420" w:firstLineChars="200"/>
        <w:jc w:val="left"/>
        <w:rPr>
          <w:rFonts w:cs="黑体"/>
          <w:szCs w:val="22"/>
        </w:rPr>
      </w:pPr>
      <w:r>
        <w:rPr>
          <w:rFonts w:hint="eastAsia" w:cs="黑体"/>
          <w:szCs w:val="22"/>
        </w:rPr>
        <w:t>（3）每日监控运行序列是否足够，如配有内标，检查内标响应的稳定性，内标测试值与理论浓度值相对误差不能超出±10%，否则需要更换内标液或排查内标异常情况。</w:t>
      </w:r>
    </w:p>
    <w:p w14:paraId="331996D1">
      <w:pPr>
        <w:ind w:firstLine="420" w:firstLineChars="200"/>
        <w:jc w:val="left"/>
        <w:rPr>
          <w:rFonts w:cs="黑体"/>
          <w:szCs w:val="22"/>
        </w:rPr>
      </w:pPr>
      <w:r>
        <w:rPr>
          <w:rFonts w:hint="eastAsia" w:cs="黑体"/>
          <w:szCs w:val="22"/>
        </w:rPr>
        <w:t>（4）每日检查离子色谱基线是否稳定，基线波动应小于等于0.2μs/cm。</w:t>
      </w:r>
    </w:p>
    <w:p w14:paraId="2493E004">
      <w:pPr>
        <w:ind w:firstLine="420" w:firstLineChars="200"/>
        <w:jc w:val="left"/>
        <w:rPr>
          <w:rFonts w:cs="黑体"/>
          <w:szCs w:val="22"/>
        </w:rPr>
      </w:pPr>
      <w:r>
        <w:rPr>
          <w:rFonts w:hint="eastAsia" w:cs="黑体"/>
          <w:szCs w:val="22"/>
        </w:rPr>
        <w:t>（5）每日审核原始谱图，检查谱图是否正常，目标物峰形是否出现明显拖尾或色谱峰缺失，当拖尾因子超过0.7-2.5范围视为严重拖尾（阳离子以Mg</w:t>
      </w:r>
      <w:r>
        <w:rPr>
          <w:rFonts w:hint="eastAsia" w:cs="黑体"/>
          <w:szCs w:val="22"/>
          <w:vertAlign w:val="superscript"/>
        </w:rPr>
        <w:t>+</w:t>
      </w:r>
      <w:r>
        <w:rPr>
          <w:rFonts w:hint="eastAsia" w:cs="黑体"/>
          <w:szCs w:val="22"/>
        </w:rPr>
        <w:t>计，阴离子以NO</w:t>
      </w:r>
      <w:r>
        <w:rPr>
          <w:rFonts w:hint="eastAsia" w:cs="黑体"/>
          <w:szCs w:val="22"/>
          <w:vertAlign w:val="subscript"/>
        </w:rPr>
        <w:t>3</w:t>
      </w:r>
      <w:r>
        <w:rPr>
          <w:rFonts w:hint="eastAsia" w:cs="黑体"/>
          <w:szCs w:val="22"/>
          <w:vertAlign w:val="superscript"/>
        </w:rPr>
        <w:t>-</w:t>
      </w:r>
      <w:r>
        <w:rPr>
          <w:rFonts w:hint="eastAsia" w:cs="黑体"/>
          <w:szCs w:val="22"/>
        </w:rPr>
        <w:t>计），应及时检查维护；检查目标物的出峰时间和峰宽，如果峰漂移超出保留时间要求或峰宽变化大于10%，应及时检查维护，确保目标物定性及定量的准确性。</w:t>
      </w:r>
    </w:p>
    <w:p w14:paraId="5C203A49">
      <w:pPr>
        <w:pStyle w:val="6"/>
      </w:pPr>
      <w:r>
        <w:t>每周</w:t>
      </w:r>
    </w:p>
    <w:p w14:paraId="13A60F16">
      <w:pPr>
        <w:ind w:firstLine="420" w:firstLineChars="200"/>
        <w:jc w:val="left"/>
        <w:rPr>
          <w:rFonts w:cs="黑体"/>
          <w:szCs w:val="22"/>
        </w:rPr>
      </w:pPr>
      <w:r>
        <w:rPr>
          <w:rFonts w:hint="eastAsia" w:cs="黑体"/>
          <w:szCs w:val="22"/>
        </w:rPr>
        <w:t>（1）每周至少一次现场巡检，检查仪器运行状态。</w:t>
      </w:r>
    </w:p>
    <w:p w14:paraId="4A67E019">
      <w:pPr>
        <w:ind w:firstLine="420" w:firstLineChars="200"/>
        <w:jc w:val="left"/>
        <w:rPr>
          <w:rFonts w:cs="黑体"/>
          <w:szCs w:val="22"/>
        </w:rPr>
      </w:pPr>
      <w:r>
        <w:rPr>
          <w:rFonts w:hint="eastAsia" w:cs="黑体"/>
          <w:szCs w:val="22"/>
        </w:rPr>
        <w:t>（2）每周检查户外滤水杯。</w:t>
      </w:r>
    </w:p>
    <w:p w14:paraId="24C70A9E">
      <w:pPr>
        <w:ind w:firstLine="420" w:firstLineChars="200"/>
        <w:jc w:val="left"/>
        <w:rPr>
          <w:rFonts w:cs="黑体"/>
          <w:szCs w:val="22"/>
        </w:rPr>
      </w:pPr>
      <w:r>
        <w:rPr>
          <w:rFonts w:hint="eastAsia" w:cs="黑体"/>
          <w:szCs w:val="22"/>
        </w:rPr>
        <w:t>（3）每周检查蒸汽发生器水位是否正常；检查样品注射器是否充满样品；检查管路是否有气泡与漏液。</w:t>
      </w:r>
    </w:p>
    <w:p w14:paraId="6F5B8C19">
      <w:pPr>
        <w:ind w:firstLine="420" w:firstLineChars="200"/>
        <w:jc w:val="left"/>
        <w:rPr>
          <w:rFonts w:cs="黑体"/>
          <w:szCs w:val="22"/>
        </w:rPr>
      </w:pPr>
      <w:r>
        <w:rPr>
          <w:rFonts w:hint="eastAsia" w:cs="黑体"/>
          <w:szCs w:val="22"/>
        </w:rPr>
        <w:t>（4）检查溶蚀器和过滤头等是否正常，当发现漏液、进气泡或污染时，应及时更换耗材。</w:t>
      </w:r>
    </w:p>
    <w:p w14:paraId="628D6AB6">
      <w:pPr>
        <w:ind w:firstLine="420" w:firstLineChars="200"/>
        <w:jc w:val="left"/>
        <w:rPr>
          <w:rFonts w:cs="黑体"/>
          <w:szCs w:val="22"/>
        </w:rPr>
      </w:pPr>
      <w:r>
        <w:rPr>
          <w:rFonts w:hint="eastAsia" w:cs="黑体"/>
          <w:szCs w:val="22"/>
        </w:rPr>
        <w:t>（5）每周至少更换一次气溶胶过滤头，每两周更换一次气态过滤头，或根据当地污染程度加大更换频率。新过滤头使用前需进行活化。</w:t>
      </w:r>
    </w:p>
    <w:p w14:paraId="52DBC524">
      <w:pPr>
        <w:ind w:firstLine="420" w:firstLineChars="200"/>
        <w:jc w:val="left"/>
        <w:rPr>
          <w:rFonts w:cs="黑体"/>
          <w:szCs w:val="22"/>
        </w:rPr>
      </w:pPr>
      <w:r>
        <w:rPr>
          <w:rFonts w:hint="eastAsia" w:cs="黑体"/>
          <w:szCs w:val="22"/>
        </w:rPr>
        <w:t>（6）检查采样泵是否运转正常。</w:t>
      </w:r>
    </w:p>
    <w:p w14:paraId="0AACD760">
      <w:pPr>
        <w:ind w:firstLine="420" w:firstLineChars="200"/>
        <w:jc w:val="left"/>
        <w:rPr>
          <w:rFonts w:cs="黑体"/>
          <w:szCs w:val="22"/>
        </w:rPr>
      </w:pPr>
      <w:r>
        <w:rPr>
          <w:rFonts w:hint="eastAsia" w:cs="黑体"/>
          <w:szCs w:val="22"/>
        </w:rPr>
        <w:t>（7）检查采样和排气管路是否有漏气或堵塞现象，流路管路是否洁净和畅通，及时发现管路中是否有异物或气泡，必要时更换配件和耗材。</w:t>
      </w:r>
    </w:p>
    <w:p w14:paraId="12AEA1A1">
      <w:pPr>
        <w:ind w:firstLine="420" w:firstLineChars="200"/>
        <w:jc w:val="left"/>
        <w:rPr>
          <w:rFonts w:cs="黑体"/>
          <w:szCs w:val="22"/>
        </w:rPr>
      </w:pPr>
      <w:r>
        <w:rPr>
          <w:rFonts w:hint="eastAsia" w:cs="黑体"/>
          <w:szCs w:val="22"/>
        </w:rPr>
        <w:t>（8）检查淋洗液液位和吸收液液位，液位低于容积的1/5应及时整瓶更换。每次更换淋洗液后应通过单点核查的方式检查目标物的保留时间和背景电导率，查看保留时间漂移情况，如漂移超出0.5min，应重新更换（配制）淋洗液。</w:t>
      </w:r>
    </w:p>
    <w:p w14:paraId="067DCB0A">
      <w:pPr>
        <w:ind w:firstLine="420" w:firstLineChars="200"/>
        <w:jc w:val="left"/>
        <w:rPr>
          <w:rFonts w:cs="黑体"/>
          <w:szCs w:val="22"/>
        </w:rPr>
      </w:pPr>
      <w:r>
        <w:rPr>
          <w:rFonts w:hint="eastAsia" w:cs="黑体"/>
          <w:szCs w:val="22"/>
        </w:rPr>
        <w:t>（9）每周检查废液桶，及时清空。</w:t>
      </w:r>
    </w:p>
    <w:p w14:paraId="23FB6E51">
      <w:pPr>
        <w:pStyle w:val="6"/>
      </w:pPr>
      <w:r>
        <w:t>每月</w:t>
      </w:r>
    </w:p>
    <w:p w14:paraId="32F49B20">
      <w:pPr>
        <w:ind w:firstLine="420" w:firstLineChars="200"/>
        <w:jc w:val="left"/>
        <w:rPr>
          <w:rFonts w:cs="黑体"/>
          <w:szCs w:val="22"/>
        </w:rPr>
      </w:pPr>
      <w:r>
        <w:rPr>
          <w:rFonts w:hint="eastAsia" w:cs="黑体"/>
          <w:szCs w:val="22"/>
        </w:rPr>
        <w:t>（1）每月至少清洁一次采样头，若遇到重污染或沙尘天气，应在污染结束后及时清洁采样头。</w:t>
      </w:r>
    </w:p>
    <w:p w14:paraId="72EDDA9A">
      <w:pPr>
        <w:ind w:firstLine="420" w:firstLineChars="200"/>
        <w:jc w:val="left"/>
        <w:rPr>
          <w:rFonts w:cs="黑体"/>
          <w:szCs w:val="22"/>
        </w:rPr>
      </w:pPr>
      <w:r>
        <w:rPr>
          <w:rFonts w:hint="eastAsia" w:cs="黑体"/>
          <w:szCs w:val="22"/>
        </w:rPr>
        <w:t>（2）每月至少进行一次仪器原始数据备份。</w:t>
      </w:r>
    </w:p>
    <w:p w14:paraId="75EA8AC7">
      <w:pPr>
        <w:ind w:firstLine="420" w:firstLineChars="200"/>
        <w:jc w:val="left"/>
        <w:rPr>
          <w:rFonts w:cs="黑体"/>
          <w:szCs w:val="22"/>
        </w:rPr>
      </w:pPr>
      <w:r>
        <w:rPr>
          <w:rFonts w:hint="eastAsia" w:cs="黑体"/>
          <w:szCs w:val="22"/>
        </w:rPr>
        <w:t>（3）根据仪器说明书的要求更换耗材、试剂与配件。</w:t>
      </w:r>
    </w:p>
    <w:p w14:paraId="72C9BE60">
      <w:pPr>
        <w:pStyle w:val="6"/>
      </w:pPr>
      <w:r>
        <w:t>每季度</w:t>
      </w:r>
    </w:p>
    <w:p w14:paraId="5BA0BC73">
      <w:pPr>
        <w:ind w:firstLine="420" w:firstLineChars="200"/>
        <w:jc w:val="left"/>
        <w:rPr>
          <w:rFonts w:cs="黑体"/>
          <w:szCs w:val="22"/>
        </w:rPr>
      </w:pPr>
      <w:r>
        <w:rPr>
          <w:rFonts w:hint="eastAsia" w:cs="黑体"/>
          <w:szCs w:val="22"/>
        </w:rPr>
        <w:t>（1）如采用溶蚀器滤膜的仪器，至少每季度更换一次滤膜。</w:t>
      </w:r>
    </w:p>
    <w:p w14:paraId="462F16E7">
      <w:pPr>
        <w:ind w:firstLine="420" w:firstLineChars="200"/>
        <w:jc w:val="left"/>
        <w:rPr>
          <w:rFonts w:cs="黑体"/>
          <w:szCs w:val="22"/>
        </w:rPr>
      </w:pPr>
      <w:r>
        <w:rPr>
          <w:rFonts w:hint="eastAsia" w:cs="黑体"/>
          <w:szCs w:val="22"/>
        </w:rPr>
        <w:t>（2）每季度至少清洗一次溶蚀器、蒸汽发生器及前处理内部管路（每季度至少对溶蚀器、蒸汽发生器及前处理内部管路进行一次灭菌与清洗），或根据当地污染程度加大清洗频率。</w:t>
      </w:r>
    </w:p>
    <w:p w14:paraId="4509FE2D">
      <w:pPr>
        <w:ind w:firstLine="420" w:firstLineChars="200"/>
        <w:jc w:val="left"/>
        <w:rPr>
          <w:rFonts w:cs="黑体"/>
          <w:szCs w:val="22"/>
        </w:rPr>
      </w:pPr>
      <w:r>
        <w:rPr>
          <w:rFonts w:hint="eastAsia" w:cs="黑体"/>
          <w:szCs w:val="22"/>
        </w:rPr>
        <w:t>（3）根据仪器说明书的要求更换耗材、试剂与配件，如保护柱、色谱柱过滤片。</w:t>
      </w:r>
    </w:p>
    <w:p w14:paraId="7321FB35">
      <w:pPr>
        <w:pStyle w:val="6"/>
      </w:pPr>
      <w:r>
        <w:t>每年</w:t>
      </w:r>
    </w:p>
    <w:p w14:paraId="0D90F18D">
      <w:pPr>
        <w:ind w:firstLine="420" w:firstLineChars="200"/>
        <w:jc w:val="left"/>
        <w:rPr>
          <w:rFonts w:cs="黑体"/>
          <w:szCs w:val="22"/>
        </w:rPr>
      </w:pPr>
      <w:r>
        <w:rPr>
          <w:rFonts w:hint="eastAsia" w:cs="黑体"/>
          <w:szCs w:val="22"/>
        </w:rPr>
        <w:t>每年对仪器进行一次预防性维护，更换整机管路，包括前处理部分和分析主机部分；对采样系统、分析系统进行检查与清洁，更换必要的耗材与配件。保养后，应对仪器进行全面校准与检查，包括多点核查、重复性、稳定性，以确保仪器在维护前后数据的准确性和可比性。</w:t>
      </w:r>
    </w:p>
    <w:p w14:paraId="3BCDB391">
      <w:pPr>
        <w:pStyle w:val="5"/>
        <w:spacing w:before="240" w:after="240" w:line="360" w:lineRule="auto"/>
        <w:ind w:left="862" w:hanging="862"/>
      </w:pPr>
      <w:r>
        <w:rPr>
          <w:rFonts w:hint="eastAsia"/>
        </w:rPr>
        <w:t>PM2.5颗粒物自动监测仪</w:t>
      </w:r>
    </w:p>
    <w:p w14:paraId="30F890D8">
      <w:pPr>
        <w:pStyle w:val="6"/>
      </w:pPr>
      <w:r>
        <w:rPr>
          <w:rFonts w:hint="eastAsia"/>
        </w:rPr>
        <w:t>采样系统</w:t>
      </w:r>
    </w:p>
    <w:p w14:paraId="4C60B475">
      <w:pPr>
        <w:ind w:firstLine="420" w:firstLineChars="200"/>
        <w:rPr>
          <w:rFonts w:hint="eastAsia"/>
        </w:rPr>
      </w:pPr>
      <w:r>
        <w:rPr>
          <w:rFonts w:hint="eastAsia"/>
        </w:rPr>
        <w:t>每月至少清洁一次采样头。若遇到重污染过程或沙尘天气，还应在污染过程结束后及时清洁采样头；在受到植物飞絮、飞虫影响的季节，应增加采样头的检查和清洁频次。清洁时，应完全拆开采样头和PM</w:t>
      </w:r>
      <w:r>
        <w:rPr>
          <w:vertAlign w:val="subscript"/>
        </w:rPr>
        <w:t>2.5</w:t>
      </w:r>
      <w:r>
        <w:rPr>
          <w:rFonts w:hint="eastAsia"/>
        </w:rPr>
        <w:t>切割器，用蒸馏水或者无水乙醇清洁，完全晾于或用风机吹于后重新组装，组装时应检查密封圈的密封情况。</w:t>
      </w:r>
    </w:p>
    <w:p w14:paraId="77DE987C">
      <w:pPr>
        <w:ind w:firstLine="420" w:firstLineChars="200"/>
      </w:pPr>
      <w:r>
        <w:rPr>
          <w:rFonts w:hint="eastAsia"/>
        </w:rPr>
        <w:t>每年对采样管路至少进行一次清洁，污染较重地区可增加清洁频次。采样管清洁后必须进行气密性检查，并进行采样流量校准。</w:t>
      </w:r>
    </w:p>
    <w:p w14:paraId="6CEF25F3">
      <w:pPr>
        <w:pStyle w:val="6"/>
      </w:pPr>
      <w:r>
        <w:rPr>
          <w:rFonts w:hint="eastAsia"/>
        </w:rPr>
        <w:t>监测仪器</w:t>
      </w:r>
    </w:p>
    <w:p w14:paraId="06245C08">
      <w:pPr>
        <w:ind w:firstLine="420" w:firstLineChars="200"/>
        <w:rPr>
          <w:rFonts w:hint="eastAsia"/>
        </w:rPr>
      </w:pPr>
      <w:r>
        <w:rPr>
          <w:rFonts w:hint="eastAsia"/>
        </w:rPr>
        <w:t>1）每周按仪器使用说明书检查监测仪器的运行状况和状态参数是否正常。</w:t>
      </w:r>
    </w:p>
    <w:p w14:paraId="36966404">
      <w:pPr>
        <w:ind w:firstLine="420" w:firstLineChars="200"/>
      </w:pPr>
      <w:r>
        <w:rPr>
          <w:rFonts w:hint="eastAsia"/>
        </w:rPr>
        <w:t>2）每周检查纸带：检查纸带位置是否正常，采样斑点是否圆滑、均匀、完整;检查纸带剩余长度，如长度不足时应提前更换。</w:t>
      </w:r>
    </w:p>
    <w:p w14:paraId="16050672">
      <w:pPr>
        <w:ind w:firstLine="420" w:firstLineChars="200"/>
        <w:rPr>
          <w:rFonts w:hint="eastAsia"/>
        </w:rPr>
      </w:pPr>
      <w:r>
        <w:rPr>
          <w:rFonts w:hint="eastAsia"/>
        </w:rPr>
        <w:t>3）每月清洁一次β射线仪器的压头及纸带下的垫块，在污染较重的季节或连续污染天气后应增加清洁频次；应使用棉签棒蘸无水乙醇进行清洁。</w:t>
      </w:r>
    </w:p>
    <w:p w14:paraId="71DC400E">
      <w:pPr>
        <w:ind w:firstLine="420" w:firstLineChars="200"/>
        <w:rPr>
          <w:rFonts w:hint="eastAsia"/>
        </w:rPr>
      </w:pPr>
      <w:r>
        <w:rPr>
          <w:rFonts w:hint="eastAsia"/>
        </w:rPr>
        <w:t>4）每月检查颗粒物监测仪器的加热装置是否正常工作，加热温度是否正常。</w:t>
      </w:r>
    </w:p>
    <w:p w14:paraId="4835F3F6">
      <w:pPr>
        <w:ind w:firstLine="420" w:firstLineChars="200"/>
        <w:rPr>
          <w:rFonts w:hint="eastAsia"/>
        </w:rPr>
      </w:pPr>
      <w:r>
        <w:rPr>
          <w:rFonts w:hint="eastAsia"/>
        </w:rPr>
        <w:t>5）每月对β射线仪器的时钟进行检查：如仪器与数据采集仪连接，应同时检查数据采集仪的时钟。</w:t>
      </w:r>
    </w:p>
    <w:p w14:paraId="669B151D">
      <w:pPr>
        <w:ind w:firstLine="420" w:firstLineChars="200"/>
        <w:rPr>
          <w:rFonts w:hint="eastAsia"/>
        </w:rPr>
      </w:pPr>
      <w:r>
        <w:rPr>
          <w:rFonts w:hint="eastAsia"/>
        </w:rPr>
        <w:t>6）仪器说明书规定的其它维护内容。</w:t>
      </w:r>
    </w:p>
    <w:p w14:paraId="7434B70F">
      <w:pPr>
        <w:ind w:firstLine="420" w:firstLineChars="200"/>
      </w:pPr>
      <w:r>
        <w:rPr>
          <w:rFonts w:hint="eastAsia"/>
        </w:rPr>
        <w:t>7）每次巡检维护均要有记录，并定期存档。</w:t>
      </w:r>
    </w:p>
    <w:p w14:paraId="3A80B2EB">
      <w:pPr>
        <w:pStyle w:val="6"/>
      </w:pPr>
      <w:r>
        <w:rPr>
          <w:rFonts w:hint="eastAsia"/>
        </w:rPr>
        <w:t>故障检修</w:t>
      </w:r>
    </w:p>
    <w:p w14:paraId="00FD1C84">
      <w:pPr>
        <w:ind w:firstLine="420" w:firstLineChars="200"/>
        <w:rPr>
          <w:rFonts w:hint="eastAsia"/>
        </w:rPr>
      </w:pPr>
      <w:r>
        <w:rPr>
          <w:rFonts w:hint="eastAsia"/>
        </w:rPr>
        <w:t>对出现故障的仪器设备应进行针对性的检查和维修。</w:t>
      </w:r>
    </w:p>
    <w:p w14:paraId="647EE3F4">
      <w:pPr>
        <w:ind w:firstLine="420" w:firstLineChars="200"/>
      </w:pPr>
      <w:r>
        <w:t>1</w:t>
      </w:r>
      <w:r>
        <w:rPr>
          <w:rFonts w:hint="eastAsia"/>
        </w:rPr>
        <w:t>）根据仪器厂商提供的维修手册要求，开展故障判断和检修。</w:t>
      </w:r>
    </w:p>
    <w:p w14:paraId="2E849D6A">
      <w:pPr>
        <w:ind w:firstLine="420" w:firstLineChars="200"/>
        <w:rPr>
          <w:rFonts w:hint="eastAsia"/>
        </w:rPr>
      </w:pPr>
      <w:r>
        <w:rPr>
          <w:rFonts w:hint="eastAsia"/>
        </w:rPr>
        <w:t>2）对于在现场能够诊断明确，并且可以通过简单更换备件解决的仪器故障，应及时检修并尽快恢复正常运行。</w:t>
      </w:r>
    </w:p>
    <w:p w14:paraId="1CBC542B">
      <w:pPr>
        <w:ind w:firstLine="420" w:firstLineChars="200"/>
        <w:rPr>
          <w:rFonts w:hint="eastAsia"/>
        </w:rPr>
      </w:pPr>
      <w:r>
        <w:t>3</w:t>
      </w:r>
      <w:r>
        <w:rPr>
          <w:rFonts w:hint="eastAsia"/>
        </w:rPr>
        <w:t>）对于不能在现场完成故障检修的仪器，应送至系统支持实验室进行检查和维修，并及时采用备用仪器开展监测。</w:t>
      </w:r>
    </w:p>
    <w:p w14:paraId="53ED7A26">
      <w:pPr>
        <w:ind w:firstLine="420" w:firstLineChars="200"/>
        <w:rPr>
          <w:rFonts w:hint="eastAsia"/>
        </w:rPr>
      </w:pPr>
      <w:r>
        <w:t>4</w:t>
      </w:r>
      <w:r>
        <w:rPr>
          <w:rFonts w:hint="eastAsia"/>
        </w:rPr>
        <w:t>）每次故障检修完成后，应对仪器进行校准。</w:t>
      </w:r>
    </w:p>
    <w:p w14:paraId="5C490966">
      <w:pPr>
        <w:ind w:firstLine="420" w:firstLineChars="200"/>
        <w:sectPr>
          <w:pgSz w:w="11906" w:h="16838"/>
          <w:pgMar w:top="1440" w:right="1800" w:bottom="1440" w:left="1800" w:header="851" w:footer="992" w:gutter="0"/>
          <w:pgNumType w:fmt="decimal"/>
          <w:cols w:space="720" w:num="1"/>
          <w:docGrid w:type="lines" w:linePitch="312" w:charSpace="0"/>
        </w:sectPr>
      </w:pPr>
      <w:r>
        <w:t>5</w:t>
      </w:r>
      <w:r>
        <w:rPr>
          <w:rFonts w:hint="eastAsia"/>
        </w:rPr>
        <w:t>）每次故障检修完成后，应对检修、校准和测试情况进行记录并存档。</w:t>
      </w:r>
    </w:p>
    <w:p w14:paraId="7FF7482A">
      <w:pPr>
        <w:pStyle w:val="2"/>
        <w:jc w:val="center"/>
        <w:rPr>
          <w:rFonts w:asciiTheme="minorEastAsia" w:hAnsiTheme="minorEastAsia" w:cstheme="minorEastAsia"/>
          <w:sz w:val="30"/>
          <w:szCs w:val="30"/>
        </w:rPr>
      </w:pPr>
      <w:bookmarkStart w:id="56" w:name="_Toc114760394"/>
      <w:r>
        <w:rPr>
          <w:rFonts w:hint="eastAsia" w:asciiTheme="minorEastAsia" w:hAnsiTheme="minorEastAsia" w:cstheme="minorEastAsia"/>
          <w:sz w:val="30"/>
          <w:szCs w:val="30"/>
        </w:rPr>
        <w:t>第五章 响应文件格式</w:t>
      </w:r>
      <w:bookmarkEnd w:id="56"/>
    </w:p>
    <w:p w14:paraId="6901391C">
      <w:pPr>
        <w:autoSpaceDE w:val="0"/>
        <w:autoSpaceDN w:val="0"/>
        <w:adjustRightInd w:val="0"/>
        <w:spacing w:line="420" w:lineRule="exact"/>
        <w:ind w:right="140"/>
        <w:jc w:val="right"/>
        <w:rPr>
          <w:rFonts w:asciiTheme="minorEastAsia" w:hAnsiTheme="minorEastAsia" w:cstheme="minorEastAsia"/>
          <w:kern w:val="0"/>
          <w:sz w:val="28"/>
          <w:szCs w:val="28"/>
        </w:rPr>
      </w:pPr>
      <w:r>
        <w:rPr>
          <w:rFonts w:hint="eastAsia" w:asciiTheme="minorEastAsia" w:hAnsiTheme="minorEastAsia" w:cstheme="minorEastAsia"/>
          <w:kern w:val="0"/>
          <w:sz w:val="28"/>
          <w:szCs w:val="28"/>
        </w:rPr>
        <w:t>正本/副本</w:t>
      </w:r>
    </w:p>
    <w:p w14:paraId="5446534F">
      <w:pPr>
        <w:autoSpaceDE w:val="0"/>
        <w:autoSpaceDN w:val="0"/>
        <w:adjustRightInd w:val="0"/>
        <w:spacing w:line="420" w:lineRule="exact"/>
        <w:jc w:val="left"/>
        <w:rPr>
          <w:rFonts w:asciiTheme="minorEastAsia" w:hAnsiTheme="minorEastAsia" w:cstheme="minorEastAsia"/>
          <w:kern w:val="0"/>
          <w:sz w:val="28"/>
          <w:szCs w:val="28"/>
        </w:rPr>
      </w:pPr>
    </w:p>
    <w:p w14:paraId="2C8EB205">
      <w:pPr>
        <w:autoSpaceDE w:val="0"/>
        <w:autoSpaceDN w:val="0"/>
        <w:adjustRightInd w:val="0"/>
        <w:spacing w:line="420" w:lineRule="exact"/>
        <w:jc w:val="left"/>
        <w:rPr>
          <w:rFonts w:asciiTheme="minorEastAsia" w:hAnsiTheme="minorEastAsia" w:cstheme="minorEastAsia"/>
          <w:kern w:val="0"/>
          <w:sz w:val="28"/>
          <w:szCs w:val="28"/>
        </w:rPr>
      </w:pPr>
    </w:p>
    <w:p w14:paraId="437EA2C7">
      <w:pPr>
        <w:autoSpaceDE w:val="0"/>
        <w:autoSpaceDN w:val="0"/>
        <w:adjustRightInd w:val="0"/>
        <w:spacing w:line="420" w:lineRule="exact"/>
        <w:jc w:val="left"/>
        <w:rPr>
          <w:rFonts w:asciiTheme="minorEastAsia" w:hAnsiTheme="minorEastAsia" w:cstheme="minorEastAsia"/>
          <w:kern w:val="0"/>
          <w:sz w:val="28"/>
          <w:szCs w:val="28"/>
        </w:rPr>
      </w:pPr>
    </w:p>
    <w:p w14:paraId="0C5C39C3">
      <w:pPr>
        <w:spacing w:line="360" w:lineRule="auto"/>
        <w:jc w:val="center"/>
        <w:rPr>
          <w:rFonts w:asciiTheme="minorEastAsia" w:hAnsiTheme="minorEastAsia" w:cstheme="minorEastAsia"/>
          <w:b/>
          <w:sz w:val="36"/>
          <w:szCs w:val="36"/>
        </w:rPr>
      </w:pPr>
      <w:r>
        <w:rPr>
          <w:rFonts w:hint="eastAsia" w:asciiTheme="minorEastAsia" w:hAnsiTheme="minorEastAsia" w:cstheme="minorEastAsia"/>
          <w:b/>
          <w:sz w:val="36"/>
          <w:szCs w:val="36"/>
        </w:rPr>
        <w:t>（项目名称）</w:t>
      </w:r>
    </w:p>
    <w:p w14:paraId="7DB54836">
      <w:pPr>
        <w:spacing w:line="360" w:lineRule="auto"/>
        <w:jc w:val="center"/>
        <w:rPr>
          <w:rFonts w:asciiTheme="minorEastAsia" w:hAnsiTheme="minorEastAsia" w:cstheme="minorEastAsia"/>
          <w:b/>
          <w:sz w:val="36"/>
          <w:szCs w:val="36"/>
        </w:rPr>
      </w:pPr>
    </w:p>
    <w:p w14:paraId="269D3E20">
      <w:pPr>
        <w:spacing w:line="360" w:lineRule="auto"/>
        <w:jc w:val="center"/>
        <w:rPr>
          <w:rFonts w:asciiTheme="minorEastAsia" w:hAnsiTheme="minorEastAsia" w:cstheme="minorEastAsia"/>
          <w:b/>
          <w:sz w:val="36"/>
          <w:szCs w:val="36"/>
        </w:rPr>
      </w:pPr>
    </w:p>
    <w:p w14:paraId="1588BF82">
      <w:pPr>
        <w:spacing w:line="360" w:lineRule="auto"/>
        <w:jc w:val="center"/>
        <w:rPr>
          <w:rFonts w:asciiTheme="minorEastAsia" w:hAnsiTheme="minorEastAsia" w:cstheme="minorEastAsia"/>
          <w:b/>
          <w:sz w:val="72"/>
          <w:szCs w:val="72"/>
        </w:rPr>
      </w:pPr>
      <w:r>
        <w:rPr>
          <w:rFonts w:hint="eastAsia" w:asciiTheme="minorEastAsia" w:hAnsiTheme="minorEastAsia" w:cstheme="minorEastAsia"/>
          <w:b/>
          <w:sz w:val="72"/>
          <w:szCs w:val="72"/>
        </w:rPr>
        <w:t>单一来源采购响应文件</w:t>
      </w:r>
    </w:p>
    <w:p w14:paraId="10A48939">
      <w:pPr>
        <w:spacing w:line="360" w:lineRule="auto"/>
        <w:jc w:val="center"/>
        <w:rPr>
          <w:rFonts w:asciiTheme="minorEastAsia" w:hAnsiTheme="minorEastAsia" w:cstheme="minorEastAsia"/>
          <w:b/>
          <w:sz w:val="28"/>
          <w:szCs w:val="28"/>
        </w:rPr>
      </w:pPr>
      <w:r>
        <w:rPr>
          <w:rFonts w:hint="eastAsia" w:asciiTheme="minorEastAsia" w:hAnsiTheme="minorEastAsia" w:cstheme="minorEastAsia"/>
          <w:b/>
          <w:sz w:val="28"/>
          <w:szCs w:val="28"/>
        </w:rPr>
        <w:t>项目编号：</w:t>
      </w:r>
    </w:p>
    <w:p w14:paraId="62064D72">
      <w:pPr>
        <w:spacing w:line="360" w:lineRule="auto"/>
        <w:jc w:val="center"/>
        <w:rPr>
          <w:rFonts w:asciiTheme="minorEastAsia" w:hAnsiTheme="minorEastAsia" w:cstheme="minorEastAsia"/>
          <w:sz w:val="24"/>
        </w:rPr>
      </w:pPr>
    </w:p>
    <w:p w14:paraId="400A08CE">
      <w:pPr>
        <w:spacing w:line="360" w:lineRule="auto"/>
        <w:jc w:val="center"/>
        <w:rPr>
          <w:rFonts w:asciiTheme="minorEastAsia" w:hAnsiTheme="minorEastAsia" w:cstheme="minorEastAsia"/>
          <w:b/>
          <w:bCs/>
          <w:sz w:val="32"/>
          <w:szCs w:val="32"/>
        </w:rPr>
      </w:pPr>
    </w:p>
    <w:p w14:paraId="19412022">
      <w:pPr>
        <w:tabs>
          <w:tab w:val="left" w:pos="6247"/>
        </w:tabs>
        <w:spacing w:line="360" w:lineRule="auto"/>
        <w:jc w:val="left"/>
        <w:rPr>
          <w:rFonts w:asciiTheme="minorEastAsia" w:hAnsiTheme="minorEastAsia" w:cstheme="minorEastAsia"/>
          <w:b/>
          <w:bCs/>
          <w:sz w:val="32"/>
          <w:szCs w:val="32"/>
        </w:rPr>
      </w:pPr>
      <w:r>
        <w:rPr>
          <w:rFonts w:hint="eastAsia" w:asciiTheme="minorEastAsia" w:hAnsiTheme="minorEastAsia" w:cstheme="minorEastAsia"/>
          <w:b/>
          <w:bCs/>
          <w:sz w:val="32"/>
          <w:szCs w:val="32"/>
        </w:rPr>
        <w:tab/>
      </w:r>
    </w:p>
    <w:p w14:paraId="4A4C2485">
      <w:pPr>
        <w:spacing w:line="360" w:lineRule="auto"/>
        <w:jc w:val="center"/>
        <w:rPr>
          <w:rFonts w:asciiTheme="minorEastAsia" w:hAnsiTheme="minorEastAsia" w:cstheme="minorEastAsia"/>
          <w:b/>
          <w:bCs/>
          <w:sz w:val="32"/>
          <w:szCs w:val="32"/>
        </w:rPr>
      </w:pPr>
    </w:p>
    <w:p w14:paraId="2311A6DB">
      <w:pPr>
        <w:spacing w:line="360" w:lineRule="auto"/>
        <w:jc w:val="center"/>
        <w:rPr>
          <w:rFonts w:asciiTheme="minorEastAsia" w:hAnsiTheme="minorEastAsia" w:cstheme="minorEastAsia"/>
          <w:b/>
          <w:bCs/>
          <w:sz w:val="32"/>
          <w:szCs w:val="32"/>
        </w:rPr>
      </w:pPr>
    </w:p>
    <w:p w14:paraId="7B890918">
      <w:pPr>
        <w:spacing w:line="360" w:lineRule="auto"/>
        <w:rPr>
          <w:rFonts w:asciiTheme="minorEastAsia" w:hAnsiTheme="minorEastAsia" w:cstheme="minorEastAsia"/>
          <w:b/>
          <w:bCs/>
          <w:sz w:val="32"/>
          <w:szCs w:val="32"/>
        </w:rPr>
      </w:pPr>
    </w:p>
    <w:p w14:paraId="35037C57">
      <w:pPr>
        <w:spacing w:line="360" w:lineRule="auto"/>
        <w:jc w:val="center"/>
        <w:rPr>
          <w:rFonts w:asciiTheme="minorEastAsia" w:hAnsiTheme="minorEastAsia" w:cstheme="minorEastAsia"/>
          <w:b/>
          <w:bCs/>
          <w:sz w:val="32"/>
          <w:szCs w:val="32"/>
        </w:rPr>
      </w:pPr>
    </w:p>
    <w:p w14:paraId="4E66F622">
      <w:pPr>
        <w:spacing w:line="480" w:lineRule="auto"/>
        <w:ind w:firstLine="1063" w:firstLineChars="353"/>
        <w:jc w:val="left"/>
        <w:rPr>
          <w:rFonts w:asciiTheme="minorEastAsia" w:hAnsiTheme="minorEastAsia" w:cstheme="minorEastAsia"/>
          <w:b/>
          <w:sz w:val="30"/>
          <w:szCs w:val="30"/>
          <w:u w:val="single"/>
        </w:rPr>
      </w:pPr>
      <w:r>
        <w:rPr>
          <w:rFonts w:hint="eastAsia" w:asciiTheme="minorEastAsia" w:hAnsiTheme="minorEastAsia" w:cstheme="minorEastAsia"/>
          <w:b/>
          <w:sz w:val="30"/>
          <w:szCs w:val="30"/>
        </w:rPr>
        <w:t>供应商名称：（盖单位章）</w:t>
      </w:r>
    </w:p>
    <w:p w14:paraId="41E746F1">
      <w:pPr>
        <w:spacing w:line="480" w:lineRule="auto"/>
        <w:ind w:firstLine="1063" w:firstLineChars="353"/>
        <w:rPr>
          <w:rFonts w:asciiTheme="minorEastAsia" w:hAnsiTheme="minorEastAsia" w:cstheme="minorEastAsia"/>
          <w:b/>
          <w:sz w:val="30"/>
          <w:szCs w:val="30"/>
        </w:rPr>
      </w:pPr>
      <w:r>
        <w:rPr>
          <w:rFonts w:hint="eastAsia" w:asciiTheme="minorEastAsia" w:hAnsiTheme="minorEastAsia" w:cstheme="minorEastAsia"/>
          <w:b/>
          <w:sz w:val="30"/>
          <w:szCs w:val="30"/>
        </w:rPr>
        <w:t>法定代表人或其委托代理人：</w:t>
      </w:r>
      <w:r>
        <w:rPr>
          <w:rFonts w:hint="eastAsia" w:asciiTheme="minorEastAsia" w:hAnsiTheme="minorEastAsia" w:cstheme="minorEastAsia"/>
          <w:b/>
          <w:sz w:val="30"/>
          <w:szCs w:val="30"/>
          <w:u w:val="single"/>
        </w:rPr>
        <w:t xml:space="preserve">           （</w:t>
      </w:r>
      <w:r>
        <w:rPr>
          <w:rFonts w:hint="eastAsia" w:asciiTheme="minorEastAsia" w:hAnsiTheme="minorEastAsia" w:cstheme="minorEastAsia"/>
          <w:b/>
          <w:sz w:val="30"/>
          <w:szCs w:val="30"/>
        </w:rPr>
        <w:t>签字或盖章）</w:t>
      </w:r>
    </w:p>
    <w:p w14:paraId="14006220">
      <w:pPr>
        <w:spacing w:line="360" w:lineRule="auto"/>
        <w:ind w:firstLine="1063" w:firstLineChars="353"/>
        <w:rPr>
          <w:rFonts w:asciiTheme="minorEastAsia" w:hAnsiTheme="minorEastAsia" w:cstheme="minorEastAsia"/>
          <w:sz w:val="32"/>
        </w:rPr>
      </w:pPr>
      <w:r>
        <w:rPr>
          <w:rFonts w:hint="eastAsia" w:asciiTheme="minorEastAsia" w:hAnsiTheme="minorEastAsia" w:cstheme="minorEastAsia"/>
          <w:b/>
          <w:sz w:val="30"/>
          <w:szCs w:val="30"/>
        </w:rPr>
        <w:t>日期：年  月  日</w:t>
      </w:r>
    </w:p>
    <w:p w14:paraId="75B6C89C">
      <w:pPr>
        <w:jc w:val="center"/>
        <w:rPr>
          <w:rFonts w:asciiTheme="minorEastAsia" w:hAnsiTheme="minorEastAsia" w:cstheme="minorEastAsia"/>
          <w:b/>
          <w:bCs/>
          <w:sz w:val="28"/>
          <w:szCs w:val="28"/>
        </w:rPr>
      </w:pPr>
    </w:p>
    <w:p w14:paraId="52E1FE61">
      <w:pPr>
        <w:jc w:val="center"/>
        <w:rPr>
          <w:rFonts w:asciiTheme="minorEastAsia" w:hAnsiTheme="minorEastAsia" w:cstheme="minorEastAsia"/>
          <w:b/>
          <w:bCs/>
          <w:sz w:val="28"/>
          <w:szCs w:val="28"/>
        </w:rPr>
      </w:pPr>
    </w:p>
    <w:p w14:paraId="6EEF67B3">
      <w:pPr>
        <w:pStyle w:val="3"/>
        <w:spacing w:line="240" w:lineRule="auto"/>
        <w:jc w:val="center"/>
        <w:rPr>
          <w:rFonts w:asciiTheme="minorEastAsia" w:hAnsiTheme="minorEastAsia" w:cstheme="minorEastAsia"/>
          <w:sz w:val="30"/>
          <w:szCs w:val="30"/>
        </w:rPr>
      </w:pPr>
      <w:bookmarkStart w:id="57" w:name="_Toc498152759"/>
      <w:bookmarkStart w:id="58" w:name="_Toc114760395"/>
      <w:bookmarkStart w:id="59" w:name="_Toc403994052"/>
      <w:bookmarkStart w:id="60" w:name="_Toc402961880"/>
      <w:bookmarkStart w:id="61" w:name="_Toc421713295"/>
      <w:bookmarkStart w:id="62" w:name="_Toc402721767"/>
      <w:r>
        <w:rPr>
          <w:rFonts w:hint="eastAsia" w:asciiTheme="minorEastAsia" w:hAnsiTheme="minorEastAsia" w:cstheme="minorEastAsia"/>
          <w:sz w:val="30"/>
          <w:szCs w:val="30"/>
        </w:rPr>
        <w:t>目录</w:t>
      </w:r>
      <w:bookmarkEnd w:id="57"/>
      <w:bookmarkEnd w:id="58"/>
      <w:bookmarkEnd w:id="59"/>
      <w:bookmarkEnd w:id="60"/>
      <w:bookmarkEnd w:id="61"/>
      <w:bookmarkEnd w:id="62"/>
    </w:p>
    <w:p w14:paraId="1FE18247">
      <w:pPr>
        <w:autoSpaceDE w:val="0"/>
        <w:autoSpaceDN w:val="0"/>
        <w:adjustRightInd w:val="0"/>
        <w:spacing w:line="420" w:lineRule="exact"/>
        <w:jc w:val="center"/>
        <w:rPr>
          <w:rFonts w:asciiTheme="minorEastAsia" w:hAnsiTheme="minorEastAsia" w:cstheme="minorEastAsia"/>
          <w:kern w:val="0"/>
          <w:sz w:val="28"/>
          <w:szCs w:val="28"/>
        </w:rPr>
      </w:pPr>
    </w:p>
    <w:p w14:paraId="1B52C94A">
      <w:pPr>
        <w:tabs>
          <w:tab w:val="left" w:pos="540"/>
          <w:tab w:val="left" w:pos="960"/>
        </w:tabs>
        <w:spacing w:line="500" w:lineRule="exact"/>
        <w:ind w:firstLine="105" w:firstLineChars="50"/>
        <w:rPr>
          <w:rFonts w:asciiTheme="minorEastAsia" w:hAnsiTheme="minorEastAsia" w:cstheme="minorEastAsia"/>
          <w:szCs w:val="21"/>
        </w:rPr>
      </w:pPr>
      <w:r>
        <w:rPr>
          <w:rFonts w:hint="eastAsia" w:asciiTheme="minorEastAsia" w:hAnsiTheme="minorEastAsia" w:cstheme="minorEastAsia"/>
          <w:szCs w:val="21"/>
        </w:rPr>
        <w:t>一、响应函</w:t>
      </w:r>
    </w:p>
    <w:p w14:paraId="0FF4D810">
      <w:pPr>
        <w:tabs>
          <w:tab w:val="left" w:pos="540"/>
          <w:tab w:val="left" w:pos="960"/>
        </w:tabs>
        <w:spacing w:line="500" w:lineRule="exact"/>
        <w:ind w:firstLine="105" w:firstLineChars="50"/>
        <w:rPr>
          <w:rFonts w:asciiTheme="minorEastAsia" w:hAnsiTheme="minorEastAsia" w:cstheme="minorEastAsia"/>
          <w:szCs w:val="21"/>
        </w:rPr>
      </w:pPr>
      <w:r>
        <w:rPr>
          <w:rFonts w:hint="eastAsia" w:asciiTheme="minorEastAsia" w:hAnsiTheme="minorEastAsia" w:cstheme="minorEastAsia"/>
          <w:szCs w:val="21"/>
        </w:rPr>
        <w:t>二、响应函附录</w:t>
      </w:r>
    </w:p>
    <w:p w14:paraId="74D47496">
      <w:pPr>
        <w:tabs>
          <w:tab w:val="left" w:pos="540"/>
          <w:tab w:val="left" w:pos="960"/>
        </w:tabs>
        <w:spacing w:line="500" w:lineRule="exact"/>
        <w:ind w:firstLine="105" w:firstLineChars="50"/>
        <w:rPr>
          <w:rFonts w:asciiTheme="minorEastAsia" w:hAnsiTheme="minorEastAsia" w:cstheme="minorEastAsia"/>
          <w:szCs w:val="21"/>
        </w:rPr>
      </w:pPr>
      <w:r>
        <w:rPr>
          <w:rFonts w:hint="eastAsia" w:asciiTheme="minorEastAsia" w:hAnsiTheme="minorEastAsia" w:cstheme="minorEastAsia"/>
          <w:szCs w:val="21"/>
        </w:rPr>
        <w:t>三、法定代表人身份证明</w:t>
      </w:r>
    </w:p>
    <w:p w14:paraId="527AF1D4">
      <w:pPr>
        <w:tabs>
          <w:tab w:val="left" w:pos="540"/>
          <w:tab w:val="left" w:pos="960"/>
        </w:tabs>
        <w:spacing w:line="500" w:lineRule="exact"/>
        <w:rPr>
          <w:rFonts w:asciiTheme="minorEastAsia" w:hAnsiTheme="minorEastAsia" w:cstheme="minorEastAsia"/>
          <w:szCs w:val="21"/>
        </w:rPr>
      </w:pPr>
      <w:r>
        <w:rPr>
          <w:rFonts w:hint="eastAsia" w:asciiTheme="minorEastAsia" w:hAnsiTheme="minorEastAsia" w:cstheme="minorEastAsia"/>
          <w:szCs w:val="21"/>
        </w:rPr>
        <w:t xml:space="preserve"> 四、授权委托书</w:t>
      </w:r>
    </w:p>
    <w:p w14:paraId="1471D700">
      <w:pPr>
        <w:tabs>
          <w:tab w:val="left" w:pos="540"/>
          <w:tab w:val="left" w:pos="960"/>
        </w:tabs>
        <w:spacing w:line="500" w:lineRule="exact"/>
        <w:ind w:firstLine="105" w:firstLineChars="50"/>
        <w:rPr>
          <w:rFonts w:asciiTheme="minorEastAsia" w:hAnsiTheme="minorEastAsia" w:cstheme="minorEastAsia"/>
          <w:szCs w:val="21"/>
        </w:rPr>
      </w:pPr>
      <w:r>
        <w:rPr>
          <w:rFonts w:hint="eastAsia" w:asciiTheme="minorEastAsia" w:hAnsiTheme="minorEastAsia" w:cstheme="minorEastAsia"/>
          <w:szCs w:val="21"/>
        </w:rPr>
        <w:t>五、供应商资格证明文件</w:t>
      </w:r>
    </w:p>
    <w:p w14:paraId="3EC2540E">
      <w:pPr>
        <w:tabs>
          <w:tab w:val="left" w:pos="540"/>
          <w:tab w:val="left" w:pos="960"/>
        </w:tabs>
        <w:spacing w:line="500" w:lineRule="exact"/>
        <w:ind w:firstLine="105" w:firstLineChars="50"/>
        <w:rPr>
          <w:rFonts w:asciiTheme="minorEastAsia" w:hAnsiTheme="minorEastAsia" w:cstheme="minorEastAsia"/>
          <w:szCs w:val="21"/>
        </w:rPr>
      </w:pPr>
      <w:r>
        <w:rPr>
          <w:rFonts w:hint="eastAsia" w:asciiTheme="minorEastAsia" w:hAnsiTheme="minorEastAsia" w:cstheme="minorEastAsia"/>
          <w:szCs w:val="21"/>
        </w:rPr>
        <w:t>六、本项目服务方案及实施计划</w:t>
      </w:r>
    </w:p>
    <w:p w14:paraId="2971E907">
      <w:pPr>
        <w:tabs>
          <w:tab w:val="left" w:pos="540"/>
          <w:tab w:val="left" w:pos="960"/>
        </w:tabs>
        <w:spacing w:line="500" w:lineRule="exact"/>
        <w:ind w:firstLine="105" w:firstLineChars="50"/>
        <w:rPr>
          <w:rFonts w:asciiTheme="minorEastAsia" w:hAnsiTheme="minorEastAsia" w:cstheme="minorEastAsia"/>
          <w:szCs w:val="21"/>
        </w:rPr>
      </w:pPr>
      <w:r>
        <w:rPr>
          <w:rFonts w:hint="eastAsia" w:asciiTheme="minorEastAsia" w:hAnsiTheme="minorEastAsia" w:cstheme="minorEastAsia"/>
          <w:szCs w:val="21"/>
        </w:rPr>
        <w:t>七、其他材料</w:t>
      </w:r>
    </w:p>
    <w:p w14:paraId="36D1AFAC">
      <w:pPr>
        <w:jc w:val="center"/>
        <w:rPr>
          <w:rFonts w:asciiTheme="minorEastAsia" w:hAnsiTheme="minorEastAsia" w:cstheme="minorEastAsia"/>
          <w:b/>
          <w:bCs/>
          <w:sz w:val="28"/>
          <w:szCs w:val="28"/>
        </w:rPr>
      </w:pPr>
    </w:p>
    <w:p w14:paraId="7254D927">
      <w:pPr>
        <w:jc w:val="center"/>
        <w:rPr>
          <w:rFonts w:asciiTheme="minorEastAsia" w:hAnsiTheme="minorEastAsia" w:cstheme="minorEastAsia"/>
          <w:b/>
          <w:bCs/>
          <w:sz w:val="28"/>
          <w:szCs w:val="28"/>
        </w:rPr>
      </w:pPr>
    </w:p>
    <w:p w14:paraId="2AD355A5">
      <w:pPr>
        <w:jc w:val="center"/>
        <w:rPr>
          <w:rFonts w:asciiTheme="minorEastAsia" w:hAnsiTheme="minorEastAsia" w:cstheme="minorEastAsia"/>
          <w:b/>
          <w:bCs/>
          <w:sz w:val="28"/>
          <w:szCs w:val="28"/>
        </w:rPr>
      </w:pPr>
    </w:p>
    <w:p w14:paraId="1C190EF2">
      <w:pPr>
        <w:jc w:val="center"/>
        <w:rPr>
          <w:rFonts w:asciiTheme="minorEastAsia" w:hAnsiTheme="minorEastAsia" w:cstheme="minorEastAsia"/>
          <w:b/>
          <w:bCs/>
          <w:sz w:val="28"/>
          <w:szCs w:val="28"/>
        </w:rPr>
      </w:pPr>
    </w:p>
    <w:p w14:paraId="6297FC61">
      <w:pPr>
        <w:jc w:val="center"/>
        <w:rPr>
          <w:rFonts w:asciiTheme="minorEastAsia" w:hAnsiTheme="minorEastAsia" w:cstheme="minorEastAsia"/>
          <w:b/>
          <w:bCs/>
          <w:sz w:val="28"/>
          <w:szCs w:val="28"/>
        </w:rPr>
      </w:pPr>
    </w:p>
    <w:p w14:paraId="55EF5BC6">
      <w:pPr>
        <w:jc w:val="center"/>
        <w:rPr>
          <w:rFonts w:asciiTheme="minorEastAsia" w:hAnsiTheme="minorEastAsia" w:cstheme="minorEastAsia"/>
          <w:b/>
          <w:bCs/>
          <w:sz w:val="28"/>
          <w:szCs w:val="28"/>
        </w:rPr>
      </w:pPr>
    </w:p>
    <w:p w14:paraId="4DB1ABC3">
      <w:pPr>
        <w:jc w:val="center"/>
        <w:rPr>
          <w:rFonts w:asciiTheme="minorEastAsia" w:hAnsiTheme="minorEastAsia" w:cstheme="minorEastAsia"/>
          <w:b/>
          <w:bCs/>
          <w:sz w:val="28"/>
          <w:szCs w:val="28"/>
        </w:rPr>
      </w:pPr>
    </w:p>
    <w:p w14:paraId="3463A257">
      <w:pPr>
        <w:jc w:val="center"/>
        <w:rPr>
          <w:rFonts w:asciiTheme="minorEastAsia" w:hAnsiTheme="minorEastAsia" w:cstheme="minorEastAsia"/>
          <w:b/>
          <w:bCs/>
          <w:sz w:val="28"/>
          <w:szCs w:val="28"/>
        </w:rPr>
      </w:pPr>
    </w:p>
    <w:p w14:paraId="4595F1A0">
      <w:pPr>
        <w:jc w:val="center"/>
        <w:rPr>
          <w:rFonts w:asciiTheme="minorEastAsia" w:hAnsiTheme="minorEastAsia" w:cstheme="minorEastAsia"/>
          <w:b/>
          <w:bCs/>
          <w:sz w:val="28"/>
          <w:szCs w:val="28"/>
        </w:rPr>
      </w:pPr>
    </w:p>
    <w:p w14:paraId="0DC396EF">
      <w:pPr>
        <w:jc w:val="center"/>
        <w:rPr>
          <w:rFonts w:asciiTheme="minorEastAsia" w:hAnsiTheme="minorEastAsia" w:cstheme="minorEastAsia"/>
          <w:b/>
          <w:bCs/>
          <w:sz w:val="28"/>
          <w:szCs w:val="28"/>
        </w:rPr>
      </w:pPr>
    </w:p>
    <w:p w14:paraId="6318F7DE">
      <w:pPr>
        <w:jc w:val="center"/>
        <w:rPr>
          <w:rFonts w:asciiTheme="minorEastAsia" w:hAnsiTheme="minorEastAsia" w:cstheme="minorEastAsia"/>
          <w:b/>
          <w:bCs/>
          <w:sz w:val="28"/>
          <w:szCs w:val="28"/>
        </w:rPr>
      </w:pPr>
    </w:p>
    <w:p w14:paraId="1C2D4972">
      <w:pPr>
        <w:jc w:val="center"/>
        <w:rPr>
          <w:rFonts w:asciiTheme="minorEastAsia" w:hAnsiTheme="minorEastAsia" w:cstheme="minorEastAsia"/>
          <w:b/>
          <w:bCs/>
          <w:sz w:val="28"/>
          <w:szCs w:val="28"/>
        </w:rPr>
      </w:pPr>
    </w:p>
    <w:p w14:paraId="528645FE">
      <w:pPr>
        <w:jc w:val="center"/>
        <w:rPr>
          <w:rFonts w:asciiTheme="minorEastAsia" w:hAnsiTheme="minorEastAsia" w:cstheme="minorEastAsia"/>
          <w:b/>
          <w:bCs/>
          <w:sz w:val="28"/>
          <w:szCs w:val="28"/>
        </w:rPr>
      </w:pPr>
    </w:p>
    <w:p w14:paraId="5A25A0B1">
      <w:pPr>
        <w:jc w:val="center"/>
        <w:rPr>
          <w:rFonts w:asciiTheme="minorEastAsia" w:hAnsiTheme="minorEastAsia" w:cstheme="minorEastAsia"/>
          <w:b/>
          <w:bCs/>
          <w:sz w:val="28"/>
          <w:szCs w:val="28"/>
        </w:rPr>
      </w:pPr>
    </w:p>
    <w:p w14:paraId="470F5E84">
      <w:pPr>
        <w:pStyle w:val="3"/>
        <w:spacing w:before="0" w:after="0" w:line="440" w:lineRule="exact"/>
        <w:jc w:val="center"/>
        <w:rPr>
          <w:rFonts w:asciiTheme="minorEastAsia" w:hAnsiTheme="minorEastAsia" w:cstheme="minorEastAsia"/>
          <w:sz w:val="30"/>
          <w:szCs w:val="30"/>
        </w:rPr>
      </w:pPr>
      <w:bookmarkStart w:id="63" w:name="_Toc340481666"/>
      <w:bookmarkStart w:id="64" w:name="_Toc23433"/>
      <w:bookmarkStart w:id="65" w:name="_Toc114760396"/>
      <w:bookmarkStart w:id="66" w:name="_Toc498152760"/>
      <w:r>
        <w:rPr>
          <w:rFonts w:hint="eastAsia" w:asciiTheme="minorEastAsia" w:hAnsiTheme="minorEastAsia" w:cstheme="minorEastAsia"/>
          <w:sz w:val="30"/>
          <w:szCs w:val="30"/>
        </w:rPr>
        <w:t>一、</w:t>
      </w:r>
      <w:bookmarkEnd w:id="63"/>
      <w:r>
        <w:rPr>
          <w:rFonts w:hint="eastAsia" w:asciiTheme="minorEastAsia" w:hAnsiTheme="minorEastAsia" w:cstheme="minorEastAsia"/>
          <w:sz w:val="30"/>
          <w:szCs w:val="30"/>
        </w:rPr>
        <w:t>响应函</w:t>
      </w:r>
      <w:bookmarkEnd w:id="64"/>
      <w:bookmarkEnd w:id="65"/>
      <w:bookmarkEnd w:id="66"/>
    </w:p>
    <w:p w14:paraId="254E46F2">
      <w:pPr>
        <w:spacing w:line="440" w:lineRule="exact"/>
        <w:rPr>
          <w:rFonts w:asciiTheme="minorEastAsia" w:hAnsiTheme="minorEastAsia" w:cstheme="minorEastAsia"/>
          <w:szCs w:val="21"/>
          <w:u w:val="single"/>
        </w:rPr>
      </w:pPr>
      <w:r>
        <w:rPr>
          <w:rFonts w:hint="eastAsia" w:asciiTheme="minorEastAsia" w:hAnsiTheme="minorEastAsia" w:cstheme="minorEastAsia"/>
          <w:b/>
          <w:szCs w:val="21"/>
        </w:rPr>
        <w:t>致：</w:t>
      </w:r>
      <w:r>
        <w:rPr>
          <w:rFonts w:hint="eastAsia" w:asciiTheme="minorEastAsia" w:hAnsiTheme="minorEastAsia" w:cstheme="minorEastAsia"/>
          <w:b/>
          <w:szCs w:val="21"/>
          <w:u w:val="single"/>
        </w:rPr>
        <w:t xml:space="preserve">   （采购人）             </w:t>
      </w:r>
    </w:p>
    <w:p w14:paraId="0161BC1A">
      <w:pPr>
        <w:tabs>
          <w:tab w:val="left" w:pos="540"/>
          <w:tab w:val="left" w:pos="960"/>
        </w:tabs>
        <w:spacing w:line="44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根据</w:t>
      </w:r>
      <w:r>
        <w:rPr>
          <w:rFonts w:hint="eastAsia" w:asciiTheme="minorEastAsia" w:hAnsiTheme="minorEastAsia" w:cstheme="minorEastAsia"/>
          <w:szCs w:val="21"/>
          <w:u w:val="single"/>
        </w:rPr>
        <w:t xml:space="preserve">    （  项目名称    ）   </w:t>
      </w:r>
      <w:r>
        <w:rPr>
          <w:rFonts w:hint="eastAsia" w:asciiTheme="minorEastAsia" w:hAnsiTheme="minorEastAsia" w:cstheme="minorEastAsia"/>
          <w:szCs w:val="21"/>
        </w:rPr>
        <w:t>单一来源采购文件，签字代表</w:t>
      </w:r>
      <w:r>
        <w:rPr>
          <w:rFonts w:hint="eastAsia" w:asciiTheme="minorEastAsia" w:hAnsiTheme="minorEastAsia" w:cstheme="minorEastAsia"/>
          <w:szCs w:val="21"/>
          <w:u w:val="single"/>
        </w:rPr>
        <w:t xml:space="preserve">   （姓名）</w:t>
      </w:r>
      <w:r>
        <w:rPr>
          <w:rFonts w:hint="eastAsia" w:asciiTheme="minorEastAsia" w:hAnsiTheme="minorEastAsia" w:cstheme="minorEastAsia"/>
          <w:szCs w:val="21"/>
        </w:rPr>
        <w:t>，</w:t>
      </w:r>
      <w:r>
        <w:rPr>
          <w:rFonts w:hint="eastAsia" w:asciiTheme="minorEastAsia" w:hAnsiTheme="minorEastAsia" w:cstheme="minorEastAsia"/>
          <w:szCs w:val="21"/>
          <w:u w:val="single"/>
        </w:rPr>
        <w:t>（职务）</w:t>
      </w:r>
      <w:r>
        <w:rPr>
          <w:rFonts w:hint="eastAsia" w:asciiTheme="minorEastAsia" w:hAnsiTheme="minorEastAsia" w:cstheme="minorEastAsia"/>
          <w:szCs w:val="21"/>
        </w:rPr>
        <w:t>经正式授权并代表采购供应商</w:t>
      </w:r>
      <w:r>
        <w:rPr>
          <w:rFonts w:hint="eastAsia" w:asciiTheme="minorEastAsia" w:hAnsiTheme="minorEastAsia" w:cstheme="minorEastAsia"/>
          <w:szCs w:val="21"/>
          <w:u w:val="single"/>
        </w:rPr>
        <w:t>（供应商名称）</w:t>
      </w:r>
      <w:r>
        <w:rPr>
          <w:rFonts w:hint="eastAsia" w:asciiTheme="minorEastAsia" w:hAnsiTheme="minorEastAsia" w:cstheme="minorEastAsia"/>
          <w:szCs w:val="21"/>
        </w:rPr>
        <w:t>提交下述文件，并对此负法律责任。</w:t>
      </w:r>
    </w:p>
    <w:p w14:paraId="3B26D81D">
      <w:pPr>
        <w:numPr>
          <w:ilvl w:val="0"/>
          <w:numId w:val="21"/>
        </w:numPr>
        <w:tabs>
          <w:tab w:val="left" w:pos="540"/>
          <w:tab w:val="left" w:pos="960"/>
        </w:tabs>
        <w:spacing w:line="440" w:lineRule="exact"/>
        <w:rPr>
          <w:rFonts w:asciiTheme="minorEastAsia" w:hAnsiTheme="minorEastAsia" w:cstheme="minorEastAsia"/>
          <w:szCs w:val="21"/>
        </w:rPr>
      </w:pPr>
      <w:r>
        <w:rPr>
          <w:rFonts w:hint="eastAsia" w:asciiTheme="minorEastAsia" w:hAnsiTheme="minorEastAsia" w:cstheme="minorEastAsia"/>
          <w:szCs w:val="21"/>
        </w:rPr>
        <w:t>响应函附录；</w:t>
      </w:r>
    </w:p>
    <w:p w14:paraId="102522FD">
      <w:pPr>
        <w:numPr>
          <w:ilvl w:val="0"/>
          <w:numId w:val="21"/>
        </w:numPr>
        <w:tabs>
          <w:tab w:val="left" w:pos="540"/>
          <w:tab w:val="left" w:pos="960"/>
        </w:tabs>
        <w:spacing w:line="440" w:lineRule="exact"/>
        <w:rPr>
          <w:rFonts w:asciiTheme="minorEastAsia" w:hAnsiTheme="minorEastAsia" w:cstheme="minorEastAsia"/>
          <w:szCs w:val="21"/>
        </w:rPr>
      </w:pPr>
      <w:r>
        <w:rPr>
          <w:rFonts w:hint="eastAsia" w:asciiTheme="minorEastAsia" w:hAnsiTheme="minorEastAsia" w:cstheme="minorEastAsia"/>
          <w:szCs w:val="21"/>
        </w:rPr>
        <w:t>法定代表人身份证明；</w:t>
      </w:r>
    </w:p>
    <w:p w14:paraId="15D3A0E4">
      <w:pPr>
        <w:tabs>
          <w:tab w:val="left" w:pos="540"/>
          <w:tab w:val="left" w:pos="960"/>
        </w:tabs>
        <w:spacing w:line="440" w:lineRule="exact"/>
        <w:rPr>
          <w:rFonts w:asciiTheme="minorEastAsia" w:hAnsiTheme="minorEastAsia" w:cstheme="minorEastAsia"/>
          <w:szCs w:val="21"/>
        </w:rPr>
      </w:pPr>
      <w:r>
        <w:rPr>
          <w:rFonts w:hint="eastAsia" w:asciiTheme="minorEastAsia" w:hAnsiTheme="minorEastAsia" w:cstheme="minorEastAsia"/>
          <w:szCs w:val="21"/>
        </w:rPr>
        <w:t>（3）授权委托书；</w:t>
      </w:r>
    </w:p>
    <w:p w14:paraId="4B9ACDAA">
      <w:pPr>
        <w:tabs>
          <w:tab w:val="left" w:pos="540"/>
          <w:tab w:val="left" w:pos="960"/>
        </w:tabs>
        <w:spacing w:line="440" w:lineRule="exact"/>
        <w:rPr>
          <w:rFonts w:asciiTheme="minorEastAsia" w:hAnsiTheme="minorEastAsia" w:cstheme="minorEastAsia"/>
          <w:szCs w:val="21"/>
        </w:rPr>
      </w:pPr>
      <w:r>
        <w:rPr>
          <w:rFonts w:hint="eastAsia" w:asciiTheme="minorEastAsia" w:hAnsiTheme="minorEastAsia" w:cstheme="minorEastAsia"/>
          <w:szCs w:val="21"/>
        </w:rPr>
        <w:t>（4）供应商资格证明文件；</w:t>
      </w:r>
    </w:p>
    <w:p w14:paraId="6721B1C7">
      <w:pPr>
        <w:tabs>
          <w:tab w:val="left" w:pos="540"/>
          <w:tab w:val="left" w:pos="960"/>
        </w:tabs>
        <w:spacing w:line="440" w:lineRule="exact"/>
        <w:rPr>
          <w:rFonts w:asciiTheme="minorEastAsia" w:hAnsiTheme="minorEastAsia" w:cstheme="minorEastAsia"/>
          <w:szCs w:val="21"/>
        </w:rPr>
      </w:pPr>
      <w:r>
        <w:rPr>
          <w:rFonts w:hint="eastAsia" w:asciiTheme="minorEastAsia" w:hAnsiTheme="minorEastAsia" w:cstheme="minorEastAsia"/>
          <w:szCs w:val="21"/>
        </w:rPr>
        <w:t>（6）本项目服务方案及实施计划；</w:t>
      </w:r>
    </w:p>
    <w:p w14:paraId="25F7D523">
      <w:pPr>
        <w:tabs>
          <w:tab w:val="left" w:pos="540"/>
          <w:tab w:val="left" w:pos="960"/>
        </w:tabs>
        <w:spacing w:line="440" w:lineRule="exact"/>
        <w:rPr>
          <w:rFonts w:asciiTheme="minorEastAsia" w:hAnsiTheme="minorEastAsia" w:cstheme="minorEastAsia"/>
          <w:szCs w:val="21"/>
        </w:rPr>
      </w:pPr>
      <w:r>
        <w:rPr>
          <w:rFonts w:hint="eastAsia" w:asciiTheme="minorEastAsia" w:hAnsiTheme="minorEastAsia" w:cstheme="minorEastAsia"/>
          <w:szCs w:val="21"/>
        </w:rPr>
        <w:t>（6）其他材料。</w:t>
      </w:r>
    </w:p>
    <w:p w14:paraId="1F7F40A0">
      <w:pPr>
        <w:spacing w:line="440" w:lineRule="exact"/>
        <w:rPr>
          <w:rFonts w:asciiTheme="minorEastAsia" w:hAnsiTheme="minorEastAsia" w:cstheme="minorEastAsia"/>
          <w:szCs w:val="21"/>
        </w:rPr>
      </w:pPr>
      <w:r>
        <w:rPr>
          <w:rFonts w:hint="eastAsia" w:asciiTheme="minorEastAsia" w:hAnsiTheme="minorEastAsia" w:cstheme="minorEastAsia"/>
          <w:szCs w:val="21"/>
        </w:rPr>
        <w:t>根据此函，签字代表宣布同意如下：</w:t>
      </w:r>
    </w:p>
    <w:p w14:paraId="7F1DBCB3">
      <w:pPr>
        <w:spacing w:line="44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 xml:space="preserve">1、我们愿意按照响应函附录所述内容响应采购要求。 </w:t>
      </w:r>
    </w:p>
    <w:p w14:paraId="75F1B496">
      <w:pPr>
        <w:spacing w:line="44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2、如果我们的响应文件被接受，我单位承认和愿意按照单一来源采购文件中的各项规定和要求，为采购人提供本项目等全部工作。</w:t>
      </w:r>
    </w:p>
    <w:p w14:paraId="70BE94B2">
      <w:pPr>
        <w:spacing w:line="44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3、我们详细审查了单一来源采购文件，包括修改文件以及全部参考资料和有关附件，我们完全理解并同意放弃对这方面有不明及误解的权力。</w:t>
      </w:r>
    </w:p>
    <w:p w14:paraId="7BDF2238">
      <w:pPr>
        <w:spacing w:line="44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4、本投标自响应文件递交截止之日起有效期为60日历天</w:t>
      </w:r>
    </w:p>
    <w:p w14:paraId="3F33B960">
      <w:pPr>
        <w:spacing w:line="44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5、我们同意提供贵方可能要求的与投标有关的一切数据或资料。</w:t>
      </w:r>
    </w:p>
    <w:p w14:paraId="37888A2B">
      <w:pPr>
        <w:spacing w:line="44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6、我方同意按采购文件的规定领取中标通知书并支付本项目招标代理服务费。否则，视为我方中标后自动放弃中标资格，承担由此引起的一切后果。</w:t>
      </w:r>
    </w:p>
    <w:p w14:paraId="197E2237">
      <w:pPr>
        <w:tabs>
          <w:tab w:val="left" w:pos="1890"/>
        </w:tabs>
        <w:spacing w:line="440" w:lineRule="exact"/>
        <w:rPr>
          <w:rFonts w:asciiTheme="minorEastAsia" w:hAnsiTheme="minorEastAsia" w:cstheme="minorEastAsia"/>
          <w:szCs w:val="21"/>
        </w:rPr>
      </w:pPr>
    </w:p>
    <w:p w14:paraId="002B9679">
      <w:pPr>
        <w:autoSpaceDE w:val="0"/>
        <w:autoSpaceDN w:val="0"/>
        <w:adjustRightInd w:val="0"/>
        <w:spacing w:line="360" w:lineRule="auto"/>
        <w:ind w:left="2520" w:leftChars="1200" w:firstLine="1050" w:firstLineChars="500"/>
        <w:jc w:val="left"/>
        <w:rPr>
          <w:rFonts w:asciiTheme="minorEastAsia" w:hAnsiTheme="minorEastAsia" w:cstheme="minorEastAsia"/>
          <w:kern w:val="0"/>
          <w:szCs w:val="21"/>
          <w:u w:val="single"/>
        </w:rPr>
      </w:pPr>
      <w:r>
        <w:rPr>
          <w:rFonts w:hint="eastAsia" w:asciiTheme="minorEastAsia" w:hAnsiTheme="minorEastAsia" w:cstheme="minorEastAsia"/>
          <w:kern w:val="0"/>
          <w:szCs w:val="21"/>
        </w:rPr>
        <w:t>供应商： （盖单位公章）</w:t>
      </w:r>
    </w:p>
    <w:p w14:paraId="112B9F1B">
      <w:pPr>
        <w:autoSpaceDE w:val="0"/>
        <w:autoSpaceDN w:val="0"/>
        <w:adjustRightInd w:val="0"/>
        <w:spacing w:line="360" w:lineRule="auto"/>
        <w:ind w:left="2520" w:leftChars="1200" w:firstLine="1050" w:firstLineChars="500"/>
        <w:jc w:val="left"/>
        <w:rPr>
          <w:rFonts w:asciiTheme="minorEastAsia" w:hAnsiTheme="minorEastAsia" w:cstheme="minorEastAsia"/>
          <w:kern w:val="0"/>
          <w:szCs w:val="21"/>
        </w:rPr>
      </w:pPr>
      <w:r>
        <w:rPr>
          <w:rFonts w:hint="eastAsia" w:asciiTheme="minorEastAsia" w:hAnsiTheme="minorEastAsia" w:cstheme="minorEastAsia"/>
          <w:kern w:val="0"/>
          <w:szCs w:val="21"/>
        </w:rPr>
        <w:t>法定代表人或其委托代理人：（签字或盖章）</w:t>
      </w:r>
    </w:p>
    <w:p w14:paraId="7FA22E8F">
      <w:pPr>
        <w:autoSpaceDE w:val="0"/>
        <w:autoSpaceDN w:val="0"/>
        <w:adjustRightInd w:val="0"/>
        <w:spacing w:line="360" w:lineRule="auto"/>
        <w:ind w:firstLine="3570" w:firstLineChars="1700"/>
        <w:jc w:val="left"/>
        <w:rPr>
          <w:rFonts w:asciiTheme="minorEastAsia" w:hAnsiTheme="minorEastAsia" w:cstheme="minorEastAsia"/>
          <w:kern w:val="0"/>
          <w:szCs w:val="21"/>
        </w:rPr>
      </w:pPr>
      <w:r>
        <w:rPr>
          <w:rFonts w:hint="eastAsia" w:asciiTheme="minorEastAsia" w:hAnsiTheme="minorEastAsia" w:cstheme="minorEastAsia"/>
          <w:kern w:val="0"/>
          <w:szCs w:val="21"/>
        </w:rPr>
        <w:t>日期：年月日</w:t>
      </w:r>
    </w:p>
    <w:p w14:paraId="1D4B8946">
      <w:pPr>
        <w:jc w:val="center"/>
        <w:rPr>
          <w:rFonts w:asciiTheme="minorEastAsia" w:hAnsiTheme="minorEastAsia" w:cstheme="minorEastAsia"/>
          <w:b/>
          <w:bCs/>
          <w:sz w:val="28"/>
          <w:szCs w:val="28"/>
        </w:rPr>
      </w:pPr>
    </w:p>
    <w:p w14:paraId="048163A8">
      <w:pPr>
        <w:rPr>
          <w:rFonts w:asciiTheme="minorEastAsia" w:hAnsiTheme="minorEastAsia" w:cstheme="minorEastAsia"/>
          <w:sz w:val="30"/>
          <w:szCs w:val="30"/>
        </w:rPr>
      </w:pPr>
      <w:bookmarkStart w:id="67" w:name="_Toc498152761"/>
      <w:r>
        <w:rPr>
          <w:rFonts w:hint="eastAsia" w:asciiTheme="minorEastAsia" w:hAnsiTheme="minorEastAsia" w:cstheme="minorEastAsia"/>
          <w:sz w:val="30"/>
          <w:szCs w:val="30"/>
        </w:rPr>
        <w:br w:type="page"/>
      </w:r>
    </w:p>
    <w:p w14:paraId="313A8FDC">
      <w:pPr>
        <w:pStyle w:val="3"/>
        <w:jc w:val="center"/>
        <w:rPr>
          <w:rFonts w:asciiTheme="minorEastAsia" w:hAnsiTheme="minorEastAsia" w:cstheme="minorEastAsia"/>
          <w:sz w:val="30"/>
          <w:szCs w:val="30"/>
        </w:rPr>
      </w:pPr>
      <w:bookmarkStart w:id="68" w:name="_Toc114760397"/>
      <w:r>
        <w:rPr>
          <w:rFonts w:hint="eastAsia" w:asciiTheme="minorEastAsia" w:hAnsiTheme="minorEastAsia" w:cstheme="minorEastAsia"/>
          <w:sz w:val="30"/>
          <w:szCs w:val="30"/>
        </w:rPr>
        <w:t>二、响应函附录</w:t>
      </w:r>
      <w:bookmarkEnd w:id="67"/>
      <w:bookmarkEnd w:id="68"/>
    </w:p>
    <w:tbl>
      <w:tblPr>
        <w:tblStyle w:val="20"/>
        <w:tblpPr w:leftFromText="180" w:rightFromText="180" w:vertAnchor="text" w:horzAnchor="margin" w:tblpX="250" w:tblpY="160"/>
        <w:tblOverlap w:val="never"/>
        <w:tblW w:w="9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7549"/>
      </w:tblGrid>
      <w:tr w14:paraId="51DC5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trPr>
        <w:tc>
          <w:tcPr>
            <w:tcW w:w="1668" w:type="dxa"/>
            <w:tcBorders>
              <w:bottom w:val="single" w:color="auto" w:sz="4" w:space="0"/>
            </w:tcBorders>
            <w:vAlign w:val="center"/>
          </w:tcPr>
          <w:p w14:paraId="147F6061">
            <w:pPr>
              <w:jc w:val="center"/>
              <w:rPr>
                <w:rFonts w:asciiTheme="minorEastAsia" w:hAnsiTheme="minorEastAsia" w:cstheme="minorEastAsia"/>
                <w:szCs w:val="21"/>
              </w:rPr>
            </w:pPr>
            <w:r>
              <w:rPr>
                <w:rFonts w:hint="eastAsia" w:asciiTheme="minorEastAsia" w:hAnsiTheme="minorEastAsia" w:cstheme="minorEastAsia"/>
                <w:szCs w:val="21"/>
              </w:rPr>
              <w:t>项目名称</w:t>
            </w:r>
          </w:p>
        </w:tc>
        <w:tc>
          <w:tcPr>
            <w:tcW w:w="7549" w:type="dxa"/>
            <w:tcBorders>
              <w:bottom w:val="single" w:color="auto" w:sz="4" w:space="0"/>
            </w:tcBorders>
            <w:vAlign w:val="center"/>
          </w:tcPr>
          <w:p w14:paraId="6BDDADEA">
            <w:pPr>
              <w:jc w:val="center"/>
              <w:rPr>
                <w:rFonts w:asciiTheme="minorEastAsia" w:hAnsiTheme="minorEastAsia" w:cstheme="minorEastAsia"/>
                <w:szCs w:val="21"/>
              </w:rPr>
            </w:pPr>
          </w:p>
        </w:tc>
      </w:tr>
      <w:tr w14:paraId="17A00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trPr>
        <w:tc>
          <w:tcPr>
            <w:tcW w:w="1668" w:type="dxa"/>
            <w:tcBorders>
              <w:bottom w:val="single" w:color="auto" w:sz="4" w:space="0"/>
            </w:tcBorders>
            <w:vAlign w:val="center"/>
          </w:tcPr>
          <w:p w14:paraId="4E274FCA">
            <w:pPr>
              <w:jc w:val="center"/>
              <w:rPr>
                <w:rFonts w:asciiTheme="minorEastAsia" w:hAnsiTheme="minorEastAsia" w:cstheme="minorEastAsia"/>
                <w:szCs w:val="21"/>
              </w:rPr>
            </w:pPr>
            <w:r>
              <w:rPr>
                <w:rFonts w:hint="eastAsia" w:asciiTheme="minorEastAsia" w:hAnsiTheme="minorEastAsia" w:cstheme="minorEastAsia"/>
                <w:szCs w:val="21"/>
              </w:rPr>
              <w:t>供应商</w:t>
            </w:r>
          </w:p>
        </w:tc>
        <w:tc>
          <w:tcPr>
            <w:tcW w:w="7549" w:type="dxa"/>
            <w:tcBorders>
              <w:bottom w:val="single" w:color="auto" w:sz="4" w:space="0"/>
            </w:tcBorders>
            <w:vAlign w:val="center"/>
          </w:tcPr>
          <w:p w14:paraId="32F56E28">
            <w:pPr>
              <w:jc w:val="center"/>
              <w:rPr>
                <w:rFonts w:asciiTheme="minorEastAsia" w:hAnsiTheme="minorEastAsia" w:cstheme="minorEastAsia"/>
                <w:szCs w:val="21"/>
              </w:rPr>
            </w:pPr>
          </w:p>
        </w:tc>
      </w:tr>
      <w:tr w14:paraId="30B94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trPr>
        <w:tc>
          <w:tcPr>
            <w:tcW w:w="1668" w:type="dxa"/>
            <w:tcBorders>
              <w:bottom w:val="single" w:color="auto" w:sz="4" w:space="0"/>
            </w:tcBorders>
            <w:vAlign w:val="center"/>
          </w:tcPr>
          <w:p w14:paraId="26BC6EF3">
            <w:pPr>
              <w:jc w:val="center"/>
              <w:rPr>
                <w:rFonts w:asciiTheme="minorEastAsia" w:hAnsiTheme="minorEastAsia" w:cstheme="minorEastAsia"/>
                <w:szCs w:val="21"/>
              </w:rPr>
            </w:pPr>
            <w:r>
              <w:rPr>
                <w:rFonts w:hint="eastAsia" w:asciiTheme="minorEastAsia" w:hAnsiTheme="minorEastAsia" w:cstheme="minorEastAsia"/>
                <w:szCs w:val="21"/>
              </w:rPr>
              <w:t>投标报价</w:t>
            </w:r>
          </w:p>
        </w:tc>
        <w:tc>
          <w:tcPr>
            <w:tcW w:w="7549" w:type="dxa"/>
            <w:tcBorders>
              <w:bottom w:val="single" w:color="auto" w:sz="4" w:space="0"/>
            </w:tcBorders>
            <w:vAlign w:val="center"/>
          </w:tcPr>
          <w:p w14:paraId="28BD85D5">
            <w:pPr>
              <w:spacing w:line="720" w:lineRule="auto"/>
              <w:jc w:val="left"/>
              <w:rPr>
                <w:rFonts w:asciiTheme="minorEastAsia" w:hAnsiTheme="minorEastAsia" w:cstheme="minorEastAsia"/>
                <w:szCs w:val="21"/>
              </w:rPr>
            </w:pPr>
            <w:r>
              <w:rPr>
                <w:rFonts w:hint="eastAsia" w:asciiTheme="minorEastAsia" w:hAnsiTheme="minorEastAsia" w:cstheme="minorEastAsia"/>
                <w:szCs w:val="21"/>
              </w:rPr>
              <w:t>大写：</w:t>
            </w:r>
          </w:p>
          <w:p w14:paraId="119C40D0">
            <w:pPr>
              <w:spacing w:line="720" w:lineRule="auto"/>
              <w:jc w:val="left"/>
              <w:rPr>
                <w:rFonts w:asciiTheme="minorEastAsia" w:hAnsiTheme="minorEastAsia" w:cstheme="minorEastAsia"/>
                <w:szCs w:val="21"/>
              </w:rPr>
            </w:pPr>
            <w:r>
              <w:rPr>
                <w:rFonts w:hint="eastAsia" w:asciiTheme="minorEastAsia" w:hAnsiTheme="minorEastAsia" w:cstheme="minorEastAsia"/>
                <w:szCs w:val="21"/>
              </w:rPr>
              <w:t>小写：</w:t>
            </w:r>
          </w:p>
        </w:tc>
      </w:tr>
      <w:tr w14:paraId="3689C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trPr>
        <w:tc>
          <w:tcPr>
            <w:tcW w:w="1668" w:type="dxa"/>
            <w:tcBorders>
              <w:bottom w:val="single" w:color="auto" w:sz="4" w:space="0"/>
            </w:tcBorders>
            <w:vAlign w:val="center"/>
          </w:tcPr>
          <w:p w14:paraId="606809CF">
            <w:pPr>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服务期限</w:t>
            </w:r>
          </w:p>
        </w:tc>
        <w:tc>
          <w:tcPr>
            <w:tcW w:w="7549" w:type="dxa"/>
            <w:tcBorders>
              <w:bottom w:val="single" w:color="auto" w:sz="4" w:space="0"/>
            </w:tcBorders>
            <w:vAlign w:val="center"/>
          </w:tcPr>
          <w:p w14:paraId="25FAF675">
            <w:pPr>
              <w:spacing w:line="720" w:lineRule="auto"/>
              <w:jc w:val="left"/>
              <w:rPr>
                <w:rFonts w:hint="eastAsia" w:asciiTheme="minorEastAsia" w:hAnsiTheme="minorEastAsia" w:cstheme="minorEastAsia"/>
                <w:szCs w:val="21"/>
              </w:rPr>
            </w:pPr>
          </w:p>
        </w:tc>
      </w:tr>
      <w:tr w14:paraId="3C6B1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trPr>
        <w:tc>
          <w:tcPr>
            <w:tcW w:w="1668" w:type="dxa"/>
            <w:tcBorders>
              <w:bottom w:val="single" w:color="auto" w:sz="4" w:space="0"/>
            </w:tcBorders>
            <w:vAlign w:val="center"/>
          </w:tcPr>
          <w:p w14:paraId="06DE1AEE">
            <w:pPr>
              <w:jc w:val="center"/>
              <w:rPr>
                <w:rFonts w:asciiTheme="minorEastAsia" w:hAnsiTheme="minorEastAsia" w:cstheme="minorEastAsia"/>
                <w:szCs w:val="21"/>
              </w:rPr>
            </w:pPr>
            <w:r>
              <w:rPr>
                <w:rFonts w:hint="eastAsia" w:asciiTheme="minorEastAsia" w:hAnsiTheme="minorEastAsia" w:cstheme="minorEastAsia"/>
                <w:szCs w:val="21"/>
              </w:rPr>
              <w:t>备注</w:t>
            </w:r>
          </w:p>
        </w:tc>
        <w:tc>
          <w:tcPr>
            <w:tcW w:w="7549" w:type="dxa"/>
            <w:tcBorders>
              <w:bottom w:val="single" w:color="auto" w:sz="4" w:space="0"/>
            </w:tcBorders>
            <w:vAlign w:val="center"/>
          </w:tcPr>
          <w:p w14:paraId="58B9AEA7">
            <w:pPr>
              <w:jc w:val="center"/>
              <w:rPr>
                <w:rFonts w:asciiTheme="minorEastAsia" w:hAnsiTheme="minorEastAsia" w:cstheme="minorEastAsia"/>
                <w:szCs w:val="21"/>
              </w:rPr>
            </w:pPr>
          </w:p>
        </w:tc>
      </w:tr>
    </w:tbl>
    <w:p w14:paraId="4D61D310">
      <w:pPr>
        <w:spacing w:line="360" w:lineRule="auto"/>
        <w:ind w:firstLine="575" w:firstLineChars="274"/>
        <w:jc w:val="left"/>
        <w:rPr>
          <w:rFonts w:asciiTheme="minorEastAsia" w:hAnsiTheme="minorEastAsia" w:cstheme="minorEastAsia"/>
          <w:szCs w:val="21"/>
        </w:rPr>
      </w:pPr>
    </w:p>
    <w:p w14:paraId="0152F1F9">
      <w:pPr>
        <w:spacing w:line="360" w:lineRule="auto"/>
        <w:ind w:firstLine="575" w:firstLineChars="274"/>
        <w:jc w:val="left"/>
        <w:rPr>
          <w:rFonts w:asciiTheme="minorEastAsia" w:hAnsiTheme="minorEastAsia" w:cstheme="minorEastAsia"/>
          <w:szCs w:val="21"/>
        </w:rPr>
      </w:pPr>
    </w:p>
    <w:p w14:paraId="065E24AC">
      <w:pPr>
        <w:spacing w:line="360" w:lineRule="auto"/>
        <w:ind w:firstLine="575" w:firstLineChars="274"/>
        <w:jc w:val="left"/>
        <w:rPr>
          <w:rFonts w:asciiTheme="minorEastAsia" w:hAnsiTheme="minorEastAsia" w:cstheme="minorEastAsia"/>
          <w:szCs w:val="21"/>
        </w:rPr>
      </w:pPr>
    </w:p>
    <w:p w14:paraId="269F76BE">
      <w:pPr>
        <w:autoSpaceDE w:val="0"/>
        <w:autoSpaceDN w:val="0"/>
        <w:adjustRightInd w:val="0"/>
        <w:spacing w:line="360" w:lineRule="auto"/>
        <w:ind w:left="2520" w:leftChars="1200" w:firstLine="1050" w:firstLineChars="500"/>
        <w:jc w:val="left"/>
        <w:rPr>
          <w:rFonts w:asciiTheme="minorEastAsia" w:hAnsiTheme="minorEastAsia" w:cstheme="minorEastAsia"/>
          <w:kern w:val="0"/>
          <w:szCs w:val="21"/>
          <w:u w:val="single"/>
        </w:rPr>
      </w:pPr>
      <w:r>
        <w:rPr>
          <w:rFonts w:hint="eastAsia" w:asciiTheme="minorEastAsia" w:hAnsiTheme="minorEastAsia" w:cstheme="minorEastAsia"/>
          <w:kern w:val="0"/>
          <w:szCs w:val="21"/>
        </w:rPr>
        <w:t>供应商： （盖单位公章）</w:t>
      </w:r>
    </w:p>
    <w:p w14:paraId="7769DC2E">
      <w:pPr>
        <w:autoSpaceDE w:val="0"/>
        <w:autoSpaceDN w:val="0"/>
        <w:adjustRightInd w:val="0"/>
        <w:spacing w:line="360" w:lineRule="auto"/>
        <w:ind w:left="2520" w:leftChars="1200" w:firstLine="1050" w:firstLineChars="500"/>
        <w:jc w:val="left"/>
        <w:rPr>
          <w:rFonts w:asciiTheme="minorEastAsia" w:hAnsiTheme="minorEastAsia" w:cstheme="minorEastAsia"/>
          <w:kern w:val="0"/>
          <w:szCs w:val="21"/>
        </w:rPr>
      </w:pPr>
      <w:r>
        <w:rPr>
          <w:rFonts w:hint="eastAsia" w:asciiTheme="minorEastAsia" w:hAnsiTheme="minorEastAsia" w:cstheme="minorEastAsia"/>
          <w:kern w:val="0"/>
          <w:szCs w:val="21"/>
        </w:rPr>
        <w:t>法定代表人或其委托代理人：（签字或盖章）</w:t>
      </w:r>
    </w:p>
    <w:p w14:paraId="1E24808C">
      <w:pPr>
        <w:autoSpaceDE w:val="0"/>
        <w:autoSpaceDN w:val="0"/>
        <w:adjustRightInd w:val="0"/>
        <w:spacing w:line="360" w:lineRule="auto"/>
        <w:ind w:firstLine="3570" w:firstLineChars="1700"/>
        <w:jc w:val="left"/>
        <w:rPr>
          <w:rFonts w:asciiTheme="minorEastAsia" w:hAnsiTheme="minorEastAsia" w:cstheme="minorEastAsia"/>
          <w:kern w:val="0"/>
          <w:szCs w:val="21"/>
        </w:rPr>
      </w:pPr>
      <w:r>
        <w:rPr>
          <w:rFonts w:hint="eastAsia" w:asciiTheme="minorEastAsia" w:hAnsiTheme="minorEastAsia" w:cstheme="minorEastAsia"/>
          <w:kern w:val="0"/>
          <w:szCs w:val="21"/>
        </w:rPr>
        <w:t>日期： 年 月 日</w:t>
      </w:r>
    </w:p>
    <w:p w14:paraId="41B0DAA5">
      <w:pPr>
        <w:rPr>
          <w:rFonts w:asciiTheme="minorEastAsia" w:hAnsiTheme="minorEastAsia" w:cstheme="minorEastAsia"/>
          <w:sz w:val="24"/>
        </w:rPr>
      </w:pPr>
    </w:p>
    <w:p w14:paraId="6C196534">
      <w:pPr>
        <w:jc w:val="center"/>
        <w:rPr>
          <w:rFonts w:asciiTheme="minorEastAsia" w:hAnsiTheme="minorEastAsia" w:cstheme="minorEastAsia"/>
          <w:b/>
          <w:bCs/>
          <w:sz w:val="28"/>
          <w:szCs w:val="28"/>
        </w:rPr>
      </w:pPr>
    </w:p>
    <w:p w14:paraId="73CE9176">
      <w:pPr>
        <w:jc w:val="center"/>
        <w:rPr>
          <w:rFonts w:asciiTheme="minorEastAsia" w:hAnsiTheme="minorEastAsia" w:cstheme="minorEastAsia"/>
          <w:b/>
          <w:bCs/>
          <w:sz w:val="28"/>
          <w:szCs w:val="28"/>
        </w:rPr>
      </w:pPr>
    </w:p>
    <w:p w14:paraId="3BE3CF0E">
      <w:pPr>
        <w:jc w:val="center"/>
        <w:rPr>
          <w:rFonts w:asciiTheme="minorEastAsia" w:hAnsiTheme="minorEastAsia" w:cstheme="minorEastAsia"/>
          <w:b/>
          <w:bCs/>
          <w:sz w:val="28"/>
          <w:szCs w:val="28"/>
        </w:rPr>
      </w:pPr>
    </w:p>
    <w:p w14:paraId="00E139CC">
      <w:pPr>
        <w:jc w:val="center"/>
        <w:rPr>
          <w:rFonts w:asciiTheme="minorEastAsia" w:hAnsiTheme="minorEastAsia" w:cstheme="minorEastAsia"/>
          <w:b/>
          <w:bCs/>
          <w:sz w:val="28"/>
          <w:szCs w:val="28"/>
        </w:rPr>
      </w:pPr>
    </w:p>
    <w:p w14:paraId="7C6A2EFF">
      <w:pPr>
        <w:jc w:val="center"/>
        <w:rPr>
          <w:rFonts w:asciiTheme="minorEastAsia" w:hAnsiTheme="minorEastAsia" w:cstheme="minorEastAsia"/>
          <w:b/>
          <w:bCs/>
          <w:sz w:val="28"/>
          <w:szCs w:val="28"/>
        </w:rPr>
      </w:pPr>
    </w:p>
    <w:p w14:paraId="221C3CAD">
      <w:pPr>
        <w:jc w:val="center"/>
        <w:rPr>
          <w:rFonts w:asciiTheme="minorEastAsia" w:hAnsiTheme="minorEastAsia" w:cstheme="minorEastAsia"/>
          <w:b/>
          <w:bCs/>
          <w:sz w:val="28"/>
          <w:szCs w:val="28"/>
        </w:rPr>
      </w:pPr>
    </w:p>
    <w:p w14:paraId="73D9B198">
      <w:pPr>
        <w:jc w:val="center"/>
        <w:rPr>
          <w:rFonts w:asciiTheme="minorEastAsia" w:hAnsiTheme="minorEastAsia" w:cstheme="minorEastAsia"/>
          <w:b/>
          <w:bCs/>
          <w:sz w:val="28"/>
          <w:szCs w:val="28"/>
        </w:rPr>
      </w:pPr>
    </w:p>
    <w:p w14:paraId="1A8D42B9">
      <w:pPr>
        <w:jc w:val="center"/>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服务清单</w:t>
      </w:r>
    </w:p>
    <w:tbl>
      <w:tblPr>
        <w:tblStyle w:val="21"/>
        <w:tblW w:w="0" w:type="auto"/>
        <w:tblInd w:w="5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1605"/>
        <w:gridCol w:w="1440"/>
        <w:gridCol w:w="1725"/>
        <w:gridCol w:w="1290"/>
        <w:gridCol w:w="1995"/>
      </w:tblGrid>
      <w:tr w14:paraId="47272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14:paraId="55F5C32E">
            <w:pPr>
              <w:spacing w:line="480" w:lineRule="auto"/>
              <w:jc w:val="center"/>
              <w:rPr>
                <w:rFonts w:hint="default" w:asciiTheme="minorEastAsia" w:hAnsi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序号</w:t>
            </w:r>
          </w:p>
        </w:tc>
        <w:tc>
          <w:tcPr>
            <w:tcW w:w="1605" w:type="dxa"/>
          </w:tcPr>
          <w:p w14:paraId="739F4F04">
            <w:pPr>
              <w:spacing w:line="480" w:lineRule="auto"/>
              <w:jc w:val="center"/>
              <w:rPr>
                <w:rFonts w:hint="default" w:asciiTheme="minorEastAsia" w:hAnsi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名称</w:t>
            </w:r>
          </w:p>
        </w:tc>
        <w:tc>
          <w:tcPr>
            <w:tcW w:w="1440" w:type="dxa"/>
          </w:tcPr>
          <w:p w14:paraId="2B23BE73">
            <w:pPr>
              <w:spacing w:line="480" w:lineRule="auto"/>
              <w:jc w:val="center"/>
              <w:rPr>
                <w:rFonts w:hint="default" w:asciiTheme="minorEastAsia" w:hAnsi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品牌、型号</w:t>
            </w:r>
          </w:p>
        </w:tc>
        <w:tc>
          <w:tcPr>
            <w:tcW w:w="1725" w:type="dxa"/>
          </w:tcPr>
          <w:p w14:paraId="1DBBC181">
            <w:pPr>
              <w:spacing w:line="480" w:lineRule="auto"/>
              <w:jc w:val="center"/>
              <w:rPr>
                <w:rFonts w:hint="default" w:asciiTheme="minorEastAsia" w:hAnsi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单价（元/年）</w:t>
            </w:r>
          </w:p>
        </w:tc>
        <w:tc>
          <w:tcPr>
            <w:tcW w:w="1290" w:type="dxa"/>
          </w:tcPr>
          <w:p w14:paraId="1103D06D">
            <w:pPr>
              <w:spacing w:line="480" w:lineRule="auto"/>
              <w:jc w:val="center"/>
              <w:rPr>
                <w:rFonts w:hint="default" w:asciiTheme="minorEastAsia" w:hAnsi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服务期限</w:t>
            </w:r>
          </w:p>
        </w:tc>
        <w:tc>
          <w:tcPr>
            <w:tcW w:w="1995" w:type="dxa"/>
          </w:tcPr>
          <w:p w14:paraId="177A0AD1">
            <w:pPr>
              <w:spacing w:line="480" w:lineRule="auto"/>
              <w:jc w:val="center"/>
              <w:rPr>
                <w:rFonts w:hint="default" w:asciiTheme="minorEastAsia" w:hAnsi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分项合计（元）</w:t>
            </w:r>
          </w:p>
        </w:tc>
      </w:tr>
      <w:tr w14:paraId="638E9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14:paraId="3BEB6A5D">
            <w:pPr>
              <w:spacing w:line="480" w:lineRule="auto"/>
              <w:jc w:val="center"/>
              <w:rPr>
                <w:rFonts w:hint="default" w:asciiTheme="minorEastAsia" w:hAnsi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1</w:t>
            </w:r>
          </w:p>
        </w:tc>
        <w:tc>
          <w:tcPr>
            <w:tcW w:w="1605" w:type="dxa"/>
          </w:tcPr>
          <w:p w14:paraId="41C52088">
            <w:pPr>
              <w:spacing w:line="480" w:lineRule="auto"/>
              <w:jc w:val="center"/>
              <w:rPr>
                <w:rFonts w:hint="default" w:asciiTheme="minorEastAsia" w:hAnsiTheme="minorEastAsia" w:cstheme="minorEastAsia"/>
                <w:b w:val="0"/>
                <w:bCs w:val="0"/>
                <w:sz w:val="21"/>
                <w:szCs w:val="21"/>
                <w:vertAlign w:val="baseline"/>
                <w:lang w:val="en-US" w:eastAsia="zh-CN"/>
              </w:rPr>
            </w:pPr>
          </w:p>
        </w:tc>
        <w:tc>
          <w:tcPr>
            <w:tcW w:w="1440" w:type="dxa"/>
          </w:tcPr>
          <w:p w14:paraId="49402D92">
            <w:pPr>
              <w:spacing w:line="480" w:lineRule="auto"/>
              <w:jc w:val="center"/>
              <w:rPr>
                <w:rFonts w:hint="default" w:asciiTheme="minorEastAsia" w:hAnsiTheme="minorEastAsia" w:cstheme="minorEastAsia"/>
                <w:b w:val="0"/>
                <w:bCs w:val="0"/>
                <w:sz w:val="21"/>
                <w:szCs w:val="21"/>
                <w:vertAlign w:val="baseline"/>
                <w:lang w:val="en-US" w:eastAsia="zh-CN"/>
              </w:rPr>
            </w:pPr>
          </w:p>
        </w:tc>
        <w:tc>
          <w:tcPr>
            <w:tcW w:w="1725" w:type="dxa"/>
          </w:tcPr>
          <w:p w14:paraId="4912C2B3">
            <w:pPr>
              <w:spacing w:line="480" w:lineRule="auto"/>
              <w:jc w:val="center"/>
              <w:rPr>
                <w:rFonts w:hint="default" w:asciiTheme="minorEastAsia" w:hAnsiTheme="minorEastAsia" w:cstheme="minorEastAsia"/>
                <w:b w:val="0"/>
                <w:bCs w:val="0"/>
                <w:sz w:val="21"/>
                <w:szCs w:val="21"/>
                <w:vertAlign w:val="baseline"/>
                <w:lang w:val="en-US" w:eastAsia="zh-CN"/>
              </w:rPr>
            </w:pPr>
          </w:p>
        </w:tc>
        <w:tc>
          <w:tcPr>
            <w:tcW w:w="1290" w:type="dxa"/>
          </w:tcPr>
          <w:p w14:paraId="1BD5336E">
            <w:pPr>
              <w:spacing w:line="480" w:lineRule="auto"/>
              <w:jc w:val="center"/>
              <w:rPr>
                <w:rFonts w:hint="default" w:asciiTheme="minorEastAsia" w:hAnsiTheme="minorEastAsia" w:cstheme="minorEastAsia"/>
                <w:b w:val="0"/>
                <w:bCs w:val="0"/>
                <w:sz w:val="21"/>
                <w:szCs w:val="21"/>
                <w:vertAlign w:val="baseline"/>
                <w:lang w:val="en-US" w:eastAsia="zh-CN"/>
              </w:rPr>
            </w:pPr>
          </w:p>
        </w:tc>
        <w:tc>
          <w:tcPr>
            <w:tcW w:w="1995" w:type="dxa"/>
          </w:tcPr>
          <w:p w14:paraId="37F8E298">
            <w:pPr>
              <w:spacing w:line="480" w:lineRule="auto"/>
              <w:jc w:val="center"/>
              <w:rPr>
                <w:rFonts w:hint="default" w:asciiTheme="minorEastAsia" w:hAnsiTheme="minorEastAsia" w:cstheme="minorEastAsia"/>
                <w:b w:val="0"/>
                <w:bCs w:val="0"/>
                <w:sz w:val="21"/>
                <w:szCs w:val="21"/>
                <w:vertAlign w:val="baseline"/>
                <w:lang w:val="en-US" w:eastAsia="zh-CN"/>
              </w:rPr>
            </w:pPr>
          </w:p>
        </w:tc>
      </w:tr>
      <w:tr w14:paraId="59365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14:paraId="25691740">
            <w:pPr>
              <w:spacing w:line="480" w:lineRule="auto"/>
              <w:jc w:val="center"/>
              <w:rPr>
                <w:rFonts w:hint="default" w:asciiTheme="minorEastAsia" w:hAnsi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2</w:t>
            </w:r>
          </w:p>
        </w:tc>
        <w:tc>
          <w:tcPr>
            <w:tcW w:w="1605" w:type="dxa"/>
          </w:tcPr>
          <w:p w14:paraId="7B051D6B">
            <w:pPr>
              <w:spacing w:line="480" w:lineRule="auto"/>
              <w:jc w:val="center"/>
              <w:rPr>
                <w:rFonts w:hint="default" w:asciiTheme="minorEastAsia" w:hAnsiTheme="minorEastAsia" w:cstheme="minorEastAsia"/>
                <w:b w:val="0"/>
                <w:bCs w:val="0"/>
                <w:sz w:val="21"/>
                <w:szCs w:val="21"/>
                <w:vertAlign w:val="baseline"/>
                <w:lang w:val="en-US" w:eastAsia="zh-CN"/>
              </w:rPr>
            </w:pPr>
          </w:p>
        </w:tc>
        <w:tc>
          <w:tcPr>
            <w:tcW w:w="1440" w:type="dxa"/>
          </w:tcPr>
          <w:p w14:paraId="1130E10E">
            <w:pPr>
              <w:spacing w:line="480" w:lineRule="auto"/>
              <w:jc w:val="center"/>
              <w:rPr>
                <w:rFonts w:hint="default" w:asciiTheme="minorEastAsia" w:hAnsiTheme="minorEastAsia" w:cstheme="minorEastAsia"/>
                <w:b w:val="0"/>
                <w:bCs w:val="0"/>
                <w:sz w:val="21"/>
                <w:szCs w:val="21"/>
                <w:vertAlign w:val="baseline"/>
                <w:lang w:val="en-US" w:eastAsia="zh-CN"/>
              </w:rPr>
            </w:pPr>
          </w:p>
        </w:tc>
        <w:tc>
          <w:tcPr>
            <w:tcW w:w="1725" w:type="dxa"/>
          </w:tcPr>
          <w:p w14:paraId="25C92257">
            <w:pPr>
              <w:spacing w:line="480" w:lineRule="auto"/>
              <w:jc w:val="center"/>
              <w:rPr>
                <w:rFonts w:hint="default" w:asciiTheme="minorEastAsia" w:hAnsiTheme="minorEastAsia" w:cstheme="minorEastAsia"/>
                <w:b w:val="0"/>
                <w:bCs w:val="0"/>
                <w:sz w:val="21"/>
                <w:szCs w:val="21"/>
                <w:vertAlign w:val="baseline"/>
                <w:lang w:val="en-US" w:eastAsia="zh-CN"/>
              </w:rPr>
            </w:pPr>
          </w:p>
        </w:tc>
        <w:tc>
          <w:tcPr>
            <w:tcW w:w="1290" w:type="dxa"/>
          </w:tcPr>
          <w:p w14:paraId="7988EBD7">
            <w:pPr>
              <w:spacing w:line="480" w:lineRule="auto"/>
              <w:jc w:val="center"/>
              <w:rPr>
                <w:rFonts w:hint="default" w:asciiTheme="minorEastAsia" w:hAnsiTheme="minorEastAsia" w:cstheme="minorEastAsia"/>
                <w:b w:val="0"/>
                <w:bCs w:val="0"/>
                <w:sz w:val="21"/>
                <w:szCs w:val="21"/>
                <w:vertAlign w:val="baseline"/>
                <w:lang w:val="en-US" w:eastAsia="zh-CN"/>
              </w:rPr>
            </w:pPr>
          </w:p>
        </w:tc>
        <w:tc>
          <w:tcPr>
            <w:tcW w:w="1995" w:type="dxa"/>
          </w:tcPr>
          <w:p w14:paraId="5C90CFC5">
            <w:pPr>
              <w:spacing w:line="480" w:lineRule="auto"/>
              <w:jc w:val="center"/>
              <w:rPr>
                <w:rFonts w:hint="default" w:asciiTheme="minorEastAsia" w:hAnsiTheme="minorEastAsia" w:cstheme="minorEastAsia"/>
                <w:b w:val="0"/>
                <w:bCs w:val="0"/>
                <w:sz w:val="21"/>
                <w:szCs w:val="21"/>
                <w:vertAlign w:val="baseline"/>
                <w:lang w:val="en-US" w:eastAsia="zh-CN"/>
              </w:rPr>
            </w:pPr>
          </w:p>
        </w:tc>
      </w:tr>
      <w:tr w14:paraId="1CC23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14:paraId="24F0C8A1">
            <w:pPr>
              <w:spacing w:line="480" w:lineRule="auto"/>
              <w:jc w:val="center"/>
              <w:rPr>
                <w:rFonts w:hint="default" w:asciiTheme="minorEastAsia" w:hAnsi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3</w:t>
            </w:r>
          </w:p>
        </w:tc>
        <w:tc>
          <w:tcPr>
            <w:tcW w:w="1605" w:type="dxa"/>
          </w:tcPr>
          <w:p w14:paraId="40B63550">
            <w:pPr>
              <w:spacing w:line="480" w:lineRule="auto"/>
              <w:jc w:val="center"/>
              <w:rPr>
                <w:rFonts w:hint="default" w:asciiTheme="minorEastAsia" w:hAnsiTheme="minorEastAsia" w:cstheme="minorEastAsia"/>
                <w:b w:val="0"/>
                <w:bCs w:val="0"/>
                <w:sz w:val="21"/>
                <w:szCs w:val="21"/>
                <w:vertAlign w:val="baseline"/>
                <w:lang w:val="en-US" w:eastAsia="zh-CN"/>
              </w:rPr>
            </w:pPr>
          </w:p>
        </w:tc>
        <w:tc>
          <w:tcPr>
            <w:tcW w:w="1440" w:type="dxa"/>
          </w:tcPr>
          <w:p w14:paraId="0D2B0347">
            <w:pPr>
              <w:spacing w:line="480" w:lineRule="auto"/>
              <w:jc w:val="center"/>
              <w:rPr>
                <w:rFonts w:hint="default" w:asciiTheme="minorEastAsia" w:hAnsiTheme="minorEastAsia" w:cstheme="minorEastAsia"/>
                <w:b w:val="0"/>
                <w:bCs w:val="0"/>
                <w:sz w:val="21"/>
                <w:szCs w:val="21"/>
                <w:vertAlign w:val="baseline"/>
                <w:lang w:val="en-US" w:eastAsia="zh-CN"/>
              </w:rPr>
            </w:pPr>
          </w:p>
        </w:tc>
        <w:tc>
          <w:tcPr>
            <w:tcW w:w="1725" w:type="dxa"/>
          </w:tcPr>
          <w:p w14:paraId="1B6B3DAE">
            <w:pPr>
              <w:spacing w:line="480" w:lineRule="auto"/>
              <w:jc w:val="center"/>
              <w:rPr>
                <w:rFonts w:hint="default" w:asciiTheme="minorEastAsia" w:hAnsiTheme="minorEastAsia" w:cstheme="minorEastAsia"/>
                <w:b w:val="0"/>
                <w:bCs w:val="0"/>
                <w:sz w:val="21"/>
                <w:szCs w:val="21"/>
                <w:vertAlign w:val="baseline"/>
                <w:lang w:val="en-US" w:eastAsia="zh-CN"/>
              </w:rPr>
            </w:pPr>
          </w:p>
        </w:tc>
        <w:tc>
          <w:tcPr>
            <w:tcW w:w="1290" w:type="dxa"/>
          </w:tcPr>
          <w:p w14:paraId="14E5F143">
            <w:pPr>
              <w:spacing w:line="480" w:lineRule="auto"/>
              <w:jc w:val="center"/>
              <w:rPr>
                <w:rFonts w:hint="default" w:asciiTheme="minorEastAsia" w:hAnsiTheme="minorEastAsia" w:cstheme="minorEastAsia"/>
                <w:b w:val="0"/>
                <w:bCs w:val="0"/>
                <w:sz w:val="21"/>
                <w:szCs w:val="21"/>
                <w:vertAlign w:val="baseline"/>
                <w:lang w:val="en-US" w:eastAsia="zh-CN"/>
              </w:rPr>
            </w:pPr>
          </w:p>
        </w:tc>
        <w:tc>
          <w:tcPr>
            <w:tcW w:w="1995" w:type="dxa"/>
          </w:tcPr>
          <w:p w14:paraId="469F1262">
            <w:pPr>
              <w:spacing w:line="480" w:lineRule="auto"/>
              <w:jc w:val="center"/>
              <w:rPr>
                <w:rFonts w:hint="default" w:asciiTheme="minorEastAsia" w:hAnsiTheme="minorEastAsia" w:cstheme="minorEastAsia"/>
                <w:b w:val="0"/>
                <w:bCs w:val="0"/>
                <w:sz w:val="21"/>
                <w:szCs w:val="21"/>
                <w:vertAlign w:val="baseline"/>
                <w:lang w:val="en-US" w:eastAsia="zh-CN"/>
              </w:rPr>
            </w:pPr>
          </w:p>
        </w:tc>
      </w:tr>
      <w:tr w14:paraId="56DFD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14:paraId="2212B29A">
            <w:pPr>
              <w:spacing w:line="480" w:lineRule="auto"/>
              <w:jc w:val="center"/>
              <w:rPr>
                <w:rFonts w:hint="default" w:asciiTheme="minorEastAsia" w:hAnsi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4</w:t>
            </w:r>
          </w:p>
        </w:tc>
        <w:tc>
          <w:tcPr>
            <w:tcW w:w="1605" w:type="dxa"/>
          </w:tcPr>
          <w:p w14:paraId="135C8252">
            <w:pPr>
              <w:spacing w:line="480" w:lineRule="auto"/>
              <w:jc w:val="center"/>
              <w:rPr>
                <w:rFonts w:hint="default" w:asciiTheme="minorEastAsia" w:hAnsiTheme="minorEastAsia" w:cstheme="minorEastAsia"/>
                <w:b w:val="0"/>
                <w:bCs w:val="0"/>
                <w:sz w:val="21"/>
                <w:szCs w:val="21"/>
                <w:vertAlign w:val="baseline"/>
                <w:lang w:val="en-US" w:eastAsia="zh-CN"/>
              </w:rPr>
            </w:pPr>
          </w:p>
        </w:tc>
        <w:tc>
          <w:tcPr>
            <w:tcW w:w="1440" w:type="dxa"/>
          </w:tcPr>
          <w:p w14:paraId="703CE9F3">
            <w:pPr>
              <w:spacing w:line="480" w:lineRule="auto"/>
              <w:jc w:val="center"/>
              <w:rPr>
                <w:rFonts w:hint="default" w:asciiTheme="minorEastAsia" w:hAnsiTheme="minorEastAsia" w:cstheme="minorEastAsia"/>
                <w:b w:val="0"/>
                <w:bCs w:val="0"/>
                <w:sz w:val="21"/>
                <w:szCs w:val="21"/>
                <w:vertAlign w:val="baseline"/>
                <w:lang w:val="en-US" w:eastAsia="zh-CN"/>
              </w:rPr>
            </w:pPr>
          </w:p>
        </w:tc>
        <w:tc>
          <w:tcPr>
            <w:tcW w:w="1725" w:type="dxa"/>
          </w:tcPr>
          <w:p w14:paraId="6625E06C">
            <w:pPr>
              <w:spacing w:line="480" w:lineRule="auto"/>
              <w:jc w:val="center"/>
              <w:rPr>
                <w:rFonts w:hint="default" w:asciiTheme="minorEastAsia" w:hAnsiTheme="minorEastAsia" w:cstheme="minorEastAsia"/>
                <w:b w:val="0"/>
                <w:bCs w:val="0"/>
                <w:sz w:val="21"/>
                <w:szCs w:val="21"/>
                <w:vertAlign w:val="baseline"/>
                <w:lang w:val="en-US" w:eastAsia="zh-CN"/>
              </w:rPr>
            </w:pPr>
          </w:p>
        </w:tc>
        <w:tc>
          <w:tcPr>
            <w:tcW w:w="1290" w:type="dxa"/>
          </w:tcPr>
          <w:p w14:paraId="726B2C29">
            <w:pPr>
              <w:spacing w:line="480" w:lineRule="auto"/>
              <w:jc w:val="center"/>
              <w:rPr>
                <w:rFonts w:hint="default" w:asciiTheme="minorEastAsia" w:hAnsiTheme="minorEastAsia" w:cstheme="minorEastAsia"/>
                <w:b w:val="0"/>
                <w:bCs w:val="0"/>
                <w:sz w:val="21"/>
                <w:szCs w:val="21"/>
                <w:vertAlign w:val="baseline"/>
                <w:lang w:val="en-US" w:eastAsia="zh-CN"/>
              </w:rPr>
            </w:pPr>
          </w:p>
        </w:tc>
        <w:tc>
          <w:tcPr>
            <w:tcW w:w="1995" w:type="dxa"/>
          </w:tcPr>
          <w:p w14:paraId="79998D45">
            <w:pPr>
              <w:spacing w:line="480" w:lineRule="auto"/>
              <w:jc w:val="center"/>
              <w:rPr>
                <w:rFonts w:hint="default" w:asciiTheme="minorEastAsia" w:hAnsiTheme="minorEastAsia" w:cstheme="minorEastAsia"/>
                <w:b w:val="0"/>
                <w:bCs w:val="0"/>
                <w:sz w:val="21"/>
                <w:szCs w:val="21"/>
                <w:vertAlign w:val="baseline"/>
                <w:lang w:val="en-US" w:eastAsia="zh-CN"/>
              </w:rPr>
            </w:pPr>
          </w:p>
        </w:tc>
      </w:tr>
      <w:tr w14:paraId="512E7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14:paraId="2186456B">
            <w:pPr>
              <w:spacing w:line="480" w:lineRule="auto"/>
              <w:jc w:val="center"/>
              <w:rPr>
                <w:rFonts w:hint="default" w:asciiTheme="minorEastAsia" w:hAnsi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w:t>
            </w:r>
          </w:p>
        </w:tc>
        <w:tc>
          <w:tcPr>
            <w:tcW w:w="1605" w:type="dxa"/>
          </w:tcPr>
          <w:p w14:paraId="22E352B9">
            <w:pPr>
              <w:spacing w:line="480" w:lineRule="auto"/>
              <w:jc w:val="center"/>
              <w:rPr>
                <w:rFonts w:hint="default" w:asciiTheme="minorEastAsia" w:hAnsiTheme="minorEastAsia" w:cstheme="minorEastAsia"/>
                <w:b w:val="0"/>
                <w:bCs w:val="0"/>
                <w:sz w:val="21"/>
                <w:szCs w:val="21"/>
                <w:vertAlign w:val="baseline"/>
                <w:lang w:val="en-US" w:eastAsia="zh-CN"/>
              </w:rPr>
            </w:pPr>
          </w:p>
        </w:tc>
        <w:tc>
          <w:tcPr>
            <w:tcW w:w="1440" w:type="dxa"/>
          </w:tcPr>
          <w:p w14:paraId="150A3092">
            <w:pPr>
              <w:spacing w:line="480" w:lineRule="auto"/>
              <w:jc w:val="center"/>
              <w:rPr>
                <w:rFonts w:hint="default" w:asciiTheme="minorEastAsia" w:hAnsiTheme="minorEastAsia" w:cstheme="minorEastAsia"/>
                <w:b w:val="0"/>
                <w:bCs w:val="0"/>
                <w:sz w:val="21"/>
                <w:szCs w:val="21"/>
                <w:vertAlign w:val="baseline"/>
                <w:lang w:val="en-US" w:eastAsia="zh-CN"/>
              </w:rPr>
            </w:pPr>
          </w:p>
        </w:tc>
        <w:tc>
          <w:tcPr>
            <w:tcW w:w="1725" w:type="dxa"/>
          </w:tcPr>
          <w:p w14:paraId="2336A955">
            <w:pPr>
              <w:spacing w:line="480" w:lineRule="auto"/>
              <w:jc w:val="center"/>
              <w:rPr>
                <w:rFonts w:hint="default" w:asciiTheme="minorEastAsia" w:hAnsiTheme="minorEastAsia" w:cstheme="minorEastAsia"/>
                <w:b w:val="0"/>
                <w:bCs w:val="0"/>
                <w:sz w:val="21"/>
                <w:szCs w:val="21"/>
                <w:vertAlign w:val="baseline"/>
                <w:lang w:val="en-US" w:eastAsia="zh-CN"/>
              </w:rPr>
            </w:pPr>
          </w:p>
        </w:tc>
        <w:tc>
          <w:tcPr>
            <w:tcW w:w="1290" w:type="dxa"/>
          </w:tcPr>
          <w:p w14:paraId="45D11D91">
            <w:pPr>
              <w:spacing w:line="480" w:lineRule="auto"/>
              <w:jc w:val="center"/>
              <w:rPr>
                <w:rFonts w:hint="default" w:asciiTheme="minorEastAsia" w:hAnsiTheme="minorEastAsia" w:cstheme="minorEastAsia"/>
                <w:b w:val="0"/>
                <w:bCs w:val="0"/>
                <w:sz w:val="21"/>
                <w:szCs w:val="21"/>
                <w:vertAlign w:val="baseline"/>
                <w:lang w:val="en-US" w:eastAsia="zh-CN"/>
              </w:rPr>
            </w:pPr>
          </w:p>
        </w:tc>
        <w:tc>
          <w:tcPr>
            <w:tcW w:w="1995" w:type="dxa"/>
          </w:tcPr>
          <w:p w14:paraId="6DFB8415">
            <w:pPr>
              <w:spacing w:line="480" w:lineRule="auto"/>
              <w:jc w:val="center"/>
              <w:rPr>
                <w:rFonts w:hint="default" w:asciiTheme="minorEastAsia" w:hAnsiTheme="minorEastAsia" w:cstheme="minorEastAsia"/>
                <w:b w:val="0"/>
                <w:bCs w:val="0"/>
                <w:sz w:val="21"/>
                <w:szCs w:val="21"/>
                <w:vertAlign w:val="baseline"/>
                <w:lang w:val="en-US" w:eastAsia="zh-CN"/>
              </w:rPr>
            </w:pPr>
          </w:p>
        </w:tc>
      </w:tr>
      <w:tr w14:paraId="32D21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0" w:type="dxa"/>
            <w:gridSpan w:val="5"/>
          </w:tcPr>
          <w:p w14:paraId="3E7EE0B9">
            <w:pPr>
              <w:spacing w:line="480" w:lineRule="auto"/>
              <w:jc w:val="center"/>
              <w:rPr>
                <w:rFonts w:hint="default" w:asciiTheme="minorEastAsia" w:hAnsi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合计</w:t>
            </w:r>
          </w:p>
        </w:tc>
        <w:tc>
          <w:tcPr>
            <w:tcW w:w="1995" w:type="dxa"/>
          </w:tcPr>
          <w:p w14:paraId="1E887330">
            <w:pPr>
              <w:spacing w:line="480" w:lineRule="auto"/>
              <w:jc w:val="center"/>
              <w:rPr>
                <w:rFonts w:hint="default" w:asciiTheme="minorEastAsia" w:hAnsiTheme="minorEastAsia" w:cstheme="minorEastAsia"/>
                <w:b w:val="0"/>
                <w:bCs w:val="0"/>
                <w:sz w:val="21"/>
                <w:szCs w:val="21"/>
                <w:vertAlign w:val="baseline"/>
                <w:lang w:val="en-US" w:eastAsia="zh-CN"/>
              </w:rPr>
            </w:pPr>
          </w:p>
        </w:tc>
      </w:tr>
    </w:tbl>
    <w:p w14:paraId="69A2F16E">
      <w:pPr>
        <w:jc w:val="center"/>
        <w:rPr>
          <w:rFonts w:hint="default" w:asciiTheme="minorEastAsia" w:hAnsiTheme="minorEastAsia" w:cstheme="minorEastAsia"/>
          <w:b/>
          <w:bCs/>
          <w:sz w:val="28"/>
          <w:szCs w:val="28"/>
          <w:lang w:val="en-US" w:eastAsia="zh-CN"/>
        </w:rPr>
      </w:pPr>
    </w:p>
    <w:p w14:paraId="653D77E6">
      <w:pPr>
        <w:pStyle w:val="3"/>
        <w:jc w:val="center"/>
        <w:rPr>
          <w:rFonts w:asciiTheme="minorEastAsia" w:hAnsiTheme="minorEastAsia" w:cstheme="minorEastAsia"/>
          <w:sz w:val="30"/>
          <w:szCs w:val="30"/>
        </w:rPr>
      </w:pPr>
      <w:bookmarkStart w:id="69" w:name="_Toc498152762"/>
    </w:p>
    <w:p w14:paraId="2E5E7013">
      <w:pPr>
        <w:rPr>
          <w:rFonts w:hint="eastAsia" w:asciiTheme="minorEastAsia" w:hAnsiTheme="minorEastAsia" w:cstheme="minorEastAsia"/>
          <w:sz w:val="30"/>
          <w:szCs w:val="30"/>
        </w:rPr>
      </w:pPr>
      <w:bookmarkStart w:id="70" w:name="_Toc114760398"/>
      <w:r>
        <w:rPr>
          <w:rFonts w:hint="eastAsia" w:asciiTheme="minorEastAsia" w:hAnsiTheme="minorEastAsia" w:cstheme="minorEastAsia"/>
          <w:sz w:val="30"/>
          <w:szCs w:val="30"/>
        </w:rPr>
        <w:br w:type="page"/>
      </w:r>
    </w:p>
    <w:p w14:paraId="658E4111">
      <w:pPr>
        <w:pStyle w:val="3"/>
        <w:jc w:val="center"/>
        <w:rPr>
          <w:rFonts w:asciiTheme="minorEastAsia" w:hAnsiTheme="minorEastAsia" w:cstheme="minorEastAsia"/>
          <w:sz w:val="28"/>
          <w:szCs w:val="28"/>
        </w:rPr>
      </w:pPr>
      <w:r>
        <w:rPr>
          <w:rFonts w:hint="eastAsia" w:asciiTheme="minorEastAsia" w:hAnsiTheme="minorEastAsia" w:cstheme="minorEastAsia"/>
          <w:sz w:val="30"/>
          <w:szCs w:val="30"/>
        </w:rPr>
        <w:t>三、法定代表人身份证明</w:t>
      </w:r>
      <w:bookmarkEnd w:id="69"/>
      <w:bookmarkEnd w:id="70"/>
    </w:p>
    <w:p w14:paraId="319CEC21">
      <w:pPr>
        <w:pStyle w:val="7"/>
        <w:spacing w:line="520" w:lineRule="exact"/>
        <w:ind w:firstLine="420" w:firstLineChars="200"/>
        <w:rPr>
          <w:rFonts w:asciiTheme="minorEastAsia" w:hAnsiTheme="minorEastAsia" w:cstheme="minorEastAsia"/>
          <w:sz w:val="21"/>
          <w:szCs w:val="21"/>
          <w:u w:val="single"/>
        </w:rPr>
      </w:pPr>
      <w:r>
        <w:rPr>
          <w:rFonts w:hint="eastAsia" w:asciiTheme="minorEastAsia" w:hAnsiTheme="minorEastAsia" w:cstheme="minorEastAsia"/>
          <w:sz w:val="21"/>
          <w:szCs w:val="21"/>
        </w:rPr>
        <w:t>供应商名称：</w:t>
      </w:r>
    </w:p>
    <w:p w14:paraId="4F849409">
      <w:pPr>
        <w:pStyle w:val="7"/>
        <w:spacing w:line="520" w:lineRule="exact"/>
        <w:ind w:firstLine="420" w:firstLineChars="200"/>
        <w:rPr>
          <w:rFonts w:asciiTheme="minorEastAsia" w:hAnsiTheme="minorEastAsia" w:cstheme="minorEastAsia"/>
          <w:sz w:val="21"/>
          <w:szCs w:val="21"/>
        </w:rPr>
      </w:pPr>
      <w:r>
        <w:rPr>
          <w:rFonts w:hint="eastAsia" w:asciiTheme="minorEastAsia" w:hAnsiTheme="minorEastAsia" w:cstheme="minorEastAsia"/>
          <w:sz w:val="21"/>
          <w:szCs w:val="21"/>
        </w:rPr>
        <w:t>地 址：</w:t>
      </w:r>
    </w:p>
    <w:p w14:paraId="2030AE86">
      <w:pPr>
        <w:pStyle w:val="7"/>
        <w:spacing w:line="520" w:lineRule="exact"/>
        <w:ind w:firstLine="420" w:firstLineChars="200"/>
        <w:rPr>
          <w:rFonts w:asciiTheme="minorEastAsia" w:hAnsiTheme="minorEastAsia" w:cstheme="minorEastAsia"/>
          <w:sz w:val="21"/>
          <w:szCs w:val="21"/>
        </w:rPr>
      </w:pPr>
      <w:r>
        <w:rPr>
          <w:rFonts w:hint="eastAsia" w:asciiTheme="minorEastAsia" w:hAnsiTheme="minorEastAsia" w:cstheme="minorEastAsia"/>
          <w:sz w:val="21"/>
          <w:szCs w:val="21"/>
        </w:rPr>
        <w:t>成立时间：年月日</w:t>
      </w:r>
    </w:p>
    <w:p w14:paraId="57800E9E">
      <w:pPr>
        <w:pStyle w:val="7"/>
        <w:spacing w:line="520" w:lineRule="exact"/>
        <w:ind w:firstLine="420" w:firstLineChars="200"/>
        <w:rPr>
          <w:rFonts w:asciiTheme="minorEastAsia" w:hAnsiTheme="minorEastAsia" w:cstheme="minorEastAsia"/>
          <w:sz w:val="21"/>
          <w:szCs w:val="21"/>
          <w:u w:val="single"/>
        </w:rPr>
      </w:pPr>
      <w:r>
        <w:rPr>
          <w:rFonts w:hint="eastAsia" w:asciiTheme="minorEastAsia" w:hAnsiTheme="minorEastAsia" w:cstheme="minorEastAsia"/>
          <w:sz w:val="21"/>
          <w:szCs w:val="21"/>
        </w:rPr>
        <w:t>经营期限：</w:t>
      </w:r>
    </w:p>
    <w:p w14:paraId="00A98BBA">
      <w:pPr>
        <w:pStyle w:val="7"/>
        <w:spacing w:line="520" w:lineRule="exact"/>
        <w:ind w:left="210" w:leftChars="100" w:firstLine="210" w:firstLineChars="100"/>
        <w:rPr>
          <w:rFonts w:asciiTheme="minorEastAsia" w:hAnsiTheme="minorEastAsia" w:cstheme="minorEastAsia"/>
          <w:sz w:val="21"/>
          <w:szCs w:val="21"/>
          <w:u w:val="single"/>
        </w:rPr>
      </w:pPr>
      <w:r>
        <w:rPr>
          <w:rFonts w:hint="eastAsia" w:asciiTheme="minorEastAsia" w:hAnsiTheme="minorEastAsia" w:cstheme="minorEastAsia"/>
          <w:sz w:val="21"/>
          <w:szCs w:val="21"/>
        </w:rPr>
        <w:t>姓名：性别：</w:t>
      </w:r>
    </w:p>
    <w:p w14:paraId="7C8E91C9">
      <w:pPr>
        <w:pStyle w:val="7"/>
        <w:spacing w:line="520" w:lineRule="exact"/>
        <w:ind w:left="210" w:leftChars="100" w:firstLine="210" w:firstLineChars="100"/>
        <w:rPr>
          <w:rFonts w:asciiTheme="minorEastAsia" w:hAnsiTheme="minorEastAsia" w:cstheme="minorEastAsia"/>
          <w:sz w:val="21"/>
          <w:szCs w:val="21"/>
        </w:rPr>
      </w:pPr>
      <w:r>
        <w:rPr>
          <w:rFonts w:hint="eastAsia" w:asciiTheme="minorEastAsia" w:hAnsiTheme="minorEastAsia" w:cstheme="minorEastAsia"/>
          <w:sz w:val="21"/>
          <w:szCs w:val="21"/>
        </w:rPr>
        <w:t>年龄：职务：系</w:t>
      </w:r>
      <w:r>
        <w:rPr>
          <w:rFonts w:hint="eastAsia" w:asciiTheme="minorEastAsia" w:hAnsiTheme="minorEastAsia" w:cstheme="minorEastAsia"/>
          <w:sz w:val="21"/>
          <w:szCs w:val="21"/>
          <w:u w:val="single"/>
        </w:rPr>
        <w:t xml:space="preserve">                     （供应商名称）</w:t>
      </w:r>
      <w:r>
        <w:rPr>
          <w:rFonts w:hint="eastAsia" w:asciiTheme="minorEastAsia" w:hAnsiTheme="minorEastAsia" w:cstheme="minorEastAsia"/>
          <w:sz w:val="21"/>
          <w:szCs w:val="21"/>
        </w:rPr>
        <w:t>的法定代表人。</w:t>
      </w:r>
    </w:p>
    <w:p w14:paraId="28F19D69">
      <w:pPr>
        <w:pStyle w:val="7"/>
        <w:spacing w:line="520" w:lineRule="exact"/>
        <w:ind w:firstLine="525" w:firstLineChars="250"/>
        <w:rPr>
          <w:rFonts w:asciiTheme="minorEastAsia" w:hAnsiTheme="minorEastAsia" w:cstheme="minorEastAsia"/>
          <w:sz w:val="21"/>
          <w:szCs w:val="21"/>
        </w:rPr>
      </w:pPr>
      <w:r>
        <w:rPr>
          <w:rFonts w:hint="eastAsia" w:asciiTheme="minorEastAsia" w:hAnsiTheme="minorEastAsia" w:cstheme="minorEastAsia"/>
          <w:sz w:val="21"/>
          <w:szCs w:val="21"/>
        </w:rPr>
        <w:t>特此证明。</w:t>
      </w:r>
    </w:p>
    <w:p w14:paraId="01B6EECA">
      <w:pPr>
        <w:pStyle w:val="7"/>
        <w:spacing w:line="520" w:lineRule="exact"/>
        <w:ind w:firstLine="600" w:firstLineChars="250"/>
        <w:rPr>
          <w:rFonts w:asciiTheme="minorEastAsia" w:hAnsiTheme="minorEastAsia" w:cstheme="minorEastAsia"/>
          <w:szCs w:val="21"/>
        </w:rPr>
      </w:pPr>
    </w:p>
    <w:p w14:paraId="0118B5D0">
      <w:pPr>
        <w:spacing w:line="360" w:lineRule="auto"/>
        <w:ind w:firstLine="422" w:firstLineChars="200"/>
        <w:rPr>
          <w:rFonts w:asciiTheme="minorEastAsia" w:hAnsiTheme="minorEastAsia" w:cstheme="minorEastAsia"/>
          <w:b/>
          <w:szCs w:val="21"/>
        </w:rPr>
      </w:pPr>
      <w:r>
        <w:rPr>
          <w:rFonts w:hint="eastAsia" w:asciiTheme="minorEastAsia" w:hAnsiTheme="minorEastAsia" w:cstheme="minorEastAsia"/>
          <w:b/>
          <w:szCs w:val="21"/>
        </w:rPr>
        <w:t>附：法定代表人身份证复印件</w:t>
      </w:r>
    </w:p>
    <w:p w14:paraId="014B0858">
      <w:pPr>
        <w:snapToGrid w:val="0"/>
        <w:spacing w:line="520" w:lineRule="exact"/>
        <w:ind w:firstLine="2415" w:firstLineChars="1150"/>
        <w:rPr>
          <w:rFonts w:asciiTheme="minorEastAsia" w:hAnsiTheme="minorEastAsia" w:cstheme="minorEastAsia"/>
          <w:szCs w:val="21"/>
        </w:rPr>
      </w:pPr>
    </w:p>
    <w:p w14:paraId="23FD52D1">
      <w:pPr>
        <w:snapToGrid w:val="0"/>
        <w:spacing w:line="520" w:lineRule="exact"/>
        <w:ind w:firstLine="2415" w:firstLineChars="1150"/>
        <w:rPr>
          <w:rFonts w:asciiTheme="minorEastAsia" w:hAnsiTheme="minorEastAsia" w:cstheme="minorEastAsia"/>
          <w:szCs w:val="21"/>
        </w:rPr>
      </w:pPr>
    </w:p>
    <w:p w14:paraId="64D7C534">
      <w:pPr>
        <w:snapToGrid w:val="0"/>
        <w:spacing w:line="520" w:lineRule="exact"/>
        <w:ind w:firstLine="3150" w:firstLineChars="1500"/>
        <w:rPr>
          <w:rFonts w:asciiTheme="minorEastAsia" w:hAnsiTheme="minorEastAsia" w:cstheme="minorEastAsia"/>
          <w:szCs w:val="21"/>
        </w:rPr>
      </w:pPr>
      <w:r>
        <w:rPr>
          <w:rFonts w:hint="eastAsia" w:asciiTheme="minorEastAsia" w:hAnsiTheme="minorEastAsia" w:cstheme="minorEastAsia"/>
          <w:szCs w:val="21"/>
        </w:rPr>
        <w:t>供应商：（</w:t>
      </w:r>
      <w:r>
        <w:rPr>
          <w:rFonts w:hint="eastAsia" w:asciiTheme="minorEastAsia" w:hAnsiTheme="minorEastAsia" w:cstheme="minorEastAsia"/>
          <w:kern w:val="0"/>
          <w:szCs w:val="21"/>
        </w:rPr>
        <w:t>盖单位公章</w:t>
      </w:r>
      <w:r>
        <w:rPr>
          <w:rFonts w:hint="eastAsia" w:asciiTheme="minorEastAsia" w:hAnsiTheme="minorEastAsia" w:cstheme="minorEastAsia"/>
          <w:szCs w:val="21"/>
        </w:rPr>
        <w:t>）</w:t>
      </w:r>
    </w:p>
    <w:p w14:paraId="754D8539">
      <w:pPr>
        <w:spacing w:line="520" w:lineRule="exact"/>
        <w:ind w:left="3780" w:leftChars="1800" w:firstLine="630" w:firstLineChars="300"/>
        <w:rPr>
          <w:rFonts w:asciiTheme="minorEastAsia" w:hAnsiTheme="minorEastAsia" w:cstheme="minorEastAsia"/>
          <w:szCs w:val="21"/>
        </w:rPr>
      </w:pPr>
      <w:r>
        <w:rPr>
          <w:rFonts w:hint="eastAsia" w:asciiTheme="minorEastAsia" w:hAnsiTheme="minorEastAsia" w:cstheme="minorEastAsia"/>
          <w:szCs w:val="21"/>
        </w:rPr>
        <w:t>年    月    日</w:t>
      </w:r>
    </w:p>
    <w:p w14:paraId="0FF49A33">
      <w:pPr>
        <w:spacing w:line="520" w:lineRule="exact"/>
        <w:ind w:left="3780" w:leftChars="1800" w:firstLine="420" w:firstLineChars="200"/>
        <w:rPr>
          <w:rFonts w:asciiTheme="minorEastAsia" w:hAnsiTheme="minorEastAsia" w:cstheme="minorEastAsia"/>
          <w:szCs w:val="21"/>
        </w:rPr>
      </w:pPr>
    </w:p>
    <w:p w14:paraId="25DD56A4">
      <w:pPr>
        <w:jc w:val="center"/>
        <w:rPr>
          <w:rFonts w:asciiTheme="minorEastAsia" w:hAnsiTheme="minorEastAsia" w:cstheme="minorEastAsia"/>
          <w:b/>
          <w:bCs/>
          <w:sz w:val="28"/>
          <w:szCs w:val="28"/>
        </w:rPr>
      </w:pPr>
    </w:p>
    <w:p w14:paraId="06C23055">
      <w:pPr>
        <w:jc w:val="center"/>
        <w:rPr>
          <w:rFonts w:asciiTheme="minorEastAsia" w:hAnsiTheme="minorEastAsia" w:cstheme="minorEastAsia"/>
          <w:b/>
          <w:bCs/>
          <w:sz w:val="28"/>
          <w:szCs w:val="28"/>
        </w:rPr>
      </w:pPr>
    </w:p>
    <w:p w14:paraId="73D7E398">
      <w:pPr>
        <w:widowControl/>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br w:type="page"/>
      </w:r>
    </w:p>
    <w:p w14:paraId="7FD42F30">
      <w:pPr>
        <w:pStyle w:val="3"/>
        <w:jc w:val="center"/>
        <w:rPr>
          <w:rFonts w:asciiTheme="minorEastAsia" w:hAnsiTheme="minorEastAsia" w:cstheme="minorEastAsia"/>
          <w:szCs w:val="21"/>
        </w:rPr>
      </w:pPr>
      <w:bookmarkStart w:id="71" w:name="_Toc498152763"/>
      <w:bookmarkStart w:id="72" w:name="_Toc114760399"/>
      <w:r>
        <w:rPr>
          <w:rFonts w:hint="eastAsia" w:asciiTheme="minorEastAsia" w:hAnsiTheme="minorEastAsia" w:cstheme="minorEastAsia"/>
          <w:sz w:val="30"/>
          <w:szCs w:val="30"/>
        </w:rPr>
        <w:t>四、授权委托书</w:t>
      </w:r>
      <w:bookmarkEnd w:id="71"/>
      <w:bookmarkEnd w:id="72"/>
    </w:p>
    <w:p w14:paraId="42C7D955">
      <w:pPr>
        <w:autoSpaceDE w:val="0"/>
        <w:autoSpaceDN w:val="0"/>
        <w:adjustRightInd w:val="0"/>
        <w:spacing w:line="360" w:lineRule="auto"/>
        <w:ind w:firstLine="420" w:firstLineChars="200"/>
        <w:jc w:val="left"/>
        <w:rPr>
          <w:rFonts w:asciiTheme="minorEastAsia" w:hAnsiTheme="minorEastAsia" w:cstheme="minorEastAsia"/>
          <w:kern w:val="0"/>
          <w:szCs w:val="21"/>
        </w:rPr>
      </w:pPr>
      <w:r>
        <w:rPr>
          <w:rFonts w:hint="eastAsia" w:asciiTheme="minorEastAsia" w:hAnsiTheme="minorEastAsia" w:cstheme="minorEastAsia"/>
          <w:kern w:val="0"/>
          <w:szCs w:val="21"/>
        </w:rPr>
        <w:t>本人</w:t>
      </w:r>
      <w:r>
        <w:rPr>
          <w:rFonts w:hint="eastAsia" w:asciiTheme="minorEastAsia" w:hAnsiTheme="minorEastAsia" w:cstheme="minorEastAsia"/>
          <w:kern w:val="0"/>
          <w:szCs w:val="21"/>
          <w:u w:val="single"/>
        </w:rPr>
        <w:t xml:space="preserve">          （姓名）</w:t>
      </w:r>
      <w:r>
        <w:rPr>
          <w:rFonts w:hint="eastAsia" w:asciiTheme="minorEastAsia" w:hAnsiTheme="minorEastAsia" w:cstheme="minorEastAsia"/>
          <w:kern w:val="0"/>
          <w:szCs w:val="21"/>
        </w:rPr>
        <w:t>系</w:t>
      </w:r>
      <w:r>
        <w:rPr>
          <w:rFonts w:hint="eastAsia" w:asciiTheme="minorEastAsia" w:hAnsiTheme="minorEastAsia" w:cstheme="minorEastAsia"/>
          <w:kern w:val="0"/>
          <w:szCs w:val="21"/>
          <w:u w:val="single"/>
        </w:rPr>
        <w:t xml:space="preserve">         （供应商名称）</w:t>
      </w:r>
      <w:r>
        <w:rPr>
          <w:rFonts w:hint="eastAsia" w:asciiTheme="minorEastAsia" w:hAnsiTheme="minorEastAsia" w:cstheme="minorEastAsia"/>
          <w:kern w:val="0"/>
          <w:szCs w:val="21"/>
        </w:rPr>
        <w:t>的法定代表人，现委托</w:t>
      </w:r>
      <w:r>
        <w:rPr>
          <w:rFonts w:hint="eastAsia" w:asciiTheme="minorEastAsia" w:hAnsiTheme="minorEastAsia" w:cstheme="minorEastAsia"/>
          <w:kern w:val="0"/>
          <w:szCs w:val="21"/>
          <w:u w:val="single"/>
        </w:rPr>
        <w:t xml:space="preserve">           （姓名）</w:t>
      </w:r>
      <w:r>
        <w:rPr>
          <w:rFonts w:hint="eastAsia" w:asciiTheme="minorEastAsia" w:hAnsiTheme="minorEastAsia" w:cstheme="minorEastAsia"/>
          <w:kern w:val="0"/>
          <w:szCs w:val="21"/>
        </w:rPr>
        <w:t>为我方代理人。代理人根据授权，以我方名义签署、澄清、说明、补正、递交、撤回、修改</w:t>
      </w:r>
      <w:r>
        <w:rPr>
          <w:rFonts w:hint="eastAsia" w:asciiTheme="minorEastAsia" w:hAnsiTheme="minorEastAsia" w:cstheme="minorEastAsia"/>
          <w:kern w:val="0"/>
          <w:szCs w:val="21"/>
          <w:u w:val="single"/>
        </w:rPr>
        <w:t>（项目名称）</w:t>
      </w:r>
      <w:r>
        <w:rPr>
          <w:rFonts w:hint="eastAsia" w:asciiTheme="minorEastAsia" w:hAnsiTheme="minorEastAsia" w:cstheme="minorEastAsia"/>
          <w:kern w:val="0"/>
          <w:szCs w:val="21"/>
        </w:rPr>
        <w:t>响应文件、签订合同和处理有关事宜，其法律后果由我方承担。</w:t>
      </w:r>
    </w:p>
    <w:p w14:paraId="475A90F3">
      <w:pPr>
        <w:autoSpaceDE w:val="0"/>
        <w:autoSpaceDN w:val="0"/>
        <w:adjustRightInd w:val="0"/>
        <w:spacing w:line="360" w:lineRule="auto"/>
        <w:ind w:firstLine="420" w:firstLineChars="200"/>
        <w:jc w:val="left"/>
        <w:rPr>
          <w:rFonts w:asciiTheme="minorEastAsia" w:hAnsiTheme="minorEastAsia" w:cstheme="minorEastAsia"/>
          <w:kern w:val="0"/>
          <w:szCs w:val="21"/>
        </w:rPr>
      </w:pPr>
      <w:r>
        <w:rPr>
          <w:rFonts w:hint="eastAsia" w:asciiTheme="minorEastAsia" w:hAnsiTheme="minorEastAsia" w:cstheme="minorEastAsia"/>
          <w:kern w:val="0"/>
          <w:szCs w:val="21"/>
        </w:rPr>
        <w:t>委托期限：      。</w:t>
      </w:r>
    </w:p>
    <w:p w14:paraId="5E452170">
      <w:pPr>
        <w:autoSpaceDE w:val="0"/>
        <w:autoSpaceDN w:val="0"/>
        <w:adjustRightInd w:val="0"/>
        <w:spacing w:line="360" w:lineRule="auto"/>
        <w:ind w:firstLine="420" w:firstLineChars="200"/>
        <w:jc w:val="left"/>
        <w:rPr>
          <w:rFonts w:asciiTheme="minorEastAsia" w:hAnsiTheme="minorEastAsia" w:cstheme="minorEastAsia"/>
          <w:kern w:val="0"/>
          <w:szCs w:val="21"/>
        </w:rPr>
      </w:pPr>
      <w:r>
        <w:rPr>
          <w:rFonts w:hint="eastAsia" w:asciiTheme="minorEastAsia" w:hAnsiTheme="minorEastAsia" w:cstheme="minorEastAsia"/>
          <w:kern w:val="0"/>
          <w:szCs w:val="21"/>
        </w:rPr>
        <w:t>代理人无转委托权。</w:t>
      </w:r>
    </w:p>
    <w:p w14:paraId="5C36D78B">
      <w:pPr>
        <w:spacing w:line="360" w:lineRule="auto"/>
        <w:ind w:firstLine="422" w:firstLineChars="200"/>
        <w:rPr>
          <w:rFonts w:asciiTheme="minorEastAsia" w:hAnsiTheme="minorEastAsia" w:cstheme="minorEastAsia"/>
          <w:b/>
          <w:szCs w:val="21"/>
        </w:rPr>
      </w:pPr>
      <w:r>
        <w:rPr>
          <w:rFonts w:hint="eastAsia" w:asciiTheme="minorEastAsia" w:hAnsiTheme="minorEastAsia" w:cstheme="minorEastAsia"/>
          <w:b/>
          <w:szCs w:val="21"/>
        </w:rPr>
        <w:t>附：法定代表人和委托代理人身份证复印件</w:t>
      </w:r>
    </w:p>
    <w:p w14:paraId="5F61E005">
      <w:pPr>
        <w:snapToGrid w:val="0"/>
        <w:spacing w:beforeLines="550" w:after="100" w:afterAutospacing="1" w:line="360" w:lineRule="auto"/>
        <w:ind w:firstLine="3255" w:firstLineChars="1550"/>
        <w:rPr>
          <w:rFonts w:asciiTheme="minorEastAsia" w:hAnsiTheme="minorEastAsia" w:cstheme="minorEastAsia"/>
          <w:szCs w:val="21"/>
        </w:rPr>
      </w:pPr>
      <w:r>
        <w:rPr>
          <w:rFonts w:hint="eastAsia" w:asciiTheme="minorEastAsia" w:hAnsiTheme="minorEastAsia" w:cstheme="minorEastAsia"/>
          <w:szCs w:val="21"/>
        </w:rPr>
        <w:t>供应商名称：(盖单位章)</w:t>
      </w:r>
    </w:p>
    <w:p w14:paraId="163E1E75">
      <w:pPr>
        <w:snapToGrid w:val="0"/>
        <w:spacing w:before="100" w:beforeAutospacing="1" w:after="100" w:afterAutospacing="1" w:line="360" w:lineRule="auto"/>
        <w:ind w:firstLine="3255" w:firstLineChars="1550"/>
        <w:rPr>
          <w:rFonts w:asciiTheme="minorEastAsia" w:hAnsiTheme="minorEastAsia" w:cstheme="minorEastAsia"/>
          <w:szCs w:val="21"/>
        </w:rPr>
      </w:pPr>
      <w:r>
        <w:rPr>
          <w:rFonts w:hint="eastAsia" w:asciiTheme="minorEastAsia" w:hAnsiTheme="minorEastAsia" w:cstheme="minorEastAsia"/>
          <w:szCs w:val="21"/>
        </w:rPr>
        <w:t>法定代表人：(签字</w:t>
      </w:r>
      <w:r>
        <w:rPr>
          <w:rFonts w:hint="eastAsia" w:asciiTheme="minorEastAsia" w:hAnsiTheme="minorEastAsia" w:cstheme="minorEastAsia"/>
          <w:kern w:val="0"/>
          <w:szCs w:val="21"/>
        </w:rPr>
        <w:t>或盖章</w:t>
      </w:r>
      <w:r>
        <w:rPr>
          <w:rFonts w:hint="eastAsia" w:asciiTheme="minorEastAsia" w:hAnsiTheme="minorEastAsia" w:cstheme="minorEastAsia"/>
          <w:szCs w:val="21"/>
        </w:rPr>
        <w:t>)</w:t>
      </w:r>
    </w:p>
    <w:p w14:paraId="0E4C8375">
      <w:pPr>
        <w:snapToGrid w:val="0"/>
        <w:spacing w:before="100" w:beforeAutospacing="1" w:after="100" w:afterAutospacing="1" w:line="360" w:lineRule="auto"/>
        <w:ind w:firstLine="3255" w:firstLineChars="1550"/>
        <w:rPr>
          <w:rFonts w:asciiTheme="minorEastAsia" w:hAnsiTheme="minorEastAsia" w:cstheme="minorEastAsia"/>
          <w:szCs w:val="21"/>
        </w:rPr>
      </w:pPr>
      <w:r>
        <w:rPr>
          <w:rFonts w:hint="eastAsia" w:asciiTheme="minorEastAsia" w:hAnsiTheme="minorEastAsia" w:cstheme="minorEastAsia"/>
          <w:szCs w:val="21"/>
        </w:rPr>
        <w:t>委托代理人：(签字</w:t>
      </w:r>
      <w:r>
        <w:rPr>
          <w:rFonts w:hint="eastAsia" w:asciiTheme="minorEastAsia" w:hAnsiTheme="minorEastAsia" w:cstheme="minorEastAsia"/>
          <w:kern w:val="0"/>
          <w:szCs w:val="21"/>
        </w:rPr>
        <w:t>或盖章</w:t>
      </w:r>
      <w:r>
        <w:rPr>
          <w:rFonts w:hint="eastAsia" w:asciiTheme="minorEastAsia" w:hAnsiTheme="minorEastAsia" w:cstheme="minorEastAsia"/>
          <w:szCs w:val="21"/>
        </w:rPr>
        <w:t>)</w:t>
      </w:r>
    </w:p>
    <w:p w14:paraId="21BB5D97">
      <w:pPr>
        <w:snapToGrid w:val="0"/>
        <w:spacing w:before="100" w:beforeAutospacing="1" w:after="100" w:afterAutospacing="1" w:line="360" w:lineRule="auto"/>
        <w:ind w:firstLine="3307" w:firstLineChars="1575"/>
        <w:rPr>
          <w:rFonts w:asciiTheme="minorEastAsia" w:hAnsiTheme="minorEastAsia" w:cstheme="minorEastAsia"/>
          <w:szCs w:val="21"/>
        </w:rPr>
      </w:pPr>
      <w:r>
        <w:rPr>
          <w:rFonts w:hint="eastAsia" w:asciiTheme="minorEastAsia" w:hAnsiTheme="minorEastAsia" w:cstheme="minorEastAsia"/>
          <w:szCs w:val="21"/>
        </w:rPr>
        <w:t>日   期：年月 日</w:t>
      </w:r>
    </w:p>
    <w:p w14:paraId="0CAA83B7">
      <w:pPr>
        <w:jc w:val="center"/>
        <w:rPr>
          <w:rFonts w:asciiTheme="minorEastAsia" w:hAnsiTheme="minorEastAsia" w:cstheme="minorEastAsia"/>
          <w:b/>
          <w:bCs/>
          <w:sz w:val="28"/>
          <w:szCs w:val="28"/>
        </w:rPr>
      </w:pPr>
    </w:p>
    <w:p w14:paraId="0514E6E8">
      <w:pPr>
        <w:jc w:val="center"/>
        <w:rPr>
          <w:rFonts w:asciiTheme="minorEastAsia" w:hAnsiTheme="minorEastAsia" w:cstheme="minorEastAsia"/>
          <w:b/>
          <w:bCs/>
          <w:sz w:val="28"/>
          <w:szCs w:val="28"/>
        </w:rPr>
      </w:pPr>
    </w:p>
    <w:p w14:paraId="66F77D24">
      <w:pPr>
        <w:jc w:val="center"/>
        <w:rPr>
          <w:rFonts w:asciiTheme="minorEastAsia" w:hAnsiTheme="minorEastAsia" w:cstheme="minorEastAsia"/>
          <w:b/>
          <w:bCs/>
          <w:sz w:val="28"/>
          <w:szCs w:val="28"/>
        </w:rPr>
      </w:pPr>
    </w:p>
    <w:p w14:paraId="6AB5393D">
      <w:pPr>
        <w:jc w:val="center"/>
        <w:rPr>
          <w:rFonts w:asciiTheme="minorEastAsia" w:hAnsiTheme="minorEastAsia" w:cstheme="minorEastAsia"/>
          <w:b/>
          <w:bCs/>
          <w:sz w:val="28"/>
          <w:szCs w:val="28"/>
        </w:rPr>
      </w:pPr>
    </w:p>
    <w:p w14:paraId="56F2BC09">
      <w:pPr>
        <w:jc w:val="center"/>
        <w:rPr>
          <w:rFonts w:asciiTheme="minorEastAsia" w:hAnsiTheme="minorEastAsia" w:cstheme="minorEastAsia"/>
          <w:b/>
          <w:bCs/>
          <w:sz w:val="28"/>
          <w:szCs w:val="28"/>
        </w:rPr>
      </w:pPr>
    </w:p>
    <w:p w14:paraId="65CBDEC2">
      <w:pPr>
        <w:jc w:val="center"/>
        <w:rPr>
          <w:rFonts w:asciiTheme="minorEastAsia" w:hAnsiTheme="minorEastAsia" w:cstheme="minorEastAsia"/>
          <w:b/>
          <w:bCs/>
          <w:sz w:val="28"/>
          <w:szCs w:val="28"/>
        </w:rPr>
      </w:pPr>
    </w:p>
    <w:p w14:paraId="7F5CF349">
      <w:pPr>
        <w:jc w:val="center"/>
        <w:rPr>
          <w:rFonts w:asciiTheme="minorEastAsia" w:hAnsiTheme="minorEastAsia" w:cstheme="minorEastAsia"/>
          <w:b/>
          <w:bCs/>
          <w:sz w:val="28"/>
          <w:szCs w:val="28"/>
        </w:rPr>
      </w:pPr>
    </w:p>
    <w:p w14:paraId="62D1E908">
      <w:pPr>
        <w:pStyle w:val="3"/>
        <w:jc w:val="center"/>
        <w:rPr>
          <w:rFonts w:asciiTheme="minorEastAsia" w:hAnsiTheme="minorEastAsia" w:cstheme="minorEastAsia"/>
          <w:sz w:val="30"/>
          <w:szCs w:val="30"/>
        </w:rPr>
      </w:pPr>
      <w:bookmarkStart w:id="73" w:name="_Toc498152764"/>
      <w:bookmarkStart w:id="74" w:name="_Toc114760400"/>
      <w:r>
        <w:rPr>
          <w:rFonts w:hint="eastAsia" w:asciiTheme="minorEastAsia" w:hAnsiTheme="minorEastAsia" w:cstheme="minorEastAsia"/>
          <w:sz w:val="30"/>
          <w:szCs w:val="30"/>
        </w:rPr>
        <w:t>五、供应商资格证明文件</w:t>
      </w:r>
      <w:bookmarkEnd w:id="73"/>
      <w:bookmarkEnd w:id="74"/>
    </w:p>
    <w:p w14:paraId="7B460F18">
      <w:pPr>
        <w:jc w:val="center"/>
        <w:rPr>
          <w:rFonts w:asciiTheme="minorEastAsia" w:hAnsiTheme="minorEastAsia" w:cstheme="minorEastAsia"/>
          <w:b/>
          <w:bCs/>
          <w:sz w:val="28"/>
          <w:szCs w:val="28"/>
        </w:rPr>
      </w:pPr>
    </w:p>
    <w:p w14:paraId="153099D1">
      <w:pPr>
        <w:jc w:val="center"/>
        <w:rPr>
          <w:rFonts w:asciiTheme="minorEastAsia" w:hAnsiTheme="minorEastAsia" w:cstheme="minorEastAsia"/>
          <w:b/>
          <w:bCs/>
          <w:sz w:val="28"/>
          <w:szCs w:val="28"/>
        </w:rPr>
      </w:pPr>
    </w:p>
    <w:p w14:paraId="1F3B0BBA">
      <w:pPr>
        <w:jc w:val="center"/>
        <w:rPr>
          <w:rFonts w:asciiTheme="minorEastAsia" w:hAnsiTheme="minorEastAsia" w:cstheme="minorEastAsia"/>
          <w:b/>
          <w:bCs/>
          <w:sz w:val="28"/>
          <w:szCs w:val="28"/>
        </w:rPr>
      </w:pPr>
    </w:p>
    <w:p w14:paraId="086260E4">
      <w:pPr>
        <w:jc w:val="center"/>
        <w:rPr>
          <w:rFonts w:asciiTheme="minorEastAsia" w:hAnsiTheme="minorEastAsia" w:cstheme="minorEastAsia"/>
          <w:b/>
          <w:bCs/>
          <w:sz w:val="28"/>
          <w:szCs w:val="28"/>
        </w:rPr>
      </w:pPr>
    </w:p>
    <w:p w14:paraId="3270073E">
      <w:pPr>
        <w:jc w:val="center"/>
        <w:rPr>
          <w:rFonts w:asciiTheme="minorEastAsia" w:hAnsiTheme="minorEastAsia" w:cstheme="minorEastAsia"/>
          <w:b/>
          <w:bCs/>
          <w:sz w:val="28"/>
          <w:szCs w:val="28"/>
        </w:rPr>
      </w:pPr>
    </w:p>
    <w:p w14:paraId="1C96E1C5">
      <w:pPr>
        <w:jc w:val="center"/>
        <w:rPr>
          <w:rFonts w:asciiTheme="minorEastAsia" w:hAnsiTheme="minorEastAsia" w:cstheme="minorEastAsia"/>
          <w:b/>
          <w:bCs/>
          <w:sz w:val="28"/>
          <w:szCs w:val="28"/>
        </w:rPr>
      </w:pPr>
    </w:p>
    <w:p w14:paraId="5D919D6E">
      <w:pPr>
        <w:jc w:val="center"/>
        <w:rPr>
          <w:rFonts w:asciiTheme="minorEastAsia" w:hAnsiTheme="minorEastAsia" w:cstheme="minorEastAsia"/>
          <w:b/>
          <w:bCs/>
          <w:sz w:val="28"/>
          <w:szCs w:val="28"/>
        </w:rPr>
      </w:pPr>
    </w:p>
    <w:p w14:paraId="5926267D">
      <w:pPr>
        <w:jc w:val="center"/>
        <w:rPr>
          <w:rFonts w:asciiTheme="minorEastAsia" w:hAnsiTheme="minorEastAsia" w:cstheme="minorEastAsia"/>
          <w:b/>
          <w:bCs/>
          <w:sz w:val="28"/>
          <w:szCs w:val="28"/>
        </w:rPr>
      </w:pPr>
    </w:p>
    <w:p w14:paraId="775C2BD4">
      <w:pPr>
        <w:jc w:val="center"/>
        <w:rPr>
          <w:rFonts w:asciiTheme="minorEastAsia" w:hAnsiTheme="minorEastAsia" w:cstheme="minorEastAsia"/>
          <w:b/>
          <w:bCs/>
          <w:sz w:val="28"/>
          <w:szCs w:val="28"/>
        </w:rPr>
      </w:pPr>
    </w:p>
    <w:p w14:paraId="328EB252">
      <w:pPr>
        <w:jc w:val="center"/>
        <w:rPr>
          <w:rFonts w:asciiTheme="minorEastAsia" w:hAnsiTheme="minorEastAsia" w:cstheme="minorEastAsia"/>
          <w:b/>
          <w:bCs/>
          <w:sz w:val="28"/>
          <w:szCs w:val="28"/>
        </w:rPr>
      </w:pPr>
    </w:p>
    <w:p w14:paraId="13FF8AF3">
      <w:pPr>
        <w:jc w:val="center"/>
        <w:rPr>
          <w:rFonts w:asciiTheme="minorEastAsia" w:hAnsiTheme="minorEastAsia" w:cstheme="minorEastAsia"/>
          <w:b/>
          <w:bCs/>
          <w:sz w:val="28"/>
          <w:szCs w:val="28"/>
        </w:rPr>
      </w:pPr>
    </w:p>
    <w:p w14:paraId="1FE1CD1A">
      <w:pPr>
        <w:jc w:val="center"/>
        <w:rPr>
          <w:rFonts w:asciiTheme="minorEastAsia" w:hAnsiTheme="minorEastAsia" w:cstheme="minorEastAsia"/>
          <w:b/>
          <w:bCs/>
          <w:sz w:val="28"/>
          <w:szCs w:val="28"/>
        </w:rPr>
      </w:pPr>
    </w:p>
    <w:p w14:paraId="2A75ABBC">
      <w:pPr>
        <w:jc w:val="center"/>
        <w:rPr>
          <w:rFonts w:asciiTheme="minorEastAsia" w:hAnsiTheme="minorEastAsia" w:cstheme="minorEastAsia"/>
          <w:b/>
          <w:bCs/>
          <w:sz w:val="28"/>
          <w:szCs w:val="28"/>
        </w:rPr>
      </w:pPr>
    </w:p>
    <w:p w14:paraId="7579531A">
      <w:pPr>
        <w:jc w:val="center"/>
        <w:rPr>
          <w:rFonts w:asciiTheme="minorEastAsia" w:hAnsiTheme="minorEastAsia" w:cstheme="minorEastAsia"/>
          <w:b/>
          <w:bCs/>
          <w:sz w:val="28"/>
          <w:szCs w:val="28"/>
        </w:rPr>
      </w:pPr>
    </w:p>
    <w:p w14:paraId="06B92CD4">
      <w:pPr>
        <w:jc w:val="center"/>
        <w:rPr>
          <w:rFonts w:asciiTheme="minorEastAsia" w:hAnsiTheme="minorEastAsia" w:cstheme="minorEastAsia"/>
          <w:b/>
          <w:bCs/>
          <w:sz w:val="28"/>
          <w:szCs w:val="28"/>
        </w:rPr>
      </w:pPr>
    </w:p>
    <w:p w14:paraId="3800A013">
      <w:pPr>
        <w:jc w:val="center"/>
        <w:rPr>
          <w:rFonts w:asciiTheme="minorEastAsia" w:hAnsiTheme="minorEastAsia" w:cstheme="minorEastAsia"/>
          <w:b/>
          <w:bCs/>
          <w:sz w:val="28"/>
          <w:szCs w:val="28"/>
        </w:rPr>
      </w:pPr>
    </w:p>
    <w:p w14:paraId="0C768F79">
      <w:pPr>
        <w:jc w:val="center"/>
        <w:rPr>
          <w:rFonts w:asciiTheme="minorEastAsia" w:hAnsiTheme="minorEastAsia" w:cstheme="minorEastAsia"/>
          <w:b/>
          <w:bCs/>
          <w:sz w:val="28"/>
          <w:szCs w:val="28"/>
        </w:rPr>
      </w:pPr>
    </w:p>
    <w:p w14:paraId="6101A22F">
      <w:pPr>
        <w:jc w:val="center"/>
        <w:rPr>
          <w:rFonts w:asciiTheme="minorEastAsia" w:hAnsiTheme="minorEastAsia" w:cstheme="minorEastAsia"/>
          <w:b/>
          <w:bCs/>
          <w:sz w:val="28"/>
          <w:szCs w:val="28"/>
        </w:rPr>
      </w:pPr>
    </w:p>
    <w:p w14:paraId="67CA6A8C">
      <w:pPr>
        <w:jc w:val="center"/>
        <w:rPr>
          <w:rFonts w:asciiTheme="minorEastAsia" w:hAnsiTheme="minorEastAsia" w:cstheme="minorEastAsia"/>
          <w:b/>
          <w:bCs/>
          <w:sz w:val="28"/>
          <w:szCs w:val="28"/>
        </w:rPr>
      </w:pPr>
    </w:p>
    <w:p w14:paraId="1911CC06">
      <w:pPr>
        <w:pStyle w:val="3"/>
        <w:jc w:val="center"/>
        <w:rPr>
          <w:rFonts w:asciiTheme="minorEastAsia" w:hAnsiTheme="minorEastAsia" w:cstheme="minorEastAsia"/>
          <w:sz w:val="30"/>
          <w:szCs w:val="30"/>
        </w:rPr>
      </w:pPr>
      <w:bookmarkStart w:id="75" w:name="_Toc114760401"/>
      <w:bookmarkStart w:id="76" w:name="_Toc498152767"/>
      <w:r>
        <w:rPr>
          <w:rFonts w:hint="eastAsia" w:asciiTheme="minorEastAsia" w:hAnsiTheme="minorEastAsia" w:cstheme="minorEastAsia"/>
          <w:sz w:val="30"/>
          <w:szCs w:val="30"/>
        </w:rPr>
        <w:t>六、本项目服务方案及实施计划</w:t>
      </w:r>
      <w:bookmarkEnd w:id="75"/>
    </w:p>
    <w:p w14:paraId="70483713">
      <w:pPr>
        <w:ind w:firstLine="4200" w:firstLineChars="2000"/>
        <w:rPr>
          <w:rFonts w:asciiTheme="minorEastAsia" w:hAnsiTheme="minorEastAsia" w:cstheme="minorEastAsia"/>
        </w:rPr>
      </w:pPr>
      <w:r>
        <w:rPr>
          <w:rFonts w:hint="eastAsia" w:asciiTheme="minorEastAsia" w:hAnsiTheme="minorEastAsia" w:cstheme="minorEastAsia"/>
        </w:rPr>
        <w:t>（格式自拟）</w:t>
      </w:r>
    </w:p>
    <w:p w14:paraId="02187147">
      <w:pPr>
        <w:rPr>
          <w:rFonts w:asciiTheme="minorEastAsia" w:hAnsiTheme="minorEastAsia" w:cstheme="minorEastAsia"/>
        </w:rPr>
      </w:pPr>
    </w:p>
    <w:p w14:paraId="275E73E4">
      <w:pPr>
        <w:rPr>
          <w:rFonts w:asciiTheme="minorEastAsia" w:hAnsiTheme="minorEastAsia" w:cstheme="minorEastAsia"/>
        </w:rPr>
      </w:pPr>
    </w:p>
    <w:p w14:paraId="7AD968F2">
      <w:pPr>
        <w:rPr>
          <w:rFonts w:asciiTheme="minorEastAsia" w:hAnsiTheme="minorEastAsia" w:cstheme="minorEastAsia"/>
        </w:rPr>
      </w:pPr>
    </w:p>
    <w:p w14:paraId="691B0A5C">
      <w:pPr>
        <w:rPr>
          <w:rFonts w:asciiTheme="minorEastAsia" w:hAnsiTheme="minorEastAsia" w:cstheme="minorEastAsia"/>
        </w:rPr>
      </w:pPr>
    </w:p>
    <w:p w14:paraId="08D1E38C">
      <w:pPr>
        <w:rPr>
          <w:rFonts w:asciiTheme="minorEastAsia" w:hAnsiTheme="minorEastAsia" w:cstheme="minorEastAsia"/>
        </w:rPr>
      </w:pPr>
    </w:p>
    <w:p w14:paraId="5654BF12">
      <w:pPr>
        <w:rPr>
          <w:rFonts w:asciiTheme="minorEastAsia" w:hAnsiTheme="minorEastAsia" w:cstheme="minorEastAsia"/>
        </w:rPr>
      </w:pPr>
    </w:p>
    <w:p w14:paraId="23DD19FD">
      <w:pPr>
        <w:rPr>
          <w:rFonts w:asciiTheme="minorEastAsia" w:hAnsiTheme="minorEastAsia" w:cstheme="minorEastAsia"/>
        </w:rPr>
      </w:pPr>
    </w:p>
    <w:p w14:paraId="4BCADA38">
      <w:pPr>
        <w:rPr>
          <w:rFonts w:asciiTheme="minorEastAsia" w:hAnsiTheme="minorEastAsia" w:cstheme="minorEastAsia"/>
        </w:rPr>
      </w:pPr>
    </w:p>
    <w:p w14:paraId="329BE9EB">
      <w:pPr>
        <w:rPr>
          <w:rFonts w:asciiTheme="minorEastAsia" w:hAnsiTheme="minorEastAsia" w:cstheme="minorEastAsia"/>
        </w:rPr>
      </w:pPr>
    </w:p>
    <w:p w14:paraId="3DC96DC7">
      <w:pPr>
        <w:rPr>
          <w:rFonts w:asciiTheme="minorEastAsia" w:hAnsiTheme="minorEastAsia" w:cstheme="minorEastAsia"/>
        </w:rPr>
      </w:pPr>
    </w:p>
    <w:p w14:paraId="45BF5047">
      <w:pPr>
        <w:rPr>
          <w:rFonts w:asciiTheme="minorEastAsia" w:hAnsiTheme="minorEastAsia" w:cstheme="minorEastAsia"/>
        </w:rPr>
      </w:pPr>
    </w:p>
    <w:p w14:paraId="10B02F2A">
      <w:pPr>
        <w:rPr>
          <w:rFonts w:asciiTheme="minorEastAsia" w:hAnsiTheme="minorEastAsia" w:cstheme="minorEastAsia"/>
        </w:rPr>
      </w:pPr>
    </w:p>
    <w:p w14:paraId="20E09C91">
      <w:pPr>
        <w:rPr>
          <w:rFonts w:asciiTheme="minorEastAsia" w:hAnsiTheme="minorEastAsia" w:cstheme="minorEastAsia"/>
        </w:rPr>
      </w:pPr>
    </w:p>
    <w:p w14:paraId="24E32672">
      <w:pPr>
        <w:rPr>
          <w:rFonts w:asciiTheme="minorEastAsia" w:hAnsiTheme="minorEastAsia" w:cstheme="minorEastAsia"/>
        </w:rPr>
      </w:pPr>
    </w:p>
    <w:p w14:paraId="6BA77874">
      <w:pPr>
        <w:rPr>
          <w:rFonts w:asciiTheme="minorEastAsia" w:hAnsiTheme="minorEastAsia" w:cstheme="minorEastAsia"/>
        </w:rPr>
      </w:pPr>
    </w:p>
    <w:p w14:paraId="08BA7907">
      <w:pPr>
        <w:rPr>
          <w:rFonts w:asciiTheme="minorEastAsia" w:hAnsiTheme="minorEastAsia" w:cstheme="minorEastAsia"/>
        </w:rPr>
      </w:pPr>
    </w:p>
    <w:p w14:paraId="4155AE41">
      <w:pPr>
        <w:rPr>
          <w:rFonts w:asciiTheme="minorEastAsia" w:hAnsiTheme="minorEastAsia" w:cstheme="minorEastAsia"/>
        </w:rPr>
      </w:pPr>
    </w:p>
    <w:p w14:paraId="335DA419">
      <w:pPr>
        <w:rPr>
          <w:rFonts w:asciiTheme="minorEastAsia" w:hAnsiTheme="minorEastAsia" w:cstheme="minorEastAsia"/>
        </w:rPr>
      </w:pPr>
    </w:p>
    <w:p w14:paraId="5134F8A8">
      <w:pPr>
        <w:rPr>
          <w:rFonts w:asciiTheme="minorEastAsia" w:hAnsiTheme="minorEastAsia" w:cstheme="minorEastAsia"/>
        </w:rPr>
      </w:pPr>
    </w:p>
    <w:p w14:paraId="2BC1C632">
      <w:pPr>
        <w:rPr>
          <w:rFonts w:asciiTheme="minorEastAsia" w:hAnsiTheme="minorEastAsia" w:cstheme="minorEastAsia"/>
        </w:rPr>
      </w:pPr>
    </w:p>
    <w:p w14:paraId="346B1236">
      <w:pPr>
        <w:rPr>
          <w:rFonts w:asciiTheme="minorEastAsia" w:hAnsiTheme="minorEastAsia" w:cstheme="minorEastAsia"/>
        </w:rPr>
      </w:pPr>
    </w:p>
    <w:p w14:paraId="6D0CEB8F">
      <w:pPr>
        <w:rPr>
          <w:rFonts w:asciiTheme="minorEastAsia" w:hAnsiTheme="minorEastAsia" w:cstheme="minorEastAsia"/>
        </w:rPr>
      </w:pPr>
    </w:p>
    <w:p w14:paraId="04E2A4B7">
      <w:pPr>
        <w:rPr>
          <w:rFonts w:asciiTheme="minorEastAsia" w:hAnsiTheme="minorEastAsia" w:cstheme="minorEastAsia"/>
        </w:rPr>
      </w:pPr>
    </w:p>
    <w:p w14:paraId="14DB40EB">
      <w:pPr>
        <w:rPr>
          <w:rFonts w:asciiTheme="minorEastAsia" w:hAnsiTheme="minorEastAsia" w:cstheme="minorEastAsia"/>
        </w:rPr>
      </w:pPr>
    </w:p>
    <w:p w14:paraId="330CD864">
      <w:pPr>
        <w:rPr>
          <w:rFonts w:asciiTheme="minorEastAsia" w:hAnsiTheme="minorEastAsia" w:cstheme="minorEastAsia"/>
        </w:rPr>
      </w:pPr>
    </w:p>
    <w:p w14:paraId="48DD32B7">
      <w:pPr>
        <w:rPr>
          <w:rFonts w:asciiTheme="minorEastAsia" w:hAnsiTheme="minorEastAsia" w:cstheme="minorEastAsia"/>
        </w:rPr>
      </w:pPr>
    </w:p>
    <w:p w14:paraId="71392D1B">
      <w:pPr>
        <w:rPr>
          <w:rFonts w:asciiTheme="minorEastAsia" w:hAnsiTheme="minorEastAsia" w:cstheme="minorEastAsia"/>
        </w:rPr>
      </w:pPr>
    </w:p>
    <w:p w14:paraId="0AF9764F">
      <w:pPr>
        <w:rPr>
          <w:rFonts w:asciiTheme="minorEastAsia" w:hAnsiTheme="minorEastAsia" w:cstheme="minorEastAsia"/>
        </w:rPr>
      </w:pPr>
    </w:p>
    <w:p w14:paraId="5600DB70">
      <w:pPr>
        <w:rPr>
          <w:rFonts w:asciiTheme="minorEastAsia" w:hAnsiTheme="minorEastAsia" w:cstheme="minorEastAsia"/>
        </w:rPr>
      </w:pPr>
    </w:p>
    <w:p w14:paraId="6846A740">
      <w:pPr>
        <w:rPr>
          <w:rFonts w:asciiTheme="minorEastAsia" w:hAnsiTheme="minorEastAsia" w:cstheme="minorEastAsia"/>
        </w:rPr>
      </w:pPr>
    </w:p>
    <w:p w14:paraId="17DC2FEF">
      <w:pPr>
        <w:rPr>
          <w:rFonts w:asciiTheme="minorEastAsia" w:hAnsiTheme="minorEastAsia" w:cstheme="minorEastAsia"/>
        </w:rPr>
      </w:pPr>
    </w:p>
    <w:p w14:paraId="533E623A">
      <w:pPr>
        <w:rPr>
          <w:rFonts w:asciiTheme="minorEastAsia" w:hAnsiTheme="minorEastAsia" w:cstheme="minorEastAsia"/>
        </w:rPr>
      </w:pPr>
    </w:p>
    <w:p w14:paraId="55802826">
      <w:pPr>
        <w:rPr>
          <w:rFonts w:asciiTheme="minorEastAsia" w:hAnsiTheme="minorEastAsia" w:cstheme="minorEastAsia"/>
        </w:rPr>
      </w:pPr>
    </w:p>
    <w:p w14:paraId="2D20771D">
      <w:pPr>
        <w:rPr>
          <w:rFonts w:asciiTheme="minorEastAsia" w:hAnsiTheme="minorEastAsia" w:cstheme="minorEastAsia"/>
        </w:rPr>
      </w:pPr>
    </w:p>
    <w:p w14:paraId="728FFFB4">
      <w:pPr>
        <w:rPr>
          <w:rFonts w:asciiTheme="minorEastAsia" w:hAnsiTheme="minorEastAsia" w:cstheme="minorEastAsia"/>
        </w:rPr>
      </w:pPr>
    </w:p>
    <w:p w14:paraId="35B24096">
      <w:pPr>
        <w:rPr>
          <w:rFonts w:asciiTheme="minorEastAsia" w:hAnsiTheme="minorEastAsia" w:cstheme="minorEastAsia"/>
        </w:rPr>
      </w:pPr>
    </w:p>
    <w:p w14:paraId="7E1F3E68">
      <w:pPr>
        <w:rPr>
          <w:rFonts w:asciiTheme="minorEastAsia" w:hAnsiTheme="minorEastAsia" w:cstheme="minorEastAsia"/>
        </w:rPr>
      </w:pPr>
    </w:p>
    <w:p w14:paraId="26F29EFC">
      <w:pPr>
        <w:rPr>
          <w:rFonts w:asciiTheme="minorEastAsia" w:hAnsiTheme="minorEastAsia" w:cstheme="minorEastAsia"/>
        </w:rPr>
      </w:pPr>
    </w:p>
    <w:p w14:paraId="658AE9D3">
      <w:pPr>
        <w:rPr>
          <w:rFonts w:asciiTheme="minorEastAsia" w:hAnsiTheme="minorEastAsia" w:cstheme="minorEastAsia"/>
        </w:rPr>
      </w:pPr>
    </w:p>
    <w:p w14:paraId="7A7AC47D">
      <w:pPr>
        <w:rPr>
          <w:rFonts w:asciiTheme="minorEastAsia" w:hAnsiTheme="minorEastAsia" w:cstheme="minorEastAsia"/>
        </w:rPr>
      </w:pPr>
    </w:p>
    <w:p w14:paraId="28FA92E3">
      <w:pPr>
        <w:pStyle w:val="3"/>
        <w:jc w:val="center"/>
        <w:rPr>
          <w:rFonts w:asciiTheme="minorEastAsia" w:hAnsiTheme="minorEastAsia" w:cstheme="minorEastAsia"/>
          <w:sz w:val="30"/>
          <w:szCs w:val="30"/>
        </w:rPr>
      </w:pPr>
      <w:bookmarkStart w:id="77" w:name="_Toc114760402"/>
      <w:r>
        <w:rPr>
          <w:rFonts w:hint="eastAsia" w:asciiTheme="minorEastAsia" w:hAnsiTheme="minorEastAsia" w:cstheme="minorEastAsia"/>
          <w:sz w:val="30"/>
          <w:szCs w:val="30"/>
        </w:rPr>
        <w:t>七、其他材料</w:t>
      </w:r>
      <w:bookmarkEnd w:id="77"/>
    </w:p>
    <w:p w14:paraId="3FA182DE">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供应商认为需要加以说明的其他内容及供应商认为有必要提交的其它材料。</w:t>
      </w:r>
    </w:p>
    <w:p w14:paraId="6AA0BC59">
      <w:pPr>
        <w:rPr>
          <w:rFonts w:asciiTheme="minorEastAsia" w:hAnsiTheme="minorEastAsia" w:cstheme="minorEastAsia"/>
        </w:rPr>
      </w:pPr>
    </w:p>
    <w:bookmarkEnd w:id="76"/>
    <w:p w14:paraId="5E020DB3">
      <w:pPr>
        <w:jc w:val="center"/>
        <w:rPr>
          <w:rFonts w:asciiTheme="minorEastAsia" w:hAnsiTheme="minorEastAsia" w:cstheme="minorEastAsia"/>
          <w:b/>
          <w:bCs/>
          <w:sz w:val="28"/>
          <w:szCs w:val="28"/>
        </w:rPr>
      </w:pPr>
    </w:p>
    <w:sectPr>
      <w:headerReference r:id="rId15" w:type="default"/>
      <w:footerReference r:id="rId16" w:type="default"/>
      <w:pgSz w:w="11906" w:h="16838"/>
      <w:pgMar w:top="1440" w:right="1080" w:bottom="1440" w:left="1080" w:header="851" w:footer="90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99719">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F1428">
    <w:pPr>
      <w:pStyle w:val="14"/>
      <w:framePr w:wrap="around" w:vAnchor="text" w:hAnchor="margin" w:xAlign="center" w:y="1"/>
      <w:rPr>
        <w:rStyle w:val="24"/>
      </w:rPr>
    </w:pPr>
    <w:r>
      <w:fldChar w:fldCharType="begin"/>
    </w:r>
    <w:r>
      <w:rPr>
        <w:rStyle w:val="24"/>
      </w:rPr>
      <w:instrText xml:space="preserve">PAGE  </w:instrText>
    </w:r>
    <w:r>
      <w:fldChar w:fldCharType="end"/>
    </w:r>
  </w:p>
  <w:p w14:paraId="46343140">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028B8">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717C28">
                          <w:pPr>
                            <w:pStyle w:val="1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717C28">
                    <w:pPr>
                      <w:pStyle w:val="1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8A74B">
    <w:pPr>
      <w:pStyle w:val="14"/>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A77A99">
                          <w:pPr>
                            <w:pStyle w:val="1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8A77A99">
                    <w:pPr>
                      <w:pStyle w:val="1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88243">
    <w:pPr>
      <w:pStyle w:val="14"/>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06CAF">
    <w:pPr>
      <w:pStyle w:val="14"/>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85C98">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B66EF9">
                          <w:pPr>
                            <w:pStyle w:val="14"/>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7B66EF9">
                    <w:pPr>
                      <w:pStyle w:val="14"/>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23E99">
    <w:pPr>
      <w:pStyle w:val="14"/>
      <w:framePr w:wrap="around" w:vAnchor="text" w:hAnchor="margin" w:xAlign="center" w:y="1"/>
      <w:rPr>
        <w:rStyle w:val="24"/>
      </w:rPr>
    </w:pPr>
    <w:r>
      <w:fldChar w:fldCharType="begin"/>
    </w:r>
    <w:r>
      <w:rPr>
        <w:rStyle w:val="24"/>
      </w:rPr>
      <w:instrText xml:space="preserve">PAGE  </w:instrText>
    </w:r>
    <w:r>
      <w:fldChar w:fldCharType="end"/>
    </w:r>
  </w:p>
  <w:p w14:paraId="103CA580">
    <w:pPr>
      <w:pStyle w:val="1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A88DA">
    <w:pPr>
      <w:pBdr>
        <w:bottom w:val="single" w:color="auto" w:sz="4" w:space="0"/>
      </w:pBd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BA1B6E">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0BA1B6E">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C99A6">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5D5CB">
    <w:pPr>
      <w:pStyle w:val="15"/>
      <w:pBdr>
        <w:bottom w:val="none" w:color="auto" w:sz="0" w:space="1"/>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8E5D9">
    <w:pPr>
      <w:pStyle w:val="1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FA752">
    <w:pPr>
      <w:pStyle w:val="15"/>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19DA1">
    <w:pPr>
      <w:pStyle w:val="15"/>
      <w:pBdr>
        <w:bottom w:val="none" w:color="auto" w:sz="0" w:space="1"/>
      </w:pBdr>
      <w:ind w:firstLine="90" w:firstLineChars="5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20649D"/>
    <w:multiLevelType w:val="multilevel"/>
    <w:tmpl w:val="0420649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C901AF4"/>
    <w:multiLevelType w:val="multilevel"/>
    <w:tmpl w:val="0C901AF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F8220E4"/>
    <w:multiLevelType w:val="multilevel"/>
    <w:tmpl w:val="0F8220E4"/>
    <w:lvl w:ilvl="0" w:tentative="0">
      <w:start w:val="1"/>
      <w:numFmt w:val="decimal"/>
      <w:lvlText w:val="（%1）"/>
      <w:lvlJc w:val="left"/>
      <w:pPr>
        <w:ind w:left="420" w:hanging="420"/>
      </w:pPr>
      <w:rPr>
        <w:rFonts w:hint="eastAsia"/>
      </w:rPr>
    </w:lvl>
    <w:lvl w:ilvl="1" w:tentative="0">
      <w:start w:val="0"/>
      <w:numFmt w:val="bullet"/>
      <w:lvlText w:val="★"/>
      <w:lvlJc w:val="left"/>
      <w:pPr>
        <w:ind w:left="780" w:hanging="360"/>
      </w:pPr>
      <w:rPr>
        <w:rFonts w:hint="eastAsia" w:ascii="宋体" w:hAnsi="宋体" w:eastAsia="宋体" w:cs="Times New Roman"/>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3A84B13"/>
    <w:multiLevelType w:val="multilevel"/>
    <w:tmpl w:val="13A84B13"/>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1B8F7772"/>
    <w:multiLevelType w:val="multilevel"/>
    <w:tmpl w:val="1B8F777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DF91841"/>
    <w:multiLevelType w:val="multilevel"/>
    <w:tmpl w:val="1DF9184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4CE2515"/>
    <w:multiLevelType w:val="multilevel"/>
    <w:tmpl w:val="24CE2515"/>
    <w:lvl w:ilvl="0" w:tentative="0">
      <w:start w:val="1"/>
      <w:numFmt w:val="decimal"/>
      <w:lvlText w:val="%1、"/>
      <w:lvlJc w:val="left"/>
      <w:pPr>
        <w:ind w:left="495" w:hanging="49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AEA0ADD"/>
    <w:multiLevelType w:val="multilevel"/>
    <w:tmpl w:val="2AEA0ADD"/>
    <w:lvl w:ilvl="0" w:tentative="0">
      <w:start w:val="1"/>
      <w:numFmt w:val="decimal"/>
      <w:lvlText w:val="7.%1"/>
      <w:lvlJc w:val="left"/>
      <w:pPr>
        <w:tabs>
          <w:tab w:val="left" w:pos="851"/>
        </w:tabs>
        <w:ind w:left="851" w:hanging="58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304203B2"/>
    <w:multiLevelType w:val="multilevel"/>
    <w:tmpl w:val="304203B2"/>
    <w:lvl w:ilvl="0" w:tentative="0">
      <w:start w:val="9"/>
      <w:numFmt w:val="decimal"/>
      <w:lvlText w:val="%1."/>
      <w:lvlJc w:val="right"/>
      <w:pPr>
        <w:tabs>
          <w:tab w:val="left" w:pos="482"/>
        </w:tabs>
        <w:ind w:left="482" w:hanging="482"/>
      </w:pPr>
      <w:rPr>
        <w:rFonts w:hint="eastAsia"/>
      </w:rPr>
    </w:lvl>
    <w:lvl w:ilvl="1" w:tentative="0">
      <w:start w:val="1"/>
      <w:numFmt w:val="decimal"/>
      <w:lvlText w:val="10.%2"/>
      <w:lvlJc w:val="left"/>
      <w:pPr>
        <w:tabs>
          <w:tab w:val="left" w:pos="1134"/>
        </w:tabs>
        <w:ind w:left="1134" w:hanging="868"/>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341A008A"/>
    <w:multiLevelType w:val="multilevel"/>
    <w:tmpl w:val="341A008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17C73A4"/>
    <w:multiLevelType w:val="multilevel"/>
    <w:tmpl w:val="417C73A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494F16B"/>
    <w:multiLevelType w:val="multilevel"/>
    <w:tmpl w:val="4494F16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2FB2DCB"/>
    <w:multiLevelType w:val="multilevel"/>
    <w:tmpl w:val="52FB2DC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4805FC6"/>
    <w:multiLevelType w:val="multilevel"/>
    <w:tmpl w:val="54805FC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6528A01"/>
    <w:multiLevelType w:val="singleLevel"/>
    <w:tmpl w:val="56528A01"/>
    <w:lvl w:ilvl="0" w:tentative="0">
      <w:start w:val="1"/>
      <w:numFmt w:val="decimal"/>
      <w:suff w:val="nothing"/>
      <w:lvlText w:val="（%1）"/>
      <w:lvlJc w:val="left"/>
    </w:lvl>
  </w:abstractNum>
  <w:abstractNum w:abstractNumId="15">
    <w:nsid w:val="5EC5050B"/>
    <w:multiLevelType w:val="multilevel"/>
    <w:tmpl w:val="5EC5050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0557AC5"/>
    <w:multiLevelType w:val="multilevel"/>
    <w:tmpl w:val="60557AC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3592A83"/>
    <w:multiLevelType w:val="multilevel"/>
    <w:tmpl w:val="63592A83"/>
    <w:lvl w:ilvl="0" w:tentative="0">
      <w:start w:val="1"/>
      <w:numFmt w:val="decimal"/>
      <w:lvlText w:val="第%1章"/>
      <w:lvlJc w:val="left"/>
      <w:pPr>
        <w:tabs>
          <w:tab w:val="left" w:pos="432"/>
        </w:tabs>
        <w:ind w:left="432" w:hanging="432"/>
      </w:pPr>
      <w:rPr>
        <w:rFonts w:hint="eastAsia"/>
        <w:b/>
        <w:i w:val="0"/>
      </w:r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rPr>
        <w:rFonts w:hint="eastAsia"/>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8">
    <w:nsid w:val="657D35B6"/>
    <w:multiLevelType w:val="multilevel"/>
    <w:tmpl w:val="657D35B6"/>
    <w:lvl w:ilvl="0" w:tentative="0">
      <w:start w:val="1"/>
      <w:numFmt w:val="decimal"/>
      <w:lvlText w:val="8.%1"/>
      <w:lvlJc w:val="left"/>
      <w:pPr>
        <w:tabs>
          <w:tab w:val="left" w:pos="851"/>
        </w:tabs>
        <w:ind w:left="851" w:hanging="58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74B178E0"/>
    <w:multiLevelType w:val="multilevel"/>
    <w:tmpl w:val="74B178E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9742889"/>
    <w:multiLevelType w:val="multilevel"/>
    <w:tmpl w:val="7974288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7"/>
  </w:num>
  <w:num w:numId="2">
    <w:abstractNumId w:val="7"/>
  </w:num>
  <w:num w:numId="3">
    <w:abstractNumId w:val="18"/>
  </w:num>
  <w:num w:numId="4">
    <w:abstractNumId w:val="8"/>
  </w:num>
  <w:num w:numId="5">
    <w:abstractNumId w:val="15"/>
  </w:num>
  <w:num w:numId="6">
    <w:abstractNumId w:val="9"/>
  </w:num>
  <w:num w:numId="7">
    <w:abstractNumId w:val="19"/>
  </w:num>
  <w:num w:numId="8">
    <w:abstractNumId w:val="3"/>
  </w:num>
  <w:num w:numId="9">
    <w:abstractNumId w:val="12"/>
  </w:num>
  <w:num w:numId="10">
    <w:abstractNumId w:val="5"/>
  </w:num>
  <w:num w:numId="11">
    <w:abstractNumId w:val="16"/>
  </w:num>
  <w:num w:numId="12">
    <w:abstractNumId w:val="10"/>
  </w:num>
  <w:num w:numId="13">
    <w:abstractNumId w:val="6"/>
  </w:num>
  <w:num w:numId="14">
    <w:abstractNumId w:val="4"/>
  </w:num>
  <w:num w:numId="15">
    <w:abstractNumId w:val="2"/>
  </w:num>
  <w:num w:numId="16">
    <w:abstractNumId w:val="13"/>
  </w:num>
  <w:num w:numId="17">
    <w:abstractNumId w:val="0"/>
  </w:num>
  <w:num w:numId="18">
    <w:abstractNumId w:val="1"/>
  </w:num>
  <w:num w:numId="19">
    <w:abstractNumId w:val="20"/>
  </w:num>
  <w:num w:numId="20">
    <w:abstractNumId w:val="1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5NzU3YmE0ZDczY2RjYmMxZTMyNjc4YjFiMWQ0MDMifQ=="/>
  </w:docVars>
  <w:rsids>
    <w:rsidRoot w:val="582F1451"/>
    <w:rsid w:val="00001455"/>
    <w:rsid w:val="00003677"/>
    <w:rsid w:val="000525A5"/>
    <w:rsid w:val="000635B8"/>
    <w:rsid w:val="000A4DF8"/>
    <w:rsid w:val="000D089D"/>
    <w:rsid w:val="000D0F73"/>
    <w:rsid w:val="000F6866"/>
    <w:rsid w:val="001C4955"/>
    <w:rsid w:val="001D5DB5"/>
    <w:rsid w:val="001D6299"/>
    <w:rsid w:val="001E191B"/>
    <w:rsid w:val="001E58D2"/>
    <w:rsid w:val="0020720C"/>
    <w:rsid w:val="00216065"/>
    <w:rsid w:val="00223737"/>
    <w:rsid w:val="00237B89"/>
    <w:rsid w:val="002446A8"/>
    <w:rsid w:val="0028740F"/>
    <w:rsid w:val="002967A4"/>
    <w:rsid w:val="002F2378"/>
    <w:rsid w:val="003210F9"/>
    <w:rsid w:val="00323DCE"/>
    <w:rsid w:val="00365F26"/>
    <w:rsid w:val="00370161"/>
    <w:rsid w:val="00372D46"/>
    <w:rsid w:val="00381C11"/>
    <w:rsid w:val="003821BF"/>
    <w:rsid w:val="003B0130"/>
    <w:rsid w:val="003F4155"/>
    <w:rsid w:val="00443924"/>
    <w:rsid w:val="00462322"/>
    <w:rsid w:val="004717A3"/>
    <w:rsid w:val="004C5E30"/>
    <w:rsid w:val="004E655C"/>
    <w:rsid w:val="004E75EB"/>
    <w:rsid w:val="004F5F73"/>
    <w:rsid w:val="00564E31"/>
    <w:rsid w:val="00593BCC"/>
    <w:rsid w:val="005F0461"/>
    <w:rsid w:val="005F0ED0"/>
    <w:rsid w:val="006010DA"/>
    <w:rsid w:val="00607C43"/>
    <w:rsid w:val="006113D9"/>
    <w:rsid w:val="00632F26"/>
    <w:rsid w:val="00641A32"/>
    <w:rsid w:val="00647473"/>
    <w:rsid w:val="00662E38"/>
    <w:rsid w:val="006717EB"/>
    <w:rsid w:val="0068500B"/>
    <w:rsid w:val="00686054"/>
    <w:rsid w:val="00696FF9"/>
    <w:rsid w:val="006A3A7B"/>
    <w:rsid w:val="006B51EB"/>
    <w:rsid w:val="006E22C7"/>
    <w:rsid w:val="00700B72"/>
    <w:rsid w:val="00775474"/>
    <w:rsid w:val="0079291B"/>
    <w:rsid w:val="007C5882"/>
    <w:rsid w:val="007D21DF"/>
    <w:rsid w:val="00813451"/>
    <w:rsid w:val="00841C28"/>
    <w:rsid w:val="00857E26"/>
    <w:rsid w:val="00885DBA"/>
    <w:rsid w:val="008D7E71"/>
    <w:rsid w:val="008E2C18"/>
    <w:rsid w:val="00905AF6"/>
    <w:rsid w:val="00922D89"/>
    <w:rsid w:val="009928B6"/>
    <w:rsid w:val="009B1A93"/>
    <w:rsid w:val="00A14BD6"/>
    <w:rsid w:val="00A20AA6"/>
    <w:rsid w:val="00A240BA"/>
    <w:rsid w:val="00A2520A"/>
    <w:rsid w:val="00A66756"/>
    <w:rsid w:val="00A837D3"/>
    <w:rsid w:val="00A87E0D"/>
    <w:rsid w:val="00A95821"/>
    <w:rsid w:val="00AC5040"/>
    <w:rsid w:val="00AF0A68"/>
    <w:rsid w:val="00B012D7"/>
    <w:rsid w:val="00B15E24"/>
    <w:rsid w:val="00B615ED"/>
    <w:rsid w:val="00BD3CFD"/>
    <w:rsid w:val="00C12BE2"/>
    <w:rsid w:val="00C257D9"/>
    <w:rsid w:val="00C3484C"/>
    <w:rsid w:val="00C377B4"/>
    <w:rsid w:val="00C51E5A"/>
    <w:rsid w:val="00C66DE1"/>
    <w:rsid w:val="00C93D1A"/>
    <w:rsid w:val="00CA3729"/>
    <w:rsid w:val="00CC27F6"/>
    <w:rsid w:val="00CD1994"/>
    <w:rsid w:val="00CE2D9B"/>
    <w:rsid w:val="00D4514E"/>
    <w:rsid w:val="00DB1236"/>
    <w:rsid w:val="00DD77B4"/>
    <w:rsid w:val="00DE34CD"/>
    <w:rsid w:val="00DE4985"/>
    <w:rsid w:val="00DF4CE3"/>
    <w:rsid w:val="00DF584B"/>
    <w:rsid w:val="00E04BF3"/>
    <w:rsid w:val="00E63D22"/>
    <w:rsid w:val="00E9566A"/>
    <w:rsid w:val="00EF1EAF"/>
    <w:rsid w:val="00EF4E47"/>
    <w:rsid w:val="00F0164D"/>
    <w:rsid w:val="00F242C9"/>
    <w:rsid w:val="00F27E90"/>
    <w:rsid w:val="00F37DD2"/>
    <w:rsid w:val="00F51DF9"/>
    <w:rsid w:val="00F61A38"/>
    <w:rsid w:val="00F65D68"/>
    <w:rsid w:val="00F77182"/>
    <w:rsid w:val="00F83971"/>
    <w:rsid w:val="00FA3A8E"/>
    <w:rsid w:val="00FC4C23"/>
    <w:rsid w:val="00FE672D"/>
    <w:rsid w:val="00FF3F6D"/>
    <w:rsid w:val="0138562C"/>
    <w:rsid w:val="01B330B4"/>
    <w:rsid w:val="0217608D"/>
    <w:rsid w:val="0353689B"/>
    <w:rsid w:val="038745BD"/>
    <w:rsid w:val="03BC2D8F"/>
    <w:rsid w:val="044C1A63"/>
    <w:rsid w:val="06A96293"/>
    <w:rsid w:val="06F11AF9"/>
    <w:rsid w:val="07C96421"/>
    <w:rsid w:val="08942913"/>
    <w:rsid w:val="09F64316"/>
    <w:rsid w:val="0A811262"/>
    <w:rsid w:val="0CBB0F46"/>
    <w:rsid w:val="0CE73875"/>
    <w:rsid w:val="0D7D34D7"/>
    <w:rsid w:val="0DB74491"/>
    <w:rsid w:val="0E9E003D"/>
    <w:rsid w:val="0EEA5D93"/>
    <w:rsid w:val="0F0A2AA6"/>
    <w:rsid w:val="0F6147FD"/>
    <w:rsid w:val="0F8476D3"/>
    <w:rsid w:val="0F89100F"/>
    <w:rsid w:val="0FBE662C"/>
    <w:rsid w:val="10155D7C"/>
    <w:rsid w:val="10F02405"/>
    <w:rsid w:val="113520C5"/>
    <w:rsid w:val="11896580"/>
    <w:rsid w:val="12052037"/>
    <w:rsid w:val="12752FEF"/>
    <w:rsid w:val="1522360D"/>
    <w:rsid w:val="15446705"/>
    <w:rsid w:val="154D0CFD"/>
    <w:rsid w:val="15E647A3"/>
    <w:rsid w:val="15EF557D"/>
    <w:rsid w:val="16045F9E"/>
    <w:rsid w:val="1649465B"/>
    <w:rsid w:val="16DD2112"/>
    <w:rsid w:val="17957C7D"/>
    <w:rsid w:val="181A0780"/>
    <w:rsid w:val="18527F91"/>
    <w:rsid w:val="18850418"/>
    <w:rsid w:val="194D25B3"/>
    <w:rsid w:val="19B4308D"/>
    <w:rsid w:val="19CD62F2"/>
    <w:rsid w:val="19D46A18"/>
    <w:rsid w:val="19E2301D"/>
    <w:rsid w:val="1ADE6BDC"/>
    <w:rsid w:val="1AEE0123"/>
    <w:rsid w:val="1C800583"/>
    <w:rsid w:val="1D9A3CEA"/>
    <w:rsid w:val="20947856"/>
    <w:rsid w:val="21377999"/>
    <w:rsid w:val="214B59E5"/>
    <w:rsid w:val="22783135"/>
    <w:rsid w:val="232A6AB3"/>
    <w:rsid w:val="240A0AAB"/>
    <w:rsid w:val="25097881"/>
    <w:rsid w:val="25CE5CCA"/>
    <w:rsid w:val="260B203D"/>
    <w:rsid w:val="262611E9"/>
    <w:rsid w:val="26984347"/>
    <w:rsid w:val="26FE0421"/>
    <w:rsid w:val="27744809"/>
    <w:rsid w:val="27AF6648"/>
    <w:rsid w:val="282A76FA"/>
    <w:rsid w:val="287B568D"/>
    <w:rsid w:val="29F4099C"/>
    <w:rsid w:val="29F51A54"/>
    <w:rsid w:val="2B5727E5"/>
    <w:rsid w:val="2B8018AE"/>
    <w:rsid w:val="2B802148"/>
    <w:rsid w:val="2C23151A"/>
    <w:rsid w:val="2DD759F5"/>
    <w:rsid w:val="2E666452"/>
    <w:rsid w:val="2F862891"/>
    <w:rsid w:val="2FCD3616"/>
    <w:rsid w:val="30F85608"/>
    <w:rsid w:val="30FF357F"/>
    <w:rsid w:val="31D51243"/>
    <w:rsid w:val="32843424"/>
    <w:rsid w:val="32A72D58"/>
    <w:rsid w:val="32AD2A9C"/>
    <w:rsid w:val="3302203D"/>
    <w:rsid w:val="33A52E69"/>
    <w:rsid w:val="33B72E1C"/>
    <w:rsid w:val="340E0A07"/>
    <w:rsid w:val="342C10CF"/>
    <w:rsid w:val="34303531"/>
    <w:rsid w:val="34A85ED5"/>
    <w:rsid w:val="34EC55A8"/>
    <w:rsid w:val="3561774A"/>
    <w:rsid w:val="35763007"/>
    <w:rsid w:val="36412010"/>
    <w:rsid w:val="386F4387"/>
    <w:rsid w:val="39473B6A"/>
    <w:rsid w:val="3A38354D"/>
    <w:rsid w:val="3AD82DB3"/>
    <w:rsid w:val="3B55139D"/>
    <w:rsid w:val="3B8657EE"/>
    <w:rsid w:val="3BE24654"/>
    <w:rsid w:val="3CF52E0C"/>
    <w:rsid w:val="3D074F75"/>
    <w:rsid w:val="3D2D1B25"/>
    <w:rsid w:val="3E0E660E"/>
    <w:rsid w:val="3E0E7AAB"/>
    <w:rsid w:val="3EAE2E32"/>
    <w:rsid w:val="3F352ACC"/>
    <w:rsid w:val="3FEC165F"/>
    <w:rsid w:val="40185B98"/>
    <w:rsid w:val="40774433"/>
    <w:rsid w:val="40B806B1"/>
    <w:rsid w:val="40C36440"/>
    <w:rsid w:val="419433CB"/>
    <w:rsid w:val="41BD0803"/>
    <w:rsid w:val="41C07022"/>
    <w:rsid w:val="41DA67A4"/>
    <w:rsid w:val="42F619B7"/>
    <w:rsid w:val="4339164B"/>
    <w:rsid w:val="444C3D3F"/>
    <w:rsid w:val="458B3CA9"/>
    <w:rsid w:val="46786846"/>
    <w:rsid w:val="49D0061F"/>
    <w:rsid w:val="4A002C1C"/>
    <w:rsid w:val="4B2F1D77"/>
    <w:rsid w:val="4BA906F2"/>
    <w:rsid w:val="4CB84BBD"/>
    <w:rsid w:val="4CCE6888"/>
    <w:rsid w:val="4DAF1E31"/>
    <w:rsid w:val="4E64561B"/>
    <w:rsid w:val="4E9E459C"/>
    <w:rsid w:val="4EA809B1"/>
    <w:rsid w:val="4ED41A77"/>
    <w:rsid w:val="5002553D"/>
    <w:rsid w:val="510A5A3F"/>
    <w:rsid w:val="51382C59"/>
    <w:rsid w:val="518731FF"/>
    <w:rsid w:val="51CC4CB8"/>
    <w:rsid w:val="51DC1680"/>
    <w:rsid w:val="51EA5C26"/>
    <w:rsid w:val="5246182E"/>
    <w:rsid w:val="52736824"/>
    <w:rsid w:val="52C31813"/>
    <w:rsid w:val="52FD46BC"/>
    <w:rsid w:val="53756118"/>
    <w:rsid w:val="55FB3233"/>
    <w:rsid w:val="56BB1179"/>
    <w:rsid w:val="57311EBD"/>
    <w:rsid w:val="582F1451"/>
    <w:rsid w:val="583A26D6"/>
    <w:rsid w:val="584541E2"/>
    <w:rsid w:val="58BB337A"/>
    <w:rsid w:val="59983DC6"/>
    <w:rsid w:val="5A482AC8"/>
    <w:rsid w:val="5A9A64C4"/>
    <w:rsid w:val="5CC11316"/>
    <w:rsid w:val="5CD047F9"/>
    <w:rsid w:val="5CF32D10"/>
    <w:rsid w:val="5D18249A"/>
    <w:rsid w:val="5DCE5350"/>
    <w:rsid w:val="5F153664"/>
    <w:rsid w:val="5F263A65"/>
    <w:rsid w:val="60F60F82"/>
    <w:rsid w:val="61872AF8"/>
    <w:rsid w:val="62A22CC2"/>
    <w:rsid w:val="62F62FFF"/>
    <w:rsid w:val="62F65095"/>
    <w:rsid w:val="640A738F"/>
    <w:rsid w:val="6494043F"/>
    <w:rsid w:val="64B41F73"/>
    <w:rsid w:val="64C91EB5"/>
    <w:rsid w:val="65B10D1C"/>
    <w:rsid w:val="664E1299"/>
    <w:rsid w:val="67EA331F"/>
    <w:rsid w:val="682F2AC8"/>
    <w:rsid w:val="68C946C0"/>
    <w:rsid w:val="69BF6BA4"/>
    <w:rsid w:val="69FC6714"/>
    <w:rsid w:val="6A56387F"/>
    <w:rsid w:val="6A867CBD"/>
    <w:rsid w:val="6AA26AE3"/>
    <w:rsid w:val="6AB8173E"/>
    <w:rsid w:val="6B3148F7"/>
    <w:rsid w:val="6B660CF3"/>
    <w:rsid w:val="6BF70F12"/>
    <w:rsid w:val="6C1016FC"/>
    <w:rsid w:val="6D535020"/>
    <w:rsid w:val="6D701A64"/>
    <w:rsid w:val="71893974"/>
    <w:rsid w:val="719E43F2"/>
    <w:rsid w:val="73984A4F"/>
    <w:rsid w:val="73AE7EEE"/>
    <w:rsid w:val="73D16432"/>
    <w:rsid w:val="743C472F"/>
    <w:rsid w:val="7757205A"/>
    <w:rsid w:val="78310562"/>
    <w:rsid w:val="78625BAA"/>
    <w:rsid w:val="787A331A"/>
    <w:rsid w:val="797866AB"/>
    <w:rsid w:val="79B0791B"/>
    <w:rsid w:val="79CE79C1"/>
    <w:rsid w:val="7A034BBF"/>
    <w:rsid w:val="7A3A7A8C"/>
    <w:rsid w:val="7A684DF7"/>
    <w:rsid w:val="7C483053"/>
    <w:rsid w:val="7D8F3A7A"/>
    <w:rsid w:val="7E1657A6"/>
    <w:rsid w:val="7EA53149"/>
    <w:rsid w:val="7EAE29FA"/>
    <w:rsid w:val="7F680066"/>
    <w:rsid w:val="7F822598"/>
    <w:rsid w:val="7F9935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3" w:lineRule="auto"/>
      <w:outlineLvl w:val="1"/>
    </w:pPr>
    <w:rPr>
      <w:rFonts w:ascii="Cambria" w:hAnsi="Cambria"/>
      <w:b/>
      <w:bCs/>
      <w:kern w:val="0"/>
      <w:sz w:val="32"/>
      <w:szCs w:val="32"/>
    </w:rPr>
  </w:style>
  <w:style w:type="paragraph" w:styleId="4">
    <w:name w:val="heading 3"/>
    <w:basedOn w:val="1"/>
    <w:next w:val="1"/>
    <w:unhideWhenUsed/>
    <w:qFormat/>
    <w:uiPriority w:val="0"/>
    <w:pPr>
      <w:keepNext/>
      <w:keepLines/>
      <w:spacing w:line="416" w:lineRule="auto"/>
      <w:outlineLvl w:val="2"/>
    </w:pPr>
    <w:rPr>
      <w:b/>
      <w:bCs/>
      <w:sz w:val="32"/>
      <w:szCs w:val="32"/>
    </w:rPr>
  </w:style>
  <w:style w:type="paragraph" w:styleId="5">
    <w:name w:val="heading 4"/>
    <w:basedOn w:val="1"/>
    <w:next w:val="1"/>
    <w:qFormat/>
    <w:uiPriority w:val="0"/>
    <w:pPr>
      <w:keepNext/>
      <w:keepLines/>
      <w:numPr>
        <w:ilvl w:val="3"/>
        <w:numId w:val="1"/>
      </w:numPr>
      <w:spacing w:before="280" w:after="290" w:line="376" w:lineRule="auto"/>
      <w:jc w:val="left"/>
      <w:outlineLvl w:val="3"/>
    </w:pPr>
    <w:rPr>
      <w:rFonts w:ascii="Arial" w:hAnsi="Arial" w:eastAsia="黑体"/>
      <w:b/>
      <w:bCs/>
      <w:sz w:val="28"/>
      <w:szCs w:val="28"/>
    </w:rPr>
  </w:style>
  <w:style w:type="paragraph" w:styleId="6">
    <w:name w:val="heading 5"/>
    <w:basedOn w:val="1"/>
    <w:next w:val="1"/>
    <w:qFormat/>
    <w:uiPriority w:val="0"/>
    <w:pPr>
      <w:keepNext/>
      <w:keepLines/>
      <w:numPr>
        <w:ilvl w:val="4"/>
        <w:numId w:val="1"/>
      </w:numPr>
      <w:spacing w:before="280" w:after="290" w:line="360" w:lineRule="auto"/>
      <w:jc w:val="left"/>
      <w:outlineLvl w:val="4"/>
    </w:pPr>
    <w:rPr>
      <w:rFonts w:eastAsia="黑体"/>
      <w:b/>
      <w:bCs/>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spacing w:line="460" w:lineRule="exact"/>
    </w:pPr>
    <w:rPr>
      <w:rFonts w:ascii="宋体" w:hAnsi="宋体"/>
      <w:kern w:val="0"/>
      <w:sz w:val="24"/>
    </w:rPr>
  </w:style>
  <w:style w:type="paragraph" w:styleId="8">
    <w:name w:val="Body Text Indent"/>
    <w:basedOn w:val="1"/>
    <w:next w:val="9"/>
    <w:qFormat/>
    <w:uiPriority w:val="0"/>
    <w:pPr>
      <w:tabs>
        <w:tab w:val="left" w:pos="945"/>
        <w:tab w:val="left" w:pos="1155"/>
      </w:tabs>
      <w:ind w:firstLine="435"/>
    </w:pPr>
    <w:rPr>
      <w:rFonts w:ascii="宋体"/>
      <w:sz w:val="24"/>
    </w:rPr>
  </w:style>
  <w:style w:type="paragraph" w:styleId="9">
    <w:name w:val="envelope return"/>
    <w:basedOn w:val="1"/>
    <w:qFormat/>
    <w:uiPriority w:val="0"/>
    <w:pPr>
      <w:snapToGrid w:val="0"/>
    </w:pPr>
    <w:rPr>
      <w:rFonts w:ascii="Arial" w:hAnsi="Arial"/>
    </w:rPr>
  </w:style>
  <w:style w:type="paragraph" w:styleId="10">
    <w:name w:val="Block Text"/>
    <w:basedOn w:val="1"/>
    <w:unhideWhenUsed/>
    <w:qFormat/>
    <w:uiPriority w:val="99"/>
    <w:pPr>
      <w:spacing w:after="120" w:line="520" w:lineRule="exact"/>
      <w:ind w:left="1440" w:leftChars="700" w:right="700" w:rightChars="700" w:firstLine="1120" w:firstLineChars="200"/>
    </w:pPr>
    <w:rPr>
      <w:rFonts w:ascii="Calibri" w:hAnsi="Calibri" w:cs="Calibri"/>
      <w:sz w:val="24"/>
      <w:szCs w:val="21"/>
    </w:rPr>
  </w:style>
  <w:style w:type="paragraph" w:styleId="11">
    <w:name w:val="toc 3"/>
    <w:basedOn w:val="1"/>
    <w:next w:val="1"/>
    <w:qFormat/>
    <w:uiPriority w:val="39"/>
    <w:pPr>
      <w:ind w:left="840" w:leftChars="400"/>
    </w:pPr>
  </w:style>
  <w:style w:type="paragraph" w:styleId="12">
    <w:name w:val="Date"/>
    <w:basedOn w:val="1"/>
    <w:next w:val="1"/>
    <w:qFormat/>
    <w:uiPriority w:val="0"/>
    <w:pPr>
      <w:ind w:left="100" w:leftChars="2500"/>
    </w:pPr>
    <w:rPr>
      <w:rFonts w:ascii="Calibri" w:hAnsi="Calibri"/>
      <w:kern w:val="0"/>
      <w:sz w:val="24"/>
    </w:rPr>
  </w:style>
  <w:style w:type="paragraph" w:styleId="13">
    <w:name w:val="Balloon Text"/>
    <w:basedOn w:val="1"/>
    <w:link w:val="31"/>
    <w:qFormat/>
    <w:uiPriority w:val="0"/>
    <w:rPr>
      <w:sz w:val="18"/>
      <w:szCs w:val="18"/>
    </w:rPr>
  </w:style>
  <w:style w:type="paragraph" w:styleId="14">
    <w:name w:val="footer"/>
    <w:basedOn w:val="1"/>
    <w:link w:val="32"/>
    <w:qFormat/>
    <w:uiPriority w:val="99"/>
    <w:pPr>
      <w:tabs>
        <w:tab w:val="center" w:pos="4153"/>
        <w:tab w:val="right" w:pos="8306"/>
      </w:tabs>
      <w:snapToGrid w:val="0"/>
      <w:jc w:val="left"/>
    </w:pPr>
    <w:rPr>
      <w:kern w:val="0"/>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qFormat/>
    <w:uiPriority w:val="39"/>
    <w:pPr>
      <w:tabs>
        <w:tab w:val="right" w:leader="dot" w:pos="9628"/>
      </w:tabs>
      <w:spacing w:line="360" w:lineRule="auto"/>
    </w:pPr>
  </w:style>
  <w:style w:type="paragraph" w:styleId="17">
    <w:name w:val="toc 2"/>
    <w:basedOn w:val="1"/>
    <w:next w:val="1"/>
    <w:qFormat/>
    <w:uiPriority w:val="39"/>
    <w:pPr>
      <w:ind w:left="420" w:leftChars="200"/>
    </w:pPr>
  </w:style>
  <w:style w:type="paragraph" w:styleId="18">
    <w:name w:val="Normal (Web)"/>
    <w:basedOn w:val="1"/>
    <w:qFormat/>
    <w:uiPriority w:val="0"/>
    <w:pPr>
      <w:spacing w:beforeAutospacing="1" w:afterAutospacing="1"/>
      <w:jc w:val="left"/>
    </w:pPr>
    <w:rPr>
      <w:rFonts w:cs="Times New Roman"/>
      <w:kern w:val="0"/>
      <w:sz w:val="24"/>
    </w:rPr>
  </w:style>
  <w:style w:type="paragraph" w:styleId="19">
    <w:name w:val="Body Text First Indent 2"/>
    <w:basedOn w:val="8"/>
    <w:next w:val="1"/>
    <w:unhideWhenUsed/>
    <w:qFormat/>
    <w:uiPriority w:val="99"/>
    <w:pPr>
      <w:ind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rPr>
      <w:rFonts w:cs="Times New Roman"/>
    </w:rPr>
  </w:style>
  <w:style w:type="character" w:styleId="25">
    <w:name w:val="Hyperlink"/>
    <w:qFormat/>
    <w:uiPriority w:val="99"/>
    <w:rPr>
      <w:rFonts w:cs="Times New Roman"/>
      <w:color w:val="0000FF"/>
      <w:u w:val="single"/>
    </w:rPr>
  </w:style>
  <w:style w:type="character" w:styleId="26">
    <w:name w:val="annotation reference"/>
    <w:qFormat/>
    <w:uiPriority w:val="99"/>
    <w:rPr>
      <w:sz w:val="21"/>
      <w:szCs w:val="21"/>
    </w:rPr>
  </w:style>
  <w:style w:type="paragraph" w:customStyle="1" w:styleId="27">
    <w:name w:val="Default"/>
    <w:next w:val="28"/>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8">
    <w:name w:val="大标题"/>
    <w:basedOn w:val="1"/>
    <w:next w:val="19"/>
    <w:qFormat/>
    <w:uiPriority w:val="0"/>
    <w:pPr>
      <w:jc w:val="center"/>
    </w:pPr>
    <w:rPr>
      <w:rFonts w:ascii="Arial" w:hAnsi="Arial"/>
      <w:b/>
      <w:sz w:val="28"/>
      <w:szCs w:val="24"/>
    </w:rPr>
  </w:style>
  <w:style w:type="paragraph" w:customStyle="1" w:styleId="29">
    <w:name w:val="cjk"/>
    <w:basedOn w:val="1"/>
    <w:qFormat/>
    <w:uiPriority w:val="0"/>
    <w:pPr>
      <w:widowControl/>
      <w:spacing w:line="480" w:lineRule="auto"/>
      <w:jc w:val="left"/>
    </w:pPr>
    <w:rPr>
      <w:rFonts w:ascii="宋体" w:hAnsi="宋体" w:cs="宋体"/>
      <w:kern w:val="0"/>
      <w:sz w:val="24"/>
    </w:rPr>
  </w:style>
  <w:style w:type="paragraph" w:customStyle="1" w:styleId="30">
    <w:name w:val="p17"/>
    <w:basedOn w:val="1"/>
    <w:qFormat/>
    <w:uiPriority w:val="99"/>
    <w:pPr>
      <w:widowControl/>
      <w:spacing w:line="480" w:lineRule="auto"/>
      <w:jc w:val="left"/>
    </w:pPr>
    <w:rPr>
      <w:rFonts w:ascii="宋体" w:hAnsi="宋体" w:cs="宋体"/>
      <w:kern w:val="0"/>
      <w:sz w:val="24"/>
    </w:rPr>
  </w:style>
  <w:style w:type="character" w:customStyle="1" w:styleId="31">
    <w:name w:val="批注框文本 Char"/>
    <w:basedOn w:val="22"/>
    <w:link w:val="13"/>
    <w:qFormat/>
    <w:uiPriority w:val="0"/>
    <w:rPr>
      <w:rFonts w:asciiTheme="minorHAnsi" w:hAnsiTheme="minorHAnsi" w:eastAsiaTheme="minorEastAsia" w:cstheme="minorBidi"/>
      <w:kern w:val="2"/>
      <w:sz w:val="18"/>
      <w:szCs w:val="18"/>
    </w:rPr>
  </w:style>
  <w:style w:type="character" w:customStyle="1" w:styleId="32">
    <w:name w:val="页脚 Char"/>
    <w:basedOn w:val="22"/>
    <w:link w:val="14"/>
    <w:qFormat/>
    <w:uiPriority w:val="99"/>
    <w:rPr>
      <w:rFonts w:asciiTheme="minorHAnsi" w:hAnsiTheme="minorHAnsi" w:eastAsiaTheme="minorEastAsia" w:cstheme="minorBidi"/>
      <w:sz w:val="18"/>
      <w:szCs w:val="18"/>
    </w:rPr>
  </w:style>
  <w:style w:type="paragraph" w:customStyle="1" w:styleId="33">
    <w:name w:val="标题 21"/>
    <w:basedOn w:val="1"/>
    <w:qFormat/>
    <w:uiPriority w:val="0"/>
    <w:pPr>
      <w:keepNext/>
      <w:keepLines/>
      <w:widowControl w:val="0"/>
      <w:suppressLineNumbers w:val="0"/>
      <w:spacing w:before="260" w:beforeAutospacing="0" w:after="260" w:afterAutospacing="0" w:line="415" w:lineRule="auto"/>
      <w:jc w:val="both"/>
      <w:outlineLvl w:val="1"/>
    </w:pPr>
    <w:rPr>
      <w:rFonts w:ascii="Arial" w:hAnsi="Arial" w:eastAsia="黑体"/>
      <w:b/>
      <w:bCs/>
      <w:kern w:val="2"/>
      <w:sz w:val="32"/>
      <w:szCs w:val="32"/>
      <w:lang w:val="en-US" w:eastAsia="zh-CN" w:bidi="ar"/>
    </w:rPr>
  </w:style>
  <w:style w:type="paragraph" w:customStyle="1" w:styleId="34">
    <w:name w:val="正文缩进1"/>
    <w:basedOn w:val="1"/>
    <w:qFormat/>
    <w:uiPriority w:val="0"/>
    <w:pPr>
      <w:keepNext w:val="0"/>
      <w:keepLines w:val="0"/>
      <w:widowControl w:val="0"/>
      <w:suppressLineNumbers w:val="0"/>
      <w:spacing w:before="0" w:beforeAutospacing="0" w:after="0" w:afterAutospacing="0"/>
      <w:ind w:left="0" w:right="0" w:firstLine="420" w:firstLineChars="200"/>
      <w:jc w:val="both"/>
    </w:pPr>
    <w:rPr>
      <w:rFonts w:ascii="Times New Roman" w:hAnsi="Times New Roman"/>
      <w:kern w:val="2"/>
      <w:sz w:val="21"/>
      <w:szCs w:val="21"/>
      <w:lang w:val="en-US" w:eastAsia="zh-CN" w:bidi="ar"/>
    </w:rPr>
  </w:style>
  <w:style w:type="paragraph" w:styleId="35">
    <w:name w:val="List Paragraph"/>
    <w:basedOn w:val="1"/>
    <w:qFormat/>
    <w:uiPriority w:val="0"/>
    <w:pPr>
      <w:ind w:left="1440" w:hanging="900"/>
    </w:pPr>
    <w:rPr>
      <w:rFonts w:ascii="PMingLiU" w:hAnsi="PMingLiU" w:eastAsia="PMingLiU"/>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4EF3E6-8E39-44EF-BD30-8EC8FB2EC829}">
  <ds:schemaRefs/>
</ds:datastoreItem>
</file>

<file path=docProps/app.xml><?xml version="1.0" encoding="utf-8"?>
<Properties xmlns="http://schemas.openxmlformats.org/officeDocument/2006/extended-properties" xmlns:vt="http://schemas.openxmlformats.org/officeDocument/2006/docPropsVTypes">
  <Template>0</Template>
  <Company>shenduxitong</Company>
  <Pages>36</Pages>
  <Words>5065</Words>
  <Characters>5383</Characters>
  <Lines>112</Lines>
  <Paragraphs>31</Paragraphs>
  <TotalTime>56</TotalTime>
  <ScaleCrop>false</ScaleCrop>
  <LinksUpToDate>false</LinksUpToDate>
  <CharactersWithSpaces>5455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2018-03-26T02:35:00Z</dcterms:created>
  <dc:creator>  河南恒信</dc:creator>
  <cp:lastModifiedBy>刘永杰</cp:lastModifiedBy>
  <dcterms:modified xsi:type="dcterms:W3CDTF">2025-02-18T08:33:04Z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260B94A103894318BEF61B2C53BFFEE0_13</vt:lpwstr>
  </property>
  <property fmtid="{D5CDD505-2E9C-101B-9397-08002B2CF9AE}" pid="4" name="KSOTemplateDocerSaveRecord">
    <vt:lpwstr>eyJoZGlkIjoiNDZhZjJhZjY0OTRmMGRiNTM0YTFkYTFlM2YzNzk1M2MiLCJ1c2VySWQiOiIxMDY3MTcwMDk1In0=</vt:lpwstr>
  </property>
</Properties>
</file>