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5E18F">
      <w:pPr>
        <w:pStyle w:val="4"/>
        <w:pageBreakBefore w:val="0"/>
        <w:numPr>
          <w:ilvl w:val="0"/>
          <w:numId w:val="0"/>
        </w:numPr>
        <w:kinsoku/>
        <w:overflowPunct/>
        <w:bidi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bookmarkStart w:id="0" w:name="_Toc1556"/>
      <w:r>
        <w:rPr>
          <w:rFonts w:hint="eastAsia" w:ascii="宋体" w:hAnsi="宋体" w:eastAsia="宋体" w:cs="宋体"/>
          <w:b/>
          <w:color w:val="auto"/>
          <w:kern w:val="44"/>
          <w:sz w:val="32"/>
          <w:szCs w:val="32"/>
          <w:lang w:val="en-US" w:eastAsia="zh-CN" w:bidi="ar-SA"/>
        </w:rPr>
        <w:t>第</w:t>
      </w:r>
      <w:r>
        <w:rPr>
          <w:rFonts w:hint="eastAsia" w:ascii="宋体" w:hAnsi="宋体" w:cs="宋体"/>
          <w:b/>
          <w:color w:val="auto"/>
          <w:kern w:val="44"/>
          <w:sz w:val="32"/>
          <w:szCs w:val="32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color w:val="auto"/>
          <w:kern w:val="44"/>
          <w:sz w:val="32"/>
          <w:szCs w:val="32"/>
          <w:lang w:val="en-US" w:eastAsia="zh-CN" w:bidi="ar-SA"/>
        </w:rPr>
        <w:t>章</w:t>
      </w:r>
      <w:r>
        <w:rPr>
          <w:rFonts w:hint="eastAsia" w:ascii="宋体" w:hAnsi="宋体" w:cs="宋体"/>
          <w:b/>
          <w:color w:val="auto"/>
          <w:kern w:val="44"/>
          <w:sz w:val="32"/>
          <w:szCs w:val="32"/>
          <w:lang w:val="en-US" w:eastAsia="zh-CN" w:bidi="ar-SA"/>
        </w:rPr>
        <w:t xml:space="preserve">  </w:t>
      </w:r>
      <w:bookmarkStart w:id="1" w:name="_GoBack"/>
      <w:bookmarkEnd w:id="1"/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采购需求</w:t>
      </w:r>
      <w:bookmarkEnd w:id="0"/>
    </w:p>
    <w:p w14:paraId="68B1D22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项目概况</w:t>
      </w:r>
    </w:p>
    <w:p w14:paraId="1E8A3D4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采购编号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：金水政采招标-2025-28</w:t>
      </w:r>
    </w:p>
    <w:p w14:paraId="3075ED6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郑州市金水区卫生健康委员会中医药传承创新发展项目</w:t>
      </w:r>
    </w:p>
    <w:p w14:paraId="6924244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采购方式：公开招标</w:t>
      </w:r>
    </w:p>
    <w:p w14:paraId="6BF43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预算金额：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872140元</w:t>
      </w:r>
    </w:p>
    <w:p w14:paraId="68FD950D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      最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高限价：872140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zh-CN" w:eastAsia="zh-CN" w:bidi="ar-SA"/>
        </w:rPr>
        <w:t>元</w:t>
      </w:r>
    </w:p>
    <w:tbl>
      <w:tblPr>
        <w:tblStyle w:val="9"/>
        <w:tblW w:w="45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3"/>
        <w:gridCol w:w="2701"/>
        <w:gridCol w:w="1269"/>
        <w:gridCol w:w="1580"/>
      </w:tblGrid>
      <w:tr w14:paraId="58EB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7" w:type="dxa"/>
            <w:noWrap w:val="0"/>
            <w:vAlign w:val="center"/>
          </w:tcPr>
          <w:p w14:paraId="4A94BC8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18" w:type="dxa"/>
            <w:noWrap w:val="0"/>
            <w:vAlign w:val="center"/>
          </w:tcPr>
          <w:p w14:paraId="47EA5F4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包号</w:t>
            </w:r>
          </w:p>
        </w:tc>
        <w:tc>
          <w:tcPr>
            <w:tcW w:w="2944" w:type="dxa"/>
            <w:noWrap w:val="0"/>
            <w:vAlign w:val="center"/>
          </w:tcPr>
          <w:p w14:paraId="6A70898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包名称</w:t>
            </w:r>
          </w:p>
        </w:tc>
        <w:tc>
          <w:tcPr>
            <w:tcW w:w="1383" w:type="dxa"/>
            <w:noWrap w:val="0"/>
            <w:vAlign w:val="center"/>
          </w:tcPr>
          <w:p w14:paraId="1870742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包预算（元）</w:t>
            </w:r>
          </w:p>
        </w:tc>
        <w:tc>
          <w:tcPr>
            <w:tcW w:w="1722" w:type="dxa"/>
            <w:noWrap w:val="0"/>
            <w:vAlign w:val="center"/>
          </w:tcPr>
          <w:p w14:paraId="0F35027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包最高限价（元）</w:t>
            </w:r>
          </w:p>
        </w:tc>
      </w:tr>
      <w:tr w14:paraId="6093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87" w:type="dxa"/>
            <w:noWrap w:val="0"/>
            <w:vAlign w:val="center"/>
          </w:tcPr>
          <w:p w14:paraId="27E65986">
            <w:pPr>
              <w:spacing w:line="24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 w14:paraId="2E58FA00">
            <w:pPr>
              <w:spacing w:line="24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  <w:t>金水政采招标-2025-28</w:t>
            </w:r>
          </w:p>
        </w:tc>
        <w:tc>
          <w:tcPr>
            <w:tcW w:w="2944" w:type="dxa"/>
            <w:noWrap w:val="0"/>
            <w:vAlign w:val="center"/>
          </w:tcPr>
          <w:p w14:paraId="62D01F90">
            <w:pPr>
              <w:spacing w:line="24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郑州市金水区卫生健康委员会中医药传承创新发展项目</w:t>
            </w:r>
          </w:p>
        </w:tc>
        <w:tc>
          <w:tcPr>
            <w:tcW w:w="1383" w:type="dxa"/>
            <w:noWrap w:val="0"/>
            <w:vAlign w:val="center"/>
          </w:tcPr>
          <w:p w14:paraId="3FEB7BA4">
            <w:pPr>
              <w:spacing w:line="24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872140</w:t>
            </w:r>
          </w:p>
        </w:tc>
        <w:tc>
          <w:tcPr>
            <w:tcW w:w="1722" w:type="dxa"/>
            <w:noWrap w:val="0"/>
            <w:vAlign w:val="center"/>
          </w:tcPr>
          <w:p w14:paraId="7FDABD38">
            <w:pPr>
              <w:spacing w:line="24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872140</w:t>
            </w:r>
          </w:p>
        </w:tc>
      </w:tr>
    </w:tbl>
    <w:p w14:paraId="12D46C7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采购需求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（包括但不限于标的的名称、数量、简要技术需求或服务要求等）</w:t>
      </w:r>
    </w:p>
    <w:p w14:paraId="308CAA7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5.1 采购内容：郑州市金水区卫生健康委员会中医药传承创新发展项目，包含所有货物的采购、安装、调试、验收、培训、保修期内服务、与货物有关的运输和保险及其他伴随服务等，具体详见招标文件“第六章 采购需求”。</w:t>
      </w:r>
    </w:p>
    <w:p w14:paraId="5BA5C14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5.2 标段划分：本项目共划分1个标段。</w:t>
      </w:r>
    </w:p>
    <w:p w14:paraId="57FE0E6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5.3资金来源及落实情况：财政专项资金，已落实。</w:t>
      </w:r>
    </w:p>
    <w:p w14:paraId="25ABFCD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5.4交货期：合同签订后45日历天内交货完毕。</w:t>
      </w:r>
    </w:p>
    <w:p w14:paraId="6F0643D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5.5交货地点：采购人指定地点。</w:t>
      </w:r>
    </w:p>
    <w:p w14:paraId="235B0D2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5.6质量标准：合格，符合国家及行业内有关标准及规定，满足采购人需求。</w:t>
      </w:r>
    </w:p>
    <w:p w14:paraId="144DD79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 xml:space="preserve">5.7 质保期：3年。 </w:t>
      </w:r>
    </w:p>
    <w:p w14:paraId="7A2AC85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6、合同履行期限：自合同生效至质保期结束。</w:t>
      </w:r>
    </w:p>
    <w:p w14:paraId="537DB87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7、本项目是否接受联合体投标：否。</w:t>
      </w:r>
    </w:p>
    <w:p w14:paraId="1EB2AF3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8、是否接受进口产品：否。</w:t>
      </w:r>
    </w:p>
    <w:p w14:paraId="165260A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9、是否专门面向中小企业：否。</w:t>
      </w:r>
    </w:p>
    <w:p w14:paraId="3D19984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采购货物参数要求及技术服务要求</w:t>
      </w:r>
    </w:p>
    <w:p w14:paraId="21EC03A1">
      <w:pPr>
        <w:pStyle w:val="2"/>
        <w:rPr>
          <w:rFonts w:hint="default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（一）采购货物参数要求</w:t>
      </w:r>
    </w:p>
    <w:tbl>
      <w:tblPr>
        <w:tblStyle w:val="8"/>
        <w:tblpPr w:leftFromText="180" w:rightFromText="180" w:vertAnchor="text" w:horzAnchor="page" w:tblpX="1137" w:tblpY="502"/>
        <w:tblOverlap w:val="never"/>
        <w:tblW w:w="9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69"/>
        <w:gridCol w:w="4881"/>
        <w:gridCol w:w="651"/>
        <w:gridCol w:w="684"/>
        <w:gridCol w:w="869"/>
        <w:gridCol w:w="902"/>
      </w:tblGrid>
      <w:tr w14:paraId="2697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4BEC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B2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1、输出通道：双通道输出，可独立调节。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2、显示方式：≥5英寸液晶屏，可一键飞梭。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3、声工作频率：输出1通道1MHz，输出2通道3MHz，允差±10%。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4、输出模式：四种，分连续输出和三种断续输出模式。断续输出模式间隔时间≥0.3秒，≤1秒。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5、有效声强：输出1通道0～1.5W/cm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，步进0.15W/cm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；输出2通道0～1.5W/cm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，步进0.3W/cm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6、定时范围：1～30min，步进1min。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7、治疗探头2个。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8、输出1通道有效辐射面积：4cm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，输出2通道有效辐射面积：2cm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，允差±20%。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9、波束不均匀性系数RBN：不超过8.0。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10、波束类型：准直型。        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11、具有超温保护功能。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5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150000</w:t>
            </w:r>
          </w:p>
        </w:tc>
      </w:tr>
      <w:tr w14:paraId="6984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0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中药打粉机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容量≥500g，电压220V/50Hz,功率1.3KW,转速25000r/min，细度30-300目±10，粉碎量≥500g/m。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</w:t>
            </w:r>
          </w:p>
        </w:tc>
      </w:tr>
      <w:tr w14:paraId="6B34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TDP红外烤灯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1、型式:立式单头，倾倒可自动断电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2、灯头直径(mm):210±10mm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3、照射板直径(mm):Ф166±5mm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4、定时器型式:金属机械定时器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5、定时器时间范围:1min~60min、长通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6、灯头连接:铝接头(转头带有自动锁扣)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7、底座:塑料重底座，有静音轮，有滑轮锁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8、波谱范围:2um~25um±3um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9、活动臂水平伸缩范围(mm):1~800±10mm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10、灯头回转角度:360°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11、活动臂上下活动范围(mm):1-1000±10mm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12、照射头俯仰角度:270°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13、电源:AC 220V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14、工作方法:连续运行方式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15、使用方式:非接触式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16、治疗板使用寿命:≥1000小时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17、加热器使用寿命:≥2000小时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18、辐射板的表面温度平均值为340℃±10%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0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20700</w:t>
            </w:r>
          </w:p>
        </w:tc>
      </w:tr>
      <w:tr w14:paraId="4AC1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红外线烤灯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1.波谱范围:0.6μm~2.5μm.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2.红外线灯泡额定功率(W):150W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3.定时器时间范围:1min~60min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4.定时器型式:机械定时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5.活动臂水平伸缩范围(mm):0~900±10mm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6.活动臂上下活动范围(mm):300~1600±10mm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7.金属液压杆活动臂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8.活动臂水平回转角度:360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9.照射头俯仰角度:270°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10.防倾倒角度:10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11.工作方法;连续运行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12.使用方式:非接触式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13.设备类型:可移动式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14.脚架类型:四脚架带静音轮。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15.带电源总开关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8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A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740</w:t>
            </w:r>
          </w:p>
        </w:tc>
      </w:tr>
      <w:tr w14:paraId="7598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PT床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F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1、要求无棱角、毛刺、无针孔、起泡、起皮、脱落、划伤等。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2、要求滚口粗细均匀，缝合弧形流畅，叉角虎口平服。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3、外形尺寸：1910×1240×490mm±50mm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4、额定负载：≥135kg。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5、材质：PU+不锈钢。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0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B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</w:tr>
      <w:tr w14:paraId="7193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1、输出通道：六路输出，独立可调。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2、输出波形：连续波、断续波、疏密波。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3、连续波：频率0.8Hz～100Hz分11档调节,允差±15%；脉冲宽度0.5ms±0.1ms。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4、断续波：断续周期6s可调，允差±10%。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5、疏密波：疏、密波变换周期6s可调，允差±10%。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6、输出模式：毫针、皮肤两种。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7、具有毫针和皮肤电极线误用提示功能。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8、毫针电极输出强度：0～12V，允差±20%（负载阻抗250Ω）。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9、皮肤电极输出强度：0～38V，允差±20%（负载阻抗500Ω）。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10、治疗时间：10min、15min、20min、25min、30min、40min、50min、60min八档可调，允差±10%。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</w:tr>
      <w:tr w14:paraId="5E06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体外冲击波治疗仪（核心产品）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1、工作压力：1×10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kPa～5.0×10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kPa（1～5.0bar），调节步进值0.1×10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2、最大能量密度：5mJ/mm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3、最大输出能量：210mJ±5。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4、冲击频率：1～22Hz，调节步进值0.5Hz。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5、冲击次数：100～9900次±10，调节步进值100次。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6、冲击模式：单次冲击和连续冲击。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7、操作显示：≥8英寸液晶触摸屏。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8、输出通道：双通道（1把冲击手枪、1把按摩手枪），可独立调节、同时使用。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9、治疗枪具有减振功能。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10、按摩枪振幅6mm±5%，振动频率四档可调。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11、传导子：6个，包含标准、深层、变频、穴位、聚焦等传导子；有1个子弹和1个弹道。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12、按摩头：7个，包括扳机点、肩部、腰部、臀部、脊柱等按摩头。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13、治疗头金属部分可在135℃高温高压下消毒。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14、治疗探头通过生物相容性检测。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15、智能化管理系统，自动检测手枪连接状态，具有计数、显示和重置功能。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16、具有语音播报功能，治疗开始和结束有提示音。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17、输出压力波脉宽最小为160μs，其误差不应超出±10%。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18、具有双重过压安全装置。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19、有人体治疗部位选择图，内置处方数量≥200个。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20、具有对压缩空气除水并自动排放功能。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21、外形尺寸（长宽高）：466×400×220mm，允差±15%。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22、额定输入功率：550VA。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D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400000</w:t>
            </w:r>
          </w:p>
        </w:tc>
      </w:tr>
      <w:tr w14:paraId="3986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蜡疗机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1、蜡饼数：≥18 层，可出大中小蜡饼≥26块。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2、温度设定范围：浸蜡温度 1～57℃可调，熔蜡温度 58～99℃可调，级差±1℃。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3、恒温箱温度范围：46～80℃可调，级差±1℃。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4、外形尺寸（长宽高）：1322×700×1157mm，允差±10%。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5、具有双重软件温度保护功能，并有声音提示，配备独立的硬件温度保护装置。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6、熔蜡箱140L，恒温箱184L，允差±10%。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7、三组独立出蜡系统。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8、制饼时间：1～2 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9、断电记忆：蜡疗仪断电半小时内再上电，恒温功能、制饼时化蜡状态可记忆。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10、制蜡工作程序：自动、手动。自动工作程序：根据外界温度，自动选择外界温度较高模式和外界温度较低模式。手动工作程序：可自行选择外界温度较高模式和外界温度较低模式。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11、“一键”即可自动完成制饼并保持蜡饼恒温储存。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12、设备带操作平台。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13、蜡液过滤装置：双重侧滤，过滤密度≥50目。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14、饼厚度：大于等于三级可调。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15、制蜡工作模式：正常制蜡、预约制蜡、快速制蜡。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16、具有双重自动消毒模式（紫外线+高温）。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17、操作显示：≥8 英寸液晶触摸屏，支持一键锁屏，具有语音播报功能。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18、恒温箱内设有照明，有观察窗。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19、提示功能：故障自检报警功能，有错误代码提示。完成工作声光报警功能。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20、一键恢复出厂设置、控制蜡饼厚度、智能防堵。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21、蜡盘尺寸（长宽高）：470×390×21mm，允差±5%。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22、具有薄膜切割功能。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1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110000</w:t>
            </w:r>
          </w:p>
        </w:tc>
      </w:tr>
      <w:tr w14:paraId="7F65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低频治疗仪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9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1、显示方式：数码显示；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2、整机尺寸：长360mm宽340mm高200mm；±10mm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3、输出通道：三路矩形波脉冲输出；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4、使用电源：a.c.220V,50Hz；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5、电极片尺寸：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a)硅胶电极尺寸：圆形电极Φ40mm，方形电极：长80mm,宽40mm,允差±5%；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b)自粘电极尺寸：长40mm，宽40mm,允差±5%。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6、脉冲频率：1Hz～160Hz，步进为1Hz，允差±20％；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7、脉冲宽度：20μs～520μs，步进为10μs，允差±20％；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8、输出幅度：在500Ω的负载电阻下，不大于65V；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9、治疗时间：0～99min可调，允差±10％，治疗时间结束，有蜂鸣器提示声，并停止输出；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10、治疗方式有三种：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a）连续输出；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b）慢速断续输出，断续周期为4s±0.5s（通2s，断2s）；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c）快速断续输出，断续周期为2s±0.2s（通1s，断1s）。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0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24000</w:t>
            </w:r>
          </w:p>
        </w:tc>
      </w:tr>
      <w:tr w14:paraId="2684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（针灸、推拿）治疗床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1.规格：1900x600x650mm±10mm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2.床框用方管40x80x1.2mm, 床腿 50*50x1.5mm 钢管经焊接组装而成，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3.焊接牢固，表面光滑，易擦洗、不易生锈，焊缝应均匀牢固，无烧损、冷裂、漏焊等缺陷,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4.各焊接部位打磨平整，抛光均匀，外观平整、端正，表面无锋棱，毛刺等。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5.海绵用高密度回弹海绵，海绵厚度≥4公分。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6.整床框架碳钢材质，表面光滑。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E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</w:tr>
      <w:tr w14:paraId="5F3E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三合一中药煎药机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1、数字化总线控制，液品数字化显示，同时煎煮一至三个处方。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2、煎药包装一体化，特种玻璃缸锅体。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3、文火、武火自动转换。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4、有手工挤压杆，包装袋自50ml-300ml±10可任意设置，包装数量1-1000±10袋。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5、液体包装：“无液自动停机”。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6、煎药桶容积3×20000ml。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D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</w:tr>
      <w:tr w14:paraId="0920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1、立式对开门设计，箱内有效容积650L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2、箱内温度控制范围：2℃～8℃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3、数字显示箱内温度，微电脑控制,显示精度0.1，带电源指示灯，可显示箱内上部、下部温度以及平均温度。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4、可实现超温报警、断电报警、开门报警、传感器故障报警、电池电量低报警，带远程报警接口。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5、配有12V 4AH电池，断电后可声光报警持续24小时以上。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6、双感温包，模拟存储物品的表面温度，而非感温探头处空气温度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7、高精度5路传感器设计，可分别显示箱内上部温度、下部温度以及平均值；主传感器故障后副传感器替代主传感器控制制冷系统运行。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8、碳氢制冷剂。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9、蒸发风机采用2个ADDA轴流风机、冷凝风机采用1个EBM罩极风机；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10、双层玻璃门体，电极式电加热，32℃，85%湿度无凝露。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11、门体可90°自动关门。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12、带有4个可移动脚轮和2个可锁定的平衡底脚；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13、冷凝水自动蒸发功能；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14、12V直流LED冷光源；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15、门体带锁；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16、有测试孔；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17、配置≥12个带价目条的搁架；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18、内胆用钢板喷涂。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B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</w:t>
            </w:r>
          </w:p>
        </w:tc>
      </w:tr>
      <w:tr w14:paraId="62D7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艾烟净化器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1.功率200瓦；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2.风压:3000帕；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3.风量:350立方米每小时；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4.噪音≤53分贝；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5.主机尺寸:长宽高435*235*500mm±10mm；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6.金属臂，长1.3米±0.3米；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7.配大方罩；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8.四层滤芯过滤，高碘值；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9.国标电源线，带漏掉保护。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D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 w14:paraId="6290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颈椎牵引椅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1、颈椎牵引力：0～300N。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2、颈椎牵引行程：0～500mm±10。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3、牵引时间：0～99min内设定，级差1min，允差±30s。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4、间歇牵引时间：0～90s内设定，级差10s，允差±3s。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5、持续牵引时间：0～9min内设定，级差1min，允差±30s。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6、牵引力、牵引行程及牵引时间均由微电脑控制。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7、数码显示，牵引力自动补偿。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8、有牵引数据输入法。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9、牵引力过大自动保护。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10、最大牵引力300N，患者控制应急开关，医务人员操作急退键。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11、颈椎牵引角度可调节。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</w:t>
            </w:r>
          </w:p>
        </w:tc>
      </w:tr>
      <w:tr w14:paraId="0CFD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腰椎牵引床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A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1、牵引行程：0～200mm，允差±10mm。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2、牵引方式：卧位颈椎牵引、腰椎牵引。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卧位颈椎牵引力：0～200N可调；腰椎牵引力：0～990N可调；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3、牵引总时间范围：0～99min，级差1min，允差±30s。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4、持续牵引时间范围：0～9min，级差1min，允差±30s。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5、间歇牵引时间范围：0～9min，级差1min，允差±30s。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6、成角动作范围：0°～+30°连续可调，允差±2°。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7、腰部热疗温度：45℃，允差±3℃。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8、牵引力自动补偿功能。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9、腰椎牵引具有持续、间歇、反复等8种不同牵引方式。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10、上身床面配有气动升降，增加了成角牵引功能。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11、20种治疗方案存储并读取。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12、有应急复位线控手柄开关，牵引时可随时解除牵引力，并恢复到初始状态。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13、牵引模式只能从待机状态开始选择，不能够在治疗过程中进行切换。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14、最大牵引力990N，患者应急复位线控手柄开关、医务人员操作急退键。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15、具有开机自检功能。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1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</w:tr>
      <w:tr w14:paraId="6E55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E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1、额定输入功率：100VA。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2、主机尺寸：长420mm，宽360mm，高230mm，允差±10%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 电极片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 加热电极片：分两种型号长107mm，宽72mm和长85mm，宽55mm，允差±5%；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 电极线：长1800mm，允差±100mm；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c）吸水加热电极片：长107mm，宽72mm，允差±5%。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4、治疗模式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a)具有“按摩”和“导入”两种治疗模式。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b)“按摩”状态输出对称脉冲波形，幅度差不大于2V。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c)“导入”状态输出为非对称脉冲波形。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5、输出通道：双通道输出。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6、中频载波波形:正弦波。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7、调制波波形：方波。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8、输出频率：中频载波频率：2000Hz±10% ； 调制波频率：75Hz±10%。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9、调幅度：35%～65%。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10、中频脉冲电压：中频脉冲最大输出峰峰值99V，允差±10%，分0～99级显示。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11、定时范围：1～60min连续可调。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4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</w:tr>
      <w:tr w14:paraId="6624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高压中药煎药机(4合一）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包装机参数：包装容量可调范围：50-500ML±5；电压：220V，功率：1600W，包装袋容量：20L，外型尺寸：60*60*108cm±5。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煎药机参数：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1、容量：20L×4，功率：9kW，电压：220V，单个锅尺寸：54×54×115（cm）±5。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2、一键式滑盖锁紧。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3、锅体为不锈钢材质。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4、自动挤压装置。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5.武火、文火自动转换。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6、可设定高温时间，可采用倒计时自动显示。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7、可设置煎药时间或煎药完毕自动提示，高温杀菌时间完成后，警报灯闪烁，鸣音。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8、具有安全卸压阀，双安全阀超压报警，自动卸压自动闭合。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B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50000</w:t>
            </w:r>
          </w:p>
        </w:tc>
      </w:tr>
      <w:tr w14:paraId="70B7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医用消毒柜</w:t>
            </w:r>
          </w:p>
        </w:tc>
        <w:tc>
          <w:tcPr>
            <w:tcW w:w="4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1.平板外观设计；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2.不锈钢材质。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3.消毒容量 ≥80 升。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4.紫外线泄漏量＜5μw/cm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5.消毒效果：对金黄色葡萄球菌的杀灭对数值≥3.0。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6.外形尺寸（±5%mm）：570×500×800。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性能特点：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7.具有旋钮定时功能 0-60 分钟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8.具备臭氧消毒功能。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9.具有紫外线消毒功能。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</w:tr>
    </w:tbl>
    <w:p w14:paraId="7E567B07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根据中华人民共和国财政部令第87号《政府采购货物和服务招标投标管理办法》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规定，第三十一条 使用综合评分法的采购项目，提供相同品牌（核心产品）且通过资格审查、符合性审查的不同供应商参加同一合同项下投标的，按一家供应商计算，评审后得分最高的同品牌供应商获得中标人推荐资格；评审得分相同的，由采购人或者采购人委托评标委员会按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规定的方式确定一个供应商获得中标人推荐资格，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未规定的采取随机抽取方式确定，其他同品牌供应商不作为中标候选人。</w:t>
      </w:r>
    </w:p>
    <w:p w14:paraId="2855843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（二）技术服务要求</w:t>
      </w:r>
    </w:p>
    <w:p w14:paraId="519F4AD2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1.免费送货上门，对设备（包含软硬件）进行安装及现场调试，并达到使用要求，货物到达并安装调试完毕日期视为实际交货日期，如有其它情况，须与采购人协商确定。</w:t>
      </w:r>
    </w:p>
    <w:p w14:paraId="54AE4302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供应商提供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项目实施时不能影响医院的正常运行，要与医院相关部门做好协调沟通工作，提供项目实施方案：（包括但不限于：①实施计划；②进度保障；③售后服务质量保障；④风险管控；⑤应急措施；⑥测试检测及交付标准；⑦验收方案；⑧保密措施等）；</w:t>
      </w:r>
    </w:p>
    <w:p w14:paraId="12FAC663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3.供应商应具有团队人员配备方案，包含但不限于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人员配备目标及原则；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人员的框架组织结构；人员的安排及分工(采购、运输、分发、售后等)；</w:t>
      </w:r>
      <w:r>
        <w:rPr>
          <w:rFonts w:hint="eastAsia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协作与沟通机制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；人员管理及奖惩制度；准确提供本项目售后负责人的姓名、职务、身份证号、详细的地址和联系方式；准确提供服务团队的配备情况表（每提供人员姓名、职务、身份证号、联系电话）。</w:t>
      </w:r>
    </w:p>
    <w:p w14:paraId="3A49FE35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供应商提供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安全要求：本项目实施过程中，供应商（中标人）要严格按照国家有关操作规程进行安装调试，并做好预防各类事故的安全措施，若在安装调试过程中出现任何事故，责任均由供应商（中标人）承担。</w:t>
      </w:r>
    </w:p>
    <w:p w14:paraId="66DA82F8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供应商提供的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货方案内容包括但不限于：①供货时间（至少包含时间节点，符合招标人要求）；②货物的供应及运输（至少包含运输环节计划，与供货时间相匹配）；③易损部件包装（保证易损部位在运输过程中不受损坏的措施）；④供货检验（包装要求、货物数量、随机配件、名称与合同清单一致）；⑤供货质量保障；⑥供货周期承诺。</w:t>
      </w:r>
    </w:p>
    <w:p w14:paraId="780953D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商务要求 </w:t>
      </w:r>
    </w:p>
    <w:p w14:paraId="130F300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（1）交货期：合同签订后45日历天内交货完毕。</w:t>
      </w:r>
    </w:p>
    <w:p w14:paraId="6857E17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（2）交货地点：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采购人指定地点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0E5528F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（3）质量标准：合格，符合国家及行业内有关标准及规定，满足采购人需求。</w:t>
      </w:r>
    </w:p>
    <w:p w14:paraId="645D5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（4）质保期：3年。</w:t>
      </w:r>
    </w:p>
    <w:p w14:paraId="56E65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（5）合同履行期限：自合同生效至质保期结束。</w:t>
      </w:r>
    </w:p>
    <w:p w14:paraId="14C4D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（6）付款方式：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设备到货安装调试完毕且验收合格后，采购人凭供应商（中标人）提供的全额有效发票及甲方所需其它材料核对无误后支付货款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7AC68B31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7）履约验收要求：中标供应商交货前应对产品作出全面检查和对验收文件进行整理,并列出清单,作为采购人收货验收和使用的技术条件依据,检验的结果应随设备交采购人。设备到达现场后，采购人与中标供应商双方共同开箱验货，交付的设备完全符合招投标文件及本合同所规定的品牌、数量、规格型号、技术参数等要求，设备安装完毕正常运行且试运营后不存在质量问题的，采购人组织相关部门进行验收并签署“验收合格单”。如中标供应商交付的设备存在短缺、缺陷、损坏或其它与合同不符的情况，中标供应商须在3日内进行更换，由此产生的费用全部由乙方承担。</w:t>
      </w:r>
    </w:p>
    <w:p w14:paraId="73F359D0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（8）商品包装和快递包装应符合《商品包装政府采购需求标准（试行）》。</w:t>
      </w:r>
    </w:p>
    <w:p w14:paraId="764A64A8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（9）服务方案：</w:t>
      </w:r>
    </w:p>
    <w:p w14:paraId="76F2CD07">
      <w:pPr>
        <w:pageBreakBefore w:val="0"/>
        <w:widowControl/>
        <w:wordWrap/>
        <w:bidi w:val="0"/>
        <w:spacing w:beforeAutospacing="0"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9.1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</w:rPr>
        <w:t>售后服务</w:t>
      </w:r>
    </w:p>
    <w:p w14:paraId="6B15DB3B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质保期内严格执行国家“三包”标准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。</w:t>
      </w:r>
    </w:p>
    <w:p w14:paraId="1F088CCF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质保期内必须上门服务，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应提供售后服务人员及联系方式，7*24小时内售后服务电话畅通，接到维修电话后2小时内响应，24小时内专业技术人员到场处理故障，48小时内解决；按采购人需求派遣技术人员到现场对所有设备进行巡检，排查设备隐患，及时更换隐患部件。</w:t>
      </w:r>
    </w:p>
    <w:p w14:paraId="7F45B361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供应商（中标人）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需承诺提供技术服务。提供服务的所有技术人员，必须具备相应的技术能力，熟悉设备的配置、调试和故障排除等专业操作。如单个技术人员能力不足以满足上述要求，应组成符合要求的技术团队进行保障。</w:t>
      </w:r>
    </w:p>
    <w:p w14:paraId="4DF42E7D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质保期自验收合格之日起计算，质保期内：应免费提供因投标货物本身缺陷所导致故障的技术服务和设备维修，免费提供零部件的更换。如模块内容中国家相关规范和标准要求更新，需同步对平台内相关内容进行升级更新，以符合最新规范标准；软件中如有与国家现有强制规范不符的部分，须在发现后两个月内更新至最新规范，并完成对采购人软件的升级，支持软件终身免费升级服务，相关设备需与医院HIS系统对接（具备或提供端口）。</w:t>
      </w:r>
    </w:p>
    <w:p w14:paraId="4677722C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9.1.5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需负责所投全部产品的保险等，并全面保障产品质量，确保产品符合采购人验收标准。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应严格按照采购人要求提供全方位应急服务，涵盖运输、试运行、培训等过程中出现的紧急情况的处理、分析与总结。</w:t>
      </w:r>
    </w:p>
    <w:p w14:paraId="5E60E15C">
      <w:pPr>
        <w:pageBreakBefore w:val="0"/>
        <w:widowControl/>
        <w:wordWrap/>
        <w:bidi w:val="0"/>
        <w:spacing w:beforeAutospacing="0" w:afterAutospacing="0" w:line="360" w:lineRule="auto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9.2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项目售后服务内容包括使用维护与技术支持工作，售后服务方案，内容包括但不限于：①服务响应时间、目标；②售后服务承诺及增值服务；③安全保障措施；④备品备件及货物技术升级改造状况；⑤质保期内保修维修方案；⑥售后应急处理方案进行评价；⑦售后服务人员；⑧对本项目产品进行定期检查、检验、校准、保养并提供维护方式方法。</w:t>
      </w:r>
    </w:p>
    <w:p w14:paraId="16B1956E"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9.3培训要求及方案：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按照用户要求安排培训，不收取任何费用。对设备简单的操作和设备的保养进行培训，达到熟练使用，能排除简单的系统故障；2.提供的免费培训方案内容包括但不限于：①培训计划及时间；②培训课时及内容；③培训材料、人员名额及指定培训负责人的联系方式、地址；④培训周期及保障措施。</w:t>
      </w:r>
    </w:p>
    <w:p w14:paraId="5B432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57CFA"/>
    <w:multiLevelType w:val="singleLevel"/>
    <w:tmpl w:val="65C57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1105B"/>
    <w:rsid w:val="291B2A17"/>
    <w:rsid w:val="3331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/>
    </w:pPr>
    <w:rPr>
      <w:rFonts w:eastAsia="楷体_GB2312"/>
      <w:sz w:val="32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basedOn w:val="5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11"/>
    <w:basedOn w:val="10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4">
    <w:name w:val="font2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7036</Words>
  <Characters>8246</Characters>
  <Lines>0</Lines>
  <Paragraphs>0</Paragraphs>
  <TotalTime>0</TotalTime>
  <ScaleCrop>false</ScaleCrop>
  <LinksUpToDate>false</LinksUpToDate>
  <CharactersWithSpaces>8304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2025-10-10T05:25:00Z</dcterms:created>
  <dc:creator>Administrator</dc:creator>
  <cp:lastModifiedBy>Administrator</cp:lastModifiedBy>
  <dcterms:modified xsi:type="dcterms:W3CDTF">2025-10-10T06:27:39Z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5677867B1E6A4CD7932BB8F0D0E97496_11</vt:lpwstr>
  </property>
  <property fmtid="{D5CDD505-2E9C-101B-9397-08002B2CF9AE}" pid="4" name="KSOTemplateDocerSaveRecord">
    <vt:lpwstr>eyJoZGlkIjoiMDgzNzcyYzAzMWZiMmE5ZTFjNzI5OTI2ZGYxMTkxZTAiLCJ1c2VySWQiOiI2MDk5OTMwNzYifQ==</vt:lpwstr>
  </property>
</Properties>
</file>