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84628">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一、基本要求</w:t>
      </w:r>
    </w:p>
    <w:p w14:paraId="10912DE5">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供应商务必仔细阅读采购方在技术文件中规定的所有细则，投标时应无条件地承诺和执行下列条款：</w:t>
      </w:r>
    </w:p>
    <w:p w14:paraId="1EE8FE77">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1、投标要求</w:t>
      </w:r>
    </w:p>
    <w:p w14:paraId="629084DC">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1.1供应商所提供的产品技术规格应符合磋商文件的要求。如所供产品存在技术和商务偏离,投标者应如实填写技术规格及商务条款偏差表。若采购方掌握了确切事实说明某投标者没有如实填写技术规格及商务条款偏差表或有欺诈行为,该投标书将被拒绝。投标者的不良行为将被记录，并在以后政府采购招标活动中受到相应约束。</w:t>
      </w:r>
    </w:p>
    <w:p w14:paraId="6D7E7F4E">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1.2投标报价超出磋商文件载明的采购限价的投标将被视为无效投标。</w:t>
      </w:r>
    </w:p>
    <w:p w14:paraId="503E9DCE">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2、履约要求</w:t>
      </w:r>
    </w:p>
    <w:p w14:paraId="5AF8A11A">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2.1 在质量保证期内,凡因正常使用出现的质量问题，供货商应提供免费维修或更换。在厂家(供货商维修服务中心)维修时,供货商应支付设备或组件的包装和运费。并从修复或更换后重新计算质保期。</w:t>
      </w:r>
    </w:p>
    <w:p w14:paraId="175F94D2">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2.2 供应商所提供的维修点若不能提供必要的服务或未能按响应时间进行维修，将视为投标者违约。</w:t>
      </w:r>
    </w:p>
    <w:p w14:paraId="75A06129">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2.3 供应商所提供的产品必须为签订合同前3个月内或合同签订后所生产，否则将被视为违约。</w:t>
      </w:r>
    </w:p>
    <w:p w14:paraId="6AB0A630">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2.4供应商中标后严禁贴牌，贴牌重罚。</w:t>
      </w:r>
    </w:p>
    <w:p w14:paraId="738D65F2">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2.5供应商中标后，出现未在磋商文件规定的交货完工时间内交货完工的，三年内不得参加采购人组织的类似项目的招标活动。并按照每超出3天扣除总合同金额的1% 进行计算。</w:t>
      </w:r>
    </w:p>
    <w:p w14:paraId="2C3FE804">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3、检验、验收要求</w:t>
      </w:r>
    </w:p>
    <w:p w14:paraId="111C0370">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货物到使用方，由市督导组根据合同、样品、磋商文件和投标文件进行检验、验收：</w:t>
      </w:r>
    </w:p>
    <w:p w14:paraId="5FA155FC">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3.1采购人对中标人交付的待安装器材随机抽取10%由市全民健身工程建设督导领导小组现场检验，检验合格后方可安装。对于检验不合格的（质量低于样品标准及采购文件要求的），采购人可拒绝接收其提供的器材，并按照相关规定进行处罚，三年内不得参加采购人组织的类似项目的招标活动。</w:t>
      </w:r>
    </w:p>
    <w:p w14:paraId="5D3C8110">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3.2检验合格后，由中标单位组织人员进行安装施工，安装完毕后由县（市）、区文旅体局、乡镇（办）、社区（行政村）等组织检查验收，采购人进行抽查。验收不合格，由中标方承担相关责任。若工程由使用方安装施工，按工程价格6-8%扣除建设费用。验收合格后签署工程验收单。采购方根据验收合格单支付货款。</w:t>
      </w:r>
    </w:p>
    <w:p w14:paraId="0757E908">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3.3</w:t>
      </w:r>
      <w:r>
        <w:rPr>
          <w:rFonts w:hint="eastAsia" w:ascii="宋体" w:hAnsi="宋体" w:eastAsia="宋体" w:cs="宋体"/>
          <w:color w:val="FF0000"/>
          <w:kern w:val="2"/>
          <w:sz w:val="21"/>
          <w:szCs w:val="21"/>
          <w:highlight w:val="none"/>
          <w:lang w:val="en-US" w:eastAsia="zh-CN"/>
        </w:rPr>
        <w:t>成交</w:t>
      </w:r>
      <w:r>
        <w:rPr>
          <w:rFonts w:hint="eastAsia" w:ascii="宋体" w:hAnsi="宋体" w:eastAsia="宋体" w:cs="宋体"/>
          <w:color w:val="FF0000"/>
          <w:kern w:val="2"/>
          <w:sz w:val="21"/>
          <w:szCs w:val="21"/>
          <w:highlight w:val="none"/>
          <w:lang w:eastAsia="zh-CN"/>
        </w:rPr>
        <w:t>人在质量保证期内，配合市全民健身工程建设督导领导小组，每年不少两次巡回检查。</w:t>
      </w:r>
    </w:p>
    <w:p w14:paraId="6A507DA1">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二、器材通用要求</w:t>
      </w:r>
    </w:p>
    <w:p w14:paraId="6AB3327A">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1.器材涂层、橡胶、塑料件有害物质限量应符合GB 19272-2011中5.2.6的要求；并提供有效证明文件（具有资质检验机构</w:t>
      </w:r>
      <w:r>
        <w:rPr>
          <w:rFonts w:hint="eastAsia" w:ascii="宋体" w:hAnsi="宋体" w:eastAsia="宋体" w:cs="宋体"/>
          <w:color w:val="FF0000"/>
          <w:kern w:val="2"/>
          <w:sz w:val="21"/>
          <w:szCs w:val="21"/>
          <w:highlight w:val="none"/>
          <w:lang w:val="en-US" w:eastAsia="zh-CN"/>
        </w:rPr>
        <w:t>出具</w:t>
      </w:r>
      <w:r>
        <w:rPr>
          <w:rFonts w:hint="eastAsia" w:ascii="宋体" w:hAnsi="宋体" w:eastAsia="宋体" w:cs="宋体"/>
          <w:color w:val="FF0000"/>
          <w:kern w:val="2"/>
          <w:sz w:val="21"/>
          <w:szCs w:val="21"/>
          <w:highlight w:val="none"/>
          <w:lang w:eastAsia="zh-CN"/>
        </w:rPr>
        <w:t>的检验报告）；</w:t>
      </w:r>
    </w:p>
    <w:p w14:paraId="670E7244">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2.螺钉、螺母应防锈、防松和防盗；并应采取措施对螺栓、螺纹永久覆盖。覆盖件在其安装面以上直角部分的高度不应超过3mm；突出部分外角应不小于105°或不应有易钩挂形状；</w:t>
      </w:r>
    </w:p>
    <w:p w14:paraId="2AD32B8F">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3.器材各支撑人体的表面所有棱边和尖角，应使其半径不小于3mm；使用者或第三者易接触的零部件的其他所有棱边应予以圆滑过渡或加以防护；</w:t>
      </w:r>
    </w:p>
    <w:p w14:paraId="69F8B363">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4.不允许存在和使用功能无关的凸出物；</w:t>
      </w:r>
    </w:p>
    <w:p w14:paraId="6B21F32B">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5.闭合开口、不完全闭合开口符合GB 19272-2011中5.3.2的要求；</w:t>
      </w:r>
    </w:p>
    <w:p w14:paraId="0E76F611">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6.器材承载主立柱的钢管直径应不小于110mm，框架式和高度不大于1500mm的器材可适当减小钢管直径，钢管壁厚应不小于2.75mm；</w:t>
      </w:r>
    </w:p>
    <w:p w14:paraId="033BDF47">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7.扶手直径应不小于16mm且不大于45mm；</w:t>
      </w:r>
    </w:p>
    <w:p w14:paraId="118A5687">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8.把手端部直径不小于50mm；</w:t>
      </w:r>
    </w:p>
    <w:p w14:paraId="6049E1AF">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9.带有轴承的器材，轴承应采取防水、防尘措施，可采取接触式密封，设润滑剂添加装置；</w:t>
      </w:r>
    </w:p>
    <w:p w14:paraId="0A9FFCCE">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10.器材安全使用寿命不低于8年；</w:t>
      </w:r>
    </w:p>
    <w:p w14:paraId="02116381">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11.所有器材均需直埋或预埋安装，器材地埋深度应符合GB 19272-2011的要求；</w:t>
      </w:r>
    </w:p>
    <w:p w14:paraId="11D14E81">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12.钢铁制件（不锈钢除外）表面，应经过酸洗、磷化处理后或经过表面热度锌等防锈处理后，进行表面喷塑处理，涂层厚度不小于70μm；</w:t>
      </w:r>
    </w:p>
    <w:p w14:paraId="1CF53858">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13.摆动式、摇动式、滑行式、攀爬式器材等，具有超过600mm跌落高度的和（或）强制使用者身体运动的器材，在所有的碰撞区域应有着陆缓冲层，缓冲层的面积和厚度应满足GB 19272-2011《室外健身器材的安全通用要求》中5.3.3条款要求；</w:t>
      </w:r>
    </w:p>
    <w:p w14:paraId="229F812D">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14.器材应配有完整的说明书，应包含三图（安装示意图、安装跌落空间图、碰撞区域图）、三表（器材安装检查表、器材定期检查表、易损件明细表）、器材安全使用寿命、器材维护保养注意事项、及寿命周期内对易损件及时更换的承诺等内容；</w:t>
      </w:r>
    </w:p>
    <w:p w14:paraId="685E5482">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1</w:t>
      </w:r>
      <w:r>
        <w:rPr>
          <w:rFonts w:hint="eastAsia" w:ascii="宋体" w:hAnsi="宋体" w:eastAsia="宋体" w:cs="宋体"/>
          <w:color w:val="FF0000"/>
          <w:kern w:val="2"/>
          <w:sz w:val="21"/>
          <w:szCs w:val="21"/>
          <w:highlight w:val="none"/>
          <w:lang w:val="en-US" w:eastAsia="zh-CN"/>
        </w:rPr>
        <w:t>5</w:t>
      </w:r>
      <w:r>
        <w:rPr>
          <w:rFonts w:hint="eastAsia" w:ascii="宋体" w:hAnsi="宋体" w:eastAsia="宋体" w:cs="宋体"/>
          <w:color w:val="FF0000"/>
          <w:kern w:val="2"/>
          <w:sz w:val="21"/>
          <w:szCs w:val="21"/>
          <w:highlight w:val="none"/>
          <w:lang w:eastAsia="zh-CN"/>
        </w:rPr>
        <w:t>.器材安全警示应采用图示方式提示使用者可能存在风险；</w:t>
      </w:r>
    </w:p>
    <w:p w14:paraId="23A3747D">
      <w:pPr>
        <w:spacing w:after="0" w:line="360" w:lineRule="auto"/>
        <w:ind w:firstLine="420" w:firstLineChars="200"/>
        <w:jc w:val="both"/>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1</w:t>
      </w:r>
      <w:r>
        <w:rPr>
          <w:rFonts w:hint="eastAsia" w:ascii="宋体" w:hAnsi="宋体" w:eastAsia="宋体" w:cs="宋体"/>
          <w:color w:val="FF0000"/>
          <w:kern w:val="2"/>
          <w:sz w:val="21"/>
          <w:szCs w:val="21"/>
          <w:highlight w:val="none"/>
          <w:lang w:val="en-US" w:eastAsia="zh-CN"/>
        </w:rPr>
        <w:t>6</w:t>
      </w:r>
      <w:r>
        <w:rPr>
          <w:rFonts w:hint="eastAsia" w:ascii="宋体" w:hAnsi="宋体" w:eastAsia="宋体" w:cs="宋体"/>
          <w:color w:val="FF0000"/>
          <w:kern w:val="2"/>
          <w:sz w:val="21"/>
          <w:szCs w:val="21"/>
          <w:highlight w:val="none"/>
          <w:lang w:eastAsia="zh-CN"/>
        </w:rPr>
        <w:t>.器材应符合GB 19272-2011《室外健身器材的安全通用要求》。</w:t>
      </w:r>
    </w:p>
    <w:p w14:paraId="1D318244">
      <w:pPr>
        <w:bidi w:val="0"/>
        <w:rPr>
          <w:rFonts w:hint="eastAsia"/>
        </w:rPr>
      </w:pPr>
      <w:r>
        <w:rPr>
          <w:rFonts w:hint="eastAsia"/>
        </w:rPr>
        <w:br w:type="page"/>
      </w:r>
    </w:p>
    <w:tbl>
      <w:tblPr>
        <w:tblStyle w:val="6"/>
        <w:tblW w:w="7937"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5"/>
        <w:gridCol w:w="3193"/>
        <w:gridCol w:w="1331"/>
        <w:gridCol w:w="1595"/>
        <w:gridCol w:w="1243"/>
      </w:tblGrid>
      <w:tr w14:paraId="2BFEE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5" w:type="dxa"/>
            <w:tcBorders>
              <w:bottom w:val="single" w:color="000000" w:sz="4" w:space="0"/>
              <w:right w:val="single" w:color="000000" w:sz="4" w:space="0"/>
            </w:tcBorders>
            <w:noWrap/>
            <w:vAlign w:val="center"/>
          </w:tcPr>
          <w:p w14:paraId="23CB44B2">
            <w:pPr>
              <w:spacing w:after="0" w:line="240" w:lineRule="auto"/>
              <w:jc w:val="center"/>
              <w:rPr>
                <w:rFonts w:hint="eastAsia" w:ascii="宋体" w:hAnsi="宋体" w:eastAsia="宋体" w:cs="宋体"/>
                <w:i w:val="0"/>
                <w:iCs w:val="0"/>
                <w:color w:val="000000"/>
                <w:kern w:val="2"/>
                <w:sz w:val="21"/>
                <w:szCs w:val="21"/>
                <w:u w:val="none"/>
                <w:lang w:eastAsia="zh-CN"/>
              </w:rPr>
            </w:pPr>
          </w:p>
        </w:tc>
        <w:tc>
          <w:tcPr>
            <w:tcW w:w="3193" w:type="dxa"/>
            <w:tcBorders>
              <w:left w:val="single" w:color="000000" w:sz="4" w:space="0"/>
              <w:bottom w:val="single" w:color="000000" w:sz="4" w:space="0"/>
              <w:right w:val="single" w:color="000000" w:sz="4" w:space="0"/>
            </w:tcBorders>
            <w:noWrap/>
            <w:vAlign w:val="center"/>
          </w:tcPr>
          <w:p w14:paraId="3E9C82B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名称</w:t>
            </w:r>
          </w:p>
        </w:tc>
        <w:tc>
          <w:tcPr>
            <w:tcW w:w="1331" w:type="dxa"/>
            <w:tcBorders>
              <w:left w:val="single" w:color="000000" w:sz="4" w:space="0"/>
              <w:bottom w:val="single" w:color="000000" w:sz="4" w:space="0"/>
              <w:right w:val="single" w:color="000000" w:sz="4" w:space="0"/>
            </w:tcBorders>
            <w:noWrap/>
            <w:vAlign w:val="center"/>
          </w:tcPr>
          <w:p w14:paraId="5ADB08F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购置数量</w:t>
            </w:r>
          </w:p>
        </w:tc>
        <w:tc>
          <w:tcPr>
            <w:tcW w:w="1595" w:type="dxa"/>
            <w:tcBorders>
              <w:left w:val="single" w:color="000000" w:sz="4" w:space="0"/>
              <w:bottom w:val="single" w:color="000000" w:sz="4" w:space="0"/>
              <w:right w:val="single" w:color="000000" w:sz="4" w:space="0"/>
            </w:tcBorders>
            <w:noWrap/>
            <w:vAlign w:val="center"/>
          </w:tcPr>
          <w:p w14:paraId="7E3C6F1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kern w:val="2"/>
                <w:sz w:val="21"/>
                <w:szCs w:val="21"/>
                <w:u w:val="none"/>
                <w:lang w:val="en-US" w:eastAsia="zh-CN"/>
              </w:rPr>
              <w:t>单位</w:t>
            </w:r>
          </w:p>
        </w:tc>
        <w:tc>
          <w:tcPr>
            <w:tcW w:w="1243" w:type="dxa"/>
            <w:tcBorders>
              <w:left w:val="single" w:color="000000" w:sz="4" w:space="0"/>
              <w:bottom w:val="single" w:color="000000" w:sz="4" w:space="0"/>
            </w:tcBorders>
            <w:noWrap/>
            <w:vAlign w:val="center"/>
          </w:tcPr>
          <w:p w14:paraId="11F6DA9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备注</w:t>
            </w:r>
          </w:p>
        </w:tc>
      </w:tr>
      <w:tr w14:paraId="6422B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5" w:type="dxa"/>
            <w:tcBorders>
              <w:top w:val="single" w:color="000000" w:sz="4" w:space="0"/>
              <w:bottom w:val="single" w:color="000000" w:sz="4" w:space="0"/>
              <w:right w:val="single" w:color="000000" w:sz="4" w:space="0"/>
            </w:tcBorders>
            <w:noWrap/>
            <w:vAlign w:val="center"/>
          </w:tcPr>
          <w:p w14:paraId="7EDFD61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noWrap w:val="0"/>
            <w:vAlign w:val="center"/>
          </w:tcPr>
          <w:p w14:paraId="762716B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笼式场地围网系统</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4C87CA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2</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405CAEB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kern w:val="2"/>
                <w:sz w:val="21"/>
                <w:szCs w:val="21"/>
                <w:u w:val="none"/>
                <w:lang w:val="en-US" w:eastAsia="zh-CN"/>
              </w:rPr>
              <w:t>套</w:t>
            </w:r>
          </w:p>
        </w:tc>
        <w:tc>
          <w:tcPr>
            <w:tcW w:w="1243" w:type="dxa"/>
            <w:vMerge w:val="restart"/>
            <w:tcBorders>
              <w:top w:val="single" w:color="000000" w:sz="4" w:space="0"/>
              <w:left w:val="single" w:color="000000" w:sz="4" w:space="0"/>
              <w:bottom w:val="single" w:color="000000" w:sz="4" w:space="0"/>
            </w:tcBorders>
            <w:noWrap w:val="0"/>
            <w:vAlign w:val="center"/>
          </w:tcPr>
          <w:p w14:paraId="2A3A568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多功能运动场</w:t>
            </w:r>
          </w:p>
        </w:tc>
      </w:tr>
      <w:tr w14:paraId="6A577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5" w:type="dxa"/>
            <w:tcBorders>
              <w:top w:val="single" w:color="000000" w:sz="4" w:space="0"/>
              <w:bottom w:val="single" w:color="000000" w:sz="4" w:space="0"/>
              <w:right w:val="single" w:color="000000" w:sz="4" w:space="0"/>
            </w:tcBorders>
            <w:noWrap/>
            <w:vAlign w:val="center"/>
          </w:tcPr>
          <w:p w14:paraId="7939009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noWrap w:val="0"/>
            <w:vAlign w:val="center"/>
          </w:tcPr>
          <w:p w14:paraId="11754C9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悬浮式拼装地板</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437EAE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2</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4431513D">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2"/>
                <w:sz w:val="21"/>
                <w:szCs w:val="21"/>
                <w:u w:val="none"/>
                <w:lang w:val="en-US" w:eastAsia="zh-CN"/>
              </w:rPr>
            </w:pPr>
            <w:r>
              <w:rPr>
                <w:rFonts w:hint="eastAsia" w:ascii="宋体" w:hAnsi="宋体" w:eastAsia="宋体" w:cs="宋体"/>
                <w:i w:val="0"/>
                <w:iCs w:val="0"/>
                <w:color w:val="000000"/>
                <w:kern w:val="2"/>
                <w:sz w:val="21"/>
                <w:szCs w:val="21"/>
                <w:u w:val="none"/>
                <w:lang w:val="en-US" w:eastAsia="zh-CN"/>
              </w:rPr>
              <w:t>套</w:t>
            </w:r>
          </w:p>
        </w:tc>
        <w:tc>
          <w:tcPr>
            <w:tcW w:w="1243" w:type="dxa"/>
            <w:vMerge w:val="continue"/>
            <w:tcBorders>
              <w:top w:val="single" w:color="000000" w:sz="4" w:space="0"/>
              <w:left w:val="single" w:color="000000" w:sz="4" w:space="0"/>
              <w:bottom w:val="single" w:color="000000" w:sz="4" w:space="0"/>
            </w:tcBorders>
            <w:noWrap w:val="0"/>
            <w:vAlign w:val="center"/>
          </w:tcPr>
          <w:p w14:paraId="3BDA85EE">
            <w:pPr>
              <w:spacing w:after="0" w:line="240" w:lineRule="auto"/>
              <w:jc w:val="center"/>
              <w:rPr>
                <w:rFonts w:hint="eastAsia" w:ascii="宋体" w:hAnsi="宋体" w:eastAsia="宋体" w:cs="宋体"/>
                <w:i w:val="0"/>
                <w:iCs w:val="0"/>
                <w:color w:val="000000"/>
                <w:kern w:val="2"/>
                <w:sz w:val="21"/>
                <w:szCs w:val="21"/>
                <w:u w:val="none"/>
                <w:lang w:eastAsia="zh-CN"/>
              </w:rPr>
            </w:pPr>
          </w:p>
        </w:tc>
      </w:tr>
      <w:tr w14:paraId="7D10B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5" w:type="dxa"/>
            <w:tcBorders>
              <w:top w:val="single" w:color="000000" w:sz="4" w:space="0"/>
              <w:bottom w:val="single" w:color="000000" w:sz="4" w:space="0"/>
              <w:right w:val="single" w:color="000000" w:sz="4" w:space="0"/>
            </w:tcBorders>
            <w:noWrap/>
            <w:vAlign w:val="center"/>
          </w:tcPr>
          <w:p w14:paraId="1B0057B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3</w:t>
            </w:r>
          </w:p>
        </w:tc>
        <w:tc>
          <w:tcPr>
            <w:tcW w:w="3193" w:type="dxa"/>
            <w:tcBorders>
              <w:top w:val="single" w:color="000000" w:sz="4" w:space="0"/>
              <w:left w:val="single" w:color="000000" w:sz="4" w:space="0"/>
              <w:bottom w:val="single" w:color="000000" w:sz="4" w:space="0"/>
              <w:right w:val="single" w:color="000000" w:sz="4" w:space="0"/>
            </w:tcBorders>
            <w:noWrap w:val="0"/>
            <w:vAlign w:val="center"/>
          </w:tcPr>
          <w:p w14:paraId="4DBCB80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一体式篮球架足球门</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55CD66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2</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57CF11F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kern w:val="2"/>
                <w:sz w:val="21"/>
                <w:szCs w:val="21"/>
                <w:u w:val="none"/>
                <w:lang w:val="en-US" w:eastAsia="zh-CN"/>
              </w:rPr>
              <w:t>套</w:t>
            </w:r>
          </w:p>
        </w:tc>
        <w:tc>
          <w:tcPr>
            <w:tcW w:w="1243" w:type="dxa"/>
            <w:vMerge w:val="continue"/>
            <w:tcBorders>
              <w:top w:val="single" w:color="000000" w:sz="4" w:space="0"/>
              <w:left w:val="single" w:color="000000" w:sz="4" w:space="0"/>
              <w:bottom w:val="single" w:color="000000" w:sz="4" w:space="0"/>
            </w:tcBorders>
            <w:noWrap w:val="0"/>
            <w:vAlign w:val="center"/>
          </w:tcPr>
          <w:p w14:paraId="15F9BBC1">
            <w:pPr>
              <w:spacing w:after="0" w:line="240" w:lineRule="auto"/>
              <w:jc w:val="center"/>
              <w:rPr>
                <w:rFonts w:hint="eastAsia" w:ascii="宋体" w:hAnsi="宋体" w:eastAsia="宋体" w:cs="宋体"/>
                <w:i w:val="0"/>
                <w:iCs w:val="0"/>
                <w:color w:val="000000"/>
                <w:kern w:val="2"/>
                <w:sz w:val="21"/>
                <w:szCs w:val="21"/>
                <w:u w:val="none"/>
                <w:lang w:eastAsia="zh-CN"/>
              </w:rPr>
            </w:pPr>
          </w:p>
        </w:tc>
      </w:tr>
      <w:tr w14:paraId="3B2B0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5" w:type="dxa"/>
            <w:tcBorders>
              <w:top w:val="single" w:color="000000" w:sz="4" w:space="0"/>
              <w:bottom w:val="single" w:color="000000" w:sz="4" w:space="0"/>
              <w:right w:val="single" w:color="000000" w:sz="4" w:space="0"/>
            </w:tcBorders>
            <w:noWrap/>
            <w:vAlign w:val="center"/>
          </w:tcPr>
          <w:p w14:paraId="4763DC4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4</w:t>
            </w:r>
          </w:p>
        </w:tc>
        <w:tc>
          <w:tcPr>
            <w:tcW w:w="3193" w:type="dxa"/>
            <w:tcBorders>
              <w:top w:val="single" w:color="000000" w:sz="4" w:space="0"/>
              <w:left w:val="single" w:color="000000" w:sz="4" w:space="0"/>
              <w:bottom w:val="single" w:color="000000" w:sz="4" w:space="0"/>
              <w:right w:val="single" w:color="000000" w:sz="4" w:space="0"/>
            </w:tcBorders>
            <w:noWrap w:val="0"/>
            <w:vAlign w:val="center"/>
          </w:tcPr>
          <w:p w14:paraId="7D102E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宣传公示牌</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A3573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4</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082BEAF4">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kern w:val="2"/>
                <w:sz w:val="21"/>
                <w:szCs w:val="21"/>
                <w:u w:val="none"/>
                <w:lang w:val="en-US" w:eastAsia="zh-CN"/>
              </w:rPr>
              <w:t>件</w:t>
            </w:r>
          </w:p>
        </w:tc>
        <w:tc>
          <w:tcPr>
            <w:tcW w:w="1243" w:type="dxa"/>
            <w:vMerge w:val="continue"/>
            <w:tcBorders>
              <w:top w:val="single" w:color="000000" w:sz="4" w:space="0"/>
              <w:left w:val="single" w:color="000000" w:sz="4" w:space="0"/>
              <w:bottom w:val="single" w:color="000000" w:sz="4" w:space="0"/>
            </w:tcBorders>
            <w:noWrap w:val="0"/>
            <w:vAlign w:val="center"/>
          </w:tcPr>
          <w:p w14:paraId="2D1422F8">
            <w:pPr>
              <w:spacing w:after="0" w:line="240" w:lineRule="auto"/>
              <w:jc w:val="center"/>
              <w:rPr>
                <w:rFonts w:hint="eastAsia" w:ascii="宋体" w:hAnsi="宋体" w:eastAsia="宋体" w:cs="宋体"/>
                <w:i w:val="0"/>
                <w:iCs w:val="0"/>
                <w:color w:val="000000"/>
                <w:kern w:val="2"/>
                <w:sz w:val="21"/>
                <w:szCs w:val="21"/>
                <w:u w:val="none"/>
                <w:lang w:eastAsia="zh-CN"/>
              </w:rPr>
            </w:pPr>
          </w:p>
        </w:tc>
      </w:tr>
      <w:tr w14:paraId="55D27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75" w:type="dxa"/>
            <w:tcBorders>
              <w:top w:val="single" w:color="000000" w:sz="4" w:space="0"/>
              <w:bottom w:val="single" w:color="000000" w:sz="4" w:space="0"/>
              <w:right w:val="single" w:color="000000" w:sz="4" w:space="0"/>
            </w:tcBorders>
            <w:noWrap/>
            <w:vAlign w:val="center"/>
          </w:tcPr>
          <w:p w14:paraId="47BA392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5</w:t>
            </w:r>
          </w:p>
        </w:tc>
        <w:tc>
          <w:tcPr>
            <w:tcW w:w="3193" w:type="dxa"/>
            <w:tcBorders>
              <w:top w:val="single" w:color="000000" w:sz="4" w:space="0"/>
              <w:left w:val="single" w:color="000000" w:sz="4" w:space="0"/>
              <w:bottom w:val="single" w:color="000000" w:sz="4" w:space="0"/>
              <w:right w:val="single" w:color="000000" w:sz="4" w:space="0"/>
            </w:tcBorders>
            <w:noWrap w:val="0"/>
            <w:vAlign w:val="center"/>
          </w:tcPr>
          <w:p w14:paraId="162571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附属安装材料（场地范围内）（套）</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A2CEB4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eastAsia="zh-CN"/>
              </w:rPr>
            </w:pPr>
            <w:r>
              <w:rPr>
                <w:rFonts w:hint="eastAsia" w:ascii="宋体" w:hAnsi="宋体" w:eastAsia="宋体" w:cs="宋体"/>
                <w:i w:val="0"/>
                <w:iCs w:val="0"/>
                <w:color w:val="000000"/>
                <w:kern w:val="0"/>
                <w:sz w:val="21"/>
                <w:szCs w:val="21"/>
                <w:u w:val="none"/>
                <w:lang w:val="en-US" w:eastAsia="zh-CN" w:bidi="ar"/>
              </w:rPr>
              <w:t>2</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4D2860A6">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kern w:val="2"/>
                <w:sz w:val="21"/>
                <w:szCs w:val="21"/>
                <w:u w:val="none"/>
                <w:lang w:val="en-US" w:eastAsia="zh-CN"/>
              </w:rPr>
              <w:t>套</w:t>
            </w:r>
          </w:p>
        </w:tc>
        <w:tc>
          <w:tcPr>
            <w:tcW w:w="1243" w:type="dxa"/>
            <w:vMerge w:val="continue"/>
            <w:tcBorders>
              <w:top w:val="single" w:color="000000" w:sz="4" w:space="0"/>
              <w:left w:val="single" w:color="000000" w:sz="4" w:space="0"/>
              <w:bottom w:val="single" w:color="000000" w:sz="4" w:space="0"/>
            </w:tcBorders>
            <w:noWrap w:val="0"/>
            <w:vAlign w:val="center"/>
          </w:tcPr>
          <w:p w14:paraId="05A38DEF">
            <w:pPr>
              <w:spacing w:after="0" w:line="240" w:lineRule="auto"/>
              <w:jc w:val="center"/>
              <w:rPr>
                <w:rFonts w:hint="eastAsia" w:ascii="宋体" w:hAnsi="宋体" w:eastAsia="宋体" w:cs="宋体"/>
                <w:i w:val="0"/>
                <w:iCs w:val="0"/>
                <w:color w:val="000000"/>
                <w:kern w:val="2"/>
                <w:sz w:val="21"/>
                <w:szCs w:val="21"/>
                <w:u w:val="none"/>
                <w:lang w:eastAsia="zh-CN"/>
              </w:rPr>
            </w:pPr>
          </w:p>
        </w:tc>
      </w:tr>
    </w:tbl>
    <w:p w14:paraId="006A1841">
      <w:pPr>
        <w:keepNext w:val="0"/>
        <w:keepLines w:val="0"/>
        <w:pageBreakBefore w:val="0"/>
        <w:widowControl w:val="0"/>
        <w:numPr>
          <w:ilvl w:val="0"/>
          <w:numId w:val="0"/>
        </w:numPr>
        <w:kinsoku/>
        <w:wordWrap/>
        <w:overflowPunct/>
        <w:topLinePunct w:val="0"/>
        <w:autoSpaceDE/>
        <w:autoSpaceDN/>
        <w:bidi w:val="0"/>
        <w:snapToGrid w:val="0"/>
        <w:spacing w:after="0" w:line="360" w:lineRule="auto"/>
        <w:ind w:leftChars="200"/>
        <w:jc w:val="both"/>
        <w:textAlignment w:val="auto"/>
        <w:rPr>
          <w:rFonts w:hint="eastAsia" w:ascii="宋体" w:hAnsi="宋体" w:eastAsia="宋体" w:cs="宋体"/>
          <w:b/>
          <w:bCs/>
          <w:kern w:val="2"/>
          <w:sz w:val="24"/>
          <w:szCs w:val="24"/>
          <w:lang w:val="en-US" w:eastAsia="zh-CN" w:bidi="ar-SA"/>
        </w:rPr>
      </w:pPr>
    </w:p>
    <w:p w14:paraId="22FA989B">
      <w:pPr>
        <w:keepNext w:val="0"/>
        <w:keepLines w:val="0"/>
        <w:pageBreakBefore w:val="0"/>
        <w:widowControl w:val="0"/>
        <w:numPr>
          <w:ilvl w:val="0"/>
          <w:numId w:val="0"/>
        </w:numPr>
        <w:kinsoku/>
        <w:wordWrap/>
        <w:overflowPunct/>
        <w:topLinePunct w:val="0"/>
        <w:autoSpaceDE/>
        <w:autoSpaceDN/>
        <w:bidi w:val="0"/>
        <w:snapToGrid w:val="0"/>
        <w:spacing w:after="0" w:line="360" w:lineRule="auto"/>
        <w:ind w:leftChars="200"/>
        <w:jc w:val="both"/>
        <w:textAlignment w:val="auto"/>
        <w:rPr>
          <w:rFonts w:hint="eastAsia" w:ascii="宋体" w:hAnsi="宋体" w:eastAsia="宋体" w:cs="宋体"/>
          <w:b/>
          <w:bCs/>
          <w:kern w:val="2"/>
          <w:sz w:val="21"/>
          <w:szCs w:val="21"/>
          <w:lang w:val="en-US" w:eastAsia="zh-CN" w:bidi="ar-SA"/>
        </w:rPr>
      </w:pPr>
    </w:p>
    <w:p w14:paraId="4EDC4D93">
      <w:pPr>
        <w:bidi w:val="0"/>
        <w:rPr>
          <w:rFonts w:hint="eastAsia"/>
          <w:sz w:val="21"/>
          <w:szCs w:val="21"/>
          <w:lang w:val="en-US" w:eastAsia="zh-CN"/>
        </w:rPr>
      </w:pPr>
    </w:p>
    <w:p w14:paraId="07167948">
      <w:pPr>
        <w:keepNext w:val="0"/>
        <w:keepLines w:val="0"/>
        <w:pageBreakBefore w:val="0"/>
        <w:widowControl w:val="0"/>
        <w:numPr>
          <w:ilvl w:val="0"/>
          <w:numId w:val="1"/>
        </w:numPr>
        <w:kinsoku/>
        <w:wordWrap/>
        <w:overflowPunct/>
        <w:topLinePunct w:val="0"/>
        <w:autoSpaceDE/>
        <w:autoSpaceDN/>
        <w:bidi w:val="0"/>
        <w:snapToGrid w:val="0"/>
        <w:spacing w:after="0" w:line="360" w:lineRule="auto"/>
        <w:ind w:left="0" w:firstLine="422" w:firstLineChars="20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笼式场地围网系统</w:t>
      </w:r>
    </w:p>
    <w:p w14:paraId="358A4B9C">
      <w:pPr>
        <w:keepNext w:val="0"/>
        <w:keepLines w:val="0"/>
        <w:pageBreakBefore w:val="0"/>
        <w:widowControl/>
        <w:numPr>
          <w:ilvl w:val="0"/>
          <w:numId w:val="2"/>
        </w:numPr>
        <w:kinsoku/>
        <w:wordWrap/>
        <w:overflowPunct/>
        <w:topLinePunct w:val="0"/>
        <w:autoSpaceDE/>
        <w:autoSpaceDN/>
        <w:bidi w:val="0"/>
        <w:adjustRightInd w:val="0"/>
        <w:snapToGrid w:val="0"/>
        <w:spacing w:after="0" w:line="360" w:lineRule="auto"/>
        <w:ind w:left="150" w:leftChars="0" w:firstLine="48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场地尺寸：不小于长32米、宽19米。合理配置2个出入门。（使用方场地基础硬化尺寸：长33米，宽20米）</w:t>
      </w:r>
    </w:p>
    <w:p w14:paraId="6EE96B1E">
      <w:pPr>
        <w:keepNext w:val="0"/>
        <w:keepLines w:val="0"/>
        <w:pageBreakBefore w:val="0"/>
        <w:widowControl/>
        <w:numPr>
          <w:ilvl w:val="0"/>
          <w:numId w:val="2"/>
        </w:numPr>
        <w:kinsoku/>
        <w:wordWrap/>
        <w:overflowPunct/>
        <w:topLinePunct w:val="0"/>
        <w:autoSpaceDE/>
        <w:autoSpaceDN/>
        <w:bidi w:val="0"/>
        <w:adjustRightInd w:val="0"/>
        <w:snapToGrid w:val="0"/>
        <w:spacing w:after="0" w:line="360" w:lineRule="auto"/>
        <w:ind w:left="150" w:leftChars="0" w:firstLine="48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框架：围网立柱采用不小于φ76mm，管壁厚度为不小于3mm的优质钢管，围网采用模块拼接式，网丝不外露，单个网片规格不大于3000(长)mm×2000（高）mm，围网总高度不小于4米，立柱选用不少于28个独立地埋固定方式，立柱间隔不大于3米，所有管材表面须经过静电粉末喷塑，颜色为墨绿色．立柱埋入地下深度应不小于400mm，地基尺寸应不小于400×400×400mm（深）。</w:t>
      </w:r>
    </w:p>
    <w:p w14:paraId="0F433FE5">
      <w:pPr>
        <w:keepNext w:val="0"/>
        <w:keepLines w:val="0"/>
        <w:pageBreakBefore w:val="0"/>
        <w:widowControl/>
        <w:numPr>
          <w:ilvl w:val="0"/>
          <w:numId w:val="2"/>
        </w:numPr>
        <w:kinsoku/>
        <w:wordWrap/>
        <w:overflowPunct/>
        <w:topLinePunct w:val="0"/>
        <w:autoSpaceDE/>
        <w:autoSpaceDN/>
        <w:bidi w:val="0"/>
        <w:adjustRightInd w:val="0"/>
        <w:snapToGrid w:val="0"/>
        <w:spacing w:after="0" w:line="360" w:lineRule="auto"/>
        <w:ind w:left="150" w:leftChars="0" w:firstLine="48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围网带有两个不小于1.4米宽、1.9米高的单开式框架进出口，与围网模块结构一致。围网全部采用防盗镀锌或不锈钢螺栓，并采用防松螺母防松方式，保证连接长期可靠。立柱与连接横管采用固态粉静电喷涂工艺，颜色为墨绿色，色泽保持八年不变，围网风载荷标准值应不小于0.35kn/㎡。</w:t>
      </w:r>
    </w:p>
    <w:p w14:paraId="4DFE1480">
      <w:pPr>
        <w:keepNext w:val="0"/>
        <w:keepLines w:val="0"/>
        <w:pageBreakBefore w:val="0"/>
        <w:widowControl/>
        <w:numPr>
          <w:ilvl w:val="0"/>
          <w:numId w:val="2"/>
        </w:numPr>
        <w:kinsoku/>
        <w:wordWrap/>
        <w:overflowPunct/>
        <w:topLinePunct w:val="0"/>
        <w:autoSpaceDE/>
        <w:autoSpaceDN/>
        <w:bidi w:val="0"/>
        <w:adjustRightInd w:val="0"/>
        <w:snapToGrid w:val="0"/>
        <w:spacing w:after="0" w:line="360" w:lineRule="auto"/>
        <w:ind w:left="150" w:leftChars="0" w:firstLine="48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网丝:包塑网片丝浸塑处理后网片径不小于Ф4mm, 采用优质低碳镀锌铁丝，处理前丝径不小于Ф3mm，网孔50×50 mm，勾花网，颜色为墨绿色，表面光滑细腻，各项性能指标达到GB15065-94和IE60502标准，吸水率为0%。围网孔径应与运动功能相适应，具有防止球脱出的功能。</w:t>
      </w:r>
    </w:p>
    <w:p w14:paraId="79CB5DBE">
      <w:pPr>
        <w:keepNext w:val="0"/>
        <w:keepLines w:val="0"/>
        <w:pageBreakBefore w:val="0"/>
        <w:widowControl/>
        <w:numPr>
          <w:ilvl w:val="0"/>
          <w:numId w:val="2"/>
        </w:numPr>
        <w:kinsoku/>
        <w:wordWrap/>
        <w:overflowPunct/>
        <w:topLinePunct w:val="0"/>
        <w:autoSpaceDE/>
        <w:autoSpaceDN/>
        <w:bidi w:val="0"/>
        <w:adjustRightInd w:val="0"/>
        <w:snapToGrid w:val="0"/>
        <w:spacing w:after="0" w:line="360" w:lineRule="auto"/>
        <w:ind w:left="150" w:leftChars="0" w:firstLine="48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配套灯光系统：灯柱为围网的一部分，在整场围网中亦为围网的主立柱，增强围网的稳定性，灯柱采用直径不小于Ф114×3.0mm的钢管，6米高低杆照明灯柱8根，每根1盏不小于30W LED灯，使用太阳能供电模式，采用锂电池或胶体蓄电池，充电后应能满足24 小时保障场地照明正常使用。太阳能板到蓄电池的连线及蓄电池要密封,不得暴露在外。灯柱安全使用寿命不低于8 年;其中作为易损部件的电子部件及供电系统使用寿命应不小于2 年。灯柱采用直埋方式，深度不小于600mm。</w:t>
      </w:r>
    </w:p>
    <w:p w14:paraId="6F13808B">
      <w:pPr>
        <w:keepNext w:val="0"/>
        <w:keepLines w:val="0"/>
        <w:pageBreakBefore w:val="0"/>
        <w:widowControl/>
        <w:numPr>
          <w:ilvl w:val="0"/>
          <w:numId w:val="2"/>
        </w:numPr>
        <w:kinsoku/>
        <w:wordWrap/>
        <w:overflowPunct/>
        <w:topLinePunct w:val="0"/>
        <w:autoSpaceDE/>
        <w:autoSpaceDN/>
        <w:bidi w:val="0"/>
        <w:adjustRightInd w:val="0"/>
        <w:snapToGrid w:val="0"/>
        <w:spacing w:after="0" w:line="360" w:lineRule="auto"/>
        <w:ind w:left="150" w:leftChars="0" w:firstLine="48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宣传标示牌：应牢固固定于进出口区域，面板采用不锈钢材质，耐蚀性能相当于0Cr18Ni9（SUS304），尺寸不小于800×500mm，厚度不小于0.8mm，面板边缘及尖角不得翘起，图样及字样蚀刻处理；内容至少包含以下内容：须有郑州航空港经济综合实验区教育卫生体育局监制；产品名称；简明的科学健身提示，产品使用安全注意事项；产品供应商的全称，售后服务电话及督查电话；管理维护单位及联系电话。</w:t>
      </w:r>
    </w:p>
    <w:p w14:paraId="30F22B1D">
      <w:pPr>
        <w:keepNext w:val="0"/>
        <w:keepLines w:val="0"/>
        <w:pageBreakBefore w:val="0"/>
        <w:widowControl/>
        <w:numPr>
          <w:ilvl w:val="0"/>
          <w:numId w:val="2"/>
        </w:numPr>
        <w:kinsoku/>
        <w:wordWrap/>
        <w:overflowPunct/>
        <w:topLinePunct w:val="0"/>
        <w:autoSpaceDE/>
        <w:autoSpaceDN/>
        <w:bidi w:val="0"/>
        <w:adjustRightInd w:val="0"/>
        <w:snapToGrid w:val="0"/>
        <w:spacing w:after="0" w:line="360" w:lineRule="auto"/>
        <w:ind w:left="150" w:leftChars="0" w:firstLine="48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投标产品需取得国家认证认可监督管理委员会批准的第三方认证机构颁发的认证证书和确认函。</w:t>
      </w:r>
    </w:p>
    <w:p w14:paraId="6AD3AA6A">
      <w:pPr>
        <w:keepNext w:val="0"/>
        <w:keepLines w:val="0"/>
        <w:pageBreakBefore w:val="0"/>
        <w:widowControl w:val="0"/>
        <w:numPr>
          <w:ilvl w:val="0"/>
          <w:numId w:val="1"/>
        </w:numPr>
        <w:kinsoku/>
        <w:wordWrap/>
        <w:overflowPunct/>
        <w:topLinePunct w:val="0"/>
        <w:autoSpaceDE/>
        <w:autoSpaceDN/>
        <w:bidi w:val="0"/>
        <w:snapToGrid w:val="0"/>
        <w:spacing w:after="0" w:line="360" w:lineRule="auto"/>
        <w:ind w:left="0" w:firstLine="422" w:firstLineChars="20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悬浮式拼装地板</w:t>
      </w:r>
    </w:p>
    <w:p w14:paraId="1BBBF55E">
      <w:pPr>
        <w:keepNext w:val="0"/>
        <w:keepLines w:val="0"/>
        <w:pageBreakBefore w:val="0"/>
        <w:widowControl/>
        <w:numPr>
          <w:ilvl w:val="0"/>
          <w:numId w:val="3"/>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悬浮式拼装地板表面为米字型网格，产品须采用高性能（PP）环保材料，无毒、无味、防水耐湿、抗紫外线辐射、抗氧化、抗寒、不寄生细菌、绿色环保，安全卫生；</w:t>
      </w:r>
    </w:p>
    <w:p w14:paraId="0AF33D54">
      <w:pPr>
        <w:keepNext w:val="0"/>
        <w:keepLines w:val="0"/>
        <w:pageBreakBefore w:val="0"/>
        <w:widowControl/>
        <w:numPr>
          <w:ilvl w:val="0"/>
          <w:numId w:val="3"/>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产品规格不小于25×25cm，厚度不小于1.27cm，单块场地面积不小于608平方米；</w:t>
      </w:r>
    </w:p>
    <w:p w14:paraId="6C95B44B">
      <w:pPr>
        <w:keepNext w:val="0"/>
        <w:keepLines w:val="0"/>
        <w:pageBreakBefore w:val="0"/>
        <w:widowControl/>
        <w:numPr>
          <w:ilvl w:val="0"/>
          <w:numId w:val="3"/>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球反弹率不小于95%；抗滑值（干测）80-110；低温实验（-50℃，24h），试验后无龟裂、无明显色差；高温实验（100℃，24h），试验后无融化、无龟裂、无明显色差；</w:t>
      </w:r>
    </w:p>
    <w:p w14:paraId="42E49A10">
      <w:pPr>
        <w:keepNext w:val="0"/>
        <w:keepLines w:val="0"/>
        <w:pageBreakBefore w:val="0"/>
        <w:widowControl/>
        <w:numPr>
          <w:ilvl w:val="0"/>
          <w:numId w:val="3"/>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连接方式：锁扣式结构；</w:t>
      </w:r>
    </w:p>
    <w:p w14:paraId="3229838B">
      <w:pPr>
        <w:keepNext w:val="0"/>
        <w:keepLines w:val="0"/>
        <w:pageBreakBefore w:val="0"/>
        <w:widowControl/>
        <w:numPr>
          <w:ilvl w:val="0"/>
          <w:numId w:val="3"/>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投标产品通过国家体育用品质量监督检验中心检测，各项运动指标满足篮球、五人制足球、羽毛球等各项运动技术要求。</w:t>
      </w:r>
    </w:p>
    <w:p w14:paraId="1CA1ED3F">
      <w:pPr>
        <w:keepNext w:val="0"/>
        <w:keepLines w:val="0"/>
        <w:pageBreakBefore w:val="0"/>
        <w:widowControl w:val="0"/>
        <w:numPr>
          <w:ilvl w:val="0"/>
          <w:numId w:val="1"/>
        </w:numPr>
        <w:kinsoku/>
        <w:wordWrap/>
        <w:overflowPunct/>
        <w:topLinePunct w:val="0"/>
        <w:autoSpaceDE/>
        <w:autoSpaceDN/>
        <w:bidi w:val="0"/>
        <w:snapToGrid w:val="0"/>
        <w:spacing w:after="0" w:line="360" w:lineRule="auto"/>
        <w:ind w:left="0" w:firstLine="422" w:firstLineChars="20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一体式篮球架足球门</w:t>
      </w:r>
    </w:p>
    <w:p w14:paraId="5EF0931C">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主要承载立柱尺寸：不小于Φ89mm×3mm；</w:t>
      </w:r>
    </w:p>
    <w:p w14:paraId="4C6EAC8B">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篮板应选用GB19272-2011中5.12.1.3.2规定的1800mm×1050mm的矩形篮板（材质为SMC），篮板面板厚度5mm，翻边宽度50mm，翻边厚度7.8mm，背面用“井”字形加强筋，加强筋厚度不低于5mm；</w:t>
      </w:r>
    </w:p>
    <w:p w14:paraId="5CD0CDE5">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篮板的质量应满足GB19272-2011中5.12.1.3.3条至5.12.1.3.6条的要求；矩形篮板背部连接有不少于5点的连接安装位置，且安装位置尺寸符合GB9272-2011中图21a）的要求；</w:t>
      </w:r>
    </w:p>
    <w:p w14:paraId="3CB5C5B5">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篮圈：采用实心钢材制成，篮圈圈条直径为16-20 mm，篮圈内径为450-459 mm；篮圈下沿有12个均匀分布篮网装置，装置无锐边、毛刺，且装置间隙不大于8 mm；采用弹簧篮圈，篮圈在去除压力后可自动返回原位置；</w:t>
      </w:r>
    </w:p>
    <w:p w14:paraId="161A2D66">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篮板支撑：篮架上、下拉杆采用不小于Φ48×2mm优质钢管在弯管机上一次成型；通过调节上下拉杆可调节篮板的平面度和垂直度；</w:t>
      </w:r>
    </w:p>
    <w:p w14:paraId="4961ADC7">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安装技术参数：篮圈上沿距地面高度3050mm，悬臂长度不低于1800mm；</w:t>
      </w:r>
    </w:p>
    <w:p w14:paraId="43652120">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足球网采用涤纶材料，符合GB/T 19851.14标准要求，足球门尺寸不小于3米×2米×1.5米，满足5人制足球的使用需要；</w:t>
      </w:r>
    </w:p>
    <w:p w14:paraId="734E7D8B">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所有金属件焊后抛丸，静电喷涂，要求喷涂表面均匀全覆盖，结合牢固，不起皮脱落、漏涂、锈蚀、裂痕以及较明显的流痕、花斑、结点等缺陷，涂层厚度不小于70µm；各部件焊接牢固，无漏焊、虚焊、夹渣、裂纹等缺陷；</w:t>
      </w:r>
    </w:p>
    <w:p w14:paraId="629D79C2">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各连接部位采用螺栓、螺钉紧固，防松、防盗、防锈；</w:t>
      </w:r>
    </w:p>
    <w:p w14:paraId="53314B57">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采用直埋安装方式，安全可靠，地基尺寸不小于400×400×700mm；</w:t>
      </w:r>
    </w:p>
    <w:p w14:paraId="40B8C693">
      <w:r>
        <w:rPr>
          <w:rFonts w:hint="eastAsia" w:ascii="宋体" w:hAnsi="宋体" w:eastAsia="宋体" w:cs="宋体"/>
          <w:kern w:val="2"/>
          <w:sz w:val="21"/>
          <w:szCs w:val="21"/>
          <w:lang w:eastAsia="zh-CN"/>
        </w:rPr>
        <w:t>投标产品需取得国家认证认可监督管理委员会批准的第三方认证机构颁发的认证证书和确认函。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7128D"/>
    <w:multiLevelType w:val="multilevel"/>
    <w:tmpl w:val="1197128D"/>
    <w:lvl w:ilvl="0" w:tentative="0">
      <w:start w:val="1"/>
      <w:numFmt w:val="decimal"/>
      <w:lvlText w:val="%1)"/>
      <w:lvlJc w:val="left"/>
      <w:pPr>
        <w:ind w:left="879" w:hanging="420"/>
      </w:pPr>
    </w:lvl>
    <w:lvl w:ilvl="1" w:tentative="0">
      <w:start w:val="1"/>
      <w:numFmt w:val="lowerLetter"/>
      <w:lvlText w:val="%2)"/>
      <w:lvlJc w:val="left"/>
      <w:pPr>
        <w:ind w:left="1149" w:hanging="420"/>
      </w:pPr>
    </w:lvl>
    <w:lvl w:ilvl="2" w:tentative="0">
      <w:start w:val="1"/>
      <w:numFmt w:val="lowerRoman"/>
      <w:lvlText w:val="%3."/>
      <w:lvlJc w:val="right"/>
      <w:pPr>
        <w:ind w:left="1569" w:hanging="420"/>
      </w:pPr>
    </w:lvl>
    <w:lvl w:ilvl="3" w:tentative="0">
      <w:start w:val="1"/>
      <w:numFmt w:val="decimal"/>
      <w:lvlText w:val="%4."/>
      <w:lvlJc w:val="left"/>
      <w:pPr>
        <w:ind w:left="1989" w:hanging="420"/>
      </w:pPr>
    </w:lvl>
    <w:lvl w:ilvl="4" w:tentative="0">
      <w:start w:val="1"/>
      <w:numFmt w:val="lowerLetter"/>
      <w:lvlText w:val="%5)"/>
      <w:lvlJc w:val="left"/>
      <w:pPr>
        <w:ind w:left="2409" w:hanging="420"/>
      </w:pPr>
    </w:lvl>
    <w:lvl w:ilvl="5" w:tentative="0">
      <w:start w:val="1"/>
      <w:numFmt w:val="lowerRoman"/>
      <w:lvlText w:val="%6."/>
      <w:lvlJc w:val="right"/>
      <w:pPr>
        <w:ind w:left="2829" w:hanging="420"/>
      </w:pPr>
    </w:lvl>
    <w:lvl w:ilvl="6" w:tentative="0">
      <w:start w:val="1"/>
      <w:numFmt w:val="decimal"/>
      <w:lvlText w:val="%7."/>
      <w:lvlJc w:val="left"/>
      <w:pPr>
        <w:ind w:left="3249" w:hanging="420"/>
      </w:pPr>
    </w:lvl>
    <w:lvl w:ilvl="7" w:tentative="0">
      <w:start w:val="1"/>
      <w:numFmt w:val="lowerLetter"/>
      <w:lvlText w:val="%8)"/>
      <w:lvlJc w:val="left"/>
      <w:pPr>
        <w:ind w:left="3669" w:hanging="420"/>
      </w:pPr>
    </w:lvl>
    <w:lvl w:ilvl="8" w:tentative="0">
      <w:start w:val="1"/>
      <w:numFmt w:val="lowerRoman"/>
      <w:lvlText w:val="%9."/>
      <w:lvlJc w:val="right"/>
      <w:pPr>
        <w:ind w:left="4089" w:hanging="420"/>
      </w:pPr>
    </w:lvl>
  </w:abstractNum>
  <w:abstractNum w:abstractNumId="1">
    <w:nsid w:val="250B3EBC"/>
    <w:multiLevelType w:val="multilevel"/>
    <w:tmpl w:val="250B3EB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8772CB"/>
    <w:multiLevelType w:val="multilevel"/>
    <w:tmpl w:val="338772C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E3F3F62"/>
    <w:multiLevelType w:val="multilevel"/>
    <w:tmpl w:val="3E3F3F62"/>
    <w:lvl w:ilvl="0" w:tentative="0">
      <w:start w:val="1"/>
      <w:numFmt w:val="decimal"/>
      <w:lvlText w:val="%1)"/>
      <w:lvlJc w:val="left"/>
      <w:pPr>
        <w:ind w:left="729" w:hanging="420"/>
      </w:pPr>
    </w:lvl>
    <w:lvl w:ilvl="1" w:tentative="0">
      <w:start w:val="1"/>
      <w:numFmt w:val="lowerLetter"/>
      <w:lvlText w:val="%2)"/>
      <w:lvlJc w:val="left"/>
      <w:pPr>
        <w:ind w:left="1149" w:hanging="420"/>
      </w:pPr>
    </w:lvl>
    <w:lvl w:ilvl="2" w:tentative="0">
      <w:start w:val="1"/>
      <w:numFmt w:val="lowerRoman"/>
      <w:lvlText w:val="%3."/>
      <w:lvlJc w:val="right"/>
      <w:pPr>
        <w:ind w:left="1569" w:hanging="420"/>
      </w:pPr>
    </w:lvl>
    <w:lvl w:ilvl="3" w:tentative="0">
      <w:start w:val="1"/>
      <w:numFmt w:val="decimal"/>
      <w:lvlText w:val="%4."/>
      <w:lvlJc w:val="left"/>
      <w:pPr>
        <w:ind w:left="1989" w:hanging="420"/>
      </w:pPr>
    </w:lvl>
    <w:lvl w:ilvl="4" w:tentative="0">
      <w:start w:val="1"/>
      <w:numFmt w:val="lowerLetter"/>
      <w:lvlText w:val="%5)"/>
      <w:lvlJc w:val="left"/>
      <w:pPr>
        <w:ind w:left="2409" w:hanging="420"/>
      </w:pPr>
    </w:lvl>
    <w:lvl w:ilvl="5" w:tentative="0">
      <w:start w:val="1"/>
      <w:numFmt w:val="lowerRoman"/>
      <w:lvlText w:val="%6."/>
      <w:lvlJc w:val="right"/>
      <w:pPr>
        <w:ind w:left="2829" w:hanging="420"/>
      </w:pPr>
    </w:lvl>
    <w:lvl w:ilvl="6" w:tentative="0">
      <w:start w:val="1"/>
      <w:numFmt w:val="decimal"/>
      <w:lvlText w:val="%7."/>
      <w:lvlJc w:val="left"/>
      <w:pPr>
        <w:ind w:left="3249" w:hanging="420"/>
      </w:pPr>
    </w:lvl>
    <w:lvl w:ilvl="7" w:tentative="0">
      <w:start w:val="1"/>
      <w:numFmt w:val="lowerLetter"/>
      <w:lvlText w:val="%8)"/>
      <w:lvlJc w:val="left"/>
      <w:pPr>
        <w:ind w:left="3669" w:hanging="420"/>
      </w:pPr>
    </w:lvl>
    <w:lvl w:ilvl="8" w:tentative="0">
      <w:start w:val="1"/>
      <w:numFmt w:val="lowerRoman"/>
      <w:lvlText w:val="%9."/>
      <w:lvlJc w:val="right"/>
      <w:pPr>
        <w:ind w:left="4089"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A67A2"/>
    <w:rsid w:val="06314D1E"/>
    <w:rsid w:val="3E355072"/>
    <w:rsid w:val="3E831D63"/>
    <w:rsid w:val="3FC670AB"/>
    <w:rsid w:val="42EA67A2"/>
    <w:rsid w:val="4A3411EA"/>
    <w:rsid w:val="4ED47BEB"/>
    <w:rsid w:val="5BB11EDB"/>
    <w:rsid w:val="65381A47"/>
    <w:rsid w:val="796E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3">
    <w:name w:val="heading 1"/>
    <w:basedOn w:val="1"/>
    <w:next w:val="1"/>
    <w:qFormat/>
    <w:uiPriority w:val="0"/>
    <w:pPr>
      <w:keepNext/>
      <w:keepLines/>
      <w:autoSpaceDE w:val="0"/>
      <w:autoSpaceDN w:val="0"/>
      <w:spacing w:before="340" w:beforeLines="0" w:beforeAutospacing="0" w:after="330" w:afterLines="0" w:afterAutospacing="0" w:line="240" w:lineRule="auto"/>
      <w:jc w:val="center"/>
      <w:outlineLvl w:val="0"/>
    </w:pPr>
    <w:rPr>
      <w:rFonts w:eastAsia="宋体" w:cs="Times New Roman" w:asciiTheme="minorAscii" w:hAnsiTheme="minorAscii"/>
      <w:b/>
      <w:kern w:val="44"/>
      <w:sz w:val="44"/>
      <w:szCs w:val="22"/>
    </w:rPr>
  </w:style>
  <w:style w:type="paragraph" w:styleId="2">
    <w:name w:val="heading 2"/>
    <w:basedOn w:val="1"/>
    <w:next w:val="1"/>
    <w:link w:val="8"/>
    <w:semiHidden/>
    <w:unhideWhenUsed/>
    <w:qFormat/>
    <w:uiPriority w:val="0"/>
    <w:pPr>
      <w:keepNext/>
      <w:keepLines/>
      <w:spacing w:line="360" w:lineRule="auto"/>
      <w:jc w:val="center"/>
      <w:outlineLvl w:val="1"/>
    </w:pPr>
    <w:rPr>
      <w:rFonts w:ascii="宋体" w:hAnsi="宋体" w:eastAsia="宋体" w:cs="宋体"/>
      <w:b/>
      <w:bCs/>
      <w:sz w:val="44"/>
      <w:szCs w:val="24"/>
      <w:highlight w:val="none"/>
      <w:shd w:val="clear" w:color="auto" w:fill="auto"/>
      <w:lang w:bidi="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b/>
      <w:sz w:val="32"/>
    </w:rPr>
  </w:style>
  <w:style w:type="paragraph" w:styleId="5">
    <w:name w:val="heading 6"/>
    <w:basedOn w:val="1"/>
    <w:next w:val="1"/>
    <w:semiHidden/>
    <w:unhideWhenUsed/>
    <w:qFormat/>
    <w:uiPriority w:val="0"/>
    <w:pPr>
      <w:keepNext/>
      <w:keepLines/>
      <w:spacing w:before="240" w:beforeLines="0" w:beforeAutospacing="0" w:after="64" w:afterLines="0" w:afterAutospacing="0" w:line="317" w:lineRule="auto"/>
      <w:jc w:val="center"/>
      <w:outlineLvl w:val="5"/>
    </w:pPr>
    <w:rPr>
      <w:rFonts w:ascii="Arial" w:hAnsi="Arial" w:eastAsia="宋体" w:cs="Arial"/>
      <w:b/>
      <w:snapToGrid w:val="0"/>
      <w:color w:val="000000"/>
      <w:kern w:val="0"/>
      <w:sz w:val="24"/>
      <w:szCs w:val="21"/>
      <w:lang w:eastAsia="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2 Char"/>
    <w:link w:val="2"/>
    <w:qFormat/>
    <w:uiPriority w:val="0"/>
    <w:rPr>
      <w:rFonts w:ascii="宋体" w:hAnsi="宋体" w:eastAsia="宋体" w:cs="宋体"/>
      <w:b/>
      <w:bCs/>
      <w:kern w:val="2"/>
      <w:sz w:val="44"/>
      <w:szCs w:val="24"/>
      <w:highlight w:val="none"/>
      <w:shd w:val="clear" w:color="auto" w:fill="auto"/>
      <w:lang w:val="en-US" w:eastAsia="zh-CN"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2025-08-28T01:46:00Z</dcterms:created>
  <dc:creator>╰LY F╯</dc:creator>
  <cp:lastModifiedBy>╰LY F╯</cp:lastModifiedBy>
  <dcterms:modified xsi:type="dcterms:W3CDTF">2025-08-28T01:46:15Z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F0EF7F79BEF843FB969CA18529A898F4_11</vt:lpwstr>
  </property>
  <property fmtid="{D5CDD505-2E9C-101B-9397-08002B2CF9AE}" pid="4" name="KSOTemplateDocerSaveRecord">
    <vt:lpwstr>eyJoZGlkIjoiZGJmM2RmMmMyYjEwOWY0Mjc0ODI1NGZlNmNhMTU0OTciLCJ1c2VySWQiOiIyMzY3NTM3MjIifQ==</vt:lpwstr>
  </property>
</Properties>
</file>