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FECCC">
      <w:pPr>
        <w:rPr>
          <w:rFonts w:hint="default"/>
          <w:lang w:val="en" w:eastAsia="zh-CN"/>
        </w:rPr>
      </w:pPr>
    </w:p>
    <w:p w14:paraId="4E5C9E28">
      <w:pPr>
        <w:tabs>
          <w:tab w:val="left" w:pos="1950"/>
        </w:tabs>
        <w:jc w:val="center"/>
        <w:rPr>
          <w:rFonts w:hint="default" w:ascii="宋体" w:hAnsi="宋体" w:eastAsia="宋体" w:cs="宋体"/>
          <w:b/>
          <w:bCs/>
          <w:color w:val="auto"/>
          <w:spacing w:val="-20"/>
          <w:sz w:val="58"/>
          <w:szCs w:val="58"/>
          <w:lang w:val="en-US" w:eastAsia="zh-CN"/>
        </w:rPr>
      </w:pPr>
      <w:r>
        <w:rPr>
          <w:rFonts w:hint="eastAsia" w:ascii="宋体" w:hAnsi="宋体" w:eastAsia="宋体" w:cs="宋体"/>
          <w:b/>
          <w:bCs/>
          <w:color w:val="auto"/>
          <w:spacing w:val="-20"/>
          <w:sz w:val="58"/>
          <w:szCs w:val="58"/>
          <w:lang w:val="en" w:eastAsia="zh-CN"/>
        </w:rPr>
        <w:t>河南应用技术职业学院三校区2025-2027年物业服务项目</w:t>
      </w:r>
    </w:p>
    <w:p w14:paraId="19975379">
      <w:pPr>
        <w:tabs>
          <w:tab w:val="left" w:pos="1950"/>
        </w:tabs>
        <w:jc w:val="left"/>
        <w:rPr>
          <w:rFonts w:hint="default" w:ascii="宋体" w:hAnsi="宋体" w:eastAsia="宋体" w:cs="宋体"/>
          <w:b/>
          <w:bCs/>
          <w:color w:val="auto"/>
          <w:lang w:val="en-US" w:eastAsia="zh-CN"/>
        </w:rPr>
      </w:pPr>
      <w:r>
        <w:rPr>
          <w:rFonts w:ascii="宋体" w:hAnsi="宋体" w:eastAsia="宋体" w:cs="宋体"/>
          <w:b/>
          <w:bCs/>
          <w:color w:val="auto"/>
          <w:lang w:val="en-US" w:eastAsia="zh-CN"/>
        </w:rPr>
        <w:t xml:space="preserve"> </w:t>
      </w:r>
    </w:p>
    <w:p w14:paraId="04F5F0A5">
      <w:pPr>
        <w:tabs>
          <w:tab w:val="left" w:pos="1950"/>
        </w:tabs>
        <w:jc w:val="left"/>
        <w:rPr>
          <w:rFonts w:hint="default" w:ascii="宋体" w:hAnsi="宋体" w:eastAsia="宋体" w:cs="宋体"/>
          <w:b/>
          <w:bCs/>
          <w:color w:val="auto"/>
          <w:lang w:val="en-US" w:eastAsia="zh-CN"/>
        </w:rPr>
      </w:pPr>
    </w:p>
    <w:p w14:paraId="2A813FF4">
      <w:pPr>
        <w:jc w:val="center"/>
        <w:rPr>
          <w:rFonts w:hint="default" w:ascii="宋体" w:hAnsi="宋体" w:eastAsia="宋体" w:cs="宋体"/>
          <w:b/>
          <w:color w:val="auto"/>
          <w:sz w:val="36"/>
          <w:szCs w:val="36"/>
          <w:lang w:eastAsia="zh-CN"/>
        </w:rPr>
      </w:pPr>
    </w:p>
    <w:p w14:paraId="6A2E86A0">
      <w:pPr>
        <w:pStyle w:val="12"/>
        <w:ind w:left="0" w:leftChars="0" w:firstLine="0" w:firstLineChars="0"/>
        <w:rPr>
          <w:rFonts w:hint="default" w:ascii="宋体" w:hAnsi="宋体" w:eastAsia="宋体" w:cs="宋体"/>
          <w:b/>
          <w:color w:val="auto"/>
          <w:sz w:val="36"/>
          <w:szCs w:val="36"/>
          <w:lang w:eastAsia="zh-CN"/>
        </w:rPr>
      </w:pPr>
    </w:p>
    <w:p w14:paraId="1DF3A56F">
      <w:pPr>
        <w:rPr>
          <w:rFonts w:hint="default"/>
          <w:lang w:eastAsia="zh-CN"/>
        </w:rPr>
      </w:pPr>
    </w:p>
    <w:p w14:paraId="28EB369E">
      <w:pPr>
        <w:jc w:val="center"/>
        <w:rPr>
          <w:rFonts w:hint="default" w:ascii="宋体" w:hAnsi="宋体" w:eastAsia="宋体" w:cs="宋体"/>
          <w:b/>
          <w:bCs/>
          <w:color w:val="auto"/>
          <w:sz w:val="144"/>
          <w:szCs w:val="144"/>
          <w:lang w:eastAsia="zh-CN"/>
        </w:rPr>
      </w:pPr>
      <w:r>
        <w:rPr>
          <w:rFonts w:ascii="宋体" w:hAnsi="宋体" w:eastAsia="宋体" w:cs="宋体"/>
          <w:b/>
          <w:color w:val="auto"/>
          <w:sz w:val="144"/>
          <w:szCs w:val="144"/>
          <w:lang w:eastAsia="zh-CN"/>
        </w:rPr>
        <w:t>招标文件</w:t>
      </w:r>
    </w:p>
    <w:p w14:paraId="67DFC9E2">
      <w:pPr>
        <w:jc w:val="center"/>
        <w:rPr>
          <w:rFonts w:hint="default" w:ascii="宋体" w:hAnsi="宋体" w:eastAsia="宋体" w:cs="宋体"/>
          <w:b/>
          <w:color w:val="auto"/>
          <w:sz w:val="36"/>
          <w:szCs w:val="36"/>
          <w:lang w:val="en" w:eastAsia="zh-CN"/>
        </w:rPr>
      </w:pPr>
      <w:r>
        <w:rPr>
          <w:rFonts w:ascii="宋体" w:hAnsi="宋体" w:eastAsia="宋体" w:cs="宋体"/>
          <w:b/>
          <w:color w:val="auto"/>
          <w:sz w:val="36"/>
          <w:szCs w:val="36"/>
          <w:lang w:eastAsia="zh-CN"/>
        </w:rPr>
        <w:t>采购编号：</w:t>
      </w:r>
      <w:r>
        <w:rPr>
          <w:rFonts w:hint="eastAsia" w:ascii="宋体" w:hAnsi="宋体" w:eastAsia="宋体" w:cs="宋体"/>
          <w:b/>
          <w:color w:val="auto"/>
          <w:sz w:val="36"/>
          <w:szCs w:val="36"/>
          <w:lang w:val="en" w:eastAsia="zh-CN"/>
        </w:rPr>
        <w:t>豫财招标采购-2025-1091</w:t>
      </w:r>
      <w:r>
        <w:rPr>
          <w:rFonts w:hint="default" w:ascii="宋体" w:hAnsi="宋体" w:eastAsia="宋体" w:cs="宋体"/>
          <w:b/>
          <w:color w:val="auto"/>
          <w:sz w:val="36"/>
          <w:szCs w:val="36"/>
          <w:lang w:val="en" w:eastAsia="zh-CN"/>
        </w:rPr>
        <w:t xml:space="preserve"> </w:t>
      </w:r>
    </w:p>
    <w:p w14:paraId="3599D82E">
      <w:pPr>
        <w:spacing w:line="240" w:lineRule="atLeast"/>
        <w:rPr>
          <w:rFonts w:hint="default" w:ascii="宋体" w:hAnsi="宋体" w:eastAsia="宋体" w:cs="宋体"/>
          <w:color w:val="auto"/>
          <w:lang w:val="en-US" w:eastAsia="zh-CN"/>
        </w:rPr>
      </w:pPr>
    </w:p>
    <w:p w14:paraId="20653D9A">
      <w:pPr>
        <w:spacing w:line="240" w:lineRule="atLeast"/>
        <w:jc w:val="center"/>
        <w:rPr>
          <w:rFonts w:hint="default" w:ascii="宋体" w:hAnsi="宋体" w:eastAsia="宋体" w:cs="宋体"/>
          <w:b/>
          <w:bCs/>
          <w:color w:val="auto"/>
          <w:sz w:val="28"/>
          <w:szCs w:val="28"/>
        </w:rPr>
      </w:pPr>
      <w:r>
        <w:rPr>
          <w:rFonts w:ascii="宋体" w:hAnsi="宋体" w:eastAsia="宋体" w:cs="宋体"/>
          <w:color w:val="auto"/>
          <w:lang w:val="en-US" w:eastAsia="zh-CN"/>
        </w:rPr>
        <w:drawing>
          <wp:inline distT="0" distB="0" distL="114300" distR="114300">
            <wp:extent cx="1397635" cy="1397635"/>
            <wp:effectExtent l="0" t="0" r="12065"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1397635" cy="1397635"/>
                    </a:xfrm>
                    <a:prstGeom prst="rect">
                      <a:avLst/>
                    </a:prstGeom>
                    <a:noFill/>
                    <a:ln>
                      <a:noFill/>
                    </a:ln>
                  </pic:spPr>
                </pic:pic>
              </a:graphicData>
            </a:graphic>
          </wp:inline>
        </w:drawing>
      </w:r>
    </w:p>
    <w:p w14:paraId="57E5B809">
      <w:pPr>
        <w:spacing w:line="240" w:lineRule="atLeast"/>
        <w:rPr>
          <w:rFonts w:hint="default" w:ascii="宋体" w:hAnsi="宋体" w:eastAsia="宋体" w:cs="宋体"/>
          <w:b/>
          <w:bCs/>
          <w:color w:val="auto"/>
          <w:sz w:val="28"/>
          <w:szCs w:val="28"/>
          <w:lang w:val="en-US"/>
        </w:rPr>
      </w:pPr>
    </w:p>
    <w:p w14:paraId="046F620F">
      <w:pPr>
        <w:pStyle w:val="12"/>
        <w:rPr>
          <w:rFonts w:hint="default" w:ascii="宋体" w:hAnsi="宋体" w:eastAsia="宋体" w:cs="宋体"/>
          <w:b/>
          <w:bCs/>
          <w:color w:val="auto"/>
          <w:sz w:val="28"/>
          <w:szCs w:val="28"/>
          <w:lang w:val="en-US"/>
        </w:rPr>
      </w:pPr>
    </w:p>
    <w:p w14:paraId="368A0B8F">
      <w:pPr>
        <w:rPr>
          <w:rFonts w:hint="default" w:ascii="宋体" w:hAnsi="宋体" w:eastAsia="宋体" w:cs="宋体"/>
          <w:b/>
          <w:bCs/>
          <w:color w:val="auto"/>
          <w:sz w:val="28"/>
          <w:szCs w:val="28"/>
          <w:lang w:val="en-US"/>
        </w:rPr>
      </w:pPr>
    </w:p>
    <w:p w14:paraId="61B11B1C">
      <w:pPr>
        <w:pStyle w:val="12"/>
        <w:rPr>
          <w:rFonts w:hint="default" w:ascii="宋体" w:hAnsi="宋体" w:eastAsia="宋体" w:cs="宋体"/>
          <w:lang w:val="en-US"/>
        </w:rPr>
      </w:pPr>
    </w:p>
    <w:p w14:paraId="2735214C">
      <w:pPr>
        <w:spacing w:line="700" w:lineRule="exact"/>
        <w:ind w:left="1050" w:leftChars="500"/>
        <w:rPr>
          <w:rFonts w:hint="default" w:ascii="宋体" w:hAnsi="宋体" w:eastAsia="宋体" w:cs="宋体"/>
          <w:b/>
          <w:color w:val="auto"/>
          <w:sz w:val="36"/>
          <w:szCs w:val="36"/>
          <w:lang w:val="en" w:eastAsia="zh-CN"/>
        </w:rPr>
      </w:pPr>
      <w:r>
        <w:rPr>
          <w:rFonts w:ascii="宋体" w:hAnsi="宋体" w:eastAsia="宋体" w:cs="宋体"/>
          <w:b/>
          <w:color w:val="auto"/>
          <w:sz w:val="36"/>
          <w:szCs w:val="36"/>
          <w:lang w:eastAsia="zh-CN"/>
        </w:rPr>
        <w:t xml:space="preserve">采 </w:t>
      </w:r>
      <w:r>
        <w:rPr>
          <w:rFonts w:ascii="宋体" w:hAnsi="宋体" w:eastAsia="宋体" w:cs="宋体"/>
          <w:b/>
          <w:color w:val="auto"/>
          <w:sz w:val="36"/>
          <w:szCs w:val="36"/>
          <w:lang w:val="en-US" w:eastAsia="zh-CN"/>
        </w:rPr>
        <w:t xml:space="preserve"> </w:t>
      </w:r>
      <w:r>
        <w:rPr>
          <w:rFonts w:hint="default" w:ascii="宋体" w:hAnsi="宋体" w:eastAsia="宋体" w:cs="宋体"/>
          <w:b/>
          <w:color w:val="auto"/>
          <w:sz w:val="36"/>
          <w:szCs w:val="36"/>
          <w:lang w:val="en" w:eastAsia="zh-CN"/>
        </w:rPr>
        <w:t xml:space="preserve"> </w:t>
      </w:r>
      <w:r>
        <w:rPr>
          <w:rFonts w:ascii="宋体" w:hAnsi="宋体" w:eastAsia="宋体" w:cs="宋体"/>
          <w:b/>
          <w:color w:val="auto"/>
          <w:sz w:val="36"/>
          <w:szCs w:val="36"/>
          <w:lang w:eastAsia="zh-CN"/>
        </w:rPr>
        <w:t xml:space="preserve">购 </w:t>
      </w:r>
      <w:r>
        <w:rPr>
          <w:rFonts w:hint="eastAsia" w:ascii="宋体" w:hAnsi="宋体" w:eastAsia="宋体" w:cs="宋体"/>
          <w:b/>
          <w:color w:val="auto"/>
          <w:sz w:val="36"/>
          <w:szCs w:val="36"/>
          <w:lang w:val="en-US" w:eastAsia="zh-CN"/>
        </w:rPr>
        <w:t xml:space="preserve"> </w:t>
      </w:r>
      <w:r>
        <w:rPr>
          <w:rFonts w:hint="default" w:ascii="宋体" w:hAnsi="宋体" w:eastAsia="宋体" w:cs="宋体"/>
          <w:b/>
          <w:color w:val="auto"/>
          <w:sz w:val="36"/>
          <w:szCs w:val="36"/>
          <w:lang w:val="en" w:eastAsia="zh-CN"/>
        </w:rPr>
        <w:t xml:space="preserve"> </w:t>
      </w:r>
      <w:r>
        <w:rPr>
          <w:rFonts w:ascii="宋体" w:hAnsi="宋体" w:eastAsia="宋体" w:cs="宋体"/>
          <w:b/>
          <w:color w:val="auto"/>
          <w:sz w:val="36"/>
          <w:szCs w:val="36"/>
          <w:lang w:eastAsia="zh-CN"/>
        </w:rPr>
        <w:t>人：</w:t>
      </w:r>
      <w:r>
        <w:rPr>
          <w:rFonts w:ascii="宋体" w:hAnsi="宋体" w:eastAsia="宋体" w:cs="宋体"/>
          <w:b/>
          <w:color w:val="auto"/>
          <w:sz w:val="36"/>
          <w:szCs w:val="36"/>
          <w:lang w:val="en" w:eastAsia="zh-CN"/>
        </w:rPr>
        <w:t>河南应用技术职业学院</w:t>
      </w:r>
    </w:p>
    <w:p w14:paraId="4FBEE7D7">
      <w:pPr>
        <w:spacing w:line="700" w:lineRule="exact"/>
        <w:ind w:left="1050" w:leftChars="500"/>
        <w:rPr>
          <w:rFonts w:hint="default" w:ascii="宋体" w:hAnsi="宋体" w:eastAsia="宋体" w:cs="宋体"/>
          <w:b/>
          <w:bCs/>
          <w:color w:val="auto"/>
          <w:spacing w:val="56"/>
          <w:sz w:val="36"/>
          <w:szCs w:val="36"/>
          <w:lang w:eastAsia="zh-CN"/>
        </w:rPr>
      </w:pPr>
      <w:r>
        <w:rPr>
          <w:rFonts w:ascii="宋体" w:hAnsi="宋体" w:eastAsia="宋体" w:cs="宋体"/>
          <w:b/>
          <w:color w:val="auto"/>
          <w:sz w:val="36"/>
          <w:szCs w:val="36"/>
          <w:lang w:eastAsia="zh-CN"/>
        </w:rPr>
        <w:t>集中采购机构：河南省公共资源交易中心</w:t>
      </w:r>
    </w:p>
    <w:p w14:paraId="379EC5A8">
      <w:pPr>
        <w:jc w:val="center"/>
        <w:rPr>
          <w:rFonts w:hint="default" w:ascii="宋体" w:hAnsi="宋体" w:eastAsia="宋体" w:cs="宋体"/>
          <w:b/>
          <w:bCs/>
          <w:color w:val="auto"/>
          <w:lang w:val="en-US" w:eastAsia="zh-CN"/>
        </w:rPr>
      </w:pPr>
    </w:p>
    <w:p w14:paraId="1BA81E2D">
      <w:pPr>
        <w:spacing w:line="240" w:lineRule="atLeast"/>
        <w:jc w:val="center"/>
        <w:rPr>
          <w:rFonts w:hint="default" w:ascii="宋体" w:hAnsi="宋体" w:eastAsia="宋体" w:cs="宋体"/>
          <w:b/>
          <w:color w:val="auto"/>
          <w:sz w:val="36"/>
          <w:szCs w:val="36"/>
          <w:lang w:val="en"/>
        </w:rPr>
      </w:pPr>
      <w:r>
        <w:rPr>
          <w:rFonts w:hint="default" w:ascii="宋体" w:hAnsi="宋体" w:eastAsia="宋体" w:cs="宋体"/>
          <w:b/>
          <w:bCs/>
          <w:color w:val="auto"/>
          <w:sz w:val="36"/>
          <w:szCs w:val="36"/>
          <w:lang w:val="en" w:eastAsia="zh-CN"/>
        </w:rPr>
        <w:t>202</w:t>
      </w:r>
      <w:r>
        <w:rPr>
          <w:rFonts w:hint="eastAsia" w:ascii="宋体" w:hAnsi="宋体" w:eastAsia="宋体" w:cs="宋体"/>
          <w:b/>
          <w:bCs/>
          <w:color w:val="auto"/>
          <w:sz w:val="36"/>
          <w:szCs w:val="36"/>
          <w:lang w:val="en-US" w:eastAsia="zh-CN"/>
        </w:rPr>
        <w:t>5</w:t>
      </w:r>
      <w:r>
        <w:rPr>
          <w:rFonts w:hint="default" w:ascii="宋体" w:hAnsi="宋体" w:eastAsia="宋体" w:cs="宋体"/>
          <w:b/>
          <w:bCs/>
          <w:color w:val="auto"/>
          <w:sz w:val="36"/>
          <w:szCs w:val="36"/>
          <w:lang w:val="en" w:eastAsia="zh-CN"/>
        </w:rPr>
        <w:t>年</w:t>
      </w:r>
      <w:r>
        <w:rPr>
          <w:rFonts w:ascii="宋体" w:hAnsi="宋体" w:eastAsia="宋体" w:cs="宋体"/>
          <w:b/>
          <w:bCs/>
          <w:color w:val="auto"/>
          <w:sz w:val="36"/>
          <w:szCs w:val="36"/>
          <w:lang w:val="en-US" w:eastAsia="zh-CN"/>
        </w:rPr>
        <w:t>9</w:t>
      </w:r>
      <w:r>
        <w:rPr>
          <w:rFonts w:hint="default" w:ascii="宋体" w:hAnsi="宋体" w:eastAsia="宋体" w:cs="宋体"/>
          <w:b/>
          <w:bCs/>
          <w:color w:val="auto"/>
          <w:sz w:val="36"/>
          <w:szCs w:val="36"/>
          <w:lang w:val="en" w:eastAsia="zh-CN"/>
        </w:rPr>
        <w:t>月</w:t>
      </w:r>
    </w:p>
    <w:p w14:paraId="74939AD8">
      <w:pPr>
        <w:spacing w:line="240" w:lineRule="atLeast"/>
        <w:jc w:val="center"/>
        <w:rPr>
          <w:rFonts w:hint="default" w:ascii="宋体" w:hAnsi="宋体" w:eastAsia="宋体" w:cs="宋体"/>
          <w:b/>
          <w:bCs/>
          <w:color w:val="auto"/>
          <w:sz w:val="48"/>
          <w:szCs w:val="48"/>
          <w:lang w:val="en-US" w:eastAsia="zh-CN"/>
        </w:rPr>
        <w:sectPr>
          <w:pgSz w:w="11900" w:h="16840"/>
          <w:pgMar w:top="1440" w:right="1174" w:bottom="1440" w:left="1797" w:header="851" w:footer="992" w:gutter="0"/>
          <w:cols w:space="720" w:num="1"/>
        </w:sectPr>
      </w:pPr>
    </w:p>
    <w:p w14:paraId="5BCD9307">
      <w:pPr>
        <w:spacing w:line="240" w:lineRule="atLeast"/>
        <w:jc w:val="center"/>
        <w:rPr>
          <w:rFonts w:hint="default" w:ascii="宋体" w:hAnsi="宋体" w:eastAsia="宋体" w:cs="宋体"/>
          <w:b/>
          <w:bCs/>
          <w:color w:val="auto"/>
          <w:sz w:val="48"/>
          <w:szCs w:val="48"/>
          <w:lang w:val="en-US" w:eastAsia="zh-CN"/>
        </w:rPr>
      </w:pPr>
      <w:r>
        <w:rPr>
          <w:rFonts w:ascii="宋体" w:hAnsi="宋体" w:eastAsia="宋体" w:cs="宋体"/>
          <w:b/>
          <w:bCs/>
          <w:color w:val="auto"/>
          <w:sz w:val="48"/>
          <w:szCs w:val="48"/>
          <w:lang w:val="en-US" w:eastAsia="zh-CN"/>
        </w:rPr>
        <w:t>目 录</w:t>
      </w:r>
    </w:p>
    <w:p w14:paraId="36F68821">
      <w:pPr>
        <w:spacing w:line="240" w:lineRule="atLeast"/>
        <w:jc w:val="center"/>
        <w:rPr>
          <w:rFonts w:hint="default" w:ascii="宋体" w:hAnsi="宋体" w:eastAsia="宋体" w:cs="宋体"/>
          <w:b/>
          <w:bCs/>
          <w:color w:val="auto"/>
          <w:sz w:val="48"/>
          <w:szCs w:val="48"/>
          <w:lang w:val="en-US" w:eastAsia="zh-CN"/>
        </w:rPr>
      </w:pPr>
    </w:p>
    <w:p w14:paraId="5E13CFF4">
      <w:pPr>
        <w:pStyle w:val="32"/>
        <w:tabs>
          <w:tab w:val="right" w:leader="dot" w:pos="8919"/>
        </w:tabs>
        <w:rPr>
          <w:rFonts w:ascii="仿宋_GB2312" w:hAnsi="仿宋_GB2312" w:eastAsia="仿宋_GB2312" w:cs="仿宋_GB2312"/>
          <w:kern w:val="2"/>
          <w:sz w:val="32"/>
          <w:szCs w:val="32"/>
        </w:rPr>
      </w:pPr>
      <w:bookmarkStart w:id="0" w:name="_Toc349457307"/>
      <w:r>
        <w:rPr>
          <w:rFonts w:hint="eastAsia" w:ascii="宋体" w:hAnsi="宋体" w:cs="宋体"/>
          <w:sz w:val="32"/>
          <w:szCs w:val="32"/>
        </w:rPr>
        <w:fldChar w:fldCharType="begin"/>
      </w:r>
      <w:r>
        <w:rPr>
          <w:rFonts w:hint="eastAsia" w:ascii="宋体" w:hAnsi="宋体" w:cs="宋体"/>
          <w:sz w:val="32"/>
          <w:szCs w:val="32"/>
        </w:rPr>
        <w:instrText xml:space="preserve">TOC \o "1-1" \h \u </w:instrText>
      </w:r>
      <w:r>
        <w:rPr>
          <w:rFonts w:hint="eastAsia" w:ascii="宋体" w:hAnsi="宋体" w:cs="宋体"/>
          <w:sz w:val="32"/>
          <w:szCs w:val="32"/>
        </w:rPr>
        <w:fldChar w:fldCharType="separate"/>
      </w:r>
      <w:r>
        <w:fldChar w:fldCharType="begin"/>
      </w:r>
      <w:r>
        <w:instrText xml:space="preserve"> HYPERLINK \l "_Toc152586290" </w:instrText>
      </w:r>
      <w:r>
        <w:fldChar w:fldCharType="separate"/>
      </w:r>
      <w:r>
        <w:rPr>
          <w:rStyle w:val="64"/>
          <w:rFonts w:hint="eastAsia" w:ascii="仿宋_GB2312" w:hAnsi="仿宋_GB2312" w:eastAsia="仿宋_GB2312" w:cs="仿宋_GB2312"/>
          <w:sz w:val="32"/>
          <w:szCs w:val="32"/>
        </w:rPr>
        <w:t>第一章 投标邀请</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_Toc152586290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084A2D7">
      <w:pPr>
        <w:pStyle w:val="32"/>
        <w:tabs>
          <w:tab w:val="right" w:leader="dot" w:pos="8919"/>
        </w:tabs>
        <w:rPr>
          <w:rFonts w:ascii="仿宋_GB2312" w:hAnsi="仿宋_GB2312" w:eastAsia="仿宋_GB2312" w:cs="仿宋_GB2312"/>
          <w:kern w:val="2"/>
          <w:sz w:val="32"/>
          <w:szCs w:val="32"/>
        </w:rPr>
      </w:pPr>
      <w:r>
        <w:fldChar w:fldCharType="begin"/>
      </w:r>
      <w:r>
        <w:instrText xml:space="preserve"> HYPERLINK \l "_Toc152586291" </w:instrText>
      </w:r>
      <w:r>
        <w:fldChar w:fldCharType="separate"/>
      </w:r>
      <w:r>
        <w:rPr>
          <w:rStyle w:val="64"/>
          <w:rFonts w:hint="eastAsia" w:ascii="仿宋_GB2312" w:hAnsi="仿宋_GB2312" w:eastAsia="仿宋_GB2312" w:cs="仿宋_GB2312"/>
          <w:sz w:val="32"/>
          <w:szCs w:val="32"/>
        </w:rPr>
        <w:t>第二章 投标人须知前附表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_Toc152586291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CDB7F22">
      <w:pPr>
        <w:pStyle w:val="32"/>
        <w:tabs>
          <w:tab w:val="right" w:leader="dot" w:pos="8919"/>
        </w:tabs>
        <w:rPr>
          <w:rFonts w:ascii="仿宋_GB2312" w:hAnsi="仿宋_GB2312" w:eastAsia="仿宋_GB2312" w:cs="仿宋_GB2312"/>
          <w:kern w:val="2"/>
          <w:sz w:val="32"/>
          <w:szCs w:val="32"/>
        </w:rPr>
      </w:pPr>
      <w:r>
        <w:fldChar w:fldCharType="begin"/>
      </w:r>
      <w:r>
        <w:instrText xml:space="preserve"> HYPERLINK \l "_Toc152586292" </w:instrText>
      </w:r>
      <w:r>
        <w:fldChar w:fldCharType="separate"/>
      </w:r>
      <w:r>
        <w:rPr>
          <w:rStyle w:val="64"/>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_Toc152586292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FA8ED84">
      <w:pPr>
        <w:pStyle w:val="32"/>
        <w:tabs>
          <w:tab w:val="right" w:leader="dot" w:pos="8919"/>
        </w:tabs>
        <w:rPr>
          <w:rFonts w:ascii="仿宋_GB2312" w:hAnsi="仿宋_GB2312" w:eastAsia="仿宋_GB2312" w:cs="仿宋_GB2312"/>
          <w:kern w:val="2"/>
          <w:sz w:val="32"/>
          <w:szCs w:val="32"/>
        </w:rPr>
      </w:pPr>
      <w:r>
        <w:fldChar w:fldCharType="begin"/>
      </w:r>
      <w:r>
        <w:instrText xml:space="preserve"> HYPERLINK \l "_Toc152586293" </w:instrText>
      </w:r>
      <w:r>
        <w:fldChar w:fldCharType="separate"/>
      </w:r>
      <w:r>
        <w:rPr>
          <w:rStyle w:val="64"/>
          <w:rFonts w:hint="eastAsia" w:ascii="仿宋_GB2312" w:hAnsi="仿宋_GB2312" w:eastAsia="仿宋_GB2312" w:cs="仿宋_GB2312"/>
          <w:sz w:val="32"/>
          <w:szCs w:val="32"/>
        </w:rPr>
        <w:t>第四章 资格证明文件格式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_Toc152586293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975AFC7">
      <w:pPr>
        <w:pStyle w:val="32"/>
        <w:tabs>
          <w:tab w:val="right" w:leader="dot" w:pos="8919"/>
        </w:tabs>
        <w:rPr>
          <w:rFonts w:ascii="仿宋_GB2312" w:hAnsi="仿宋_GB2312" w:eastAsia="仿宋_GB2312" w:cs="仿宋_GB2312"/>
          <w:kern w:val="2"/>
          <w:sz w:val="32"/>
          <w:szCs w:val="32"/>
        </w:rPr>
      </w:pPr>
      <w:r>
        <w:fldChar w:fldCharType="begin"/>
      </w:r>
      <w:r>
        <w:instrText xml:space="preserve"> HYPERLINK \l "_Toc152586294" </w:instrText>
      </w:r>
      <w:r>
        <w:fldChar w:fldCharType="separate"/>
      </w:r>
      <w:r>
        <w:rPr>
          <w:rStyle w:val="64"/>
          <w:rFonts w:hint="eastAsia" w:ascii="仿宋_GB2312" w:hAnsi="仿宋_GB2312" w:eastAsia="仿宋_GB2312" w:cs="仿宋_GB2312"/>
          <w:sz w:val="32"/>
          <w:szCs w:val="32"/>
        </w:rPr>
        <w:t>第五章 投标文件格式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_Toc152586294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C629CDD">
      <w:pPr>
        <w:pStyle w:val="32"/>
        <w:tabs>
          <w:tab w:val="right" w:leader="dot" w:pos="8919"/>
        </w:tabs>
        <w:rPr>
          <w:rFonts w:ascii="仿宋_GB2312" w:hAnsi="仿宋_GB2312" w:eastAsia="仿宋_GB2312" w:cs="仿宋_GB2312"/>
          <w:kern w:val="2"/>
          <w:sz w:val="32"/>
          <w:szCs w:val="32"/>
        </w:rPr>
      </w:pPr>
      <w:r>
        <w:fldChar w:fldCharType="begin"/>
      </w:r>
      <w:r>
        <w:instrText xml:space="preserve"> HYPERLINK \l "_Toc152586295" </w:instrText>
      </w:r>
      <w:r>
        <w:fldChar w:fldCharType="separate"/>
      </w:r>
      <w:r>
        <w:rPr>
          <w:rStyle w:val="64"/>
          <w:rFonts w:hint="eastAsia" w:ascii="仿宋_GB2312" w:hAnsi="仿宋_GB2312" w:eastAsia="仿宋_GB2312" w:cs="仿宋_GB2312"/>
          <w:sz w:val="32"/>
          <w:szCs w:val="32"/>
        </w:rPr>
        <w:t>第六章 项目需求及有关要求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_Toc152586295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7CF033FE">
      <w:pPr>
        <w:pStyle w:val="32"/>
        <w:tabs>
          <w:tab w:val="right" w:leader="dot" w:pos="8919"/>
        </w:tabs>
        <w:rPr>
          <w:rFonts w:ascii="仿宋_GB2312" w:hAnsi="仿宋_GB2312" w:eastAsia="仿宋_GB2312" w:cs="仿宋_GB2312"/>
          <w:kern w:val="2"/>
          <w:sz w:val="32"/>
          <w:szCs w:val="32"/>
        </w:rPr>
      </w:pPr>
      <w:r>
        <w:fldChar w:fldCharType="begin"/>
      </w:r>
      <w:r>
        <w:instrText xml:space="preserve"> HYPERLINK \l "_Toc152586296" </w:instrText>
      </w:r>
      <w:r>
        <w:fldChar w:fldCharType="separate"/>
      </w:r>
      <w:r>
        <w:rPr>
          <w:rStyle w:val="64"/>
          <w:rFonts w:hint="eastAsia" w:ascii="仿宋_GB2312" w:hAnsi="仿宋_GB2312" w:eastAsia="仿宋_GB2312" w:cs="仿宋_GB2312"/>
          <w:kern w:val="44"/>
          <w:sz w:val="32"/>
          <w:szCs w:val="32"/>
        </w:rPr>
        <w:t>第七章 评标方法和标准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_Toc152586296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ECF2E36">
      <w:pPr>
        <w:pStyle w:val="32"/>
        <w:tabs>
          <w:tab w:val="right" w:leader="dot" w:pos="8919"/>
        </w:tabs>
        <w:rPr>
          <w:rFonts w:ascii="仿宋_GB2312" w:hAnsi="仿宋_GB2312" w:eastAsia="仿宋_GB2312" w:cs="仿宋_GB2312"/>
          <w:kern w:val="2"/>
          <w:sz w:val="32"/>
          <w:szCs w:val="32"/>
        </w:rPr>
      </w:pPr>
      <w:r>
        <w:fldChar w:fldCharType="begin"/>
      </w:r>
      <w:r>
        <w:instrText xml:space="preserve"> HYPERLINK \l "_Toc152586297" </w:instrText>
      </w:r>
      <w:r>
        <w:fldChar w:fldCharType="separate"/>
      </w:r>
      <w:r>
        <w:rPr>
          <w:rStyle w:val="64"/>
          <w:rFonts w:hint="eastAsia" w:ascii="仿宋_GB2312" w:hAnsi="仿宋_GB2312" w:eastAsia="仿宋_GB2312" w:cs="仿宋_GB2312"/>
          <w:sz w:val="32"/>
          <w:szCs w:val="32"/>
        </w:rPr>
        <w:t>第八章 政府采购合同</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_Toc152586297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86FD5D5">
      <w:pPr>
        <w:pStyle w:val="32"/>
        <w:tabs>
          <w:tab w:val="right" w:leader="dot" w:pos="8919"/>
        </w:tabs>
        <w:rPr>
          <w:rFonts w:ascii="宋体" w:hAnsi="宋体" w:cs="宋体"/>
          <w:kern w:val="2"/>
          <w:sz w:val="32"/>
          <w:szCs w:val="32"/>
        </w:rPr>
      </w:pPr>
      <w:r>
        <w:fldChar w:fldCharType="begin"/>
      </w:r>
      <w:r>
        <w:instrText xml:space="preserve"> HYPERLINK \l "_Toc152586298" </w:instrText>
      </w:r>
      <w:r>
        <w:fldChar w:fldCharType="separate"/>
      </w:r>
      <w:r>
        <w:rPr>
          <w:rStyle w:val="64"/>
          <w:rFonts w:hint="eastAsia" w:ascii="仿宋_GB2312" w:hAnsi="仿宋_GB2312" w:eastAsia="仿宋_GB2312" w:cs="仿宋_GB2312"/>
          <w:sz w:val="32"/>
          <w:szCs w:val="32"/>
        </w:rPr>
        <w:t>第九章 附件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_Toc152586298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F2C83FB">
      <w:pPr>
        <w:spacing w:line="360" w:lineRule="auto"/>
        <w:rPr>
          <w:rFonts w:hint="default" w:ascii="宋体" w:hAnsi="宋体" w:eastAsia="宋体" w:cs="宋体"/>
          <w:sz w:val="32"/>
          <w:szCs w:val="32"/>
        </w:rPr>
      </w:pPr>
      <w:r>
        <w:rPr>
          <w:rFonts w:ascii="宋体" w:hAnsi="宋体" w:eastAsia="宋体" w:cs="宋体"/>
          <w:sz w:val="32"/>
          <w:szCs w:val="32"/>
        </w:rPr>
        <w:fldChar w:fldCharType="end"/>
      </w:r>
    </w:p>
    <w:p w14:paraId="1FAC73A1">
      <w:pPr>
        <w:pStyle w:val="2"/>
        <w:spacing w:before="0" w:after="0" w:line="240" w:lineRule="auto"/>
        <w:jc w:val="center"/>
        <w:rPr>
          <w:rFonts w:ascii="宋体" w:hAnsi="宋体" w:eastAsia="宋体" w:cs="宋体"/>
          <w:color w:val="auto"/>
          <w:sz w:val="36"/>
          <w:szCs w:val="36"/>
          <w:lang w:eastAsia="zh-CN"/>
        </w:rPr>
      </w:pPr>
      <w:r>
        <w:rPr>
          <w:rFonts w:hint="eastAsia" w:ascii="宋体" w:hAnsi="宋体" w:eastAsia="宋体" w:cs="宋体"/>
          <w:color w:val="auto"/>
          <w:sz w:val="24"/>
          <w:szCs w:val="24"/>
          <w:lang w:eastAsia="zh-CN"/>
        </w:rPr>
        <w:br w:type="page"/>
      </w:r>
      <w:bookmarkStart w:id="1" w:name="_Toc1664555187_WPSOffice_Level1"/>
      <w:bookmarkStart w:id="2" w:name="_Toc1076329457"/>
      <w:bookmarkStart w:id="3" w:name="_Toc471743684"/>
      <w:bookmarkStart w:id="4" w:name="_Toc1788225408"/>
      <w:bookmarkStart w:id="5" w:name="_Toc1997956478"/>
      <w:bookmarkStart w:id="6" w:name="_Toc1877678980_WPSOffice_Level1"/>
      <w:bookmarkStart w:id="7" w:name="_Toc774922682"/>
      <w:bookmarkStart w:id="8" w:name="_Toc968113947"/>
      <w:bookmarkStart w:id="9" w:name="_Toc1232167429_WPSOffice_Level1"/>
      <w:bookmarkStart w:id="10" w:name="_Toc424031016"/>
      <w:bookmarkStart w:id="11" w:name="_Toc932735091"/>
      <w:bookmarkStart w:id="12" w:name="_Toc36262373_WPSOffice_Level1"/>
      <w:bookmarkStart w:id="13" w:name="_Toc175269916"/>
      <w:bookmarkStart w:id="14" w:name="_Toc1592953130"/>
      <w:bookmarkStart w:id="15" w:name="_Toc729479254"/>
      <w:bookmarkStart w:id="16" w:name="_Toc2103182066_WPSOffice_Level1"/>
      <w:bookmarkStart w:id="17" w:name="_Toc1980840421"/>
      <w:bookmarkStart w:id="18" w:name="_Toc1306098204"/>
      <w:bookmarkStart w:id="19" w:name="_Toc1767733431"/>
      <w:bookmarkStart w:id="20" w:name="_Toc152586290"/>
      <w:r>
        <w:rPr>
          <w:rFonts w:hint="eastAsia" w:ascii="宋体" w:hAnsi="宋体" w:eastAsia="宋体" w:cs="宋体"/>
          <w:color w:val="auto"/>
          <w:sz w:val="36"/>
          <w:szCs w:val="36"/>
          <w:lang w:eastAsia="zh-CN"/>
        </w:rPr>
        <w:t xml:space="preserve">第一章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hint="eastAsia" w:ascii="宋体" w:hAnsi="宋体" w:eastAsia="宋体" w:cs="宋体"/>
          <w:color w:val="auto"/>
          <w:sz w:val="36"/>
          <w:szCs w:val="36"/>
          <w:lang w:eastAsia="zh-CN"/>
        </w:rPr>
        <w:t>投标邀请</w:t>
      </w:r>
      <w:bookmarkEnd w:id="15"/>
      <w:bookmarkEnd w:id="16"/>
      <w:bookmarkEnd w:id="17"/>
      <w:bookmarkEnd w:id="18"/>
      <w:bookmarkEnd w:id="19"/>
      <w:bookmarkEnd w:id="20"/>
    </w:p>
    <w:p w14:paraId="04B8B7C4">
      <w:pPr>
        <w:spacing w:line="500" w:lineRule="exact"/>
        <w:ind w:firstLine="562"/>
        <w:jc w:val="center"/>
        <w:rPr>
          <w:rFonts w:hint="default" w:ascii="宋体" w:hAnsi="宋体" w:eastAsia="宋体" w:cs="宋体"/>
          <w:b/>
          <w:color w:val="auto"/>
          <w:sz w:val="32"/>
          <w:szCs w:val="32"/>
          <w:lang w:eastAsia="zh-CN"/>
        </w:rPr>
      </w:pPr>
      <w:bookmarkStart w:id="21" w:name="_Toc940675556_WPSOffice_Level2"/>
      <w:r>
        <w:rPr>
          <w:rFonts w:hint="eastAsia" w:ascii="宋体" w:hAnsi="宋体" w:eastAsia="宋体" w:cs="宋体"/>
          <w:b/>
          <w:color w:val="auto"/>
          <w:sz w:val="32"/>
          <w:szCs w:val="32"/>
          <w:lang w:val="en" w:eastAsia="zh-CN"/>
        </w:rPr>
        <w:t>河南应用技术职业学院三校区2025-2027年物业服务项目</w:t>
      </w:r>
      <w:r>
        <w:rPr>
          <w:rFonts w:ascii="宋体" w:hAnsi="宋体" w:eastAsia="宋体" w:cs="宋体"/>
          <w:b/>
          <w:color w:val="auto"/>
          <w:sz w:val="32"/>
          <w:szCs w:val="32"/>
          <w:lang w:eastAsia="zh-CN"/>
        </w:rPr>
        <w:t>-公开招标公告</w:t>
      </w:r>
      <w:bookmarkEnd w:id="21"/>
    </w:p>
    <w:p w14:paraId="4A00BD4E">
      <w:pPr>
        <w:spacing w:line="500" w:lineRule="exact"/>
        <w:jc w:val="both"/>
        <w:rPr>
          <w:rFonts w:hint="default" w:ascii="宋体" w:hAnsi="宋体" w:eastAsia="宋体" w:cs="宋体"/>
          <w:b/>
          <w:color w:val="auto"/>
          <w:sz w:val="28"/>
          <w:szCs w:val="28"/>
          <w:lang w:eastAsia="zh-CN"/>
        </w:rPr>
      </w:pPr>
      <w:r>
        <w:rPr>
          <w:rFonts w:ascii="宋体" w:hAnsi="宋体" w:eastAsia="宋体" w:cs="宋体"/>
        </w:rPr>
        <mc:AlternateContent>
          <mc:Choice Requires="wps">
            <w:drawing>
              <wp:anchor distT="0" distB="0" distL="114300" distR="114300" simplePos="0" relativeHeight="251666432" behindDoc="0" locked="0" layoutInCell="1" allowOverlap="1">
                <wp:simplePos x="0" y="0"/>
                <wp:positionH relativeFrom="column">
                  <wp:posOffset>-434975</wp:posOffset>
                </wp:positionH>
                <wp:positionV relativeFrom="paragraph">
                  <wp:posOffset>172085</wp:posOffset>
                </wp:positionV>
                <wp:extent cx="5964555" cy="1736090"/>
                <wp:effectExtent l="4445" t="4445" r="12700" b="12065"/>
                <wp:wrapTopAndBottom/>
                <wp:docPr id="1472330164"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964555" cy="1736090"/>
                        </a:xfrm>
                        <a:prstGeom prst="rect">
                          <a:avLst/>
                        </a:prstGeom>
                        <a:noFill/>
                        <a:ln w="9525">
                          <a:solidFill>
                            <a:srgbClr val="000000"/>
                          </a:solidFill>
                          <a:miter lim="800000"/>
                        </a:ln>
                        <a:effectLst/>
                      </wps:spPr>
                      <wps:txbx>
                        <w:txbxContent>
                          <w:p w14:paraId="7140DB6B">
                            <w:pPr>
                              <w:pStyle w:val="224"/>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14:paraId="2A697057">
                            <w:pPr>
                              <w:pStyle w:val="224"/>
                              <w:spacing w:line="360" w:lineRule="auto"/>
                              <w:ind w:left="0" w:leftChars="0" w:firstLine="562" w:firstLineChars="200"/>
                              <w:jc w:val="left"/>
                            </w:pPr>
                            <w:r>
                              <w:rPr>
                                <w:rFonts w:hint="eastAsia" w:ascii="仿宋_GB2312" w:hAnsi="仿宋_GB2312" w:eastAsia="仿宋_GB2312" w:cs="仿宋_GB2312"/>
                                <w:b/>
                                <w:bCs/>
                                <w:sz w:val="28"/>
                                <w:szCs w:val="28"/>
                                <w:u w:val="single"/>
                                <w:lang w:val="en" w:eastAsia="zh-CN"/>
                              </w:rPr>
                              <w:t>河南应用技术职业学院三校区2025-2027年物业服务项目</w:t>
                            </w:r>
                            <w:r>
                              <w:rPr>
                                <w:rFonts w:hint="eastAsia" w:ascii="仿宋_GB2312" w:hAnsi="仿宋_GB2312" w:eastAsia="仿宋_GB2312" w:cs="仿宋_GB2312"/>
                                <w:sz w:val="28"/>
                                <w:szCs w:val="28"/>
                              </w:rPr>
                              <w:t>招标项目的潜在投标人应在</w:t>
                            </w:r>
                            <w:r>
                              <w:rPr>
                                <w:rFonts w:hint="eastAsia" w:ascii="仿宋_GB2312" w:hAnsi="仿宋_GB2312" w:eastAsia="仿宋_GB2312" w:cs="仿宋_GB2312"/>
                                <w:b/>
                                <w:bCs/>
                                <w:sz w:val="28"/>
                                <w:szCs w:val="28"/>
                                <w:u w:val="single"/>
                              </w:rPr>
                              <w:t>河南省公共资源交易中</w:t>
                            </w:r>
                            <w:r>
                              <w:rPr>
                                <w:rFonts w:hint="eastAsia" w:ascii="仿宋_GB2312" w:hAnsi="仿宋_GB2312" w:eastAsia="仿宋_GB2312" w:cs="仿宋_GB2312"/>
                                <w:b/>
                                <w:bCs/>
                                <w:sz w:val="28"/>
                                <w:szCs w:val="28"/>
                                <w:u w:val="single"/>
                                <w:lang w:val="en-US" w:eastAsia="zh-CN"/>
                              </w:rPr>
                              <w:t>心网</w:t>
                            </w:r>
                            <w:r>
                              <w:rPr>
                                <w:rFonts w:hint="eastAsia" w:ascii="仿宋_GB2312" w:hAnsi="仿宋_GB2312" w:eastAsia="仿宋_GB2312" w:cs="仿宋_GB2312"/>
                                <w:b/>
                                <w:bCs/>
                                <w:sz w:val="28"/>
                                <w:szCs w:val="28"/>
                                <w:u w:val="single"/>
                              </w:rPr>
                              <w:t>（</w:t>
                            </w:r>
                            <w:r>
                              <w:fldChar w:fldCharType="begin"/>
                            </w:r>
                            <w:r>
                              <w:instrText xml:space="preserve"> HYPERLINK "http://www.hnggzy.net）获取招标文件，并于2024年11月" </w:instrText>
                            </w:r>
                            <w:r>
                              <w:fldChar w:fldCharType="separate"/>
                            </w:r>
                            <w:r>
                              <w:rPr>
                                <w:rStyle w:val="64"/>
                                <w:rFonts w:hint="eastAsia" w:ascii="仿宋_GB2312" w:hAnsi="仿宋_GB2312" w:eastAsia="仿宋_GB2312" w:cs="仿宋_GB2312"/>
                                <w:b/>
                                <w:bCs/>
                                <w:sz w:val="28"/>
                                <w:szCs w:val="28"/>
                                <w:lang w:eastAsia="zh-CN"/>
                              </w:rPr>
                              <w:t>hnsggzyjy.henan.gov.cn</w:t>
                            </w:r>
                            <w:r>
                              <w:rPr>
                                <w:rStyle w:val="64"/>
                                <w:rFonts w:hint="eastAsia" w:ascii="仿宋_GB2312" w:hAnsi="仿宋_GB2312" w:eastAsia="仿宋_GB2312" w:cs="仿宋_GB2312"/>
                                <w:b/>
                                <w:bCs/>
                                <w:sz w:val="28"/>
                                <w:szCs w:val="28"/>
                              </w:rPr>
                              <w:t>）</w:t>
                            </w:r>
                            <w:r>
                              <w:rPr>
                                <w:rStyle w:val="64"/>
                                <w:rFonts w:hint="eastAsia" w:ascii="仿宋_GB2312" w:hAnsi="仿宋_GB2312" w:eastAsia="仿宋_GB2312" w:cs="仿宋_GB2312"/>
                                <w:sz w:val="28"/>
                                <w:szCs w:val="28"/>
                              </w:rPr>
                              <w:t>获取招标文件，并于</w:t>
                            </w:r>
                            <w:r>
                              <w:rPr>
                                <w:rStyle w:val="64"/>
                                <w:rFonts w:ascii="仿宋_GB2312" w:hAnsi="仿宋_GB2312" w:eastAsia="仿宋_GB2312" w:cs="仿宋_GB2312"/>
                                <w:b/>
                                <w:bCs/>
                                <w:sz w:val="28"/>
                                <w:szCs w:val="28"/>
                                <w:lang w:val="en"/>
                              </w:rPr>
                              <w:t>202</w:t>
                            </w:r>
                            <w:r>
                              <w:rPr>
                                <w:rStyle w:val="64"/>
                                <w:rFonts w:hint="eastAsia" w:ascii="仿宋_GB2312" w:hAnsi="仿宋_GB2312" w:eastAsia="仿宋_GB2312" w:cs="仿宋_GB2312"/>
                                <w:b/>
                                <w:bCs/>
                                <w:sz w:val="28"/>
                                <w:szCs w:val="28"/>
                                <w:lang w:val="en-US" w:eastAsia="zh-CN"/>
                              </w:rPr>
                              <w:t>5</w:t>
                            </w:r>
                            <w:r>
                              <w:rPr>
                                <w:rStyle w:val="64"/>
                                <w:rFonts w:ascii="仿宋_GB2312" w:hAnsi="仿宋_GB2312" w:eastAsia="仿宋_GB2312" w:cs="仿宋_GB2312"/>
                                <w:b/>
                                <w:bCs/>
                                <w:sz w:val="28"/>
                                <w:szCs w:val="28"/>
                                <w:lang w:val="en"/>
                              </w:rPr>
                              <w:t>年</w:t>
                            </w:r>
                            <w:r>
                              <w:rPr>
                                <w:rStyle w:val="64"/>
                                <w:rFonts w:hint="eastAsia" w:ascii="仿宋_GB2312" w:hAnsi="仿宋_GB2312" w:eastAsia="仿宋_GB2312" w:cs="仿宋_GB2312"/>
                                <w:b/>
                                <w:bCs/>
                                <w:sz w:val="28"/>
                                <w:szCs w:val="28"/>
                                <w:lang w:val="en-US" w:eastAsia="zh-CN"/>
                              </w:rPr>
                              <w:t>10</w:t>
                            </w:r>
                            <w:r>
                              <w:rPr>
                                <w:rStyle w:val="64"/>
                                <w:rFonts w:ascii="仿宋_GB2312" w:hAnsi="仿宋_GB2312" w:eastAsia="仿宋_GB2312" w:cs="仿宋_GB2312"/>
                                <w:b/>
                                <w:bCs/>
                                <w:sz w:val="28"/>
                                <w:szCs w:val="28"/>
                                <w:lang w:val="en"/>
                              </w:rPr>
                              <w:t>月</w:t>
                            </w:r>
                            <w:r>
                              <w:rPr>
                                <w:rStyle w:val="64"/>
                                <w:rFonts w:ascii="仿宋_GB2312" w:hAnsi="仿宋_GB2312" w:eastAsia="仿宋_GB2312" w:cs="仿宋_GB2312"/>
                                <w:b/>
                                <w:bCs/>
                                <w:sz w:val="28"/>
                                <w:szCs w:val="28"/>
                                <w:lang w:val="en"/>
                              </w:rPr>
                              <w:fldChar w:fldCharType="end"/>
                            </w:r>
                            <w:r>
                              <w:rPr>
                                <w:rFonts w:hint="eastAsia" w:ascii="仿宋_GB2312" w:hAnsi="仿宋_GB2312" w:eastAsia="仿宋_GB2312" w:cs="仿宋_GB2312"/>
                                <w:b/>
                                <w:bCs/>
                                <w:sz w:val="28"/>
                                <w:szCs w:val="28"/>
                                <w:u w:val="single"/>
                                <w:lang w:val="en-US" w:eastAsia="zh-CN"/>
                              </w:rPr>
                              <w:t>16</w:t>
                            </w:r>
                            <w:r>
                              <w:rPr>
                                <w:rFonts w:hint="eastAsia" w:ascii="仿宋_GB2312" w:hAnsi="仿宋_GB2312" w:eastAsia="仿宋_GB2312" w:cs="仿宋_GB2312"/>
                                <w:b/>
                                <w:bCs/>
                                <w:sz w:val="28"/>
                                <w:szCs w:val="28"/>
                                <w:u w:val="single"/>
                              </w:rPr>
                              <w:t>日09时00分（北京时间）</w:t>
                            </w:r>
                            <w:r>
                              <w:rPr>
                                <w:rFonts w:hint="eastAsia" w:ascii="仿宋_GB2312" w:hAnsi="仿宋_GB2312" w:eastAsia="仿宋_GB2312" w:cs="仿宋_GB2312"/>
                                <w:sz w:val="28"/>
                                <w:szCs w:val="28"/>
                              </w:rPr>
                              <w:t>前递交投标文件。</w:t>
                            </w:r>
                          </w:p>
                        </w:txbxContent>
                      </wps:txbx>
                      <wps:bodyPr rot="0" vert="horz" wrap="square" lIns="91440" tIns="45720" rIns="91440" bIns="45720" anchor="t" anchorCtr="0" upright="1">
                        <a:noAutofit/>
                      </wps:bodyPr>
                    </wps:wsp>
                  </a:graphicData>
                </a:graphic>
              </wp:anchor>
            </w:drawing>
          </mc:Choice>
          <mc:Fallback>
            <w:pict>
              <v:shape id="文本框 7" o:spid="_x0000_s1026" o:spt="202" type="#_x0000_t202" style="position:absolute;left:0pt;margin-left:-34.25pt;margin-top:13.55pt;height:136.7pt;width:469.65pt;mso-wrap-distance-bottom:0pt;mso-wrap-distance-top:0pt;z-index:251666432;mso-width-relative:page;mso-height-relative:page;" filled="f" stroked="t" coordsize="21600,21600" o:gfxdata="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086f/XAAAACgEAAA8AAAAA&#10;AAAAAQAgAAAAIgAAAGRycy9kb3ducmV2LnhtbFBLAQIUABQAAAAIAIdO4kAoC4ILTgIAAHYEAAAO&#10;AAAAAAAAAAEAIAAAACYBAABkcnMvZTJvRG9jLnhtbFBLBQYAAAAABgAGAFkBAADmBQAAAAA=&#10;">
                <v:fill on="f" focussize="0,0"/>
                <v:stroke color="#000000" miterlimit="8" joinstyle="miter"/>
                <v:imagedata o:title=""/>
                <o:lock v:ext="edit" aspectratio="f"/>
                <v:textbox>
                  <w:txbxContent>
                    <w:p w14:paraId="7140DB6B">
                      <w:pPr>
                        <w:pStyle w:val="224"/>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14:paraId="2A697057">
                      <w:pPr>
                        <w:pStyle w:val="224"/>
                        <w:spacing w:line="360" w:lineRule="auto"/>
                        <w:ind w:left="0" w:leftChars="0" w:firstLine="562" w:firstLineChars="200"/>
                        <w:jc w:val="left"/>
                      </w:pPr>
                      <w:r>
                        <w:rPr>
                          <w:rFonts w:hint="eastAsia" w:ascii="仿宋_GB2312" w:hAnsi="仿宋_GB2312" w:eastAsia="仿宋_GB2312" w:cs="仿宋_GB2312"/>
                          <w:b/>
                          <w:bCs/>
                          <w:sz w:val="28"/>
                          <w:szCs w:val="28"/>
                          <w:u w:val="single"/>
                          <w:lang w:val="en" w:eastAsia="zh-CN"/>
                        </w:rPr>
                        <w:t>河南应用技术职业学院三校区2025-2027年物业服务项目</w:t>
                      </w:r>
                      <w:r>
                        <w:rPr>
                          <w:rFonts w:hint="eastAsia" w:ascii="仿宋_GB2312" w:hAnsi="仿宋_GB2312" w:eastAsia="仿宋_GB2312" w:cs="仿宋_GB2312"/>
                          <w:sz w:val="28"/>
                          <w:szCs w:val="28"/>
                        </w:rPr>
                        <w:t>招标项目的潜在投标人应在</w:t>
                      </w:r>
                      <w:r>
                        <w:rPr>
                          <w:rFonts w:hint="eastAsia" w:ascii="仿宋_GB2312" w:hAnsi="仿宋_GB2312" w:eastAsia="仿宋_GB2312" w:cs="仿宋_GB2312"/>
                          <w:b/>
                          <w:bCs/>
                          <w:sz w:val="28"/>
                          <w:szCs w:val="28"/>
                          <w:u w:val="single"/>
                        </w:rPr>
                        <w:t>河南省公共资源交易中</w:t>
                      </w:r>
                      <w:r>
                        <w:rPr>
                          <w:rFonts w:hint="eastAsia" w:ascii="仿宋_GB2312" w:hAnsi="仿宋_GB2312" w:eastAsia="仿宋_GB2312" w:cs="仿宋_GB2312"/>
                          <w:b/>
                          <w:bCs/>
                          <w:sz w:val="28"/>
                          <w:szCs w:val="28"/>
                          <w:u w:val="single"/>
                          <w:lang w:val="en-US" w:eastAsia="zh-CN"/>
                        </w:rPr>
                        <w:t>心网</w:t>
                      </w:r>
                      <w:r>
                        <w:rPr>
                          <w:rFonts w:hint="eastAsia" w:ascii="仿宋_GB2312" w:hAnsi="仿宋_GB2312" w:eastAsia="仿宋_GB2312" w:cs="仿宋_GB2312"/>
                          <w:b/>
                          <w:bCs/>
                          <w:sz w:val="28"/>
                          <w:szCs w:val="28"/>
                          <w:u w:val="single"/>
                        </w:rPr>
                        <w:t>（</w:t>
                      </w:r>
                      <w:r>
                        <w:fldChar w:fldCharType="begin"/>
                      </w:r>
                      <w:r>
                        <w:instrText xml:space="preserve"> HYPERLINK "http://www.hnggzy.net）获取招标文件，并于2024年11月" </w:instrText>
                      </w:r>
                      <w:r>
                        <w:fldChar w:fldCharType="separate"/>
                      </w:r>
                      <w:r>
                        <w:rPr>
                          <w:rStyle w:val="64"/>
                          <w:rFonts w:hint="eastAsia" w:ascii="仿宋_GB2312" w:hAnsi="仿宋_GB2312" w:eastAsia="仿宋_GB2312" w:cs="仿宋_GB2312"/>
                          <w:b/>
                          <w:bCs/>
                          <w:sz w:val="28"/>
                          <w:szCs w:val="28"/>
                          <w:lang w:eastAsia="zh-CN"/>
                        </w:rPr>
                        <w:t>hnsggzyjy.henan.gov.cn</w:t>
                      </w:r>
                      <w:r>
                        <w:rPr>
                          <w:rStyle w:val="64"/>
                          <w:rFonts w:hint="eastAsia" w:ascii="仿宋_GB2312" w:hAnsi="仿宋_GB2312" w:eastAsia="仿宋_GB2312" w:cs="仿宋_GB2312"/>
                          <w:b/>
                          <w:bCs/>
                          <w:sz w:val="28"/>
                          <w:szCs w:val="28"/>
                        </w:rPr>
                        <w:t>）</w:t>
                      </w:r>
                      <w:r>
                        <w:rPr>
                          <w:rStyle w:val="64"/>
                          <w:rFonts w:hint="eastAsia" w:ascii="仿宋_GB2312" w:hAnsi="仿宋_GB2312" w:eastAsia="仿宋_GB2312" w:cs="仿宋_GB2312"/>
                          <w:sz w:val="28"/>
                          <w:szCs w:val="28"/>
                        </w:rPr>
                        <w:t>获取招标文件，并于</w:t>
                      </w:r>
                      <w:r>
                        <w:rPr>
                          <w:rStyle w:val="64"/>
                          <w:rFonts w:ascii="仿宋_GB2312" w:hAnsi="仿宋_GB2312" w:eastAsia="仿宋_GB2312" w:cs="仿宋_GB2312"/>
                          <w:b/>
                          <w:bCs/>
                          <w:sz w:val="28"/>
                          <w:szCs w:val="28"/>
                          <w:lang w:val="en"/>
                        </w:rPr>
                        <w:t>202</w:t>
                      </w:r>
                      <w:r>
                        <w:rPr>
                          <w:rStyle w:val="64"/>
                          <w:rFonts w:hint="eastAsia" w:ascii="仿宋_GB2312" w:hAnsi="仿宋_GB2312" w:eastAsia="仿宋_GB2312" w:cs="仿宋_GB2312"/>
                          <w:b/>
                          <w:bCs/>
                          <w:sz w:val="28"/>
                          <w:szCs w:val="28"/>
                          <w:lang w:val="en-US" w:eastAsia="zh-CN"/>
                        </w:rPr>
                        <w:t>5</w:t>
                      </w:r>
                      <w:r>
                        <w:rPr>
                          <w:rStyle w:val="64"/>
                          <w:rFonts w:ascii="仿宋_GB2312" w:hAnsi="仿宋_GB2312" w:eastAsia="仿宋_GB2312" w:cs="仿宋_GB2312"/>
                          <w:b/>
                          <w:bCs/>
                          <w:sz w:val="28"/>
                          <w:szCs w:val="28"/>
                          <w:lang w:val="en"/>
                        </w:rPr>
                        <w:t>年</w:t>
                      </w:r>
                      <w:r>
                        <w:rPr>
                          <w:rStyle w:val="64"/>
                          <w:rFonts w:hint="eastAsia" w:ascii="仿宋_GB2312" w:hAnsi="仿宋_GB2312" w:eastAsia="仿宋_GB2312" w:cs="仿宋_GB2312"/>
                          <w:b/>
                          <w:bCs/>
                          <w:sz w:val="28"/>
                          <w:szCs w:val="28"/>
                          <w:lang w:val="en-US" w:eastAsia="zh-CN"/>
                        </w:rPr>
                        <w:t>10</w:t>
                      </w:r>
                      <w:r>
                        <w:rPr>
                          <w:rStyle w:val="64"/>
                          <w:rFonts w:ascii="仿宋_GB2312" w:hAnsi="仿宋_GB2312" w:eastAsia="仿宋_GB2312" w:cs="仿宋_GB2312"/>
                          <w:b/>
                          <w:bCs/>
                          <w:sz w:val="28"/>
                          <w:szCs w:val="28"/>
                          <w:lang w:val="en"/>
                        </w:rPr>
                        <w:t>月</w:t>
                      </w:r>
                      <w:r>
                        <w:rPr>
                          <w:rStyle w:val="64"/>
                          <w:rFonts w:ascii="仿宋_GB2312" w:hAnsi="仿宋_GB2312" w:eastAsia="仿宋_GB2312" w:cs="仿宋_GB2312"/>
                          <w:b/>
                          <w:bCs/>
                          <w:sz w:val="28"/>
                          <w:szCs w:val="28"/>
                          <w:lang w:val="en"/>
                        </w:rPr>
                        <w:fldChar w:fldCharType="end"/>
                      </w:r>
                      <w:r>
                        <w:rPr>
                          <w:rFonts w:hint="eastAsia" w:ascii="仿宋_GB2312" w:hAnsi="仿宋_GB2312" w:eastAsia="仿宋_GB2312" w:cs="仿宋_GB2312"/>
                          <w:b/>
                          <w:bCs/>
                          <w:sz w:val="28"/>
                          <w:szCs w:val="28"/>
                          <w:u w:val="single"/>
                          <w:lang w:val="en-US" w:eastAsia="zh-CN"/>
                        </w:rPr>
                        <w:t>16</w:t>
                      </w:r>
                      <w:r>
                        <w:rPr>
                          <w:rFonts w:hint="eastAsia" w:ascii="仿宋_GB2312" w:hAnsi="仿宋_GB2312" w:eastAsia="仿宋_GB2312" w:cs="仿宋_GB2312"/>
                          <w:b/>
                          <w:bCs/>
                          <w:sz w:val="28"/>
                          <w:szCs w:val="28"/>
                          <w:u w:val="single"/>
                        </w:rPr>
                        <w:t>日09时00分（北京时间）</w:t>
                      </w:r>
                      <w:r>
                        <w:rPr>
                          <w:rFonts w:hint="eastAsia" w:ascii="仿宋_GB2312" w:hAnsi="仿宋_GB2312" w:eastAsia="仿宋_GB2312" w:cs="仿宋_GB2312"/>
                          <w:sz w:val="28"/>
                          <w:szCs w:val="28"/>
                        </w:rPr>
                        <w:t>前递交投标文件。</w:t>
                      </w:r>
                    </w:p>
                  </w:txbxContent>
                </v:textbox>
                <w10:wrap type="topAndBottom"/>
              </v:shape>
            </w:pict>
          </mc:Fallback>
        </mc:AlternateContent>
      </w:r>
    </w:p>
    <w:p w14:paraId="00A47C2D">
      <w:pPr>
        <w:spacing w:line="500" w:lineRule="exact"/>
        <w:ind w:firstLine="560" w:firstLineChars="200"/>
        <w:jc w:val="left"/>
        <w:rPr>
          <w:rFonts w:hint="default" w:ascii="仿宋" w:hAnsi="仿宋" w:eastAsia="仿宋" w:cs="仿宋"/>
          <w:color w:val="auto"/>
          <w:sz w:val="28"/>
          <w:szCs w:val="28"/>
          <w:lang w:eastAsia="zh-CN"/>
        </w:rPr>
      </w:pPr>
      <w:bookmarkStart w:id="22" w:name="_Toc2031125453_WPSOffice_Level2"/>
      <w:bookmarkStart w:id="23" w:name="_Toc1456310841_WPSOffice_Level2"/>
      <w:bookmarkStart w:id="24" w:name="_Toc1853601844_WPSOffice_Level2"/>
      <w:bookmarkStart w:id="25" w:name="_Toc1811351892_WPSOffice_Level2"/>
      <w:bookmarkStart w:id="26" w:name="_Toc1649568961_WPSOffice_Level2"/>
      <w:r>
        <w:rPr>
          <w:rFonts w:ascii="仿宋" w:hAnsi="仿宋" w:eastAsia="仿宋" w:cs="仿宋"/>
          <w:color w:val="auto"/>
          <w:sz w:val="28"/>
          <w:szCs w:val="28"/>
          <w:lang w:eastAsia="zh-CN"/>
        </w:rPr>
        <w:t>一、项目基本情况</w:t>
      </w:r>
      <w:bookmarkEnd w:id="22"/>
      <w:bookmarkEnd w:id="23"/>
      <w:bookmarkEnd w:id="24"/>
      <w:bookmarkEnd w:id="25"/>
      <w:bookmarkEnd w:id="26"/>
    </w:p>
    <w:p w14:paraId="3E85B403">
      <w:pPr>
        <w:spacing w:line="500" w:lineRule="exact"/>
        <w:ind w:firstLine="560" w:firstLineChars="200"/>
        <w:jc w:val="left"/>
        <w:rPr>
          <w:rFonts w:hint="default" w:ascii="仿宋" w:hAnsi="仿宋" w:eastAsia="仿宋" w:cs="仿宋"/>
          <w:color w:val="auto"/>
          <w:sz w:val="28"/>
          <w:szCs w:val="28"/>
          <w:lang w:val="en" w:eastAsia="zh-CN"/>
        </w:rPr>
      </w:pPr>
      <w:bookmarkStart w:id="27" w:name="_Toc632830029_WPSOffice_Level3"/>
      <w:bookmarkStart w:id="28" w:name="_Toc712505010_WPSOffice_Level3"/>
      <w:bookmarkStart w:id="29" w:name="_Toc120342159_WPSOffice_Level3"/>
      <w:r>
        <w:rPr>
          <w:rFonts w:ascii="仿宋" w:hAnsi="仿宋" w:eastAsia="仿宋" w:cs="仿宋"/>
          <w:color w:val="auto"/>
          <w:sz w:val="28"/>
          <w:szCs w:val="28"/>
          <w:lang w:eastAsia="zh-CN"/>
        </w:rPr>
        <w:t>1</w:t>
      </w:r>
      <w:r>
        <w:rPr>
          <w:rFonts w:ascii="仿宋" w:hAnsi="仿宋" w:eastAsia="仿宋" w:cs="仿宋"/>
          <w:color w:val="auto"/>
          <w:sz w:val="28"/>
          <w:szCs w:val="28"/>
          <w:lang w:val="en-US" w:eastAsia="zh-CN"/>
        </w:rPr>
        <w:t>、</w:t>
      </w:r>
      <w:r>
        <w:rPr>
          <w:rFonts w:ascii="仿宋" w:hAnsi="仿宋" w:eastAsia="仿宋" w:cs="仿宋"/>
          <w:color w:val="auto"/>
          <w:sz w:val="28"/>
          <w:szCs w:val="28"/>
          <w:lang w:eastAsia="zh-CN"/>
        </w:rPr>
        <w:t>项目编号：</w:t>
      </w:r>
      <w:bookmarkEnd w:id="27"/>
      <w:bookmarkEnd w:id="28"/>
      <w:bookmarkEnd w:id="29"/>
      <w:r>
        <w:rPr>
          <w:rFonts w:hint="eastAsia" w:ascii="仿宋" w:hAnsi="仿宋" w:eastAsia="仿宋" w:cs="仿宋"/>
          <w:color w:val="auto"/>
          <w:sz w:val="28"/>
          <w:szCs w:val="28"/>
          <w:lang w:val="en" w:eastAsia="zh-CN"/>
        </w:rPr>
        <w:t>豫财招标采购-2025-1091</w:t>
      </w:r>
      <w:r>
        <w:rPr>
          <w:rFonts w:hint="default" w:ascii="仿宋" w:hAnsi="仿宋" w:eastAsia="仿宋" w:cs="仿宋"/>
          <w:color w:val="auto"/>
          <w:sz w:val="28"/>
          <w:szCs w:val="28"/>
          <w:lang w:val="en" w:eastAsia="zh-CN"/>
        </w:rPr>
        <w:t xml:space="preserve"> </w:t>
      </w:r>
    </w:p>
    <w:p w14:paraId="19AEFDAB">
      <w:pPr>
        <w:spacing w:line="500" w:lineRule="exact"/>
        <w:ind w:firstLine="560" w:firstLineChars="200"/>
        <w:jc w:val="left"/>
        <w:rPr>
          <w:rFonts w:hint="default" w:ascii="仿宋" w:hAnsi="仿宋" w:eastAsia="仿宋" w:cs="仿宋"/>
          <w:color w:val="auto"/>
          <w:sz w:val="28"/>
          <w:szCs w:val="28"/>
          <w:lang w:val="en-US" w:eastAsia="zh-CN"/>
        </w:rPr>
      </w:pPr>
      <w:bookmarkStart w:id="30" w:name="_Toc1019416_WPSOffice_Level3"/>
      <w:bookmarkStart w:id="31" w:name="_Toc2136105441_WPSOffice_Level3"/>
      <w:bookmarkStart w:id="32" w:name="_Toc1461506997_WPSOffice_Level3"/>
      <w:r>
        <w:rPr>
          <w:rFonts w:ascii="仿宋" w:hAnsi="仿宋" w:eastAsia="仿宋" w:cs="仿宋"/>
          <w:color w:val="auto"/>
          <w:sz w:val="28"/>
          <w:szCs w:val="28"/>
          <w:lang w:eastAsia="zh-CN"/>
        </w:rPr>
        <w:t>2、项目名称：</w:t>
      </w:r>
      <w:bookmarkEnd w:id="30"/>
      <w:bookmarkEnd w:id="31"/>
      <w:bookmarkEnd w:id="32"/>
      <w:r>
        <w:rPr>
          <w:rFonts w:hint="eastAsia" w:ascii="仿宋" w:hAnsi="仿宋" w:eastAsia="仿宋" w:cs="仿宋"/>
          <w:color w:val="auto"/>
          <w:sz w:val="28"/>
          <w:szCs w:val="28"/>
          <w:lang w:val="en" w:eastAsia="zh-CN"/>
        </w:rPr>
        <w:t>河南应用技术职业学院三校区2025-2027年物业服务项目</w:t>
      </w:r>
      <w:r>
        <w:rPr>
          <w:rFonts w:ascii="仿宋" w:hAnsi="仿宋" w:eastAsia="仿宋" w:cs="仿宋"/>
          <w:color w:val="auto"/>
          <w:sz w:val="28"/>
          <w:szCs w:val="28"/>
          <w:lang w:val="en-US" w:eastAsia="zh-CN"/>
        </w:rPr>
        <w:t xml:space="preserve"> </w:t>
      </w:r>
    </w:p>
    <w:p w14:paraId="5329E38A">
      <w:pPr>
        <w:spacing w:line="500" w:lineRule="exact"/>
        <w:ind w:firstLine="560" w:firstLineChars="200"/>
        <w:jc w:val="left"/>
        <w:rPr>
          <w:rFonts w:hint="default" w:ascii="仿宋" w:hAnsi="仿宋" w:eastAsia="仿宋" w:cs="仿宋"/>
          <w:color w:val="auto"/>
          <w:sz w:val="28"/>
          <w:szCs w:val="28"/>
          <w:lang w:eastAsia="zh-CN"/>
        </w:rPr>
      </w:pPr>
      <w:bookmarkStart w:id="33" w:name="_Toc1350258088_WPSOffice_Level3"/>
      <w:bookmarkStart w:id="34" w:name="_Toc997609044_WPSOffice_Level3"/>
      <w:bookmarkStart w:id="35" w:name="_Toc1331877378_WPSOffice_Level3"/>
      <w:r>
        <w:rPr>
          <w:rFonts w:ascii="仿宋" w:hAnsi="仿宋" w:eastAsia="仿宋" w:cs="仿宋"/>
          <w:color w:val="auto"/>
          <w:sz w:val="28"/>
          <w:szCs w:val="28"/>
          <w:lang w:eastAsia="zh-CN"/>
        </w:rPr>
        <w:t>3、采购方式：公开招标</w:t>
      </w:r>
      <w:bookmarkEnd w:id="33"/>
      <w:bookmarkEnd w:id="34"/>
      <w:bookmarkEnd w:id="35"/>
    </w:p>
    <w:p w14:paraId="00171157">
      <w:pPr>
        <w:spacing w:line="500" w:lineRule="exact"/>
        <w:ind w:firstLine="560" w:firstLineChars="200"/>
        <w:jc w:val="left"/>
        <w:rPr>
          <w:rFonts w:hint="default" w:ascii="仿宋" w:hAnsi="仿宋" w:eastAsia="仿宋" w:cs="仿宋"/>
          <w:color w:val="auto"/>
          <w:sz w:val="28"/>
          <w:szCs w:val="28"/>
          <w:lang w:eastAsia="zh-CN"/>
        </w:rPr>
      </w:pPr>
      <w:bookmarkStart w:id="36" w:name="_Toc654106674_WPSOffice_Level3"/>
      <w:bookmarkStart w:id="37" w:name="_Toc91128674_WPSOffice_Level3"/>
      <w:bookmarkStart w:id="38" w:name="_Toc2510158_WPSOffice_Level3"/>
      <w:r>
        <w:rPr>
          <w:rFonts w:ascii="仿宋" w:hAnsi="仿宋" w:eastAsia="仿宋" w:cs="仿宋"/>
          <w:color w:val="auto"/>
          <w:sz w:val="28"/>
          <w:szCs w:val="28"/>
          <w:lang w:eastAsia="zh-CN"/>
        </w:rPr>
        <w:t>4、预算金额：</w:t>
      </w:r>
      <w:r>
        <w:rPr>
          <w:rFonts w:hint="eastAsia" w:ascii="仿宋" w:hAnsi="仿宋" w:eastAsia="仿宋" w:cs="仿宋"/>
          <w:color w:val="auto"/>
          <w:sz w:val="28"/>
          <w:szCs w:val="28"/>
          <w:lang w:val="en-US" w:eastAsia="zh-CN"/>
        </w:rPr>
        <w:t>9968486.6</w:t>
      </w:r>
      <w:r>
        <w:rPr>
          <w:rFonts w:ascii="仿宋" w:hAnsi="仿宋" w:eastAsia="仿宋" w:cs="仿宋"/>
          <w:color w:val="auto"/>
          <w:sz w:val="28"/>
          <w:szCs w:val="28"/>
          <w:lang w:eastAsia="zh-CN"/>
        </w:rPr>
        <w:t>元</w:t>
      </w:r>
      <w:bookmarkEnd w:id="36"/>
      <w:bookmarkEnd w:id="37"/>
      <w:bookmarkEnd w:id="38"/>
    </w:p>
    <w:p w14:paraId="385E0394">
      <w:pPr>
        <w:spacing w:line="500" w:lineRule="exact"/>
        <w:ind w:firstLine="977" w:firstLineChars="349"/>
        <w:jc w:val="left"/>
        <w:rPr>
          <w:rFonts w:hint="default" w:ascii="仿宋" w:hAnsi="仿宋" w:eastAsia="仿宋" w:cs="仿宋"/>
          <w:color w:val="auto"/>
          <w:sz w:val="28"/>
          <w:szCs w:val="28"/>
          <w:lang w:eastAsia="zh-CN"/>
        </w:rPr>
      </w:pPr>
      <w:r>
        <w:rPr>
          <w:rFonts w:ascii="仿宋" w:hAnsi="仿宋" w:eastAsia="仿宋" w:cs="仿宋"/>
          <w:color w:val="auto"/>
          <w:sz w:val="28"/>
          <w:szCs w:val="28"/>
          <w:lang w:eastAsia="zh-CN"/>
        </w:rPr>
        <w:t>最高限价：</w:t>
      </w:r>
      <w:r>
        <w:rPr>
          <w:rFonts w:hint="eastAsia" w:ascii="仿宋" w:hAnsi="仿宋" w:eastAsia="仿宋" w:cs="仿宋"/>
          <w:color w:val="auto"/>
          <w:sz w:val="28"/>
          <w:szCs w:val="28"/>
          <w:lang w:val="en-US" w:eastAsia="zh-CN"/>
        </w:rPr>
        <w:t>9968486.6</w:t>
      </w:r>
      <w:r>
        <w:rPr>
          <w:rFonts w:ascii="仿宋" w:hAnsi="仿宋" w:eastAsia="仿宋" w:cs="仿宋"/>
          <w:color w:val="auto"/>
          <w:sz w:val="28"/>
          <w:szCs w:val="28"/>
          <w:lang w:eastAsia="zh-CN"/>
        </w:rPr>
        <w:t>元</w:t>
      </w:r>
    </w:p>
    <w:tbl>
      <w:tblPr>
        <w:tblStyle w:val="53"/>
        <w:tblW w:w="939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569"/>
        <w:gridCol w:w="2195"/>
        <w:gridCol w:w="3487"/>
        <w:gridCol w:w="1500"/>
        <w:gridCol w:w="1640"/>
      </w:tblGrid>
      <w:tr w14:paraId="04332AF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10" w:hRule="atLeast"/>
          <w:jc w:val="center"/>
        </w:trPr>
        <w:tc>
          <w:tcPr>
            <w:tcW w:w="569"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1AA7C591">
            <w:pPr>
              <w:jc w:val="center"/>
              <w:rPr>
                <w:rFonts w:hint="default" w:ascii="仿宋" w:hAnsi="仿宋" w:eastAsia="仿宋" w:cs="仿宋"/>
                <w:color w:val="auto"/>
                <w:kern w:val="0"/>
                <w:sz w:val="28"/>
                <w:szCs w:val="28"/>
              </w:rPr>
            </w:pPr>
            <w:bookmarkStart w:id="39" w:name="_Toc1882423541_WPSOffice_Level3"/>
            <w:bookmarkStart w:id="40" w:name="_Toc1585577024_WPSOffice_Level3"/>
            <w:bookmarkStart w:id="41" w:name="_Toc530655014_WPSOffice_Level3"/>
            <w:r>
              <w:rPr>
                <w:rFonts w:ascii="仿宋" w:hAnsi="仿宋" w:eastAsia="仿宋" w:cs="仿宋"/>
                <w:color w:val="auto"/>
                <w:kern w:val="0"/>
                <w:sz w:val="28"/>
                <w:szCs w:val="28"/>
              </w:rPr>
              <w:t>序号</w:t>
            </w:r>
          </w:p>
        </w:tc>
        <w:tc>
          <w:tcPr>
            <w:tcW w:w="2195"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03322E2F">
            <w:pPr>
              <w:jc w:val="center"/>
              <w:rPr>
                <w:rFonts w:hint="default" w:ascii="仿宋" w:hAnsi="仿宋" w:eastAsia="仿宋" w:cs="仿宋"/>
                <w:color w:val="auto"/>
                <w:kern w:val="0"/>
                <w:sz w:val="28"/>
                <w:szCs w:val="28"/>
                <w:lang w:val="en-US" w:eastAsia="zh-CN"/>
              </w:rPr>
            </w:pPr>
            <w:r>
              <w:rPr>
                <w:rFonts w:ascii="仿宋" w:hAnsi="仿宋" w:eastAsia="仿宋" w:cs="仿宋"/>
                <w:color w:val="auto"/>
                <w:kern w:val="0"/>
                <w:sz w:val="28"/>
                <w:szCs w:val="28"/>
                <w:lang w:val="en-US" w:eastAsia="zh-CN"/>
              </w:rPr>
              <w:t>包号</w:t>
            </w:r>
          </w:p>
        </w:tc>
        <w:tc>
          <w:tcPr>
            <w:tcW w:w="3487"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0B37FFAD">
            <w:pPr>
              <w:jc w:val="center"/>
              <w:rPr>
                <w:rFonts w:hint="default" w:ascii="仿宋" w:hAnsi="仿宋" w:eastAsia="仿宋" w:cs="仿宋"/>
                <w:color w:val="auto"/>
                <w:kern w:val="0"/>
                <w:sz w:val="28"/>
                <w:szCs w:val="28"/>
              </w:rPr>
            </w:pPr>
            <w:r>
              <w:rPr>
                <w:rFonts w:ascii="仿宋" w:hAnsi="仿宋" w:eastAsia="仿宋" w:cs="仿宋"/>
                <w:color w:val="auto"/>
                <w:kern w:val="0"/>
                <w:sz w:val="28"/>
                <w:szCs w:val="28"/>
              </w:rPr>
              <w:t>包名称</w:t>
            </w:r>
          </w:p>
        </w:tc>
        <w:tc>
          <w:tcPr>
            <w:tcW w:w="150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338C372B">
            <w:pPr>
              <w:jc w:val="center"/>
              <w:rPr>
                <w:rFonts w:hint="default" w:ascii="仿宋" w:hAnsi="仿宋" w:eastAsia="仿宋" w:cs="仿宋"/>
                <w:color w:val="auto"/>
                <w:kern w:val="0"/>
                <w:sz w:val="28"/>
                <w:szCs w:val="28"/>
              </w:rPr>
            </w:pPr>
            <w:r>
              <w:rPr>
                <w:rFonts w:ascii="仿宋" w:hAnsi="仿宋" w:eastAsia="仿宋" w:cs="仿宋"/>
                <w:color w:val="auto"/>
                <w:kern w:val="0"/>
                <w:sz w:val="28"/>
                <w:szCs w:val="28"/>
              </w:rPr>
              <w:t>包预算（元）</w:t>
            </w:r>
          </w:p>
        </w:tc>
        <w:tc>
          <w:tcPr>
            <w:tcW w:w="164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607725C7">
            <w:pPr>
              <w:jc w:val="center"/>
              <w:rPr>
                <w:rFonts w:hint="default" w:ascii="仿宋" w:hAnsi="仿宋" w:eastAsia="仿宋" w:cs="仿宋"/>
                <w:color w:val="auto"/>
                <w:kern w:val="0"/>
                <w:sz w:val="28"/>
                <w:szCs w:val="28"/>
              </w:rPr>
            </w:pPr>
            <w:r>
              <w:rPr>
                <w:rFonts w:ascii="仿宋" w:hAnsi="仿宋" w:eastAsia="仿宋" w:cs="仿宋"/>
                <w:color w:val="auto"/>
                <w:kern w:val="0"/>
                <w:sz w:val="28"/>
                <w:szCs w:val="28"/>
              </w:rPr>
              <w:t>包最高限价（元）</w:t>
            </w:r>
          </w:p>
        </w:tc>
      </w:tr>
      <w:tr w14:paraId="1D822EE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10" w:hRule="atLeast"/>
          <w:jc w:val="center"/>
        </w:trPr>
        <w:tc>
          <w:tcPr>
            <w:tcW w:w="569"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5DEBB167">
            <w:pPr>
              <w:jc w:val="center"/>
              <w:rPr>
                <w:rFonts w:hint="default" w:ascii="仿宋" w:hAnsi="仿宋" w:eastAsia="仿宋" w:cs="仿宋"/>
                <w:color w:val="auto"/>
                <w:kern w:val="0"/>
                <w:sz w:val="28"/>
                <w:szCs w:val="28"/>
              </w:rPr>
            </w:pPr>
            <w:r>
              <w:rPr>
                <w:rFonts w:ascii="仿宋" w:hAnsi="仿宋" w:eastAsia="仿宋" w:cs="仿宋"/>
                <w:color w:val="auto"/>
                <w:kern w:val="0"/>
                <w:sz w:val="28"/>
                <w:szCs w:val="28"/>
                <w:lang w:val="en-US"/>
              </w:rPr>
              <w:t>1</w:t>
            </w:r>
          </w:p>
        </w:tc>
        <w:tc>
          <w:tcPr>
            <w:tcW w:w="2195"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0920DC0F">
            <w:pPr>
              <w:jc w:val="center"/>
              <w:rPr>
                <w:rFonts w:hint="default" w:ascii="仿宋" w:hAnsi="仿宋" w:eastAsia="仿宋" w:cs="仿宋"/>
                <w:b/>
                <w:bCs/>
                <w:color w:val="auto"/>
                <w:kern w:val="0"/>
                <w:sz w:val="28"/>
                <w:szCs w:val="28"/>
                <w:lang w:val="en-US"/>
              </w:rPr>
            </w:pPr>
            <w:r>
              <w:rPr>
                <w:rFonts w:hint="default" w:ascii="仿宋" w:hAnsi="仿宋" w:eastAsia="仿宋" w:cs="仿宋"/>
                <w:color w:val="auto"/>
                <w:kern w:val="0"/>
                <w:sz w:val="28"/>
                <w:szCs w:val="28"/>
                <w:lang w:val="en-US" w:eastAsia="zh-CN"/>
              </w:rPr>
              <w:t>豫政采(1)20250231-1</w:t>
            </w:r>
          </w:p>
        </w:tc>
        <w:tc>
          <w:tcPr>
            <w:tcW w:w="3487"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208F72DA">
            <w:pPr>
              <w:jc w:val="left"/>
              <w:rPr>
                <w:rFonts w:hint="default" w:ascii="仿宋" w:hAnsi="仿宋" w:eastAsia="仿宋" w:cs="仿宋"/>
                <w:color w:val="auto"/>
                <w:kern w:val="0"/>
                <w:sz w:val="28"/>
                <w:szCs w:val="28"/>
                <w:lang w:val="en-US" w:eastAsia="zh-CN"/>
              </w:rPr>
            </w:pPr>
            <w:bookmarkStart w:id="42" w:name="OLE_LINK1"/>
            <w:r>
              <w:rPr>
                <w:rFonts w:hint="eastAsia" w:ascii="仿宋" w:hAnsi="仿宋" w:eastAsia="仿宋" w:cs="仿宋"/>
                <w:color w:val="auto"/>
                <w:kern w:val="0"/>
                <w:sz w:val="28"/>
                <w:szCs w:val="28"/>
                <w:lang w:val="en" w:eastAsia="zh-CN"/>
              </w:rPr>
              <w:t>河南应用技术职业学院三校区2025-2027年物业服务项目</w:t>
            </w:r>
            <w:r>
              <w:rPr>
                <w:rFonts w:ascii="仿宋" w:hAnsi="仿宋" w:eastAsia="仿宋" w:cs="仿宋"/>
                <w:color w:val="auto"/>
                <w:kern w:val="0"/>
                <w:sz w:val="28"/>
                <w:szCs w:val="28"/>
                <w:lang w:val="en-US" w:eastAsia="zh-CN"/>
              </w:rPr>
              <w:t>包1</w:t>
            </w:r>
            <w:bookmarkEnd w:id="42"/>
          </w:p>
        </w:tc>
        <w:tc>
          <w:tcPr>
            <w:tcW w:w="150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485B8910">
            <w:pPr>
              <w:jc w:val="center"/>
              <w:rPr>
                <w:rFonts w:hint="default" w:ascii="仿宋" w:hAnsi="仿宋" w:eastAsia="仿宋" w:cs="仿宋"/>
                <w:color w:val="auto"/>
                <w:kern w:val="0"/>
                <w:sz w:val="28"/>
                <w:szCs w:val="28"/>
                <w:lang w:val="en-US" w:eastAsia="zh-CN"/>
              </w:rPr>
            </w:pPr>
            <w:r>
              <w:rPr>
                <w:rFonts w:ascii="宋体" w:hAnsi="宋体" w:cs="宋体"/>
                <w:sz w:val="28"/>
                <w:szCs w:val="28"/>
              </w:rPr>
              <w:t>4054526.6</w:t>
            </w:r>
          </w:p>
        </w:tc>
        <w:tc>
          <w:tcPr>
            <w:tcW w:w="164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0810645F">
            <w:pPr>
              <w:jc w:val="center"/>
              <w:rPr>
                <w:rFonts w:hint="default" w:ascii="仿宋" w:hAnsi="仿宋" w:eastAsia="仿宋" w:cs="仿宋"/>
                <w:color w:val="auto"/>
                <w:kern w:val="0"/>
                <w:sz w:val="28"/>
                <w:szCs w:val="28"/>
                <w:lang w:val="en-US" w:eastAsia="zh-CN"/>
              </w:rPr>
            </w:pPr>
            <w:r>
              <w:rPr>
                <w:rFonts w:ascii="宋体" w:hAnsi="宋体" w:cs="宋体"/>
                <w:sz w:val="28"/>
                <w:szCs w:val="28"/>
              </w:rPr>
              <w:t>4054526.6</w:t>
            </w:r>
          </w:p>
        </w:tc>
      </w:tr>
      <w:tr w14:paraId="14AA6CF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10" w:hRule="atLeast"/>
          <w:jc w:val="center"/>
        </w:trPr>
        <w:tc>
          <w:tcPr>
            <w:tcW w:w="569"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4D799D57">
            <w:pPr>
              <w:jc w:val="center"/>
              <w:rPr>
                <w:rFonts w:hint="default" w:ascii="仿宋" w:hAnsi="仿宋" w:eastAsia="仿宋" w:cs="仿宋"/>
                <w:color w:val="auto"/>
                <w:kern w:val="0"/>
                <w:sz w:val="28"/>
                <w:szCs w:val="28"/>
                <w:lang w:val="en-US" w:eastAsia="zh-CN"/>
              </w:rPr>
            </w:pPr>
            <w:r>
              <w:rPr>
                <w:rFonts w:ascii="仿宋" w:hAnsi="仿宋" w:eastAsia="仿宋" w:cs="仿宋"/>
                <w:color w:val="auto"/>
                <w:kern w:val="0"/>
                <w:sz w:val="28"/>
                <w:szCs w:val="28"/>
                <w:lang w:val="en-US" w:eastAsia="zh-CN"/>
              </w:rPr>
              <w:t>2</w:t>
            </w:r>
          </w:p>
        </w:tc>
        <w:tc>
          <w:tcPr>
            <w:tcW w:w="2195"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0F42765E">
            <w:pPr>
              <w:jc w:val="center"/>
              <w:rPr>
                <w:rFonts w:hint="default" w:ascii="仿宋" w:hAnsi="仿宋" w:eastAsia="仿宋" w:cs="仿宋"/>
                <w:color w:val="auto"/>
                <w:kern w:val="0"/>
                <w:sz w:val="28"/>
                <w:szCs w:val="28"/>
                <w:lang w:val="en-US" w:eastAsia="zh-CN"/>
              </w:rPr>
            </w:pPr>
            <w:r>
              <w:rPr>
                <w:rFonts w:hint="default" w:ascii="仿宋" w:hAnsi="仿宋" w:eastAsia="仿宋" w:cs="仿宋"/>
                <w:color w:val="auto"/>
                <w:kern w:val="0"/>
                <w:sz w:val="28"/>
                <w:szCs w:val="28"/>
                <w:lang w:val="en-US" w:eastAsia="zh-CN"/>
              </w:rPr>
              <w:t>豫政采(1)20250231-</w:t>
            </w:r>
            <w:r>
              <w:rPr>
                <w:rFonts w:hint="eastAsia" w:ascii="仿宋" w:hAnsi="仿宋" w:eastAsia="仿宋" w:cs="仿宋"/>
                <w:color w:val="auto"/>
                <w:kern w:val="0"/>
                <w:sz w:val="28"/>
                <w:szCs w:val="28"/>
                <w:lang w:val="en-US" w:eastAsia="zh-CN"/>
              </w:rPr>
              <w:t>2</w:t>
            </w:r>
          </w:p>
        </w:tc>
        <w:tc>
          <w:tcPr>
            <w:tcW w:w="3487"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7DDC6210">
            <w:pPr>
              <w:jc w:val="left"/>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 w:eastAsia="zh-CN"/>
              </w:rPr>
              <w:t>河南应用技术职业学院三校区2025-2027年物业服务项目</w:t>
            </w:r>
            <w:r>
              <w:rPr>
                <w:rFonts w:ascii="仿宋" w:hAnsi="仿宋" w:eastAsia="仿宋" w:cs="仿宋"/>
                <w:color w:val="auto"/>
                <w:kern w:val="0"/>
                <w:sz w:val="28"/>
                <w:szCs w:val="28"/>
                <w:lang w:val="en-US" w:eastAsia="zh-CN"/>
              </w:rPr>
              <w:t>包2</w:t>
            </w:r>
          </w:p>
        </w:tc>
        <w:tc>
          <w:tcPr>
            <w:tcW w:w="150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287267BA">
            <w:pPr>
              <w:jc w:val="center"/>
              <w:rPr>
                <w:rFonts w:hint="default" w:ascii="仿宋" w:hAnsi="仿宋" w:eastAsia="仿宋" w:cs="仿宋"/>
                <w:color w:val="auto"/>
                <w:kern w:val="0"/>
                <w:sz w:val="28"/>
                <w:szCs w:val="28"/>
                <w:lang w:val="en-US" w:eastAsia="zh-CN"/>
              </w:rPr>
            </w:pPr>
            <w:r>
              <w:rPr>
                <w:rFonts w:ascii="宋体" w:hAnsi="宋体" w:cs="宋体"/>
                <w:sz w:val="28"/>
                <w:szCs w:val="28"/>
              </w:rPr>
              <w:t>3962353.2</w:t>
            </w:r>
          </w:p>
        </w:tc>
        <w:tc>
          <w:tcPr>
            <w:tcW w:w="164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22BCE695">
            <w:pPr>
              <w:jc w:val="center"/>
              <w:rPr>
                <w:rFonts w:hint="default" w:ascii="仿宋" w:hAnsi="仿宋" w:eastAsia="仿宋" w:cs="仿宋"/>
                <w:color w:val="auto"/>
                <w:kern w:val="0"/>
                <w:sz w:val="28"/>
                <w:szCs w:val="28"/>
                <w:lang w:val="en-US" w:eastAsia="zh-CN"/>
              </w:rPr>
            </w:pPr>
            <w:r>
              <w:rPr>
                <w:rFonts w:ascii="宋体" w:hAnsi="宋体" w:cs="宋体"/>
                <w:sz w:val="28"/>
                <w:szCs w:val="28"/>
              </w:rPr>
              <w:t>3962353.2</w:t>
            </w:r>
          </w:p>
        </w:tc>
      </w:tr>
      <w:tr w14:paraId="4BBDE47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10" w:hRule="atLeast"/>
          <w:jc w:val="center"/>
        </w:trPr>
        <w:tc>
          <w:tcPr>
            <w:tcW w:w="569"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32FE5C6A">
            <w:pPr>
              <w:jc w:val="center"/>
              <w:rPr>
                <w:rFonts w:hint="default" w:ascii="仿宋" w:hAnsi="仿宋" w:eastAsia="仿宋" w:cs="仿宋"/>
                <w:color w:val="auto"/>
                <w:kern w:val="0"/>
                <w:sz w:val="28"/>
                <w:szCs w:val="28"/>
                <w:lang w:val="en-US" w:eastAsia="zh-CN"/>
              </w:rPr>
            </w:pPr>
            <w:r>
              <w:rPr>
                <w:rFonts w:ascii="仿宋" w:hAnsi="仿宋" w:eastAsia="仿宋" w:cs="仿宋"/>
                <w:color w:val="auto"/>
                <w:kern w:val="0"/>
                <w:sz w:val="28"/>
                <w:szCs w:val="28"/>
                <w:lang w:val="en-US" w:eastAsia="zh-CN"/>
              </w:rPr>
              <w:t>3</w:t>
            </w:r>
          </w:p>
        </w:tc>
        <w:tc>
          <w:tcPr>
            <w:tcW w:w="2195"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602BD10D">
            <w:pPr>
              <w:jc w:val="center"/>
              <w:rPr>
                <w:rFonts w:hint="default" w:ascii="仿宋" w:hAnsi="仿宋" w:eastAsia="仿宋" w:cs="仿宋"/>
                <w:color w:val="auto"/>
                <w:kern w:val="0"/>
                <w:sz w:val="28"/>
                <w:szCs w:val="28"/>
                <w:lang w:val="en-US" w:eastAsia="zh-CN"/>
              </w:rPr>
            </w:pPr>
            <w:r>
              <w:rPr>
                <w:rFonts w:hint="default" w:ascii="仿宋" w:hAnsi="仿宋" w:eastAsia="仿宋" w:cs="仿宋"/>
                <w:color w:val="auto"/>
                <w:kern w:val="0"/>
                <w:sz w:val="28"/>
                <w:szCs w:val="28"/>
                <w:lang w:val="en-US" w:eastAsia="zh-CN"/>
              </w:rPr>
              <w:t>豫政采(1)20250231-</w:t>
            </w:r>
            <w:r>
              <w:rPr>
                <w:rFonts w:hint="eastAsia" w:ascii="仿宋" w:hAnsi="仿宋" w:eastAsia="仿宋" w:cs="仿宋"/>
                <w:color w:val="auto"/>
                <w:kern w:val="0"/>
                <w:sz w:val="28"/>
                <w:szCs w:val="28"/>
                <w:lang w:val="en-US" w:eastAsia="zh-CN"/>
              </w:rPr>
              <w:t>3</w:t>
            </w:r>
          </w:p>
        </w:tc>
        <w:tc>
          <w:tcPr>
            <w:tcW w:w="3487"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274DA1D2">
            <w:pPr>
              <w:jc w:val="left"/>
              <w:rPr>
                <w:rFonts w:hint="default" w:ascii="仿宋" w:hAnsi="仿宋" w:eastAsia="仿宋" w:cs="仿宋"/>
                <w:color w:val="auto"/>
                <w:kern w:val="0"/>
                <w:sz w:val="28"/>
                <w:szCs w:val="28"/>
                <w:lang w:val="en" w:eastAsia="zh-CN"/>
              </w:rPr>
            </w:pPr>
            <w:r>
              <w:rPr>
                <w:rFonts w:hint="eastAsia" w:ascii="仿宋" w:hAnsi="仿宋" w:eastAsia="仿宋" w:cs="仿宋"/>
                <w:color w:val="auto"/>
                <w:kern w:val="0"/>
                <w:sz w:val="28"/>
                <w:szCs w:val="28"/>
                <w:lang w:val="en" w:eastAsia="zh-CN"/>
              </w:rPr>
              <w:t>河南应用技术职业学院三校区2025-2027年物业服务项目</w:t>
            </w:r>
            <w:r>
              <w:rPr>
                <w:rFonts w:ascii="仿宋" w:hAnsi="仿宋" w:eastAsia="仿宋" w:cs="仿宋"/>
                <w:color w:val="auto"/>
                <w:kern w:val="0"/>
                <w:sz w:val="28"/>
                <w:szCs w:val="28"/>
                <w:lang w:val="en-US" w:eastAsia="zh-CN"/>
              </w:rPr>
              <w:t>包3</w:t>
            </w:r>
          </w:p>
        </w:tc>
        <w:tc>
          <w:tcPr>
            <w:tcW w:w="150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675446C0">
            <w:pPr>
              <w:jc w:val="center"/>
              <w:rPr>
                <w:rFonts w:hint="default" w:ascii="仿宋" w:hAnsi="仿宋" w:eastAsia="仿宋" w:cs="仿宋"/>
                <w:color w:val="auto"/>
                <w:kern w:val="0"/>
                <w:sz w:val="28"/>
                <w:szCs w:val="28"/>
                <w:lang w:val="en-US" w:eastAsia="zh-CN"/>
              </w:rPr>
            </w:pPr>
            <w:r>
              <w:rPr>
                <w:rFonts w:hint="default" w:ascii="仿宋" w:hAnsi="仿宋" w:eastAsia="仿宋" w:cs="仿宋"/>
                <w:color w:val="auto"/>
                <w:kern w:val="0"/>
                <w:sz w:val="28"/>
                <w:szCs w:val="28"/>
                <w:lang w:val="en-US" w:eastAsia="zh-CN"/>
              </w:rPr>
              <w:t>1951606.8</w:t>
            </w:r>
          </w:p>
        </w:tc>
        <w:tc>
          <w:tcPr>
            <w:tcW w:w="164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67987CCB">
            <w:pPr>
              <w:jc w:val="center"/>
              <w:rPr>
                <w:rFonts w:hint="default" w:ascii="仿宋" w:hAnsi="仿宋" w:eastAsia="仿宋" w:cs="仿宋"/>
                <w:color w:val="auto"/>
                <w:kern w:val="0"/>
                <w:sz w:val="28"/>
                <w:szCs w:val="28"/>
                <w:lang w:val="en-US" w:eastAsia="zh-CN"/>
              </w:rPr>
            </w:pPr>
            <w:r>
              <w:rPr>
                <w:rFonts w:hint="default" w:ascii="仿宋" w:hAnsi="仿宋" w:eastAsia="仿宋" w:cs="仿宋"/>
                <w:color w:val="auto"/>
                <w:kern w:val="0"/>
                <w:sz w:val="28"/>
                <w:szCs w:val="28"/>
                <w:lang w:val="en-US" w:eastAsia="zh-CN"/>
              </w:rPr>
              <w:t>1951606.8</w:t>
            </w:r>
          </w:p>
        </w:tc>
      </w:tr>
    </w:tbl>
    <w:p w14:paraId="6C8E27B4">
      <w:pPr>
        <w:spacing w:line="500" w:lineRule="exact"/>
        <w:ind w:firstLine="560" w:firstLineChars="200"/>
        <w:jc w:val="lef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5.采购需求（包括但不限于标的的名称、数量、简要技术需求或服务要求等）</w:t>
      </w:r>
      <w:bookmarkEnd w:id="39"/>
      <w:bookmarkEnd w:id="40"/>
      <w:bookmarkEnd w:id="41"/>
    </w:p>
    <w:p w14:paraId="6EBDC323">
      <w:pPr>
        <w:spacing w:line="500" w:lineRule="exact"/>
        <w:ind w:firstLine="560" w:firstLineChars="200"/>
        <w:jc w:val="lef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（1）本项目共分3个包；</w:t>
      </w:r>
    </w:p>
    <w:p w14:paraId="033C3FC0">
      <w:pPr>
        <w:spacing w:line="500" w:lineRule="exact"/>
        <w:ind w:left="559" w:leftChars="266"/>
        <w:jc w:val="left"/>
        <w:rPr>
          <w:rFonts w:ascii="仿宋" w:hAnsi="仿宋" w:eastAsia="仿宋" w:cs="仿宋"/>
          <w:color w:val="auto"/>
          <w:sz w:val="28"/>
          <w:szCs w:val="28"/>
          <w:lang w:val="en-US" w:eastAsia="zh-CN"/>
        </w:rPr>
      </w:pPr>
      <w:r>
        <w:rPr>
          <w:rFonts w:ascii="仿宋" w:hAnsi="仿宋" w:eastAsia="仿宋" w:cs="仿宋"/>
          <w:color w:val="auto"/>
          <w:sz w:val="28"/>
          <w:szCs w:val="28"/>
          <w:lang w:val="en-US" w:eastAsia="zh-CN"/>
        </w:rPr>
        <w:t>（2）采购内容：</w:t>
      </w:r>
    </w:p>
    <w:p w14:paraId="18A06CF1">
      <w:pPr>
        <w:spacing w:line="500" w:lineRule="exact"/>
        <w:ind w:left="559" w:leftChars="266"/>
        <w:jc w:val="left"/>
        <w:rPr>
          <w:rFonts w:hint="default" w:ascii="仿宋" w:hAnsi="仿宋" w:eastAsia="仿宋" w:cs="仿宋"/>
          <w:color w:val="auto"/>
          <w:sz w:val="28"/>
          <w:szCs w:val="28"/>
          <w:highlight w:val="none"/>
          <w:lang w:val="en" w:eastAsia="zh-CN"/>
        </w:rPr>
      </w:pPr>
      <w:r>
        <w:rPr>
          <w:rFonts w:ascii="仿宋" w:hAnsi="仿宋" w:eastAsia="仿宋" w:cs="仿宋"/>
          <w:color w:val="auto"/>
          <w:sz w:val="28"/>
          <w:szCs w:val="28"/>
          <w:highlight w:val="none"/>
          <w:lang w:val="en" w:eastAsia="zh-CN"/>
        </w:rPr>
        <w:t>包1</w:t>
      </w:r>
      <w:r>
        <w:rPr>
          <w:rFonts w:hint="eastAsia" w:ascii="仿宋" w:hAnsi="仿宋" w:eastAsia="仿宋" w:cs="仿宋"/>
          <w:color w:val="auto"/>
          <w:sz w:val="28"/>
          <w:szCs w:val="28"/>
          <w:highlight w:val="none"/>
          <w:lang w:val="en" w:eastAsia="zh-CN"/>
        </w:rPr>
        <w:t>：</w:t>
      </w:r>
      <w:r>
        <w:rPr>
          <w:rFonts w:hint="eastAsia" w:ascii="仿宋" w:hAnsi="仿宋" w:eastAsia="仿宋" w:cs="仿宋"/>
          <w:color w:val="auto"/>
          <w:sz w:val="28"/>
          <w:szCs w:val="28"/>
          <w:highlight w:val="none"/>
          <w:lang w:val="en-US" w:eastAsia="zh-CN"/>
        </w:rPr>
        <w:t>开封校区北院物业服务</w:t>
      </w:r>
      <w:r>
        <w:rPr>
          <w:rFonts w:hint="default" w:ascii="仿宋" w:hAnsi="仿宋" w:eastAsia="仿宋" w:cs="仿宋"/>
          <w:color w:val="auto"/>
          <w:sz w:val="28"/>
          <w:szCs w:val="28"/>
          <w:highlight w:val="none"/>
          <w:lang w:val="en" w:eastAsia="zh-CN"/>
        </w:rPr>
        <w:t>,包含开封校区北院学生宿舍楼</w:t>
      </w:r>
    </w:p>
    <w:p w14:paraId="7775C026">
      <w:pPr>
        <w:spacing w:line="500" w:lineRule="exact"/>
        <w:jc w:val="left"/>
        <w:rPr>
          <w:rFonts w:ascii="仿宋" w:hAnsi="仿宋" w:eastAsia="仿宋" w:cs="仿宋"/>
          <w:color w:val="auto"/>
          <w:sz w:val="28"/>
          <w:szCs w:val="28"/>
          <w:highlight w:val="none"/>
          <w:lang w:val="en" w:eastAsia="zh-CN"/>
        </w:rPr>
      </w:pPr>
      <w:r>
        <w:rPr>
          <w:rFonts w:hint="default" w:ascii="仿宋" w:hAnsi="仿宋" w:eastAsia="仿宋" w:cs="仿宋"/>
          <w:color w:val="auto"/>
          <w:sz w:val="28"/>
          <w:szCs w:val="28"/>
          <w:highlight w:val="none"/>
          <w:lang w:val="en" w:eastAsia="zh-CN"/>
        </w:rPr>
        <w:t>（1-4号）、东西两栋教学楼、综合实训办公楼、</w:t>
      </w:r>
      <w:r>
        <w:rPr>
          <w:rFonts w:hint="eastAsia" w:ascii="仿宋" w:hAnsi="仿宋" w:eastAsia="仿宋" w:cs="仿宋"/>
          <w:color w:val="auto"/>
          <w:sz w:val="28"/>
          <w:szCs w:val="28"/>
          <w:highlight w:val="none"/>
          <w:lang w:val="en" w:eastAsia="zh-CN"/>
        </w:rPr>
        <w:t>餐厅</w:t>
      </w:r>
      <w:r>
        <w:rPr>
          <w:rFonts w:hint="default" w:ascii="仿宋" w:hAnsi="仿宋" w:eastAsia="仿宋" w:cs="仿宋"/>
          <w:color w:val="auto"/>
          <w:sz w:val="28"/>
          <w:szCs w:val="28"/>
          <w:highlight w:val="none"/>
          <w:lang w:val="en" w:eastAsia="zh-CN"/>
        </w:rPr>
        <w:t>四楼卫生间及公共区域、校园室外等公共区域卫生保洁；教师休息室保洁及烧开水工作；校内各楼宇及校园公共区域防疫消杀</w:t>
      </w:r>
      <w:r>
        <w:rPr>
          <w:rFonts w:hint="eastAsia" w:ascii="仿宋" w:hAnsi="仿宋" w:eastAsia="仿宋" w:cs="仿宋"/>
          <w:color w:val="auto"/>
          <w:sz w:val="28"/>
          <w:szCs w:val="28"/>
          <w:highlight w:val="none"/>
          <w:lang w:val="en" w:eastAsia="zh-CN"/>
        </w:rPr>
        <w:t>；开封校区北院3号学生公寓楼100间教师休息客房服务</w:t>
      </w:r>
      <w:r>
        <w:rPr>
          <w:rFonts w:hint="default" w:ascii="仿宋" w:hAnsi="仿宋" w:eastAsia="仿宋" w:cs="仿宋"/>
          <w:color w:val="auto"/>
          <w:sz w:val="28"/>
          <w:szCs w:val="28"/>
          <w:highlight w:val="none"/>
          <w:lang w:val="en" w:eastAsia="zh-CN"/>
        </w:rPr>
        <w:t>等工作。</w:t>
      </w:r>
      <w:r>
        <w:rPr>
          <w:rFonts w:hint="default" w:ascii="仿宋" w:hAnsi="仿宋" w:eastAsia="仿宋" w:cs="仿宋"/>
          <w:color w:val="auto"/>
          <w:sz w:val="28"/>
          <w:szCs w:val="28"/>
          <w:highlight w:val="none"/>
          <w:lang w:val="en-US" w:eastAsia="zh-CN"/>
        </w:rPr>
        <w:t>人员配备不低于</w:t>
      </w:r>
      <w:r>
        <w:rPr>
          <w:rFonts w:hint="eastAsia" w:ascii="仿宋" w:hAnsi="仿宋" w:eastAsia="仿宋" w:cs="仿宋"/>
          <w:color w:val="auto"/>
          <w:sz w:val="28"/>
          <w:szCs w:val="28"/>
          <w:highlight w:val="none"/>
          <w:lang w:val="en-US" w:eastAsia="zh-CN"/>
        </w:rPr>
        <w:t>66</w:t>
      </w:r>
      <w:r>
        <w:rPr>
          <w:rFonts w:hint="default" w:ascii="仿宋" w:hAnsi="仿宋" w:eastAsia="仿宋" w:cs="仿宋"/>
          <w:color w:val="auto"/>
          <w:sz w:val="28"/>
          <w:szCs w:val="28"/>
          <w:highlight w:val="none"/>
          <w:lang w:val="en-US" w:eastAsia="zh-CN"/>
        </w:rPr>
        <w:t>人</w:t>
      </w:r>
      <w:r>
        <w:rPr>
          <w:rFonts w:ascii="仿宋" w:hAnsi="仿宋" w:eastAsia="仿宋" w:cs="仿宋"/>
          <w:color w:val="auto"/>
          <w:sz w:val="28"/>
          <w:szCs w:val="28"/>
          <w:highlight w:val="none"/>
          <w:lang w:val="en" w:eastAsia="zh-CN"/>
        </w:rPr>
        <w:t>；</w:t>
      </w:r>
    </w:p>
    <w:p w14:paraId="2BE232B3">
      <w:pPr>
        <w:spacing w:line="500" w:lineRule="exact"/>
        <w:ind w:left="559" w:leftChars="266"/>
        <w:jc w:val="left"/>
        <w:rPr>
          <w:rFonts w:hint="eastAsia" w:ascii="仿宋" w:hAnsi="仿宋" w:eastAsia="仿宋" w:cs="仿宋"/>
          <w:color w:val="auto"/>
          <w:sz w:val="28"/>
          <w:szCs w:val="28"/>
          <w:highlight w:val="none"/>
          <w:lang w:val="en-US" w:eastAsia="zh-CN"/>
        </w:rPr>
      </w:pPr>
      <w:r>
        <w:rPr>
          <w:rFonts w:ascii="仿宋" w:hAnsi="仿宋" w:eastAsia="仿宋" w:cs="仿宋"/>
          <w:color w:val="auto"/>
          <w:sz w:val="28"/>
          <w:szCs w:val="28"/>
          <w:highlight w:val="none"/>
          <w:lang w:val="en" w:eastAsia="zh-CN"/>
        </w:rPr>
        <w:t>包2</w:t>
      </w:r>
      <w:r>
        <w:rPr>
          <w:rFonts w:hint="eastAsia" w:ascii="仿宋" w:hAnsi="仿宋" w:eastAsia="仿宋" w:cs="仿宋"/>
          <w:color w:val="auto"/>
          <w:sz w:val="28"/>
          <w:szCs w:val="28"/>
          <w:highlight w:val="none"/>
          <w:lang w:val="en" w:eastAsia="zh-CN"/>
        </w:rPr>
        <w:t>：</w:t>
      </w:r>
      <w:r>
        <w:rPr>
          <w:rFonts w:ascii="仿宋" w:hAnsi="仿宋" w:eastAsia="仿宋" w:cs="仿宋"/>
          <w:color w:val="auto"/>
          <w:sz w:val="28"/>
          <w:szCs w:val="28"/>
          <w:highlight w:val="none"/>
          <w:lang w:val="en" w:eastAsia="zh-CN"/>
        </w:rPr>
        <w:t>郑州校区物业服务</w:t>
      </w:r>
      <w:r>
        <w:rPr>
          <w:rFonts w:hint="eastAsia" w:ascii="仿宋" w:hAnsi="仿宋" w:eastAsia="仿宋" w:cs="仿宋"/>
          <w:color w:val="auto"/>
          <w:sz w:val="28"/>
          <w:szCs w:val="28"/>
          <w:highlight w:val="none"/>
          <w:lang w:val="en-US" w:eastAsia="zh-CN"/>
        </w:rPr>
        <w:t>，</w:t>
      </w:r>
      <w:r>
        <w:rPr>
          <w:rFonts w:hint="default" w:ascii="仿宋" w:hAnsi="仿宋" w:eastAsia="仿宋" w:cs="仿宋"/>
          <w:color w:val="auto"/>
          <w:sz w:val="28"/>
          <w:szCs w:val="28"/>
          <w:highlight w:val="none"/>
          <w:lang w:val="en" w:eastAsia="zh-CN"/>
        </w:rPr>
        <w:t>包含</w:t>
      </w:r>
      <w:r>
        <w:rPr>
          <w:rFonts w:hint="eastAsia" w:ascii="仿宋" w:hAnsi="仿宋" w:eastAsia="仿宋" w:cs="仿宋"/>
          <w:color w:val="auto"/>
          <w:sz w:val="28"/>
          <w:szCs w:val="28"/>
          <w:highlight w:val="none"/>
          <w:lang w:val="en-US" w:eastAsia="zh-CN"/>
        </w:rPr>
        <w:t xml:space="preserve"> 郑州校区学生宿舍楼（1-8</w:t>
      </w:r>
    </w:p>
    <w:p w14:paraId="27BD5516">
      <w:pPr>
        <w:spacing w:line="500" w:lineRule="exact"/>
        <w:jc w:val="left"/>
        <w:rPr>
          <w:rFonts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号）、1号教学楼、2号教学楼、3号教学楼、1号实训中心楼、2号实训中心楼、行政办公楼、停车场、校园室外公共区域、南门停车场等校园所属区域，校内各楼宇及校园公共区域防疫消杀等工作。</w:t>
      </w:r>
      <w:r>
        <w:rPr>
          <w:rFonts w:hint="default" w:ascii="仿宋" w:hAnsi="仿宋" w:eastAsia="仿宋" w:cs="仿宋"/>
          <w:color w:val="auto"/>
          <w:sz w:val="28"/>
          <w:szCs w:val="28"/>
          <w:highlight w:val="none"/>
          <w:lang w:val="en-US" w:eastAsia="zh-CN"/>
        </w:rPr>
        <w:t>人员配备不低于</w:t>
      </w:r>
      <w:r>
        <w:rPr>
          <w:rFonts w:hint="eastAsia" w:ascii="仿宋" w:hAnsi="仿宋" w:eastAsia="仿宋" w:cs="仿宋"/>
          <w:color w:val="auto"/>
          <w:sz w:val="28"/>
          <w:szCs w:val="28"/>
          <w:highlight w:val="none"/>
          <w:lang w:val="en-US" w:eastAsia="zh-CN"/>
        </w:rPr>
        <w:t xml:space="preserve"> 67 </w:t>
      </w:r>
      <w:r>
        <w:rPr>
          <w:rFonts w:hint="default" w:ascii="仿宋" w:hAnsi="仿宋" w:eastAsia="仿宋" w:cs="仿宋"/>
          <w:color w:val="auto"/>
          <w:sz w:val="28"/>
          <w:szCs w:val="28"/>
          <w:highlight w:val="none"/>
          <w:lang w:val="en-US" w:eastAsia="zh-CN"/>
        </w:rPr>
        <w:t>人</w:t>
      </w:r>
      <w:r>
        <w:rPr>
          <w:rFonts w:ascii="仿宋" w:hAnsi="仿宋" w:eastAsia="仿宋" w:cs="仿宋"/>
          <w:color w:val="auto"/>
          <w:sz w:val="28"/>
          <w:szCs w:val="28"/>
          <w:highlight w:val="none"/>
          <w:lang w:val="en-US" w:eastAsia="zh-CN"/>
        </w:rPr>
        <w:t>；</w:t>
      </w:r>
    </w:p>
    <w:p w14:paraId="0EA72C24">
      <w:pPr>
        <w:spacing w:line="500" w:lineRule="exact"/>
        <w:ind w:left="559" w:leftChars="266"/>
        <w:jc w:val="left"/>
        <w:rPr>
          <w:rFonts w:hint="default" w:ascii="Times New Roman" w:hAnsi="Times New Roman" w:eastAsia="仿宋_GB2312" w:cs="Times New Roman"/>
          <w:color w:val="auto"/>
          <w:sz w:val="28"/>
          <w:szCs w:val="28"/>
          <w:highlight w:val="none"/>
          <w:lang w:val="en" w:eastAsia="zh-CN"/>
        </w:rPr>
      </w:pPr>
      <w:r>
        <w:rPr>
          <w:rFonts w:ascii="仿宋" w:hAnsi="仿宋" w:eastAsia="仿宋" w:cs="仿宋"/>
          <w:color w:val="auto"/>
          <w:sz w:val="28"/>
          <w:szCs w:val="28"/>
          <w:highlight w:val="none"/>
          <w:lang w:val="en" w:eastAsia="zh-CN"/>
        </w:rPr>
        <w:t>包</w:t>
      </w:r>
      <w:r>
        <w:rPr>
          <w:rFonts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 xml:space="preserve"> 开封校区南院物业服务 ，</w:t>
      </w:r>
      <w:r>
        <w:rPr>
          <w:rFonts w:hint="default" w:ascii="Times New Roman" w:hAnsi="Times New Roman" w:eastAsia="仿宋_GB2312" w:cs="Times New Roman"/>
          <w:color w:val="auto"/>
          <w:sz w:val="28"/>
          <w:szCs w:val="28"/>
          <w:highlight w:val="none"/>
          <w:lang w:val="en" w:eastAsia="zh-CN"/>
        </w:rPr>
        <w:t>包含开封校区南院学生宿舍楼</w:t>
      </w:r>
    </w:p>
    <w:p w14:paraId="43B6F2AC">
      <w:pPr>
        <w:spacing w:line="500" w:lineRule="exact"/>
        <w:jc w:val="left"/>
        <w:rPr>
          <w:rFonts w:hint="default" w:ascii="仿宋" w:hAnsi="仿宋" w:eastAsia="仿宋" w:cs="仿宋"/>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 w:eastAsia="zh-CN"/>
        </w:rPr>
        <w:t>（1-3）号、教学楼、图书馆楼、实训中心楼、汽车实训楼、办公楼、餐厅三楼室内运动场卫生间及公共区域、校园北区空地、校园室外等公共区域卫生保洁；教师休息室保洁及烧开水工作；校内各楼宇及校园公共区域防疫消杀等工作。</w:t>
      </w:r>
      <w:r>
        <w:rPr>
          <w:rFonts w:hint="default" w:ascii="Times New Roman" w:hAnsi="Times New Roman" w:eastAsia="仿宋_GB2312" w:cs="Times New Roman"/>
          <w:color w:val="auto"/>
          <w:sz w:val="28"/>
          <w:szCs w:val="28"/>
          <w:highlight w:val="none"/>
          <w:lang w:val="en-US" w:eastAsia="zh-CN"/>
        </w:rPr>
        <w:t>人员配备不低于</w:t>
      </w:r>
      <w:r>
        <w:rPr>
          <w:rFonts w:hint="eastAsia" w:ascii="Times New Roman" w:hAnsi="Times New Roman" w:eastAsia="仿宋_GB2312" w:cs="Times New Roman"/>
          <w:color w:val="auto"/>
          <w:sz w:val="28"/>
          <w:szCs w:val="28"/>
          <w:highlight w:val="none"/>
          <w:u w:val="none"/>
          <w:lang w:val="en-US" w:eastAsia="zh-CN"/>
        </w:rPr>
        <w:t xml:space="preserve"> 33  </w:t>
      </w:r>
      <w:r>
        <w:rPr>
          <w:rFonts w:hint="default" w:ascii="Times New Roman" w:hAnsi="Times New Roman" w:eastAsia="仿宋_GB2312" w:cs="Times New Roman"/>
          <w:color w:val="auto"/>
          <w:sz w:val="28"/>
          <w:szCs w:val="28"/>
          <w:highlight w:val="none"/>
          <w:lang w:val="en-US" w:eastAsia="zh-CN"/>
        </w:rPr>
        <w:t>人</w:t>
      </w:r>
      <w:r>
        <w:rPr>
          <w:rFonts w:ascii="仿宋" w:hAnsi="仿宋" w:eastAsia="仿宋" w:cs="仿宋"/>
          <w:color w:val="auto"/>
          <w:sz w:val="28"/>
          <w:szCs w:val="28"/>
          <w:highlight w:val="none"/>
          <w:lang w:val="en" w:eastAsia="zh-CN"/>
        </w:rPr>
        <w:t>。</w:t>
      </w:r>
    </w:p>
    <w:p w14:paraId="71E4A5FD">
      <w:pPr>
        <w:spacing w:line="500" w:lineRule="exact"/>
        <w:ind w:left="559" w:leftChars="266"/>
        <w:jc w:val="left"/>
        <w:rPr>
          <w:rFonts w:hint="default" w:ascii="仿宋" w:hAnsi="仿宋" w:eastAsia="仿宋" w:cs="仿宋"/>
          <w:color w:val="auto"/>
          <w:sz w:val="28"/>
          <w:szCs w:val="28"/>
          <w:highlight w:val="none"/>
          <w:lang w:val="en-US" w:eastAsia="zh-CN"/>
        </w:rPr>
      </w:pPr>
      <w:r>
        <w:rPr>
          <w:rFonts w:ascii="仿宋" w:hAnsi="仿宋" w:eastAsia="仿宋" w:cs="仿宋"/>
          <w:color w:val="auto"/>
          <w:sz w:val="28"/>
          <w:szCs w:val="28"/>
          <w:highlight w:val="none"/>
          <w:lang w:val="en-US" w:eastAsia="zh-CN"/>
        </w:rPr>
        <w:t>（3）服务期限：自合同签订之日起</w:t>
      </w:r>
      <w:r>
        <w:rPr>
          <w:rFonts w:hint="eastAsia" w:ascii="仿宋" w:hAnsi="仿宋" w:eastAsia="仿宋" w:cs="仿宋"/>
          <w:color w:val="auto"/>
          <w:sz w:val="28"/>
          <w:szCs w:val="28"/>
          <w:highlight w:val="none"/>
          <w:lang w:val="en-US" w:eastAsia="zh-CN"/>
        </w:rPr>
        <w:t>22</w:t>
      </w:r>
      <w:r>
        <w:rPr>
          <w:rFonts w:ascii="仿宋" w:hAnsi="仿宋" w:eastAsia="仿宋" w:cs="仿宋"/>
          <w:color w:val="auto"/>
          <w:sz w:val="28"/>
          <w:szCs w:val="28"/>
          <w:highlight w:val="none"/>
          <w:lang w:val="en-US" w:eastAsia="zh-CN"/>
        </w:rPr>
        <w:t>个月；</w:t>
      </w:r>
    </w:p>
    <w:p w14:paraId="77FB37A5">
      <w:pPr>
        <w:spacing w:line="500" w:lineRule="exact"/>
        <w:ind w:firstLine="560" w:firstLineChars="200"/>
        <w:jc w:val="left"/>
        <w:rPr>
          <w:rFonts w:ascii="仿宋" w:hAnsi="仿宋" w:eastAsia="仿宋" w:cs="仿宋"/>
          <w:color w:val="auto"/>
          <w:sz w:val="28"/>
          <w:szCs w:val="28"/>
          <w:lang w:val="en-US" w:eastAsia="zh-CN"/>
        </w:rPr>
      </w:pPr>
      <w:r>
        <w:rPr>
          <w:rFonts w:ascii="仿宋" w:hAnsi="仿宋" w:eastAsia="仿宋" w:cs="仿宋"/>
          <w:color w:val="auto"/>
          <w:sz w:val="28"/>
          <w:szCs w:val="28"/>
          <w:lang w:val="en-US" w:eastAsia="zh-CN"/>
        </w:rPr>
        <w:t>（4）服务地点：</w:t>
      </w:r>
    </w:p>
    <w:p w14:paraId="48015D21">
      <w:pPr>
        <w:spacing w:line="500" w:lineRule="exact"/>
        <w:ind w:firstLine="560" w:firstLineChars="200"/>
        <w:jc w:val="left"/>
        <w:rPr>
          <w:rFonts w:ascii="仿宋" w:hAnsi="仿宋" w:eastAsia="仿宋" w:cs="仿宋"/>
          <w:color w:val="auto"/>
          <w:sz w:val="28"/>
          <w:szCs w:val="28"/>
          <w:lang w:val="en-US" w:eastAsia="zh-CN"/>
        </w:rPr>
      </w:pPr>
      <w:r>
        <w:rPr>
          <w:rFonts w:ascii="仿宋" w:hAnsi="仿宋" w:eastAsia="仿宋" w:cs="仿宋"/>
          <w:color w:val="auto"/>
          <w:sz w:val="28"/>
          <w:szCs w:val="28"/>
          <w:lang w:val="en-US" w:eastAsia="zh-CN"/>
        </w:rPr>
        <w:t>包1：</w:t>
      </w:r>
      <w:r>
        <w:rPr>
          <w:rFonts w:ascii="仿宋" w:hAnsi="仿宋" w:eastAsia="仿宋" w:cs="仿宋"/>
          <w:color w:val="auto"/>
          <w:kern w:val="0"/>
          <w:sz w:val="28"/>
          <w:szCs w:val="28"/>
          <w:lang w:val="en" w:eastAsia="zh-CN"/>
        </w:rPr>
        <w:t>河南应用技术职业学院</w:t>
      </w:r>
      <w:bookmarkStart w:id="43" w:name="_Toc1866155745_WPSOffice_Level3"/>
      <w:r>
        <w:rPr>
          <w:rFonts w:ascii="仿宋" w:hAnsi="仿宋" w:eastAsia="仿宋" w:cs="仿宋"/>
          <w:sz w:val="28"/>
          <w:szCs w:val="28"/>
          <w:lang w:val="en-US" w:eastAsia="zh-CN"/>
        </w:rPr>
        <w:t>开封校区北院</w:t>
      </w:r>
      <w:r>
        <w:rPr>
          <w:rFonts w:hint="eastAsia" w:ascii="仿宋" w:hAnsi="仿宋" w:eastAsia="仿宋" w:cs="仿宋"/>
          <w:sz w:val="28"/>
          <w:szCs w:val="28"/>
          <w:lang w:val="en-US" w:eastAsia="zh-CN"/>
        </w:rPr>
        <w:t>（</w:t>
      </w:r>
      <w:r>
        <w:rPr>
          <w:rFonts w:hint="default" w:ascii="Times New Roman" w:hAnsi="Times New Roman" w:eastAsia="仿宋_GB2312" w:cs="Times New Roman"/>
          <w:color w:val="auto"/>
          <w:sz w:val="28"/>
          <w:szCs w:val="28"/>
          <w:highlight w:val="none"/>
          <w:lang w:val="en-US" w:eastAsia="zh-CN"/>
        </w:rPr>
        <w:t>开封市复兴大道110号）</w:t>
      </w:r>
      <w:r>
        <w:rPr>
          <w:rFonts w:ascii="仿宋" w:hAnsi="仿宋" w:eastAsia="仿宋" w:cs="仿宋"/>
          <w:color w:val="auto"/>
          <w:sz w:val="28"/>
          <w:szCs w:val="28"/>
          <w:lang w:val="en-US" w:eastAsia="zh-CN"/>
        </w:rPr>
        <w:t>；</w:t>
      </w:r>
    </w:p>
    <w:p w14:paraId="4AE267B1">
      <w:pPr>
        <w:spacing w:line="500" w:lineRule="exact"/>
        <w:ind w:firstLine="560" w:firstLineChars="200"/>
        <w:jc w:val="left"/>
        <w:rPr>
          <w:rFonts w:ascii="仿宋" w:hAnsi="仿宋" w:eastAsia="仿宋" w:cs="仿宋"/>
          <w:color w:val="auto"/>
          <w:sz w:val="28"/>
          <w:szCs w:val="28"/>
          <w:lang w:val="en-US" w:eastAsia="zh-CN"/>
        </w:rPr>
      </w:pPr>
      <w:r>
        <w:rPr>
          <w:rFonts w:ascii="仿宋" w:hAnsi="仿宋" w:eastAsia="仿宋" w:cs="仿宋"/>
          <w:color w:val="auto"/>
          <w:sz w:val="28"/>
          <w:szCs w:val="28"/>
          <w:lang w:val="en-US" w:eastAsia="zh-CN"/>
        </w:rPr>
        <w:t>包2：</w:t>
      </w:r>
      <w:r>
        <w:rPr>
          <w:rFonts w:ascii="仿宋" w:hAnsi="仿宋" w:eastAsia="仿宋" w:cs="仿宋"/>
          <w:color w:val="auto"/>
          <w:kern w:val="0"/>
          <w:sz w:val="28"/>
          <w:szCs w:val="28"/>
          <w:lang w:val="en" w:eastAsia="zh-CN"/>
        </w:rPr>
        <w:t>河南应用技术职业学院</w:t>
      </w:r>
      <w:r>
        <w:rPr>
          <w:rFonts w:ascii="仿宋" w:hAnsi="仿宋" w:eastAsia="仿宋" w:cs="仿宋"/>
          <w:color w:val="auto"/>
          <w:sz w:val="28"/>
          <w:szCs w:val="28"/>
          <w:lang w:val="en" w:eastAsia="zh-CN"/>
        </w:rPr>
        <w:t>郑州校区</w:t>
      </w:r>
      <w:r>
        <w:rPr>
          <w:rFonts w:hint="default" w:ascii="Times New Roman" w:hAnsi="Times New Roman" w:eastAsia="仿宋_GB2312" w:cs="Times New Roman"/>
          <w:color w:val="auto"/>
          <w:sz w:val="28"/>
          <w:szCs w:val="28"/>
          <w:highlight w:val="none"/>
          <w:lang w:val="en-US" w:eastAsia="zh-CN"/>
        </w:rPr>
        <w:t>（郑州市中原区郑上路548号）</w:t>
      </w:r>
      <w:r>
        <w:rPr>
          <w:rFonts w:ascii="仿宋" w:hAnsi="仿宋" w:eastAsia="仿宋" w:cs="仿宋"/>
          <w:color w:val="auto"/>
          <w:sz w:val="28"/>
          <w:szCs w:val="28"/>
          <w:lang w:val="en-US" w:eastAsia="zh-CN"/>
        </w:rPr>
        <w:t>；</w:t>
      </w:r>
    </w:p>
    <w:p w14:paraId="25899678">
      <w:pPr>
        <w:spacing w:line="500" w:lineRule="exact"/>
        <w:ind w:firstLine="560" w:firstLineChars="200"/>
        <w:jc w:val="lef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包3：</w:t>
      </w:r>
      <w:r>
        <w:rPr>
          <w:rFonts w:ascii="仿宋" w:hAnsi="仿宋" w:eastAsia="仿宋" w:cs="仿宋"/>
          <w:color w:val="auto"/>
          <w:kern w:val="0"/>
          <w:sz w:val="28"/>
          <w:szCs w:val="28"/>
          <w:lang w:val="en" w:eastAsia="zh-CN"/>
        </w:rPr>
        <w:t>河南应用技术职业学院</w:t>
      </w:r>
      <w:r>
        <w:rPr>
          <w:rFonts w:ascii="仿宋" w:hAnsi="仿宋" w:eastAsia="仿宋" w:cs="仿宋"/>
          <w:sz w:val="28"/>
          <w:szCs w:val="28"/>
          <w:lang w:val="en-US" w:eastAsia="zh-CN"/>
        </w:rPr>
        <w:t>开封校区南院</w:t>
      </w:r>
      <w:r>
        <w:rPr>
          <w:rFonts w:hint="eastAsia" w:ascii="仿宋" w:hAnsi="仿宋" w:eastAsia="仿宋" w:cs="仿宋"/>
          <w:sz w:val="28"/>
          <w:szCs w:val="28"/>
          <w:lang w:val="en-US" w:eastAsia="zh-CN"/>
        </w:rPr>
        <w:t>（</w:t>
      </w:r>
      <w:r>
        <w:rPr>
          <w:rFonts w:hint="default" w:ascii="Times New Roman" w:hAnsi="Times New Roman" w:eastAsia="仿宋_GB2312" w:cs="Times New Roman"/>
          <w:color w:val="auto"/>
          <w:sz w:val="28"/>
          <w:szCs w:val="28"/>
          <w:highlight w:val="none"/>
          <w:lang w:val="en-US" w:eastAsia="zh-CN"/>
        </w:rPr>
        <w:t>开封市东京大道与九大街交汇处</w:t>
      </w:r>
      <w:r>
        <w:rPr>
          <w:rFonts w:hint="eastAsia" w:ascii="Times New Roman" w:hAnsi="Times New Roman" w:eastAsia="仿宋_GB2312" w:cs="Times New Roman"/>
          <w:color w:val="auto"/>
          <w:sz w:val="28"/>
          <w:szCs w:val="28"/>
          <w:highlight w:val="none"/>
          <w:lang w:val="en-US" w:eastAsia="zh-CN"/>
        </w:rPr>
        <w:t>）</w:t>
      </w:r>
      <w:r>
        <w:rPr>
          <w:rFonts w:hint="eastAsia" w:ascii="仿宋" w:hAnsi="仿宋" w:eastAsia="仿宋" w:cs="仿宋"/>
          <w:color w:val="auto"/>
          <w:sz w:val="28"/>
          <w:szCs w:val="28"/>
          <w:lang w:val="en-US" w:eastAsia="zh-CN"/>
        </w:rPr>
        <w:t>。</w:t>
      </w:r>
    </w:p>
    <w:p w14:paraId="6AF5C63A">
      <w:pPr>
        <w:spacing w:line="500" w:lineRule="exact"/>
        <w:ind w:firstLine="560" w:firstLineChars="200"/>
        <w:jc w:val="lef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（5）服务质量：满足采购人需求</w:t>
      </w:r>
      <w:bookmarkStart w:id="44" w:name="_Toc1031072132_WPSOffice_Level3"/>
    </w:p>
    <w:p w14:paraId="2AED72DB">
      <w:pPr>
        <w:spacing w:line="500" w:lineRule="exact"/>
        <w:ind w:firstLine="560" w:firstLineChars="200"/>
        <w:jc w:val="left"/>
        <w:rPr>
          <w:rFonts w:hint="default" w:ascii="仿宋" w:hAnsi="仿宋" w:eastAsia="仿宋" w:cs="仿宋"/>
          <w:color w:val="auto"/>
          <w:sz w:val="28"/>
          <w:szCs w:val="28"/>
          <w:lang w:val="en-US" w:eastAsia="zh-CN"/>
        </w:rPr>
      </w:pPr>
      <w:bookmarkStart w:id="45" w:name="_Toc1826742135_WPSOffice_Level3"/>
      <w:r>
        <w:rPr>
          <w:rFonts w:ascii="仿宋" w:hAnsi="仿宋" w:eastAsia="仿宋" w:cs="仿宋"/>
          <w:color w:val="auto"/>
          <w:sz w:val="28"/>
          <w:szCs w:val="28"/>
          <w:lang w:val="en-US" w:eastAsia="zh-CN"/>
        </w:rPr>
        <w:t>6.合同履行期限：</w:t>
      </w:r>
      <w:bookmarkEnd w:id="43"/>
      <w:bookmarkEnd w:id="44"/>
      <w:bookmarkEnd w:id="45"/>
      <w:r>
        <w:rPr>
          <w:rFonts w:ascii="仿宋" w:hAnsi="仿宋" w:eastAsia="仿宋" w:cs="仿宋"/>
          <w:color w:val="auto"/>
          <w:sz w:val="28"/>
          <w:szCs w:val="28"/>
          <w:lang w:val="en-US" w:eastAsia="zh-CN"/>
        </w:rPr>
        <w:t>同服务期限</w:t>
      </w:r>
    </w:p>
    <w:p w14:paraId="155B9BE4">
      <w:pPr>
        <w:spacing w:line="500" w:lineRule="exact"/>
        <w:ind w:firstLine="560" w:firstLineChars="200"/>
        <w:jc w:val="left"/>
        <w:rPr>
          <w:rFonts w:hint="default" w:ascii="仿宋" w:hAnsi="仿宋" w:eastAsia="仿宋" w:cs="仿宋"/>
          <w:color w:val="auto"/>
          <w:sz w:val="28"/>
          <w:szCs w:val="28"/>
          <w:lang w:val="en-US" w:eastAsia="zh-CN"/>
        </w:rPr>
      </w:pPr>
      <w:bookmarkStart w:id="46" w:name="_Toc634119560_WPSOffice_Level3"/>
      <w:bookmarkStart w:id="47" w:name="_Toc804008546_WPSOffice_Level3"/>
      <w:bookmarkStart w:id="48" w:name="_Toc1547155158_WPSOffice_Level3"/>
      <w:r>
        <w:rPr>
          <w:rFonts w:ascii="仿宋" w:hAnsi="仿宋" w:eastAsia="仿宋" w:cs="仿宋"/>
          <w:color w:val="auto"/>
          <w:sz w:val="28"/>
          <w:szCs w:val="28"/>
          <w:lang w:val="en-US" w:eastAsia="zh-CN"/>
        </w:rPr>
        <w:t>7.本项目是否接受联合体投标：否</w:t>
      </w:r>
      <w:bookmarkEnd w:id="46"/>
      <w:bookmarkEnd w:id="47"/>
      <w:bookmarkEnd w:id="48"/>
    </w:p>
    <w:p w14:paraId="1C565A72">
      <w:pPr>
        <w:spacing w:line="500" w:lineRule="exact"/>
        <w:ind w:firstLine="560" w:firstLineChars="200"/>
        <w:jc w:val="left"/>
        <w:rPr>
          <w:rFonts w:hint="default" w:ascii="仿宋" w:hAnsi="仿宋" w:eastAsia="仿宋" w:cs="仿宋"/>
          <w:color w:val="auto"/>
          <w:sz w:val="28"/>
          <w:szCs w:val="28"/>
          <w:lang w:val="en-US" w:eastAsia="zh-CN"/>
        </w:rPr>
      </w:pPr>
      <w:bookmarkStart w:id="49" w:name="_Toc1075148766_WPSOffice_Level3"/>
      <w:bookmarkStart w:id="50" w:name="_Toc1454916570_WPSOffice_Level3"/>
      <w:bookmarkStart w:id="51" w:name="_Toc1394357842_WPSOffice_Level3"/>
      <w:r>
        <w:rPr>
          <w:rFonts w:ascii="仿宋" w:hAnsi="仿宋" w:eastAsia="仿宋" w:cs="仿宋"/>
          <w:color w:val="auto"/>
          <w:sz w:val="28"/>
          <w:szCs w:val="28"/>
          <w:lang w:val="en-US" w:eastAsia="zh-CN"/>
        </w:rPr>
        <w:t>8.是否允许采购进口产品：否</w:t>
      </w:r>
      <w:bookmarkEnd w:id="49"/>
      <w:bookmarkEnd w:id="50"/>
      <w:bookmarkEnd w:id="51"/>
    </w:p>
    <w:p w14:paraId="6CB4A211">
      <w:pPr>
        <w:spacing w:line="500" w:lineRule="exact"/>
        <w:ind w:firstLine="560" w:firstLineChars="200"/>
        <w:jc w:val="lef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9</w:t>
      </w:r>
      <w:r>
        <w:rPr>
          <w:rFonts w:ascii="仿宋" w:hAnsi="仿宋" w:eastAsia="仿宋" w:cs="仿宋"/>
          <w:color w:val="auto"/>
          <w:sz w:val="28"/>
          <w:szCs w:val="28"/>
          <w:lang w:eastAsia="zh-CN"/>
        </w:rPr>
        <w:t>.</w:t>
      </w:r>
      <w:r>
        <w:rPr>
          <w:rFonts w:ascii="仿宋" w:hAnsi="仿宋" w:eastAsia="仿宋" w:cs="仿宋"/>
          <w:color w:val="auto"/>
          <w:sz w:val="28"/>
          <w:szCs w:val="28"/>
          <w:lang w:val="en-US" w:eastAsia="zh-CN"/>
        </w:rPr>
        <w:t>是否专门面向中小企业：否</w:t>
      </w:r>
    </w:p>
    <w:p w14:paraId="05565BC5">
      <w:pPr>
        <w:spacing w:line="500" w:lineRule="exact"/>
        <w:ind w:firstLine="560" w:firstLineChars="200"/>
        <w:jc w:val="left"/>
        <w:rPr>
          <w:rFonts w:hint="default" w:ascii="仿宋" w:hAnsi="仿宋" w:eastAsia="仿宋" w:cs="仿宋"/>
          <w:color w:val="auto"/>
          <w:sz w:val="28"/>
          <w:szCs w:val="28"/>
          <w:lang w:val="en-US" w:eastAsia="zh-CN"/>
        </w:rPr>
      </w:pPr>
      <w:bookmarkStart w:id="52" w:name="_Toc2026118901_WPSOffice_Level2"/>
      <w:bookmarkStart w:id="53" w:name="_Toc584363550_WPSOffice_Level2"/>
      <w:bookmarkStart w:id="54" w:name="_Toc1298400066_WPSOffice_Level2"/>
      <w:bookmarkStart w:id="55" w:name="_Toc407944620_WPSOffice_Level2"/>
      <w:bookmarkStart w:id="56" w:name="_Toc1990946225_WPSOffice_Level2"/>
      <w:r>
        <w:rPr>
          <w:rFonts w:ascii="仿宋" w:hAnsi="仿宋" w:eastAsia="仿宋" w:cs="仿宋"/>
          <w:color w:val="auto"/>
          <w:sz w:val="28"/>
          <w:szCs w:val="28"/>
          <w:lang w:val="en-US" w:eastAsia="zh-CN"/>
        </w:rPr>
        <w:t>二、申请人资格要求</w:t>
      </w:r>
      <w:bookmarkEnd w:id="52"/>
      <w:bookmarkEnd w:id="53"/>
      <w:bookmarkEnd w:id="54"/>
      <w:bookmarkEnd w:id="55"/>
      <w:r>
        <w:rPr>
          <w:rFonts w:ascii="仿宋" w:hAnsi="仿宋" w:eastAsia="仿宋" w:cs="仿宋"/>
          <w:color w:val="auto"/>
          <w:sz w:val="28"/>
          <w:szCs w:val="28"/>
          <w:lang w:val="en-US" w:eastAsia="zh-CN"/>
        </w:rPr>
        <w:t>：</w:t>
      </w:r>
      <w:bookmarkEnd w:id="56"/>
    </w:p>
    <w:p w14:paraId="7C17A86C">
      <w:pPr>
        <w:spacing w:line="500" w:lineRule="exact"/>
        <w:ind w:firstLine="560" w:firstLineChars="200"/>
        <w:jc w:val="left"/>
        <w:rPr>
          <w:rFonts w:hint="default" w:ascii="仿宋" w:hAnsi="仿宋" w:eastAsia="仿宋" w:cs="仿宋"/>
          <w:color w:val="auto"/>
          <w:sz w:val="28"/>
          <w:szCs w:val="28"/>
          <w:lang w:val="en-US" w:eastAsia="zh-CN"/>
        </w:rPr>
      </w:pPr>
      <w:bookmarkStart w:id="57" w:name="_Toc288167634_WPSOffice_Level3"/>
      <w:bookmarkStart w:id="58" w:name="_Toc786047326_WPSOffice_Level3"/>
      <w:bookmarkStart w:id="59" w:name="_Toc795001869_WPSOffice_Level3"/>
      <w:r>
        <w:rPr>
          <w:rFonts w:ascii="仿宋" w:hAnsi="仿宋" w:eastAsia="仿宋" w:cs="仿宋"/>
          <w:color w:val="auto"/>
          <w:sz w:val="28"/>
          <w:szCs w:val="28"/>
          <w:lang w:val="en-US" w:eastAsia="zh-CN"/>
        </w:rPr>
        <w:t>1.满足《中华人民共和国政府采购法》第二十二条规定；</w:t>
      </w:r>
      <w:bookmarkEnd w:id="57"/>
      <w:bookmarkEnd w:id="58"/>
      <w:bookmarkEnd w:id="59"/>
    </w:p>
    <w:p w14:paraId="5497C820">
      <w:pPr>
        <w:spacing w:line="500" w:lineRule="exact"/>
        <w:ind w:firstLine="560" w:firstLineChars="200"/>
        <w:jc w:val="left"/>
        <w:rPr>
          <w:rFonts w:hint="default" w:ascii="仿宋" w:hAnsi="仿宋" w:eastAsia="仿宋" w:cs="仿宋"/>
          <w:color w:val="auto"/>
          <w:sz w:val="28"/>
          <w:szCs w:val="28"/>
          <w:lang w:val="en-US" w:eastAsia="zh-CN"/>
        </w:rPr>
      </w:pPr>
      <w:bookmarkStart w:id="60" w:name="_Toc1004075335_WPSOffice_Level3"/>
      <w:bookmarkStart w:id="61" w:name="_Toc1059537205_WPSOffice_Level3"/>
      <w:bookmarkStart w:id="62" w:name="_Toc282163985_WPSOffice_Level3"/>
      <w:r>
        <w:rPr>
          <w:rFonts w:ascii="仿宋" w:hAnsi="仿宋" w:eastAsia="仿宋" w:cs="仿宋"/>
          <w:color w:val="auto"/>
          <w:sz w:val="28"/>
          <w:szCs w:val="28"/>
          <w:lang w:val="en-US" w:eastAsia="zh-CN"/>
        </w:rPr>
        <w:t>2.</w:t>
      </w:r>
      <w:bookmarkEnd w:id="60"/>
      <w:r>
        <w:rPr>
          <w:rFonts w:ascii="仿宋" w:hAnsi="仿宋" w:eastAsia="仿宋" w:cs="仿宋"/>
          <w:color w:val="auto"/>
          <w:sz w:val="28"/>
          <w:szCs w:val="28"/>
          <w:lang w:val="en-US" w:eastAsia="zh-CN"/>
        </w:rPr>
        <w:t>落实政府采购政策满足的资格要求：</w:t>
      </w:r>
      <w:bookmarkEnd w:id="61"/>
    </w:p>
    <w:bookmarkEnd w:id="62"/>
    <w:p w14:paraId="67246C42">
      <w:pPr>
        <w:spacing w:line="500" w:lineRule="exact"/>
        <w:ind w:firstLine="840" w:firstLineChars="300"/>
        <w:jc w:val="left"/>
        <w:rPr>
          <w:rFonts w:hint="default" w:ascii="仿宋" w:hAnsi="仿宋" w:eastAsia="仿宋" w:cs="仿宋"/>
          <w:color w:val="auto"/>
          <w:sz w:val="28"/>
          <w:szCs w:val="28"/>
          <w:lang w:val="en-US" w:eastAsia="zh-CN"/>
        </w:rPr>
      </w:pPr>
      <w:bookmarkStart w:id="63" w:name="_Toc879078693_WPSOffice_Level3"/>
      <w:r>
        <w:rPr>
          <w:rFonts w:ascii="仿宋" w:hAnsi="仿宋" w:eastAsia="仿宋" w:cs="仿宋"/>
          <w:color w:val="auto"/>
          <w:sz w:val="28"/>
          <w:szCs w:val="28"/>
          <w:lang w:val="en-US" w:eastAsia="zh-CN"/>
        </w:rPr>
        <w:t>无</w:t>
      </w:r>
    </w:p>
    <w:p w14:paraId="723010AB">
      <w:pPr>
        <w:spacing w:line="500" w:lineRule="exact"/>
        <w:ind w:firstLine="560" w:firstLineChars="200"/>
        <w:jc w:val="lef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3.本项目的特定资格要求：</w:t>
      </w:r>
      <w:bookmarkEnd w:id="63"/>
    </w:p>
    <w:p w14:paraId="11F0B49A">
      <w:pPr>
        <w:spacing w:line="500" w:lineRule="exact"/>
        <w:ind w:firstLine="840" w:firstLineChars="300"/>
        <w:jc w:val="lef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无</w:t>
      </w:r>
    </w:p>
    <w:p w14:paraId="73C8C51B">
      <w:pPr>
        <w:spacing w:line="500" w:lineRule="exact"/>
        <w:ind w:firstLine="560" w:firstLineChars="200"/>
        <w:jc w:val="left"/>
        <w:rPr>
          <w:rFonts w:hint="default" w:ascii="仿宋" w:hAnsi="仿宋" w:eastAsia="仿宋" w:cs="仿宋"/>
          <w:color w:val="auto"/>
          <w:sz w:val="28"/>
          <w:szCs w:val="28"/>
          <w:lang w:val="en-US" w:eastAsia="zh-CN"/>
        </w:rPr>
      </w:pPr>
      <w:bookmarkStart w:id="64" w:name="_Toc2045253496_WPSOffice_Level2"/>
      <w:bookmarkStart w:id="65" w:name="_Toc1677814303_WPSOffice_Level2"/>
      <w:bookmarkStart w:id="66" w:name="_Toc295468326_WPSOffice_Level2"/>
      <w:bookmarkStart w:id="67" w:name="_Toc872248170_WPSOffice_Level2"/>
      <w:bookmarkStart w:id="68" w:name="_Toc1144697108_WPSOffice_Level2"/>
      <w:r>
        <w:rPr>
          <w:rFonts w:ascii="仿宋" w:hAnsi="仿宋" w:eastAsia="仿宋" w:cs="仿宋"/>
          <w:color w:val="auto"/>
          <w:sz w:val="28"/>
          <w:szCs w:val="28"/>
          <w:lang w:val="en-US" w:eastAsia="zh-CN"/>
        </w:rPr>
        <w:t>三、获取招标文件</w:t>
      </w:r>
      <w:bookmarkEnd w:id="64"/>
      <w:bookmarkEnd w:id="65"/>
      <w:bookmarkEnd w:id="66"/>
      <w:bookmarkEnd w:id="67"/>
      <w:bookmarkEnd w:id="68"/>
    </w:p>
    <w:p w14:paraId="6D5BFA26">
      <w:pPr>
        <w:spacing w:line="500" w:lineRule="exact"/>
        <w:ind w:firstLine="560" w:firstLineChars="200"/>
        <w:jc w:val="lef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1.时间：</w:t>
      </w:r>
      <w:r>
        <w:rPr>
          <w:rFonts w:hint="eastAsia" w:ascii="仿宋" w:hAnsi="仿宋" w:eastAsia="仿宋" w:cs="仿宋"/>
          <w:color w:val="auto"/>
          <w:sz w:val="28"/>
          <w:szCs w:val="28"/>
          <w:lang w:val="en" w:eastAsia="zh-CN"/>
        </w:rPr>
        <w:t>2025</w:t>
      </w:r>
      <w:r>
        <w:rPr>
          <w:rFonts w:hint="default" w:ascii="仿宋" w:hAnsi="仿宋" w:eastAsia="仿宋" w:cs="仿宋"/>
          <w:color w:val="auto"/>
          <w:sz w:val="28"/>
          <w:szCs w:val="28"/>
          <w:lang w:val="en" w:eastAsia="zh-CN"/>
        </w:rPr>
        <w:t>年</w:t>
      </w:r>
      <w:r>
        <w:rPr>
          <w:rFonts w:ascii="仿宋" w:hAnsi="仿宋" w:eastAsia="仿宋" w:cs="仿宋"/>
          <w:color w:val="auto"/>
          <w:sz w:val="28"/>
          <w:szCs w:val="28"/>
          <w:lang w:val="en-US" w:eastAsia="zh-CN"/>
        </w:rPr>
        <w:t>9</w:t>
      </w:r>
      <w:r>
        <w:rPr>
          <w:rFonts w:hint="default" w:ascii="仿宋" w:hAnsi="仿宋" w:eastAsia="仿宋" w:cs="仿宋"/>
          <w:color w:val="auto"/>
          <w:sz w:val="28"/>
          <w:szCs w:val="28"/>
          <w:lang w:val="en" w:eastAsia="zh-CN"/>
        </w:rPr>
        <w:t>月</w:t>
      </w:r>
      <w:r>
        <w:rPr>
          <w:rFonts w:hint="eastAsia" w:ascii="仿宋" w:hAnsi="仿宋" w:eastAsia="仿宋" w:cs="仿宋"/>
          <w:color w:val="auto"/>
          <w:sz w:val="28"/>
          <w:szCs w:val="28"/>
          <w:lang w:val="en-US" w:eastAsia="zh-CN"/>
        </w:rPr>
        <w:t>22</w:t>
      </w:r>
      <w:r>
        <w:rPr>
          <w:rFonts w:ascii="仿宋" w:hAnsi="仿宋" w:eastAsia="仿宋" w:cs="仿宋"/>
          <w:color w:val="auto"/>
          <w:sz w:val="28"/>
          <w:szCs w:val="28"/>
          <w:lang w:val="en-US" w:eastAsia="zh-CN"/>
        </w:rPr>
        <w:t>日至</w:t>
      </w:r>
      <w:r>
        <w:rPr>
          <w:rFonts w:hint="eastAsia" w:ascii="仿宋" w:hAnsi="仿宋" w:eastAsia="仿宋" w:cs="仿宋"/>
          <w:color w:val="auto"/>
          <w:sz w:val="28"/>
          <w:szCs w:val="28"/>
          <w:lang w:val="en" w:eastAsia="zh-CN"/>
        </w:rPr>
        <w:t>2025</w:t>
      </w:r>
      <w:r>
        <w:rPr>
          <w:rFonts w:hint="default" w:ascii="仿宋" w:hAnsi="仿宋" w:eastAsia="仿宋" w:cs="仿宋"/>
          <w:color w:val="auto"/>
          <w:sz w:val="28"/>
          <w:szCs w:val="28"/>
          <w:lang w:val="en" w:eastAsia="zh-CN"/>
        </w:rPr>
        <w:t>年</w:t>
      </w:r>
      <w:r>
        <w:rPr>
          <w:rFonts w:ascii="仿宋" w:hAnsi="仿宋" w:eastAsia="仿宋" w:cs="仿宋"/>
          <w:color w:val="auto"/>
          <w:sz w:val="28"/>
          <w:szCs w:val="28"/>
          <w:lang w:val="en-US" w:eastAsia="zh-CN"/>
        </w:rPr>
        <w:t>9</w:t>
      </w:r>
      <w:r>
        <w:rPr>
          <w:rFonts w:hint="default" w:ascii="仿宋" w:hAnsi="仿宋" w:eastAsia="仿宋" w:cs="仿宋"/>
          <w:color w:val="auto"/>
          <w:sz w:val="28"/>
          <w:szCs w:val="28"/>
          <w:lang w:val="en" w:eastAsia="zh-CN"/>
        </w:rPr>
        <w:t>月</w:t>
      </w:r>
      <w:r>
        <w:rPr>
          <w:rFonts w:hint="eastAsia" w:ascii="仿宋" w:hAnsi="仿宋" w:eastAsia="仿宋" w:cs="仿宋"/>
          <w:color w:val="auto"/>
          <w:sz w:val="28"/>
          <w:szCs w:val="28"/>
          <w:lang w:val="en-US" w:eastAsia="zh-CN"/>
        </w:rPr>
        <w:t>28</w:t>
      </w:r>
      <w:r>
        <w:rPr>
          <w:rFonts w:ascii="仿宋" w:hAnsi="仿宋" w:eastAsia="仿宋" w:cs="仿宋"/>
          <w:color w:val="auto"/>
          <w:sz w:val="28"/>
          <w:szCs w:val="28"/>
          <w:lang w:val="en-US" w:eastAsia="zh-CN"/>
        </w:rPr>
        <w:t xml:space="preserve">日，每天上午00:00至12:00，下午12:00至23:59（北京时间，法定节假日除外。） </w:t>
      </w:r>
    </w:p>
    <w:p w14:paraId="044E8590">
      <w:pPr>
        <w:spacing w:line="500" w:lineRule="exact"/>
        <w:ind w:firstLine="560" w:firstLineChars="200"/>
        <w:jc w:val="lef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2.地点：河南省公共资源交易中心（</w:t>
      </w:r>
      <w:r>
        <w:rPr>
          <w:rFonts w:hint="eastAsia" w:ascii="仿宋" w:hAnsi="仿宋" w:eastAsia="仿宋" w:cs="仿宋"/>
          <w:color w:val="auto"/>
          <w:sz w:val="28"/>
          <w:szCs w:val="28"/>
          <w:lang w:val="en-US" w:eastAsia="zh-CN"/>
        </w:rPr>
        <w:t>hnsggzyjy.henan.gov.cn</w:t>
      </w:r>
      <w:r>
        <w:rPr>
          <w:rFonts w:ascii="仿宋" w:hAnsi="仿宋" w:eastAsia="仿宋" w:cs="仿宋"/>
          <w:color w:val="auto"/>
          <w:sz w:val="28"/>
          <w:szCs w:val="28"/>
          <w:lang w:val="en-US" w:eastAsia="zh-CN"/>
        </w:rPr>
        <w:t>）</w:t>
      </w:r>
    </w:p>
    <w:p w14:paraId="297A3507">
      <w:pPr>
        <w:spacing w:line="500" w:lineRule="exact"/>
        <w:ind w:firstLine="560" w:firstLineChars="200"/>
        <w:rPr>
          <w:rFonts w:hint="default" w:ascii="仿宋" w:hAnsi="仿宋" w:eastAsia="仿宋" w:cs="仿宋"/>
          <w:sz w:val="28"/>
          <w:szCs w:val="28"/>
          <w:lang w:val="en-US" w:eastAsia="zh-CN"/>
        </w:rPr>
      </w:pPr>
      <w:r>
        <w:rPr>
          <w:rFonts w:ascii="仿宋" w:hAnsi="仿宋" w:eastAsia="仿宋" w:cs="仿宋"/>
          <w:color w:val="auto"/>
          <w:sz w:val="28"/>
          <w:szCs w:val="28"/>
          <w:lang w:val="en-US"/>
        </w:rPr>
        <w:t>3.方式：投标人</w:t>
      </w:r>
      <w:r>
        <w:rPr>
          <w:rFonts w:ascii="仿宋" w:hAnsi="仿宋" w:eastAsia="仿宋" w:cs="仿宋"/>
          <w:sz w:val="28"/>
          <w:szCs w:val="28"/>
        </w:rPr>
        <w:t>使用</w:t>
      </w:r>
      <w:r>
        <w:rPr>
          <w:rFonts w:ascii="仿宋" w:hAnsi="仿宋" w:eastAsia="仿宋" w:cs="仿宋"/>
          <w:sz w:val="28"/>
          <w:szCs w:val="28"/>
          <w:lang w:val="en-US"/>
        </w:rPr>
        <w:t>CA</w:t>
      </w:r>
      <w:r>
        <w:rPr>
          <w:rFonts w:ascii="仿宋" w:hAnsi="仿宋" w:eastAsia="仿宋" w:cs="仿宋"/>
          <w:sz w:val="28"/>
          <w:szCs w:val="28"/>
        </w:rPr>
        <w:t>数字证书登录</w:t>
      </w:r>
      <w:r>
        <w:rPr>
          <w:rFonts w:ascii="仿宋" w:hAnsi="仿宋" w:eastAsia="仿宋" w:cs="仿宋"/>
          <w:sz w:val="28"/>
          <w:szCs w:val="28"/>
          <w:lang w:val="en-US"/>
        </w:rPr>
        <w:t>“</w:t>
      </w:r>
      <w:r>
        <w:rPr>
          <w:rFonts w:ascii="仿宋" w:hAnsi="仿宋" w:eastAsia="仿宋" w:cs="仿宋"/>
          <w:sz w:val="28"/>
          <w:szCs w:val="28"/>
        </w:rPr>
        <w:t>河南省公共资源交易中心</w:t>
      </w:r>
      <w:r>
        <w:rPr>
          <w:rFonts w:ascii="仿宋" w:hAnsi="仿宋" w:eastAsia="仿宋" w:cs="仿宋"/>
          <w:sz w:val="28"/>
          <w:szCs w:val="28"/>
          <w:lang w:val="en-US"/>
        </w:rPr>
        <w:t>（</w:t>
      </w:r>
      <w:r>
        <w:rPr>
          <w:rFonts w:hint="eastAsia" w:ascii="仿宋" w:hAnsi="仿宋" w:eastAsia="仿宋" w:cs="仿宋"/>
          <w:sz w:val="28"/>
          <w:szCs w:val="28"/>
          <w:lang w:val="en-US" w:eastAsia="zh-CN"/>
        </w:rPr>
        <w:t>hnsggzyjy.henan.gov.cn</w:t>
      </w:r>
      <w:r>
        <w:rPr>
          <w:rFonts w:ascii="仿宋" w:hAnsi="仿宋" w:eastAsia="仿宋" w:cs="仿宋"/>
          <w:sz w:val="28"/>
          <w:szCs w:val="28"/>
          <w:lang w:val="en-US"/>
        </w:rPr>
        <w:t>）”，</w:t>
      </w:r>
      <w:r>
        <w:rPr>
          <w:rFonts w:ascii="仿宋" w:hAnsi="仿宋" w:eastAsia="仿宋" w:cs="仿宋"/>
          <w:sz w:val="28"/>
          <w:szCs w:val="28"/>
        </w:rPr>
        <w:t>并按网上提示下载投标项目所含格式</w:t>
      </w:r>
      <w:r>
        <w:rPr>
          <w:rFonts w:ascii="仿宋" w:hAnsi="仿宋" w:eastAsia="仿宋" w:cs="仿宋"/>
          <w:sz w:val="28"/>
          <w:szCs w:val="28"/>
          <w:lang w:val="en-US"/>
        </w:rPr>
        <w:t>(.hnzf)</w:t>
      </w:r>
      <w:r>
        <w:rPr>
          <w:rFonts w:ascii="仿宋" w:hAnsi="仿宋" w:eastAsia="仿宋" w:cs="仿宋"/>
          <w:sz w:val="28"/>
          <w:szCs w:val="28"/>
        </w:rPr>
        <w:t>的招标文件及资料。</w:t>
      </w:r>
      <w:r>
        <w:rPr>
          <w:rFonts w:ascii="仿宋" w:hAnsi="仿宋" w:eastAsia="仿宋" w:cs="仿宋"/>
          <w:sz w:val="28"/>
          <w:szCs w:val="28"/>
          <w:lang w:eastAsia="zh-CN"/>
        </w:rPr>
        <w:t>注册、登录、下载等</w:t>
      </w:r>
      <w:r>
        <w:rPr>
          <w:rFonts w:ascii="仿宋" w:hAnsi="仿宋" w:eastAsia="仿宋" w:cs="仿宋"/>
          <w:sz w:val="28"/>
          <w:szCs w:val="28"/>
          <w:lang w:val="en-US" w:eastAsia="zh-CN"/>
        </w:rPr>
        <w:t>具体事宜请查阅河南省公共资源交易中心网站“公共服务”→“办事指南”。</w:t>
      </w:r>
    </w:p>
    <w:p w14:paraId="2C9653EA">
      <w:pPr>
        <w:spacing w:line="500" w:lineRule="exact"/>
        <w:ind w:firstLine="560" w:firstLineChars="200"/>
        <w:jc w:val="lef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 xml:space="preserve">4.售价：0元 </w:t>
      </w:r>
    </w:p>
    <w:p w14:paraId="6C2C1163">
      <w:pPr>
        <w:spacing w:line="500" w:lineRule="exact"/>
        <w:ind w:firstLine="560" w:firstLineChars="200"/>
        <w:jc w:val="left"/>
        <w:rPr>
          <w:rFonts w:hint="default" w:ascii="仿宋" w:hAnsi="仿宋" w:eastAsia="仿宋" w:cs="仿宋"/>
          <w:color w:val="auto"/>
          <w:sz w:val="28"/>
          <w:szCs w:val="28"/>
          <w:lang w:val="en-US" w:eastAsia="zh-CN"/>
        </w:rPr>
      </w:pPr>
      <w:bookmarkStart w:id="69" w:name="_Toc1432496505_WPSOffice_Level2"/>
      <w:bookmarkStart w:id="70" w:name="_Toc994305580_WPSOffice_Level2"/>
      <w:bookmarkStart w:id="71" w:name="_Toc1740030706_WPSOffice_Level2"/>
      <w:bookmarkStart w:id="72" w:name="_Toc2091398558_WPSOffice_Level2"/>
      <w:bookmarkStart w:id="73" w:name="_Toc1361166934_WPSOffice_Level2"/>
      <w:r>
        <w:rPr>
          <w:rFonts w:ascii="仿宋" w:hAnsi="仿宋" w:eastAsia="仿宋" w:cs="仿宋"/>
          <w:color w:val="auto"/>
          <w:sz w:val="28"/>
          <w:szCs w:val="28"/>
          <w:lang w:val="en-US" w:eastAsia="zh-CN"/>
        </w:rPr>
        <w:t>四、投标截止时间及地点</w:t>
      </w:r>
      <w:bookmarkEnd w:id="69"/>
      <w:bookmarkEnd w:id="70"/>
      <w:bookmarkEnd w:id="71"/>
      <w:bookmarkEnd w:id="72"/>
      <w:bookmarkEnd w:id="73"/>
    </w:p>
    <w:p w14:paraId="5CD0D004">
      <w:pPr>
        <w:spacing w:line="500" w:lineRule="exact"/>
        <w:ind w:firstLine="560" w:firstLineChars="200"/>
        <w:jc w:val="lef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1.时间：</w:t>
      </w:r>
      <w:r>
        <w:rPr>
          <w:rFonts w:hint="eastAsia" w:ascii="仿宋" w:hAnsi="仿宋" w:eastAsia="仿宋" w:cs="仿宋"/>
          <w:color w:val="auto"/>
          <w:sz w:val="28"/>
          <w:szCs w:val="28"/>
          <w:lang w:val="en" w:eastAsia="zh-CN"/>
        </w:rPr>
        <w:t>2025</w:t>
      </w:r>
      <w:r>
        <w:rPr>
          <w:rFonts w:ascii="仿宋" w:hAnsi="仿宋" w:eastAsia="仿宋" w:cs="仿宋"/>
          <w:color w:val="auto"/>
          <w:sz w:val="28"/>
          <w:szCs w:val="28"/>
          <w:lang w:val="en" w:eastAsia="zh-CN"/>
        </w:rPr>
        <w:t>年</w:t>
      </w:r>
      <w:r>
        <w:rPr>
          <w:rFonts w:hint="eastAsia" w:ascii="仿宋" w:hAnsi="仿宋" w:eastAsia="仿宋" w:cs="仿宋"/>
          <w:color w:val="auto"/>
          <w:sz w:val="28"/>
          <w:szCs w:val="28"/>
          <w:lang w:val="en-US" w:eastAsia="zh-CN"/>
        </w:rPr>
        <w:t>10</w:t>
      </w:r>
      <w:r>
        <w:rPr>
          <w:rFonts w:ascii="仿宋" w:hAnsi="仿宋" w:eastAsia="仿宋" w:cs="仿宋"/>
          <w:color w:val="auto"/>
          <w:sz w:val="28"/>
          <w:szCs w:val="28"/>
          <w:lang w:val="en" w:eastAsia="zh-CN"/>
        </w:rPr>
        <w:t>月</w:t>
      </w:r>
      <w:r>
        <w:rPr>
          <w:rFonts w:hint="eastAsia" w:ascii="仿宋" w:hAnsi="仿宋" w:eastAsia="仿宋" w:cs="仿宋"/>
          <w:color w:val="auto"/>
          <w:sz w:val="28"/>
          <w:szCs w:val="28"/>
          <w:lang w:val="en-US" w:eastAsia="zh-CN"/>
        </w:rPr>
        <w:t>16</w:t>
      </w:r>
      <w:r>
        <w:rPr>
          <w:rFonts w:ascii="仿宋" w:hAnsi="仿宋" w:eastAsia="仿宋" w:cs="仿宋"/>
          <w:color w:val="auto"/>
          <w:sz w:val="28"/>
          <w:szCs w:val="28"/>
          <w:lang w:val="en-US" w:eastAsia="zh-CN"/>
        </w:rPr>
        <w:t>日09时00分（北京时间）</w:t>
      </w:r>
    </w:p>
    <w:p w14:paraId="3BE6298F">
      <w:pPr>
        <w:spacing w:line="500" w:lineRule="exact"/>
        <w:ind w:firstLine="560" w:firstLineChars="200"/>
        <w:jc w:val="left"/>
        <w:rPr>
          <w:rFonts w:hint="default" w:ascii="仿宋" w:hAnsi="仿宋" w:eastAsia="仿宋" w:cs="仿宋"/>
          <w:color w:val="auto"/>
          <w:sz w:val="28"/>
          <w:szCs w:val="28"/>
          <w:lang w:val="en-US"/>
        </w:rPr>
      </w:pPr>
      <w:r>
        <w:rPr>
          <w:rFonts w:ascii="仿宋" w:hAnsi="仿宋" w:eastAsia="仿宋" w:cs="仿宋"/>
          <w:color w:val="auto"/>
          <w:sz w:val="28"/>
          <w:szCs w:val="28"/>
          <w:lang w:val="en-US"/>
        </w:rPr>
        <w:t>2.地点：</w:t>
      </w:r>
      <w:r>
        <w:rPr>
          <w:rFonts w:ascii="仿宋" w:hAnsi="仿宋" w:eastAsia="仿宋" w:cs="仿宋"/>
          <w:sz w:val="28"/>
          <w:szCs w:val="28"/>
        </w:rPr>
        <w:t>河南省公共资源交易中心</w:t>
      </w:r>
      <w:r>
        <w:rPr>
          <w:rFonts w:ascii="仿宋" w:hAnsi="仿宋" w:eastAsia="仿宋" w:cs="仿宋"/>
          <w:sz w:val="28"/>
          <w:szCs w:val="28"/>
          <w:lang w:eastAsia="zh-CN"/>
        </w:rPr>
        <w:t>网</w:t>
      </w:r>
      <w:r>
        <w:rPr>
          <w:rFonts w:ascii="仿宋" w:hAnsi="仿宋" w:eastAsia="仿宋" w:cs="仿宋"/>
          <w:sz w:val="28"/>
          <w:szCs w:val="28"/>
          <w:lang w:val="en-US"/>
        </w:rPr>
        <w:t>（</w:t>
      </w:r>
      <w:r>
        <w:rPr>
          <w:rFonts w:hint="eastAsia" w:ascii="仿宋" w:hAnsi="仿宋" w:eastAsia="仿宋" w:cs="仿宋"/>
          <w:sz w:val="28"/>
          <w:szCs w:val="28"/>
          <w:lang w:val="en-US" w:eastAsia="zh-CN"/>
        </w:rPr>
        <w:t>hnsggzyjy.henan.gov.cn</w:t>
      </w:r>
      <w:r>
        <w:rPr>
          <w:rFonts w:ascii="仿宋" w:hAnsi="仿宋" w:eastAsia="仿宋" w:cs="仿宋"/>
          <w:sz w:val="28"/>
          <w:szCs w:val="28"/>
          <w:lang w:val="en-US"/>
        </w:rPr>
        <w:t>）</w:t>
      </w:r>
    </w:p>
    <w:p w14:paraId="7F70A2C6">
      <w:pPr>
        <w:spacing w:line="500" w:lineRule="exact"/>
        <w:ind w:firstLine="560" w:firstLineChars="200"/>
        <w:jc w:val="left"/>
        <w:rPr>
          <w:rFonts w:hint="default" w:ascii="仿宋" w:hAnsi="仿宋" w:eastAsia="仿宋" w:cs="仿宋"/>
          <w:color w:val="auto"/>
          <w:sz w:val="28"/>
          <w:szCs w:val="28"/>
          <w:lang w:val="en-US" w:eastAsia="zh-CN"/>
        </w:rPr>
      </w:pPr>
      <w:bookmarkStart w:id="74" w:name="_Toc1340501896_WPSOffice_Level2"/>
      <w:bookmarkStart w:id="75" w:name="_Toc1501260250_WPSOffice_Level2"/>
      <w:bookmarkStart w:id="76" w:name="_Toc843072336_WPSOffice_Level2"/>
      <w:bookmarkStart w:id="77" w:name="_Toc2015382973_WPSOffice_Level2"/>
      <w:bookmarkStart w:id="78" w:name="_Toc29068487_WPSOffice_Level2"/>
      <w:r>
        <w:rPr>
          <w:rFonts w:ascii="仿宋" w:hAnsi="仿宋" w:eastAsia="仿宋" w:cs="仿宋"/>
          <w:color w:val="auto"/>
          <w:sz w:val="28"/>
          <w:szCs w:val="28"/>
          <w:lang w:val="en-US" w:eastAsia="zh-CN"/>
        </w:rPr>
        <w:t>五、开标时间及地点</w:t>
      </w:r>
      <w:bookmarkEnd w:id="74"/>
      <w:bookmarkEnd w:id="75"/>
      <w:bookmarkEnd w:id="76"/>
      <w:bookmarkEnd w:id="77"/>
      <w:bookmarkEnd w:id="78"/>
    </w:p>
    <w:p w14:paraId="588EE590">
      <w:pPr>
        <w:spacing w:line="500" w:lineRule="exact"/>
        <w:ind w:firstLine="560" w:firstLineChars="200"/>
        <w:jc w:val="lef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1.时间：</w:t>
      </w:r>
      <w:r>
        <w:rPr>
          <w:rFonts w:hint="eastAsia" w:ascii="仿宋" w:hAnsi="仿宋" w:eastAsia="仿宋" w:cs="仿宋"/>
          <w:color w:val="auto"/>
          <w:sz w:val="28"/>
          <w:szCs w:val="28"/>
          <w:lang w:val="en" w:eastAsia="zh-CN"/>
        </w:rPr>
        <w:t>2025</w:t>
      </w:r>
      <w:r>
        <w:rPr>
          <w:rFonts w:ascii="仿宋" w:hAnsi="仿宋" w:eastAsia="仿宋" w:cs="仿宋"/>
          <w:color w:val="auto"/>
          <w:sz w:val="28"/>
          <w:szCs w:val="28"/>
          <w:lang w:val="en" w:eastAsia="zh-CN"/>
        </w:rPr>
        <w:t>年</w:t>
      </w:r>
      <w:r>
        <w:rPr>
          <w:rFonts w:hint="eastAsia" w:ascii="仿宋" w:hAnsi="仿宋" w:eastAsia="仿宋" w:cs="仿宋"/>
          <w:color w:val="auto"/>
          <w:sz w:val="28"/>
          <w:szCs w:val="28"/>
          <w:lang w:val="en-US" w:eastAsia="zh-CN"/>
        </w:rPr>
        <w:t>10</w:t>
      </w:r>
      <w:r>
        <w:rPr>
          <w:rFonts w:ascii="仿宋" w:hAnsi="仿宋" w:eastAsia="仿宋" w:cs="仿宋"/>
          <w:color w:val="auto"/>
          <w:sz w:val="28"/>
          <w:szCs w:val="28"/>
          <w:lang w:val="en" w:eastAsia="zh-CN"/>
        </w:rPr>
        <w:t>月</w:t>
      </w:r>
      <w:r>
        <w:rPr>
          <w:rFonts w:hint="eastAsia" w:ascii="仿宋" w:hAnsi="仿宋" w:eastAsia="仿宋" w:cs="仿宋"/>
          <w:color w:val="auto"/>
          <w:sz w:val="28"/>
          <w:szCs w:val="28"/>
          <w:lang w:val="en-US" w:eastAsia="zh-CN"/>
        </w:rPr>
        <w:t>16</w:t>
      </w:r>
      <w:r>
        <w:rPr>
          <w:rFonts w:ascii="仿宋" w:hAnsi="仿宋" w:eastAsia="仿宋" w:cs="仿宋"/>
          <w:color w:val="auto"/>
          <w:sz w:val="28"/>
          <w:szCs w:val="28"/>
          <w:lang w:val="en-US" w:eastAsia="zh-CN"/>
        </w:rPr>
        <w:t>日09时00分（北京时间）</w:t>
      </w:r>
    </w:p>
    <w:p w14:paraId="5C4E1F21">
      <w:pPr>
        <w:spacing w:line="500" w:lineRule="exact"/>
        <w:ind w:firstLine="560" w:firstLineChars="200"/>
        <w:jc w:val="lef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rPr>
        <w:t>2.地点：</w:t>
      </w:r>
      <w:bookmarkStart w:id="79" w:name="_Toc1101443234_WPSOffice_Level2"/>
      <w:bookmarkStart w:id="80" w:name="_Toc847108981_WPSOffice_Level2"/>
      <w:bookmarkStart w:id="81" w:name="_Toc74330375_WPSOffice_Level2"/>
      <w:r>
        <w:rPr>
          <w:rFonts w:ascii="仿宋" w:hAnsi="仿宋" w:eastAsia="仿宋" w:cs="仿宋"/>
          <w:color w:val="auto"/>
          <w:sz w:val="28"/>
          <w:szCs w:val="28"/>
          <w:lang w:val="en-US" w:eastAsia="zh-CN"/>
        </w:rPr>
        <w:t>河南省公共资源交易中心开标室；“河南省公共资源交易中心”（</w:t>
      </w:r>
      <w:r>
        <w:rPr>
          <w:rFonts w:hint="eastAsia" w:ascii="仿宋" w:hAnsi="仿宋" w:eastAsia="仿宋" w:cs="仿宋"/>
          <w:color w:val="auto"/>
          <w:sz w:val="28"/>
          <w:szCs w:val="28"/>
          <w:lang w:val="en-US" w:eastAsia="zh-CN"/>
        </w:rPr>
        <w:t>hnsggzyjy.henan.gov.cn</w:t>
      </w:r>
      <w:r>
        <w:rPr>
          <w:rFonts w:ascii="仿宋" w:hAnsi="仿宋" w:eastAsia="仿宋" w:cs="仿宋"/>
          <w:color w:val="auto"/>
          <w:sz w:val="28"/>
          <w:szCs w:val="28"/>
          <w:lang w:val="en-US" w:eastAsia="zh-CN"/>
        </w:rPr>
        <w:t>）——不见面开标大厅。</w:t>
      </w:r>
    </w:p>
    <w:p w14:paraId="2CBAD685">
      <w:pPr>
        <w:spacing w:line="500" w:lineRule="exact"/>
        <w:ind w:firstLine="560" w:firstLineChars="200"/>
        <w:jc w:val="left"/>
        <w:rPr>
          <w:rFonts w:hint="default" w:ascii="仿宋" w:hAnsi="仿宋" w:eastAsia="仿宋" w:cs="仿宋"/>
          <w:color w:val="auto"/>
          <w:sz w:val="28"/>
          <w:szCs w:val="28"/>
          <w:lang w:val="en-US" w:eastAsia="zh-CN"/>
        </w:rPr>
      </w:pPr>
      <w:bookmarkStart w:id="82" w:name="_Toc2023413763_WPSOffice_Level2"/>
      <w:bookmarkStart w:id="83" w:name="_Toc1299643612_WPSOffice_Level2"/>
      <w:r>
        <w:rPr>
          <w:rFonts w:ascii="仿宋" w:hAnsi="仿宋" w:eastAsia="仿宋" w:cs="仿宋"/>
          <w:color w:val="auto"/>
          <w:sz w:val="28"/>
          <w:szCs w:val="28"/>
          <w:lang w:val="en-US" w:eastAsia="zh-CN"/>
        </w:rPr>
        <w:t>六、发布公告的媒介及招标公告期限</w:t>
      </w:r>
      <w:bookmarkEnd w:id="79"/>
      <w:bookmarkEnd w:id="80"/>
      <w:bookmarkEnd w:id="81"/>
      <w:bookmarkEnd w:id="82"/>
      <w:bookmarkEnd w:id="83"/>
    </w:p>
    <w:p w14:paraId="679C8630">
      <w:pPr>
        <w:spacing w:line="500" w:lineRule="exact"/>
        <w:ind w:firstLine="560" w:firstLineChars="200"/>
        <w:jc w:val="lef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本次招标公告在《河南省政府采购网》《河南省公共资源交易中心网》上发布，招标公告期限为五个工作日。</w:t>
      </w:r>
    </w:p>
    <w:p w14:paraId="521C552D">
      <w:pPr>
        <w:spacing w:line="500" w:lineRule="exact"/>
        <w:ind w:firstLine="560" w:firstLineChars="200"/>
        <w:jc w:val="left"/>
        <w:rPr>
          <w:rFonts w:hint="default" w:ascii="仿宋" w:hAnsi="仿宋" w:eastAsia="仿宋" w:cs="仿宋"/>
          <w:color w:val="auto"/>
          <w:sz w:val="28"/>
          <w:szCs w:val="28"/>
          <w:lang w:val="en-US" w:eastAsia="zh-CN"/>
        </w:rPr>
      </w:pPr>
      <w:bookmarkStart w:id="84" w:name="_Toc934758795_WPSOffice_Level2"/>
      <w:bookmarkStart w:id="85" w:name="_Toc1849985481_WPSOffice_Level2"/>
      <w:bookmarkStart w:id="86" w:name="_Toc811435245_WPSOffice_Level2"/>
      <w:bookmarkStart w:id="87" w:name="_Toc271688487_WPSOffice_Level2"/>
      <w:bookmarkStart w:id="88" w:name="_Toc1765891161_WPSOffice_Level2"/>
      <w:r>
        <w:rPr>
          <w:rFonts w:ascii="仿宋" w:hAnsi="仿宋" w:eastAsia="仿宋" w:cs="仿宋"/>
          <w:color w:val="auto"/>
          <w:sz w:val="28"/>
          <w:szCs w:val="28"/>
          <w:lang w:val="en-US" w:eastAsia="zh-CN"/>
        </w:rPr>
        <w:t>七、其他补充事宜</w:t>
      </w:r>
      <w:bookmarkEnd w:id="84"/>
      <w:bookmarkEnd w:id="85"/>
      <w:bookmarkEnd w:id="86"/>
      <w:bookmarkEnd w:id="87"/>
      <w:bookmarkEnd w:id="88"/>
    </w:p>
    <w:p w14:paraId="7101092A">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bookmarkStart w:id="89" w:name="_Toc104417590_WPSOffice_Level2"/>
      <w:bookmarkStart w:id="90" w:name="_Toc1844119755_WPSOffice_Level2"/>
      <w:bookmarkStart w:id="91" w:name="_Toc163594944_WPSOffice_Level2"/>
      <w:bookmarkStart w:id="92" w:name="_Toc1643921422_WPSOffice_Level2"/>
      <w:bookmarkStart w:id="93" w:name="_Toc1528591159_WPSOffice_Level2"/>
      <w:r>
        <w:rPr>
          <w:rFonts w:hint="default" w:ascii="Times New Roman" w:hAnsi="Times New Roman" w:eastAsia="仿宋_GB2312" w:cs="Times New Roman"/>
          <w:color w:val="auto"/>
          <w:sz w:val="28"/>
          <w:szCs w:val="28"/>
          <w:lang w:val="en-US" w:eastAsia="zh-CN"/>
        </w:rPr>
        <w:t>本项目落实中小企业扶持、促进残疾人就业等相关政府采购政策。</w:t>
      </w:r>
    </w:p>
    <w:p w14:paraId="2C3635CF">
      <w:pPr>
        <w:spacing w:line="500" w:lineRule="exact"/>
        <w:ind w:firstLine="560" w:firstLineChars="200"/>
        <w:jc w:val="lef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八、凡对本次招标提出询问，请按照以下方式联系</w:t>
      </w:r>
      <w:bookmarkEnd w:id="89"/>
      <w:bookmarkEnd w:id="90"/>
      <w:bookmarkEnd w:id="91"/>
      <w:bookmarkEnd w:id="92"/>
      <w:bookmarkEnd w:id="93"/>
    </w:p>
    <w:p w14:paraId="353A0748">
      <w:pPr>
        <w:spacing w:line="500" w:lineRule="exact"/>
        <w:ind w:firstLine="560" w:firstLineChars="200"/>
        <w:jc w:val="lef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 xml:space="preserve">1. 采购人信息 </w:t>
      </w:r>
    </w:p>
    <w:p w14:paraId="75055DBA">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 xml:space="preserve">名称：河南应用技术职业学院 </w:t>
      </w:r>
    </w:p>
    <w:p w14:paraId="058DD6E4">
      <w:pPr>
        <w:spacing w:line="500" w:lineRule="exact"/>
        <w:ind w:firstLine="560" w:firstLineChars="200"/>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地址：郑州市中原区郑上路548号</w:t>
      </w:r>
    </w:p>
    <w:p w14:paraId="53683963">
      <w:pPr>
        <w:spacing w:line="500" w:lineRule="exact"/>
        <w:ind w:firstLine="560" w:firstLineChars="200"/>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联系人：徐老师</w:t>
      </w:r>
    </w:p>
    <w:p w14:paraId="66033829">
      <w:pPr>
        <w:spacing w:line="500" w:lineRule="exact"/>
        <w:ind w:firstLine="560" w:firstLineChars="200"/>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联系方式：0371-86630129</w:t>
      </w:r>
    </w:p>
    <w:p w14:paraId="2FDFE6B6">
      <w:pPr>
        <w:spacing w:line="500" w:lineRule="exact"/>
        <w:ind w:firstLine="560" w:firstLineChars="200"/>
        <w:jc w:val="lef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 xml:space="preserve">2.采购代理机构信息（如有） </w:t>
      </w:r>
    </w:p>
    <w:p w14:paraId="0499D012">
      <w:pPr>
        <w:spacing w:line="500" w:lineRule="exact"/>
        <w:ind w:firstLine="560" w:firstLineChars="200"/>
        <w:jc w:val="lef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名称：河南省公共资源交易中心</w:t>
      </w:r>
    </w:p>
    <w:p w14:paraId="20EC6304">
      <w:pPr>
        <w:spacing w:line="500" w:lineRule="exact"/>
        <w:ind w:firstLine="560" w:firstLineChars="200"/>
        <w:jc w:val="lef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地址：郑州市经二路12号</w:t>
      </w:r>
    </w:p>
    <w:p w14:paraId="135254EA">
      <w:pPr>
        <w:spacing w:line="500" w:lineRule="exact"/>
        <w:ind w:firstLine="560" w:firstLineChars="200"/>
        <w:jc w:val="lef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联系人：郭老师 余老师</w:t>
      </w:r>
    </w:p>
    <w:p w14:paraId="3EAB657A">
      <w:pPr>
        <w:spacing w:line="500" w:lineRule="exact"/>
        <w:ind w:firstLine="560" w:firstLineChars="200"/>
        <w:jc w:val="lef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联系方式：0371-65915560</w:t>
      </w:r>
    </w:p>
    <w:p w14:paraId="681AC456">
      <w:pPr>
        <w:spacing w:line="500" w:lineRule="exact"/>
        <w:ind w:firstLine="560" w:firstLineChars="200"/>
        <w:jc w:val="lef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 xml:space="preserve">3. 项目联系方式 </w:t>
      </w:r>
    </w:p>
    <w:p w14:paraId="5CDB6CCB">
      <w:pPr>
        <w:spacing w:line="500" w:lineRule="exact"/>
        <w:ind w:firstLine="560" w:firstLineChars="200"/>
        <w:rPr>
          <w:rFonts w:hint="default" w:ascii="仿宋_GB2312" w:hAnsi="仿宋_GB2312" w:eastAsia="仿宋_GB2312" w:cs="仿宋_GB2312"/>
          <w:color w:val="auto"/>
          <w:sz w:val="28"/>
          <w:szCs w:val="28"/>
          <w:lang w:val="en-US" w:eastAsia="zh-CN"/>
        </w:rPr>
      </w:pPr>
      <w:bookmarkStart w:id="94" w:name="_Toc1378990171"/>
      <w:bookmarkStart w:id="95" w:name="_Toc1158409811_WPSOffice_Level1"/>
      <w:bookmarkStart w:id="96" w:name="_Toc1016738770_WPSOffice_Level1"/>
      <w:bookmarkStart w:id="97" w:name="_Toc1043881812"/>
      <w:bookmarkStart w:id="98" w:name="_Toc2106074957"/>
      <w:bookmarkStart w:id="99" w:name="_Toc152586291"/>
      <w:bookmarkStart w:id="100" w:name="_Toc403451568"/>
      <w:bookmarkStart w:id="101" w:name="_Toc401873220"/>
      <w:bookmarkStart w:id="102" w:name="_Toc337485847"/>
      <w:bookmarkStart w:id="103" w:name="_Toc27631594"/>
      <w:bookmarkStart w:id="104" w:name="_Toc719882491_WPSOffice_Level1"/>
      <w:bookmarkStart w:id="105" w:name="_Toc2032132179"/>
      <w:bookmarkStart w:id="106" w:name="_Toc1520451966"/>
      <w:bookmarkStart w:id="107" w:name="_Toc1932859446_WPSOffice_Level1"/>
      <w:bookmarkStart w:id="108" w:name="_Toc894622228"/>
      <w:bookmarkStart w:id="109" w:name="_Toc339222953_WPSOffice_Level1"/>
      <w:bookmarkStart w:id="110" w:name="_Toc969346985"/>
      <w:bookmarkStart w:id="111" w:name="_Toc543843355"/>
      <w:bookmarkStart w:id="112" w:name="_Toc1562014060"/>
      <w:r>
        <w:rPr>
          <w:rFonts w:ascii="Times New Roman" w:hAnsi="Times New Roman" w:eastAsia="仿宋_GB2312" w:cs="Times New Roman"/>
          <w:color w:val="auto"/>
          <w:sz w:val="28"/>
          <w:szCs w:val="28"/>
          <w:lang w:val="en-US" w:eastAsia="zh-CN"/>
        </w:rPr>
        <w:t>联系人：</w:t>
      </w:r>
      <w:r>
        <w:rPr>
          <w:rFonts w:ascii="仿宋_GB2312" w:hAnsi="仿宋_GB2312" w:eastAsia="仿宋_GB2312" w:cs="仿宋_GB2312"/>
          <w:color w:val="auto"/>
          <w:sz w:val="28"/>
          <w:szCs w:val="28"/>
          <w:lang w:val="en-US" w:eastAsia="zh-CN"/>
        </w:rPr>
        <w:t>徐娟</w:t>
      </w:r>
    </w:p>
    <w:p w14:paraId="0DFF1CFF">
      <w:pPr>
        <w:spacing w:line="500" w:lineRule="exact"/>
        <w:ind w:firstLine="560" w:firstLineChars="200"/>
        <w:rPr>
          <w:rFonts w:hint="default" w:ascii="仿宋_GB2312" w:hAnsi="仿宋_GB2312" w:eastAsia="仿宋_GB2312" w:cs="仿宋_GB2312"/>
          <w:color w:val="FF0000"/>
          <w:sz w:val="28"/>
          <w:szCs w:val="28"/>
          <w:lang w:val="en-US" w:eastAsia="zh-CN"/>
        </w:rPr>
        <w:sectPr>
          <w:footerReference r:id="rId3" w:type="default"/>
          <w:pgSz w:w="11900" w:h="16840"/>
          <w:pgMar w:top="1440" w:right="1797" w:bottom="1440" w:left="1797" w:header="851" w:footer="992" w:gutter="0"/>
          <w:pgNumType w:start="1"/>
          <w:cols w:space="720" w:num="1"/>
        </w:sectPr>
      </w:pPr>
      <w:r>
        <w:rPr>
          <w:rFonts w:ascii="仿宋_GB2312" w:hAnsi="仿宋_GB2312" w:eastAsia="仿宋_GB2312" w:cs="仿宋_GB2312"/>
          <w:color w:val="auto"/>
          <w:sz w:val="28"/>
          <w:szCs w:val="28"/>
          <w:lang w:val="en-US" w:eastAsia="zh-CN"/>
        </w:rPr>
        <w:t>联系方式：0371-86630129</w:t>
      </w:r>
    </w:p>
    <w:p w14:paraId="341DE3EE">
      <w:pPr>
        <w:pStyle w:val="2"/>
        <w:spacing w:before="0" w:after="0" w:line="240" w:lineRule="auto"/>
        <w:jc w:val="center"/>
        <w:rPr>
          <w:rFonts w:ascii="宋体" w:hAnsi="宋体" w:eastAsia="宋体" w:cs="宋体"/>
          <w:color w:val="auto"/>
          <w:sz w:val="36"/>
          <w:szCs w:val="36"/>
          <w:lang w:eastAsia="zh-CN"/>
        </w:rPr>
      </w:pPr>
      <w:r>
        <w:rPr>
          <w:rFonts w:hint="eastAsia" w:ascii="宋体" w:hAnsi="宋体" w:eastAsia="宋体" w:cs="宋体"/>
          <w:color w:val="auto"/>
          <w:sz w:val="36"/>
          <w:szCs w:val="36"/>
          <w:lang w:eastAsia="zh-CN"/>
        </w:rPr>
        <w:t>第二章 投标人须知前附表</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5DCE0F60">
      <w:pPr>
        <w:spacing w:line="480" w:lineRule="exact"/>
        <w:rPr>
          <w:rFonts w:hint="default" w:ascii="仿宋" w:hAnsi="仿宋" w:eastAsia="仿宋" w:cs="仿宋"/>
          <w:color w:val="auto"/>
          <w:sz w:val="28"/>
          <w:szCs w:val="28"/>
          <w:lang w:eastAsia="zh-CN"/>
        </w:rPr>
      </w:pPr>
      <w:r>
        <w:rPr>
          <w:rFonts w:ascii="仿宋" w:hAnsi="仿宋" w:eastAsia="仿宋" w:cs="仿宋"/>
          <w:color w:val="auto"/>
          <w:sz w:val="28"/>
          <w:szCs w:val="28"/>
          <w:lang w:eastAsia="zh-CN"/>
        </w:rPr>
        <w:t>本表是对投标人须知的具体补充和修改，如有矛盾，应以本表为准。</w:t>
      </w:r>
    </w:p>
    <w:tbl>
      <w:tblPr>
        <w:tblStyle w:val="53"/>
        <w:tblW w:w="8786" w:type="dxa"/>
        <w:tblInd w:w="-25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60"/>
        <w:gridCol w:w="7826"/>
      </w:tblGrid>
      <w:tr w14:paraId="5F30F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60" w:hRule="atLeast"/>
          <w:tblHeader/>
        </w:trPr>
        <w:tc>
          <w:tcPr>
            <w:tcW w:w="960" w:type="dxa"/>
            <w:noWrap/>
            <w:vAlign w:val="center"/>
          </w:tcPr>
          <w:p w14:paraId="1DC31125">
            <w:pPr>
              <w:spacing w:line="480" w:lineRule="exact"/>
              <w:jc w:val="center"/>
              <w:rPr>
                <w:rFonts w:hint="default" w:ascii="仿宋" w:hAnsi="仿宋" w:eastAsia="仿宋" w:cs="仿宋"/>
                <w:b/>
                <w:bCs/>
                <w:sz w:val="28"/>
                <w:szCs w:val="28"/>
              </w:rPr>
            </w:pPr>
            <w:r>
              <w:rPr>
                <w:rFonts w:ascii="仿宋" w:hAnsi="仿宋" w:eastAsia="仿宋" w:cs="仿宋"/>
                <w:b/>
                <w:bCs/>
                <w:sz w:val="28"/>
                <w:szCs w:val="28"/>
              </w:rPr>
              <w:t>条款号</w:t>
            </w:r>
          </w:p>
        </w:tc>
        <w:tc>
          <w:tcPr>
            <w:tcW w:w="7826" w:type="dxa"/>
            <w:noWrap/>
            <w:vAlign w:val="center"/>
          </w:tcPr>
          <w:p w14:paraId="3B40EE3C">
            <w:pPr>
              <w:spacing w:line="480" w:lineRule="exact"/>
              <w:jc w:val="center"/>
              <w:rPr>
                <w:rFonts w:hint="default" w:ascii="仿宋" w:hAnsi="仿宋" w:eastAsia="仿宋" w:cs="仿宋"/>
                <w:b/>
                <w:bCs/>
                <w:sz w:val="28"/>
                <w:szCs w:val="28"/>
              </w:rPr>
            </w:pPr>
            <w:r>
              <w:rPr>
                <w:rFonts w:ascii="仿宋" w:hAnsi="仿宋" w:eastAsia="仿宋" w:cs="仿宋"/>
                <w:b/>
                <w:bCs/>
                <w:sz w:val="28"/>
                <w:szCs w:val="28"/>
              </w:rPr>
              <w:t>内      容</w:t>
            </w:r>
          </w:p>
        </w:tc>
      </w:tr>
      <w:tr w14:paraId="2B1C9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8" w:hRule="atLeast"/>
        </w:trPr>
        <w:tc>
          <w:tcPr>
            <w:tcW w:w="960" w:type="dxa"/>
            <w:noWrap/>
            <w:vAlign w:val="center"/>
          </w:tcPr>
          <w:p w14:paraId="546817A0">
            <w:pPr>
              <w:spacing w:line="480" w:lineRule="exact"/>
              <w:jc w:val="center"/>
              <w:rPr>
                <w:rFonts w:hint="default" w:ascii="仿宋" w:hAnsi="仿宋" w:eastAsia="仿宋" w:cs="仿宋"/>
                <w:sz w:val="28"/>
                <w:szCs w:val="28"/>
              </w:rPr>
            </w:pPr>
            <w:r>
              <w:rPr>
                <w:rFonts w:ascii="仿宋" w:hAnsi="仿宋" w:eastAsia="仿宋" w:cs="仿宋"/>
                <w:sz w:val="28"/>
                <w:szCs w:val="28"/>
              </w:rPr>
              <w:t>1.2</w:t>
            </w:r>
          </w:p>
        </w:tc>
        <w:tc>
          <w:tcPr>
            <w:tcW w:w="7826" w:type="dxa"/>
            <w:noWrap/>
            <w:vAlign w:val="center"/>
          </w:tcPr>
          <w:p w14:paraId="62C1EE3E">
            <w:pPr>
              <w:spacing w:line="480" w:lineRule="exact"/>
              <w:jc w:val="left"/>
              <w:rPr>
                <w:rFonts w:hint="default" w:ascii="仿宋" w:hAnsi="仿宋" w:eastAsia="仿宋" w:cs="仿宋"/>
                <w:sz w:val="28"/>
                <w:szCs w:val="28"/>
                <w:lang w:val="en-US" w:eastAsia="zh-CN"/>
              </w:rPr>
            </w:pPr>
            <w:r>
              <w:rPr>
                <w:rFonts w:ascii="仿宋" w:hAnsi="仿宋" w:eastAsia="仿宋" w:cs="仿宋"/>
                <w:sz w:val="28"/>
                <w:szCs w:val="28"/>
                <w:lang w:eastAsia="zh-CN"/>
              </w:rPr>
              <w:t>采购项目：</w:t>
            </w:r>
            <w:r>
              <w:rPr>
                <w:rFonts w:hint="eastAsia" w:ascii="仿宋" w:hAnsi="仿宋" w:eastAsia="仿宋" w:cs="仿宋"/>
                <w:sz w:val="28"/>
                <w:szCs w:val="28"/>
                <w:lang w:val="en" w:eastAsia="zh-CN"/>
              </w:rPr>
              <w:t>河南应用技术职业学院三校区2025-2027年物业服务项目</w:t>
            </w:r>
          </w:p>
        </w:tc>
      </w:tr>
      <w:tr w14:paraId="6132F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88" w:hRule="atLeast"/>
        </w:trPr>
        <w:tc>
          <w:tcPr>
            <w:tcW w:w="960" w:type="dxa"/>
            <w:noWrap/>
            <w:vAlign w:val="center"/>
          </w:tcPr>
          <w:p w14:paraId="17B71ABB">
            <w:pPr>
              <w:spacing w:line="480" w:lineRule="exact"/>
              <w:jc w:val="center"/>
              <w:rPr>
                <w:rFonts w:hint="default" w:ascii="仿宋" w:hAnsi="仿宋" w:eastAsia="仿宋" w:cs="仿宋"/>
                <w:sz w:val="28"/>
                <w:szCs w:val="28"/>
              </w:rPr>
            </w:pPr>
            <w:r>
              <w:rPr>
                <w:rFonts w:ascii="仿宋" w:hAnsi="仿宋" w:eastAsia="仿宋" w:cs="仿宋"/>
                <w:sz w:val="28"/>
                <w:szCs w:val="28"/>
              </w:rPr>
              <w:t>1.3</w:t>
            </w:r>
          </w:p>
        </w:tc>
        <w:tc>
          <w:tcPr>
            <w:tcW w:w="7826" w:type="dxa"/>
            <w:noWrap/>
            <w:vAlign w:val="center"/>
          </w:tcPr>
          <w:p w14:paraId="766248FD">
            <w:pPr>
              <w:spacing w:line="480" w:lineRule="exact"/>
              <w:jc w:val="left"/>
              <w:rPr>
                <w:rFonts w:hint="default" w:ascii="仿宋" w:hAnsi="仿宋" w:eastAsia="仿宋" w:cs="仿宋"/>
                <w:sz w:val="28"/>
                <w:szCs w:val="28"/>
                <w:lang w:val="en" w:eastAsia="zh-CN"/>
              </w:rPr>
            </w:pPr>
            <w:r>
              <w:rPr>
                <w:rFonts w:ascii="仿宋" w:hAnsi="仿宋" w:eastAsia="仿宋" w:cs="仿宋"/>
                <w:sz w:val="28"/>
                <w:szCs w:val="28"/>
                <w:lang w:eastAsia="zh-CN"/>
              </w:rPr>
              <w:t>采购编号：</w:t>
            </w:r>
            <w:r>
              <w:rPr>
                <w:rFonts w:hint="eastAsia" w:ascii="仿宋" w:hAnsi="仿宋" w:eastAsia="仿宋" w:cs="仿宋"/>
                <w:sz w:val="28"/>
                <w:szCs w:val="28"/>
                <w:lang w:val="en" w:eastAsia="zh-CN"/>
              </w:rPr>
              <w:t>豫财招标采购-2025-1091</w:t>
            </w:r>
            <w:r>
              <w:rPr>
                <w:rFonts w:hint="default" w:ascii="仿宋" w:hAnsi="仿宋" w:eastAsia="仿宋" w:cs="仿宋"/>
                <w:sz w:val="28"/>
                <w:szCs w:val="28"/>
                <w:lang w:val="en" w:eastAsia="zh-CN"/>
              </w:rPr>
              <w:t xml:space="preserve"> </w:t>
            </w:r>
          </w:p>
        </w:tc>
      </w:tr>
      <w:tr w14:paraId="1D994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60" w:type="dxa"/>
            <w:noWrap/>
            <w:vAlign w:val="center"/>
          </w:tcPr>
          <w:p w14:paraId="49E055A5">
            <w:pPr>
              <w:spacing w:line="480" w:lineRule="exact"/>
              <w:jc w:val="center"/>
              <w:rPr>
                <w:rFonts w:hint="default" w:ascii="仿宋" w:hAnsi="仿宋" w:eastAsia="仿宋" w:cs="仿宋"/>
                <w:sz w:val="28"/>
                <w:szCs w:val="28"/>
              </w:rPr>
            </w:pPr>
            <w:r>
              <w:rPr>
                <w:rFonts w:ascii="仿宋" w:hAnsi="仿宋" w:eastAsia="仿宋" w:cs="仿宋"/>
                <w:sz w:val="28"/>
                <w:szCs w:val="28"/>
              </w:rPr>
              <w:t>1.4</w:t>
            </w:r>
          </w:p>
        </w:tc>
        <w:tc>
          <w:tcPr>
            <w:tcW w:w="7826" w:type="dxa"/>
            <w:noWrap/>
            <w:vAlign w:val="center"/>
          </w:tcPr>
          <w:p w14:paraId="0C50C931">
            <w:pPr>
              <w:spacing w:line="480" w:lineRule="exact"/>
              <w:rPr>
                <w:rFonts w:hint="default" w:ascii="仿宋" w:hAnsi="仿宋" w:eastAsia="仿宋" w:cs="仿宋"/>
                <w:sz w:val="28"/>
                <w:szCs w:val="28"/>
                <w:lang w:eastAsia="zh-CN"/>
              </w:rPr>
            </w:pPr>
            <w:r>
              <w:rPr>
                <w:rFonts w:ascii="仿宋" w:hAnsi="仿宋" w:eastAsia="仿宋" w:cs="仿宋"/>
                <w:sz w:val="28"/>
                <w:szCs w:val="28"/>
                <w:lang w:eastAsia="zh-CN"/>
              </w:rPr>
              <w:t>采购项目简要说明：</w:t>
            </w:r>
          </w:p>
          <w:p w14:paraId="73F423F8">
            <w:pPr>
              <w:spacing w:line="480" w:lineRule="exact"/>
              <w:rPr>
                <w:rFonts w:hint="default" w:ascii="仿宋" w:hAnsi="仿宋" w:eastAsia="仿宋" w:cs="仿宋"/>
                <w:sz w:val="28"/>
                <w:szCs w:val="28"/>
                <w:lang w:eastAsia="zh-CN"/>
              </w:rPr>
            </w:pPr>
            <w:r>
              <w:rPr>
                <w:rFonts w:ascii="仿宋" w:hAnsi="仿宋" w:eastAsia="仿宋" w:cs="仿宋"/>
                <w:sz w:val="28"/>
                <w:szCs w:val="28"/>
                <w:lang w:val="en-US" w:eastAsia="zh-CN"/>
              </w:rPr>
              <w:t>1.</w:t>
            </w:r>
            <w:r>
              <w:rPr>
                <w:rFonts w:ascii="仿宋" w:hAnsi="仿宋" w:eastAsia="仿宋" w:cs="仿宋"/>
                <w:sz w:val="28"/>
                <w:szCs w:val="28"/>
                <w:lang w:eastAsia="zh-CN"/>
              </w:rPr>
              <w:t>预算金额和最高限价：详见“第一章 投标邀请”</w:t>
            </w:r>
          </w:p>
          <w:p w14:paraId="0A61ED83">
            <w:pPr>
              <w:spacing w:line="480" w:lineRule="exact"/>
              <w:rPr>
                <w:rFonts w:hint="default" w:ascii="仿宋" w:hAnsi="仿宋" w:eastAsia="仿宋" w:cs="仿宋"/>
                <w:sz w:val="28"/>
                <w:szCs w:val="28"/>
                <w:lang w:eastAsia="zh-CN"/>
              </w:rPr>
            </w:pPr>
            <w:r>
              <w:rPr>
                <w:rFonts w:ascii="仿宋" w:hAnsi="仿宋" w:eastAsia="仿宋" w:cs="仿宋"/>
                <w:sz w:val="28"/>
                <w:szCs w:val="28"/>
                <w:lang w:val="en-US" w:eastAsia="zh-CN"/>
              </w:rPr>
              <w:t>2.招标内容：</w:t>
            </w:r>
            <w:r>
              <w:rPr>
                <w:rFonts w:ascii="仿宋" w:hAnsi="仿宋" w:eastAsia="仿宋" w:cs="仿宋"/>
                <w:sz w:val="28"/>
                <w:szCs w:val="28"/>
                <w:lang w:eastAsia="zh-CN"/>
              </w:rPr>
              <w:t>详见“第一章 投标邀请”</w:t>
            </w:r>
          </w:p>
        </w:tc>
      </w:tr>
      <w:tr w14:paraId="4F722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60" w:type="dxa"/>
            <w:noWrap/>
            <w:vAlign w:val="center"/>
          </w:tcPr>
          <w:p w14:paraId="7CA645CD">
            <w:pPr>
              <w:spacing w:line="480" w:lineRule="exact"/>
              <w:jc w:val="center"/>
              <w:rPr>
                <w:rFonts w:hint="default" w:ascii="仿宋" w:hAnsi="仿宋" w:eastAsia="仿宋" w:cs="仿宋"/>
                <w:sz w:val="28"/>
                <w:szCs w:val="28"/>
              </w:rPr>
            </w:pPr>
            <w:r>
              <w:rPr>
                <w:rFonts w:ascii="仿宋" w:hAnsi="仿宋" w:eastAsia="仿宋" w:cs="仿宋"/>
                <w:sz w:val="28"/>
                <w:szCs w:val="28"/>
              </w:rPr>
              <w:t>2.2</w:t>
            </w:r>
          </w:p>
        </w:tc>
        <w:tc>
          <w:tcPr>
            <w:tcW w:w="7826" w:type="dxa"/>
            <w:noWrap/>
            <w:vAlign w:val="center"/>
          </w:tcPr>
          <w:p w14:paraId="7DBD6731">
            <w:pPr>
              <w:pStyle w:val="17"/>
              <w:spacing w:before="0" w:line="480" w:lineRule="exact"/>
              <w:rPr>
                <w:rFonts w:ascii="仿宋" w:hAnsi="仿宋" w:eastAsia="仿宋" w:cs="仿宋"/>
                <w:sz w:val="28"/>
                <w:szCs w:val="28"/>
                <w:lang w:val="en-US" w:eastAsia="zh-CN"/>
              </w:rPr>
            </w:pPr>
            <w:r>
              <w:rPr>
                <w:rFonts w:hint="eastAsia" w:ascii="仿宋" w:hAnsi="仿宋" w:eastAsia="仿宋" w:cs="仿宋"/>
                <w:sz w:val="28"/>
                <w:szCs w:val="28"/>
                <w:lang w:val="en-US" w:eastAsia="zh-CN"/>
              </w:rPr>
              <w:t>采购人：</w:t>
            </w:r>
            <w:r>
              <w:rPr>
                <w:rFonts w:hint="eastAsia" w:ascii="仿宋" w:hAnsi="仿宋" w:eastAsia="仿宋" w:cs="仿宋"/>
                <w:sz w:val="28"/>
                <w:szCs w:val="28"/>
                <w:lang w:val="en" w:eastAsia="zh-CN"/>
              </w:rPr>
              <w:t>河南应用技术职业学院</w:t>
            </w:r>
            <w:r>
              <w:rPr>
                <w:rFonts w:hint="eastAsia" w:ascii="仿宋" w:hAnsi="仿宋" w:eastAsia="仿宋" w:cs="仿宋"/>
                <w:sz w:val="28"/>
                <w:szCs w:val="28"/>
                <w:lang w:val="en-US" w:eastAsia="zh-CN"/>
              </w:rPr>
              <w:t xml:space="preserve"> </w:t>
            </w:r>
          </w:p>
          <w:p w14:paraId="497CA708">
            <w:pPr>
              <w:pStyle w:val="17"/>
              <w:spacing w:before="0" w:line="480" w:lineRule="exact"/>
              <w:rPr>
                <w:rFonts w:ascii="仿宋" w:hAnsi="仿宋" w:eastAsia="仿宋" w:cs="仿宋"/>
                <w:sz w:val="28"/>
                <w:szCs w:val="28"/>
                <w:lang w:val="en-US" w:eastAsia="zh-CN"/>
              </w:rPr>
            </w:pPr>
            <w:r>
              <w:rPr>
                <w:rFonts w:hint="eastAsia" w:ascii="仿宋" w:hAnsi="仿宋" w:eastAsia="仿宋" w:cs="仿宋"/>
                <w:sz w:val="28"/>
                <w:szCs w:val="28"/>
                <w:lang w:val="en-US" w:eastAsia="zh-CN"/>
              </w:rPr>
              <w:t>地址：郑州市中原区郑上路548号</w:t>
            </w:r>
          </w:p>
          <w:p w14:paraId="003A7E35">
            <w:pPr>
              <w:pStyle w:val="17"/>
              <w:spacing w:before="0" w:line="480" w:lineRule="exact"/>
              <w:rPr>
                <w:rFonts w:ascii="仿宋" w:hAnsi="仿宋" w:eastAsia="仿宋" w:cs="仿宋"/>
                <w:sz w:val="28"/>
                <w:szCs w:val="28"/>
                <w:lang w:val="en-US" w:eastAsia="zh-CN"/>
              </w:rPr>
            </w:pPr>
            <w:r>
              <w:rPr>
                <w:rFonts w:hint="eastAsia" w:ascii="仿宋" w:hAnsi="仿宋" w:eastAsia="仿宋" w:cs="仿宋"/>
                <w:sz w:val="28"/>
                <w:szCs w:val="28"/>
                <w:lang w:val="en-US" w:eastAsia="zh-CN"/>
              </w:rPr>
              <w:t>联系人：徐老师</w:t>
            </w:r>
          </w:p>
          <w:p w14:paraId="3DF5C643">
            <w:pPr>
              <w:pStyle w:val="17"/>
              <w:spacing w:before="0" w:line="48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联系方式：0371-86630129</w:t>
            </w:r>
          </w:p>
          <w:p w14:paraId="13686F27">
            <w:pPr>
              <w:pStyle w:val="17"/>
              <w:spacing w:before="0" w:line="480" w:lineRule="exact"/>
              <w:rPr>
                <w:lang w:val="en-US" w:eastAsia="zh-CN"/>
              </w:rPr>
            </w:pPr>
            <w:r>
              <w:rPr>
                <w:rFonts w:hint="eastAsia" w:ascii="仿宋" w:hAnsi="仿宋" w:eastAsia="仿宋" w:cs="仿宋"/>
                <w:sz w:val="28"/>
                <w:szCs w:val="28"/>
                <w:lang w:val="en-US" w:eastAsia="zh-CN"/>
              </w:rPr>
              <w:t>邮箱：835948417@qq.com</w:t>
            </w:r>
          </w:p>
        </w:tc>
      </w:tr>
      <w:tr w14:paraId="30965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934" w:hRule="atLeast"/>
        </w:trPr>
        <w:tc>
          <w:tcPr>
            <w:tcW w:w="960" w:type="dxa"/>
            <w:noWrap/>
            <w:vAlign w:val="center"/>
          </w:tcPr>
          <w:p w14:paraId="516BFB96">
            <w:pPr>
              <w:spacing w:line="480" w:lineRule="exact"/>
              <w:jc w:val="center"/>
              <w:rPr>
                <w:rFonts w:hint="default" w:ascii="仿宋" w:hAnsi="仿宋" w:eastAsia="仿宋" w:cs="仿宋"/>
                <w:sz w:val="28"/>
                <w:szCs w:val="28"/>
              </w:rPr>
            </w:pPr>
            <w:r>
              <w:rPr>
                <w:rFonts w:ascii="仿宋" w:hAnsi="仿宋" w:eastAsia="仿宋" w:cs="仿宋"/>
                <w:sz w:val="28"/>
                <w:szCs w:val="28"/>
              </w:rPr>
              <w:t>2.3</w:t>
            </w:r>
          </w:p>
        </w:tc>
        <w:tc>
          <w:tcPr>
            <w:tcW w:w="7826" w:type="dxa"/>
            <w:noWrap/>
            <w:vAlign w:val="center"/>
          </w:tcPr>
          <w:p w14:paraId="726C390A">
            <w:pPr>
              <w:spacing w:line="480" w:lineRule="exact"/>
              <w:jc w:val="left"/>
              <w:rPr>
                <w:rFonts w:hint="default" w:ascii="仿宋" w:hAnsi="仿宋" w:eastAsia="仿宋" w:cs="仿宋"/>
                <w:sz w:val="28"/>
                <w:szCs w:val="28"/>
                <w:lang w:eastAsia="zh-CN"/>
              </w:rPr>
            </w:pPr>
            <w:r>
              <w:rPr>
                <w:rFonts w:ascii="仿宋" w:hAnsi="仿宋" w:eastAsia="仿宋" w:cs="仿宋"/>
                <w:sz w:val="28"/>
                <w:szCs w:val="28"/>
                <w:lang w:eastAsia="zh-CN"/>
              </w:rPr>
              <w:t>集中采购机构：河南省公共资源交易中心</w:t>
            </w:r>
          </w:p>
          <w:p w14:paraId="3794C934">
            <w:pPr>
              <w:spacing w:line="480" w:lineRule="exact"/>
              <w:jc w:val="left"/>
              <w:rPr>
                <w:rFonts w:hint="default" w:ascii="仿宋" w:hAnsi="仿宋" w:eastAsia="仿宋" w:cs="仿宋"/>
                <w:sz w:val="28"/>
                <w:szCs w:val="28"/>
                <w:lang w:eastAsia="zh-CN"/>
              </w:rPr>
            </w:pPr>
            <w:r>
              <w:rPr>
                <w:rFonts w:ascii="仿宋" w:hAnsi="仿宋" w:eastAsia="仿宋" w:cs="仿宋"/>
                <w:sz w:val="28"/>
                <w:szCs w:val="28"/>
                <w:lang w:eastAsia="zh-CN"/>
              </w:rPr>
              <w:t>地址：郑州市经二路12号</w:t>
            </w:r>
          </w:p>
          <w:p w14:paraId="500335DB">
            <w:pPr>
              <w:spacing w:line="480" w:lineRule="exact"/>
              <w:jc w:val="left"/>
              <w:rPr>
                <w:rFonts w:hint="default" w:ascii="仿宋" w:hAnsi="仿宋" w:eastAsia="仿宋" w:cs="仿宋"/>
                <w:sz w:val="28"/>
                <w:szCs w:val="28"/>
                <w:lang w:val="en-US" w:eastAsia="zh-CN"/>
              </w:rPr>
            </w:pPr>
            <w:r>
              <w:rPr>
                <w:rFonts w:ascii="仿宋" w:hAnsi="仿宋" w:eastAsia="仿宋" w:cs="仿宋"/>
                <w:sz w:val="28"/>
                <w:szCs w:val="28"/>
                <w:lang w:eastAsia="zh-CN"/>
              </w:rPr>
              <w:t>联系人：</w:t>
            </w:r>
            <w:r>
              <w:rPr>
                <w:rFonts w:ascii="仿宋" w:hAnsi="仿宋" w:eastAsia="仿宋" w:cs="仿宋"/>
                <w:color w:val="auto"/>
                <w:sz w:val="28"/>
                <w:szCs w:val="28"/>
                <w:lang w:val="en-US" w:eastAsia="zh-CN"/>
              </w:rPr>
              <w:t>郭老师 余老师</w:t>
            </w:r>
          </w:p>
          <w:p w14:paraId="56D10BFB">
            <w:pPr>
              <w:spacing w:line="480" w:lineRule="exact"/>
              <w:jc w:val="left"/>
              <w:rPr>
                <w:rFonts w:hint="default" w:ascii="仿宋" w:hAnsi="仿宋" w:eastAsia="仿宋" w:cs="仿宋"/>
                <w:sz w:val="28"/>
                <w:szCs w:val="28"/>
              </w:rPr>
            </w:pPr>
            <w:r>
              <w:rPr>
                <w:rFonts w:ascii="仿宋" w:hAnsi="仿宋" w:eastAsia="仿宋" w:cs="仿宋"/>
                <w:sz w:val="28"/>
                <w:szCs w:val="28"/>
              </w:rPr>
              <w:t>联系方式：0371-65915560</w:t>
            </w:r>
          </w:p>
          <w:p w14:paraId="59CAC39F">
            <w:pPr>
              <w:spacing w:line="480" w:lineRule="exact"/>
              <w:jc w:val="left"/>
              <w:rPr>
                <w:rFonts w:hint="default" w:ascii="仿宋" w:hAnsi="仿宋" w:eastAsia="仿宋" w:cs="仿宋"/>
                <w:sz w:val="28"/>
                <w:szCs w:val="28"/>
              </w:rPr>
            </w:pPr>
            <w:r>
              <w:rPr>
                <w:rFonts w:ascii="仿宋" w:hAnsi="仿宋" w:eastAsia="仿宋" w:cs="仿宋"/>
                <w:sz w:val="28"/>
                <w:szCs w:val="28"/>
              </w:rPr>
              <w:t>邮箱：hnggzyzfcg@163.com</w:t>
            </w:r>
          </w:p>
        </w:tc>
      </w:tr>
      <w:tr w14:paraId="05FFF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55" w:hRule="atLeast"/>
        </w:trPr>
        <w:tc>
          <w:tcPr>
            <w:tcW w:w="960" w:type="dxa"/>
            <w:noWrap/>
            <w:vAlign w:val="center"/>
          </w:tcPr>
          <w:p w14:paraId="4628D505">
            <w:pPr>
              <w:spacing w:line="480" w:lineRule="exact"/>
              <w:jc w:val="center"/>
              <w:rPr>
                <w:rFonts w:hint="default" w:ascii="仿宋" w:hAnsi="仿宋" w:eastAsia="仿宋" w:cs="仿宋"/>
                <w:sz w:val="28"/>
                <w:szCs w:val="28"/>
                <w:lang w:val="en-US" w:eastAsia="zh-CN"/>
              </w:rPr>
            </w:pPr>
            <w:r>
              <w:rPr>
                <w:rFonts w:ascii="仿宋" w:hAnsi="仿宋" w:eastAsia="仿宋" w:cs="仿宋"/>
                <w:sz w:val="28"/>
                <w:szCs w:val="28"/>
                <w:lang w:val="en-US" w:eastAsia="zh-CN"/>
              </w:rPr>
              <w:t>2.5.1</w:t>
            </w:r>
          </w:p>
        </w:tc>
        <w:tc>
          <w:tcPr>
            <w:tcW w:w="7826" w:type="dxa"/>
            <w:noWrap/>
            <w:vAlign w:val="center"/>
          </w:tcPr>
          <w:p w14:paraId="7F1D660B">
            <w:pPr>
              <w:spacing w:line="480" w:lineRule="exact"/>
              <w:rPr>
                <w:rFonts w:hint="default" w:ascii="仿宋" w:hAnsi="仿宋" w:eastAsia="仿宋" w:cs="仿宋"/>
                <w:sz w:val="28"/>
                <w:szCs w:val="28"/>
                <w:lang w:eastAsia="zh-CN"/>
              </w:rPr>
            </w:pPr>
            <w:r>
              <w:rPr>
                <w:rFonts w:ascii="仿宋" w:hAnsi="仿宋" w:eastAsia="仿宋" w:cs="仿宋"/>
                <w:color w:val="auto"/>
                <w:sz w:val="28"/>
                <w:szCs w:val="28"/>
                <w:lang w:val="en-US" w:eastAsia="zh-CN"/>
              </w:rPr>
              <w:t>是否为专门面向中小企业采购：</w:t>
            </w:r>
            <w:r>
              <w:rPr>
                <w:rFonts w:ascii="仿宋" w:hAnsi="仿宋" w:eastAsia="仿宋" w:cs="仿宋"/>
                <w:b/>
                <w:bCs/>
                <w:color w:val="auto"/>
                <w:sz w:val="28"/>
                <w:szCs w:val="28"/>
                <w:lang w:val="en-US" w:eastAsia="zh-CN"/>
              </w:rPr>
              <w:t>否</w:t>
            </w:r>
          </w:p>
        </w:tc>
      </w:tr>
      <w:tr w14:paraId="4502F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38" w:hRule="atLeast"/>
        </w:trPr>
        <w:tc>
          <w:tcPr>
            <w:tcW w:w="960" w:type="dxa"/>
            <w:noWrap/>
            <w:vAlign w:val="center"/>
          </w:tcPr>
          <w:p w14:paraId="5C526559">
            <w:pPr>
              <w:spacing w:line="480" w:lineRule="exact"/>
              <w:jc w:val="center"/>
              <w:rPr>
                <w:rFonts w:hint="default" w:ascii="仿宋" w:hAnsi="仿宋" w:eastAsia="仿宋" w:cs="仿宋"/>
                <w:sz w:val="28"/>
                <w:szCs w:val="28"/>
                <w:lang w:val="en-US" w:eastAsia="zh-CN"/>
              </w:rPr>
            </w:pPr>
            <w:r>
              <w:rPr>
                <w:rFonts w:ascii="仿宋" w:hAnsi="仿宋" w:eastAsia="仿宋" w:cs="仿宋"/>
                <w:sz w:val="28"/>
                <w:szCs w:val="28"/>
                <w:lang w:val="en-US" w:eastAsia="zh-CN"/>
              </w:rPr>
              <w:t>2.5.2</w:t>
            </w:r>
          </w:p>
        </w:tc>
        <w:tc>
          <w:tcPr>
            <w:tcW w:w="7826" w:type="dxa"/>
            <w:noWrap/>
            <w:vAlign w:val="center"/>
          </w:tcPr>
          <w:p w14:paraId="25F62118">
            <w:pPr>
              <w:spacing w:line="480" w:lineRule="exac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是否允许采购进口产品：</w:t>
            </w:r>
            <w:r>
              <w:rPr>
                <w:rFonts w:ascii="仿宋" w:hAnsi="仿宋" w:eastAsia="仿宋" w:cs="仿宋"/>
                <w:b/>
                <w:bCs/>
                <w:color w:val="auto"/>
                <w:sz w:val="28"/>
                <w:szCs w:val="28"/>
                <w:lang w:val="en-US" w:eastAsia="zh-CN"/>
              </w:rPr>
              <w:t>否</w:t>
            </w:r>
          </w:p>
        </w:tc>
      </w:tr>
      <w:tr w14:paraId="6E054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490" w:hRule="atLeast"/>
        </w:trPr>
        <w:tc>
          <w:tcPr>
            <w:tcW w:w="960" w:type="dxa"/>
            <w:noWrap/>
            <w:vAlign w:val="center"/>
          </w:tcPr>
          <w:p w14:paraId="6A2F1779">
            <w:pPr>
              <w:spacing w:line="480" w:lineRule="exact"/>
              <w:jc w:val="center"/>
              <w:rPr>
                <w:rFonts w:hint="default" w:ascii="仿宋" w:hAnsi="仿宋" w:eastAsia="仿宋" w:cs="仿宋"/>
                <w:sz w:val="28"/>
                <w:szCs w:val="28"/>
              </w:rPr>
            </w:pPr>
            <w:r>
              <w:rPr>
                <w:rFonts w:ascii="仿宋" w:hAnsi="仿宋" w:eastAsia="仿宋" w:cs="仿宋"/>
                <w:sz w:val="28"/>
                <w:szCs w:val="28"/>
              </w:rPr>
              <w:t>4</w:t>
            </w:r>
          </w:p>
        </w:tc>
        <w:tc>
          <w:tcPr>
            <w:tcW w:w="7826" w:type="dxa"/>
            <w:noWrap/>
            <w:vAlign w:val="center"/>
          </w:tcPr>
          <w:p w14:paraId="643E62D1">
            <w:pPr>
              <w:spacing w:line="480" w:lineRule="exact"/>
              <w:jc w:val="left"/>
              <w:rPr>
                <w:rFonts w:hint="default" w:ascii="仿宋" w:hAnsi="仿宋" w:eastAsia="仿宋" w:cs="仿宋"/>
                <w:sz w:val="28"/>
                <w:szCs w:val="28"/>
                <w:lang w:eastAsia="zh-CN"/>
              </w:rPr>
            </w:pPr>
            <w:r>
              <w:rPr>
                <w:rFonts w:ascii="仿宋" w:hAnsi="仿宋" w:eastAsia="仿宋" w:cs="仿宋"/>
                <w:sz w:val="28"/>
                <w:szCs w:val="28"/>
                <w:lang w:eastAsia="zh-CN"/>
              </w:rPr>
              <w:t>踏勘现场：</w:t>
            </w:r>
          </w:p>
          <w:p w14:paraId="059996DE">
            <w:pPr>
              <w:spacing w:line="480" w:lineRule="exact"/>
              <w:rPr>
                <w:rFonts w:hint="default" w:ascii="仿宋" w:hAnsi="仿宋" w:eastAsia="仿宋" w:cs="仿宋"/>
                <w:sz w:val="28"/>
                <w:szCs w:val="28"/>
                <w:lang w:eastAsia="zh-CN"/>
              </w:rPr>
            </w:pPr>
            <w:r>
              <w:rPr>
                <w:rFonts w:ascii="仿宋" w:hAnsi="仿宋" w:eastAsia="仿宋" w:cs="仿宋"/>
                <w:b/>
                <w:bCs/>
                <w:sz w:val="28"/>
                <w:szCs w:val="28"/>
              </w:rPr>
              <w:fldChar w:fldCharType="begin"/>
            </w:r>
            <w:r>
              <w:rPr>
                <w:rFonts w:ascii="仿宋" w:hAnsi="仿宋" w:eastAsia="仿宋" w:cs="仿宋"/>
                <w:b/>
                <w:bCs/>
                <w:sz w:val="28"/>
                <w:szCs w:val="28"/>
                <w:lang w:eastAsia="zh-CN"/>
              </w:rPr>
              <w:instrText xml:space="preserve"> eq \o\ac(</w:instrText>
            </w:r>
            <w:r>
              <w:rPr>
                <w:rFonts w:ascii="仿宋" w:hAnsi="仿宋" w:eastAsia="仿宋" w:cs="仿宋"/>
                <w:b/>
                <w:bCs/>
                <w:position w:val="-5"/>
                <w:sz w:val="42"/>
                <w:szCs w:val="28"/>
                <w:lang w:eastAsia="zh-CN"/>
              </w:rPr>
              <w:instrText xml:space="preserve">□</w:instrText>
            </w:r>
            <w:r>
              <w:rPr>
                <w:rFonts w:ascii="仿宋" w:hAnsi="仿宋" w:eastAsia="仿宋" w:cs="仿宋"/>
                <w:b/>
                <w:bCs/>
                <w:sz w:val="28"/>
                <w:szCs w:val="28"/>
                <w:lang w:eastAsia="zh-CN"/>
              </w:rPr>
              <w:instrText xml:space="preserve">,√)</w:instrText>
            </w:r>
            <w:r>
              <w:rPr>
                <w:rFonts w:ascii="仿宋" w:hAnsi="仿宋" w:eastAsia="仿宋" w:cs="仿宋"/>
                <w:b/>
                <w:bCs/>
                <w:sz w:val="28"/>
                <w:szCs w:val="28"/>
              </w:rPr>
              <w:fldChar w:fldCharType="end"/>
            </w:r>
            <w:r>
              <w:rPr>
                <w:rFonts w:ascii="仿宋" w:hAnsi="仿宋" w:eastAsia="仿宋" w:cs="仿宋"/>
                <w:b/>
                <w:bCs/>
                <w:sz w:val="28"/>
                <w:szCs w:val="28"/>
                <w:lang w:eastAsia="zh-CN"/>
              </w:rPr>
              <w:t>不组织</w:t>
            </w:r>
            <w:r>
              <w:rPr>
                <w:rFonts w:ascii="仿宋" w:hAnsi="仿宋" w:eastAsia="仿宋" w:cs="仿宋"/>
                <w:sz w:val="28"/>
                <w:szCs w:val="28"/>
                <w:lang w:eastAsia="zh-CN"/>
              </w:rPr>
              <w:t>，投标人可自行对项目现场和周围环境进行踏勘，踏勘现场所发生的费用由投标人自己承担。出现事故，责任由投标人自行承担。</w:t>
            </w:r>
          </w:p>
          <w:p w14:paraId="375EEE49">
            <w:pPr>
              <w:spacing w:line="480" w:lineRule="exact"/>
              <w:rPr>
                <w:rFonts w:hint="default" w:ascii="仿宋" w:hAnsi="仿宋" w:eastAsia="仿宋" w:cs="仿宋"/>
                <w:sz w:val="28"/>
                <w:szCs w:val="28"/>
                <w:u w:val="single"/>
                <w:lang w:eastAsia="zh-CN"/>
              </w:rPr>
            </w:pPr>
            <w:r>
              <w:rPr>
                <w:rFonts w:ascii="仿宋" w:hAnsi="仿宋" w:eastAsia="仿宋" w:cs="仿宋"/>
                <w:b/>
                <w:bCs/>
                <w:sz w:val="28"/>
                <w:szCs w:val="28"/>
                <w:lang w:eastAsia="zh-CN"/>
              </w:rPr>
              <w:t>□组织</w:t>
            </w:r>
            <w:r>
              <w:rPr>
                <w:rFonts w:ascii="仿宋" w:hAnsi="仿宋" w:eastAsia="仿宋" w:cs="仿宋"/>
                <w:sz w:val="28"/>
                <w:szCs w:val="28"/>
                <w:lang w:eastAsia="zh-CN"/>
              </w:rPr>
              <w:t>，踏勘时间：</w:t>
            </w:r>
            <w:r>
              <w:rPr>
                <w:rFonts w:ascii="仿宋" w:hAnsi="仿宋" w:eastAsia="仿宋" w:cs="仿宋"/>
                <w:sz w:val="28"/>
                <w:szCs w:val="28"/>
                <w:u w:val="single"/>
                <w:lang w:eastAsia="zh-CN"/>
              </w:rPr>
              <w:t xml:space="preserve">  /  </w:t>
            </w:r>
          </w:p>
          <w:p w14:paraId="4417B2BB">
            <w:pPr>
              <w:spacing w:line="480" w:lineRule="exact"/>
              <w:rPr>
                <w:rFonts w:hint="default" w:ascii="仿宋" w:hAnsi="仿宋" w:eastAsia="仿宋" w:cs="仿宋"/>
                <w:sz w:val="28"/>
                <w:szCs w:val="28"/>
                <w:lang w:eastAsia="zh-CN"/>
              </w:rPr>
            </w:pPr>
            <w:r>
              <w:rPr>
                <w:rFonts w:ascii="仿宋" w:hAnsi="仿宋" w:eastAsia="仿宋" w:cs="仿宋"/>
                <w:sz w:val="28"/>
                <w:szCs w:val="28"/>
                <w:lang w:eastAsia="zh-CN"/>
              </w:rPr>
              <w:t xml:space="preserve">        踏勘集中地点：</w:t>
            </w:r>
            <w:r>
              <w:rPr>
                <w:rFonts w:ascii="仿宋" w:hAnsi="仿宋" w:eastAsia="仿宋" w:cs="仿宋"/>
                <w:sz w:val="28"/>
                <w:szCs w:val="28"/>
                <w:u w:val="single"/>
                <w:lang w:eastAsia="zh-CN"/>
              </w:rPr>
              <w:t xml:space="preserve">  /  </w:t>
            </w:r>
          </w:p>
        </w:tc>
      </w:tr>
      <w:tr w14:paraId="61A2C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60" w:type="dxa"/>
            <w:noWrap/>
            <w:vAlign w:val="center"/>
          </w:tcPr>
          <w:p w14:paraId="5019331B">
            <w:pPr>
              <w:spacing w:line="480" w:lineRule="exact"/>
              <w:jc w:val="center"/>
              <w:rPr>
                <w:rFonts w:hint="default" w:ascii="仿宋" w:hAnsi="仿宋" w:eastAsia="仿宋" w:cs="仿宋"/>
                <w:sz w:val="28"/>
                <w:szCs w:val="28"/>
                <w:lang w:eastAsia="zh-CN"/>
              </w:rPr>
            </w:pPr>
            <w:r>
              <w:rPr>
                <w:rFonts w:ascii="仿宋" w:hAnsi="仿宋" w:eastAsia="仿宋" w:cs="仿宋"/>
                <w:sz w:val="28"/>
                <w:szCs w:val="28"/>
                <w:lang w:eastAsia="zh-CN"/>
              </w:rPr>
              <w:t>6.6</w:t>
            </w:r>
          </w:p>
        </w:tc>
        <w:tc>
          <w:tcPr>
            <w:tcW w:w="7826" w:type="dxa"/>
            <w:noWrap/>
            <w:vAlign w:val="center"/>
          </w:tcPr>
          <w:p w14:paraId="275D9E7A">
            <w:pPr>
              <w:spacing w:line="480" w:lineRule="exac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是否允许联合体投标：</w:t>
            </w:r>
            <w:r>
              <w:rPr>
                <w:rFonts w:ascii="仿宋" w:hAnsi="仿宋" w:eastAsia="仿宋" w:cs="仿宋"/>
                <w:b/>
                <w:bCs/>
                <w:color w:val="auto"/>
                <w:sz w:val="28"/>
                <w:szCs w:val="28"/>
                <w:lang w:val="en-US" w:eastAsia="zh-CN"/>
              </w:rPr>
              <w:t>否</w:t>
            </w:r>
          </w:p>
        </w:tc>
      </w:tr>
      <w:tr w14:paraId="61116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9" w:hRule="atLeast"/>
        </w:trPr>
        <w:tc>
          <w:tcPr>
            <w:tcW w:w="960" w:type="dxa"/>
            <w:noWrap/>
            <w:vAlign w:val="center"/>
          </w:tcPr>
          <w:p w14:paraId="26FAFD4C">
            <w:pPr>
              <w:spacing w:line="480" w:lineRule="exact"/>
              <w:jc w:val="center"/>
              <w:rPr>
                <w:rFonts w:hint="default" w:ascii="仿宋" w:hAnsi="仿宋" w:eastAsia="仿宋" w:cs="仿宋"/>
                <w:sz w:val="28"/>
                <w:szCs w:val="28"/>
                <w:lang w:val="en-US" w:eastAsia="zh-CN"/>
              </w:rPr>
            </w:pPr>
            <w:r>
              <w:rPr>
                <w:rFonts w:ascii="仿宋" w:hAnsi="仿宋" w:eastAsia="仿宋" w:cs="仿宋"/>
                <w:sz w:val="28"/>
                <w:szCs w:val="28"/>
                <w:lang w:val="en-US" w:eastAsia="zh-CN"/>
              </w:rPr>
              <w:t>16</w:t>
            </w:r>
          </w:p>
        </w:tc>
        <w:tc>
          <w:tcPr>
            <w:tcW w:w="7826" w:type="dxa"/>
            <w:noWrap/>
            <w:vAlign w:val="center"/>
          </w:tcPr>
          <w:p w14:paraId="56614CCD">
            <w:pPr>
              <w:spacing w:line="480" w:lineRule="exact"/>
              <w:jc w:val="left"/>
              <w:rPr>
                <w:rFonts w:hint="default" w:ascii="仿宋" w:hAnsi="仿宋" w:eastAsia="仿宋" w:cs="仿宋"/>
                <w:b/>
                <w:bCs/>
                <w:color w:val="auto"/>
                <w:sz w:val="28"/>
                <w:szCs w:val="28"/>
                <w:lang w:val="en-US" w:eastAsia="zh-CN"/>
              </w:rPr>
            </w:pPr>
            <w:r>
              <w:rPr>
                <w:rFonts w:ascii="仿宋" w:hAnsi="仿宋" w:eastAsia="仿宋" w:cs="仿宋"/>
                <w:color w:val="auto"/>
                <w:sz w:val="28"/>
                <w:szCs w:val="28"/>
                <w:lang w:val="en-US" w:eastAsia="zh-CN"/>
              </w:rPr>
              <w:t>如投标人对多个分包进行投标，按照分包顺序可以中标：</w:t>
            </w:r>
            <w:r>
              <w:rPr>
                <w:rFonts w:ascii="仿宋" w:hAnsi="仿宋" w:eastAsia="仿宋" w:cs="仿宋"/>
                <w:b/>
                <w:bCs/>
                <w:color w:val="auto"/>
                <w:sz w:val="28"/>
                <w:szCs w:val="28"/>
                <w:lang w:val="en-US" w:eastAsia="zh-CN"/>
              </w:rPr>
              <w:t>一个包，</w:t>
            </w:r>
          </w:p>
          <w:p w14:paraId="6024A173">
            <w:pPr>
              <w:spacing w:line="480" w:lineRule="exact"/>
              <w:jc w:val="left"/>
              <w:rPr>
                <w:rFonts w:hint="default" w:ascii="仿宋" w:hAnsi="仿宋" w:eastAsia="宋体" w:cs="仿宋"/>
                <w:sz w:val="28"/>
                <w:szCs w:val="28"/>
                <w:lang w:eastAsia="zh-CN"/>
              </w:rPr>
            </w:pPr>
            <w:r>
              <w:rPr>
                <w:rFonts w:ascii="仿宋_GB2312" w:hAnsi="仿宋_GB2312" w:eastAsia="仿宋_GB2312" w:cs="仿宋_GB2312"/>
                <w:b/>
                <w:bCs/>
                <w:color w:val="auto"/>
                <w:sz w:val="28"/>
                <w:szCs w:val="28"/>
              </w:rPr>
              <w:t>投标人可以投多个包，但最多只能中一个包。中标的顺序按包1、包2</w:t>
            </w:r>
            <w:r>
              <w:rPr>
                <w:rFonts w:ascii="仿宋_GB2312" w:hAnsi="仿宋_GB2312" w:eastAsia="仿宋_GB2312" w:cs="仿宋_GB2312"/>
                <w:b/>
                <w:bCs/>
                <w:color w:val="auto"/>
                <w:sz w:val="28"/>
                <w:szCs w:val="28"/>
                <w:lang w:eastAsia="zh-CN"/>
              </w:rPr>
              <w:t>、</w:t>
            </w:r>
            <w:r>
              <w:rPr>
                <w:rFonts w:ascii="仿宋_GB2312" w:hAnsi="仿宋_GB2312" w:eastAsia="仿宋_GB2312" w:cs="仿宋_GB2312"/>
                <w:b/>
                <w:bCs/>
                <w:color w:val="auto"/>
                <w:sz w:val="28"/>
                <w:szCs w:val="28"/>
                <w:lang w:val="en-US" w:eastAsia="zh-CN"/>
              </w:rPr>
              <w:t>包3</w:t>
            </w:r>
            <w:r>
              <w:rPr>
                <w:rFonts w:ascii="仿宋_GB2312" w:hAnsi="仿宋_GB2312" w:eastAsia="仿宋_GB2312" w:cs="仿宋_GB2312"/>
                <w:b/>
                <w:bCs/>
                <w:color w:val="auto"/>
                <w:sz w:val="28"/>
                <w:szCs w:val="28"/>
              </w:rPr>
              <w:t>先后顺序确认，包1排名第一的中标候选人不再被推荐为包2</w:t>
            </w:r>
            <w:r>
              <w:rPr>
                <w:rFonts w:ascii="仿宋_GB2312" w:hAnsi="仿宋_GB2312" w:eastAsia="仿宋_GB2312" w:cs="仿宋_GB2312"/>
                <w:b/>
                <w:bCs/>
                <w:color w:val="auto"/>
                <w:sz w:val="28"/>
                <w:szCs w:val="28"/>
                <w:lang w:eastAsia="zh-CN"/>
              </w:rPr>
              <w:t>、</w:t>
            </w:r>
            <w:r>
              <w:rPr>
                <w:rFonts w:ascii="仿宋_GB2312" w:hAnsi="仿宋_GB2312" w:eastAsia="仿宋_GB2312" w:cs="仿宋_GB2312"/>
                <w:b/>
                <w:bCs/>
                <w:color w:val="auto"/>
                <w:sz w:val="28"/>
                <w:szCs w:val="28"/>
                <w:lang w:val="en-US" w:eastAsia="zh-CN"/>
              </w:rPr>
              <w:t>包3</w:t>
            </w:r>
            <w:r>
              <w:rPr>
                <w:rFonts w:ascii="仿宋_GB2312" w:hAnsi="仿宋_GB2312" w:eastAsia="仿宋_GB2312" w:cs="仿宋_GB2312"/>
                <w:b/>
                <w:bCs/>
                <w:color w:val="auto"/>
                <w:sz w:val="28"/>
                <w:szCs w:val="28"/>
              </w:rPr>
              <w:t>的中标候选人</w:t>
            </w:r>
            <w:r>
              <w:rPr>
                <w:rFonts w:hint="eastAsia" w:ascii="仿宋_GB2312" w:hAnsi="仿宋_GB2312" w:eastAsia="仿宋_GB2312" w:cs="仿宋_GB2312"/>
                <w:b/>
                <w:bCs/>
                <w:color w:val="auto"/>
                <w:sz w:val="28"/>
                <w:szCs w:val="28"/>
                <w:lang w:eastAsia="zh-CN"/>
              </w:rPr>
              <w:t>；</w:t>
            </w:r>
            <w:r>
              <w:rPr>
                <w:rFonts w:ascii="仿宋_GB2312" w:hAnsi="仿宋_GB2312" w:eastAsia="仿宋_GB2312" w:cs="仿宋_GB2312"/>
                <w:b/>
                <w:bCs/>
                <w:color w:val="auto"/>
                <w:sz w:val="28"/>
                <w:szCs w:val="28"/>
              </w:rPr>
              <w:t>包</w:t>
            </w:r>
            <w:r>
              <w:rPr>
                <w:rFonts w:ascii="仿宋_GB2312" w:hAnsi="仿宋_GB2312" w:eastAsia="仿宋_GB2312" w:cs="仿宋_GB2312"/>
                <w:b/>
                <w:bCs/>
                <w:color w:val="auto"/>
                <w:sz w:val="28"/>
                <w:szCs w:val="28"/>
                <w:lang w:val="en-US" w:eastAsia="zh-CN"/>
              </w:rPr>
              <w:t>2</w:t>
            </w:r>
            <w:r>
              <w:rPr>
                <w:rFonts w:ascii="仿宋_GB2312" w:hAnsi="仿宋_GB2312" w:eastAsia="仿宋_GB2312" w:cs="仿宋_GB2312"/>
                <w:b/>
                <w:bCs/>
                <w:color w:val="auto"/>
                <w:sz w:val="28"/>
                <w:szCs w:val="28"/>
              </w:rPr>
              <w:t>排名第一的中标候选人不再被推荐为包</w:t>
            </w:r>
            <w:r>
              <w:rPr>
                <w:rFonts w:ascii="仿宋_GB2312" w:hAnsi="仿宋_GB2312" w:eastAsia="仿宋_GB2312" w:cs="仿宋_GB2312"/>
                <w:b/>
                <w:bCs/>
                <w:color w:val="auto"/>
                <w:sz w:val="28"/>
                <w:szCs w:val="28"/>
                <w:lang w:val="en-US" w:eastAsia="zh-CN"/>
              </w:rPr>
              <w:t>3</w:t>
            </w:r>
            <w:r>
              <w:rPr>
                <w:rFonts w:ascii="仿宋_GB2312" w:hAnsi="仿宋_GB2312" w:eastAsia="仿宋_GB2312" w:cs="仿宋_GB2312"/>
                <w:b/>
                <w:bCs/>
                <w:color w:val="auto"/>
                <w:sz w:val="28"/>
                <w:szCs w:val="28"/>
              </w:rPr>
              <w:t>的中标候选人</w:t>
            </w:r>
            <w:r>
              <w:rPr>
                <w:rFonts w:ascii="仿宋_GB2312" w:hAnsi="仿宋_GB2312" w:eastAsia="仿宋_GB2312" w:cs="仿宋_GB2312"/>
                <w:b/>
                <w:bCs/>
                <w:color w:val="auto"/>
                <w:sz w:val="28"/>
                <w:szCs w:val="28"/>
                <w:lang w:eastAsia="zh-CN"/>
              </w:rPr>
              <w:t>。</w:t>
            </w:r>
          </w:p>
        </w:tc>
      </w:tr>
      <w:tr w14:paraId="2759A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60" w:type="dxa"/>
            <w:noWrap/>
            <w:vAlign w:val="center"/>
          </w:tcPr>
          <w:p w14:paraId="6B156DE6">
            <w:pPr>
              <w:spacing w:line="480" w:lineRule="exact"/>
              <w:jc w:val="center"/>
              <w:rPr>
                <w:rFonts w:hint="default" w:ascii="仿宋" w:hAnsi="仿宋" w:eastAsia="仿宋" w:cs="仿宋"/>
                <w:strike/>
                <w:sz w:val="28"/>
                <w:szCs w:val="28"/>
                <w:highlight w:val="cyan"/>
              </w:rPr>
            </w:pPr>
            <w:r>
              <w:rPr>
                <w:rFonts w:ascii="仿宋" w:hAnsi="仿宋" w:eastAsia="仿宋" w:cs="仿宋"/>
                <w:sz w:val="28"/>
                <w:szCs w:val="28"/>
                <w:lang w:val="en-US" w:eastAsia="zh-CN"/>
              </w:rPr>
              <w:t>17.2</w:t>
            </w:r>
          </w:p>
        </w:tc>
        <w:tc>
          <w:tcPr>
            <w:tcW w:w="7826" w:type="dxa"/>
            <w:noWrap/>
            <w:vAlign w:val="center"/>
          </w:tcPr>
          <w:p w14:paraId="1A1E48EF">
            <w:pPr>
              <w:spacing w:line="480" w:lineRule="exact"/>
              <w:rPr>
                <w:rFonts w:hint="default" w:ascii="仿宋" w:hAnsi="仿宋" w:eastAsia="仿宋" w:cs="仿宋"/>
                <w:strike/>
                <w:sz w:val="28"/>
                <w:szCs w:val="28"/>
                <w:highlight w:val="cyan"/>
                <w:lang w:eastAsia="zh-CN"/>
              </w:rPr>
            </w:pPr>
            <w:r>
              <w:rPr>
                <w:rFonts w:ascii="仿宋" w:hAnsi="仿宋" w:eastAsia="仿宋" w:cs="仿宋"/>
                <w:sz w:val="28"/>
                <w:szCs w:val="28"/>
                <w:lang w:eastAsia="zh-CN"/>
              </w:rPr>
              <w:t>资格证明文件：须上传到“资格审查材料”中。</w:t>
            </w:r>
          </w:p>
        </w:tc>
      </w:tr>
      <w:tr w14:paraId="75CE7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60" w:type="dxa"/>
            <w:noWrap/>
            <w:vAlign w:val="center"/>
          </w:tcPr>
          <w:p w14:paraId="1C2C1BDD">
            <w:pPr>
              <w:spacing w:line="480" w:lineRule="exact"/>
              <w:jc w:val="center"/>
              <w:rPr>
                <w:rFonts w:hint="default" w:ascii="仿宋" w:hAnsi="仿宋" w:eastAsia="仿宋" w:cs="仿宋"/>
                <w:sz w:val="28"/>
                <w:szCs w:val="28"/>
              </w:rPr>
            </w:pPr>
            <w:r>
              <w:rPr>
                <w:rFonts w:ascii="仿宋" w:hAnsi="仿宋" w:eastAsia="仿宋" w:cs="仿宋"/>
                <w:sz w:val="28"/>
                <w:szCs w:val="28"/>
              </w:rPr>
              <w:t>18.3</w:t>
            </w:r>
          </w:p>
        </w:tc>
        <w:tc>
          <w:tcPr>
            <w:tcW w:w="7826" w:type="dxa"/>
            <w:noWrap/>
            <w:vAlign w:val="center"/>
          </w:tcPr>
          <w:p w14:paraId="52AC7C6B">
            <w:pPr>
              <w:spacing w:line="480" w:lineRule="exact"/>
              <w:rPr>
                <w:rFonts w:hint="default" w:ascii="仿宋" w:hAnsi="仿宋" w:eastAsia="仿宋" w:cs="仿宋"/>
                <w:sz w:val="28"/>
                <w:szCs w:val="28"/>
                <w:lang w:eastAsia="zh-CN"/>
              </w:rPr>
            </w:pPr>
            <w:r>
              <w:rPr>
                <w:rFonts w:ascii="仿宋" w:hAnsi="仿宋" w:eastAsia="仿宋" w:cs="仿宋"/>
                <w:sz w:val="28"/>
                <w:szCs w:val="28"/>
                <w:lang w:eastAsia="zh-CN"/>
              </w:rPr>
              <w:t>（</w:t>
            </w:r>
            <w:r>
              <w:rPr>
                <w:rFonts w:ascii="仿宋" w:hAnsi="仿宋" w:eastAsia="仿宋" w:cs="仿宋"/>
                <w:sz w:val="28"/>
                <w:szCs w:val="28"/>
                <w:lang w:val="en-US" w:eastAsia="zh-CN"/>
              </w:rPr>
              <w:t>1</w:t>
            </w:r>
            <w:r>
              <w:rPr>
                <w:rFonts w:ascii="仿宋" w:hAnsi="仿宋" w:eastAsia="仿宋" w:cs="仿宋"/>
                <w:sz w:val="28"/>
                <w:szCs w:val="28"/>
                <w:lang w:eastAsia="zh-CN"/>
              </w:rPr>
              <w:t>）投标报价：完成招标文件规定的服务范围的所有费用，包括本次采购项目的所有成本、管理费、利润、税金、人员工资、加班费、服装费、工具费、培训费、消耗品、交通、工具、办公费、国家相关规定的保险费以及投标人按有关规定应在报价中考虑的费用等。</w:t>
            </w:r>
          </w:p>
          <w:p w14:paraId="037C9F93">
            <w:pPr>
              <w:spacing w:line="480" w:lineRule="exact"/>
              <w:rPr>
                <w:rFonts w:hint="default" w:ascii="仿宋" w:hAnsi="仿宋" w:eastAsia="仿宋" w:cs="仿宋"/>
                <w:b/>
                <w:bCs/>
                <w:sz w:val="28"/>
                <w:szCs w:val="28"/>
                <w:lang w:eastAsia="zh-CN"/>
              </w:rPr>
            </w:pPr>
            <w:r>
              <w:rPr>
                <w:rFonts w:ascii="仿宋" w:hAnsi="仿宋" w:eastAsia="仿宋" w:cs="仿宋"/>
                <w:sz w:val="28"/>
                <w:szCs w:val="28"/>
                <w:lang w:eastAsia="zh-CN"/>
              </w:rPr>
              <w:t>（</w:t>
            </w:r>
            <w:r>
              <w:rPr>
                <w:rFonts w:ascii="仿宋" w:hAnsi="仿宋" w:eastAsia="仿宋" w:cs="仿宋"/>
                <w:sz w:val="28"/>
                <w:szCs w:val="28"/>
                <w:lang w:val="en-US" w:eastAsia="zh-CN"/>
              </w:rPr>
              <w:t>2</w:t>
            </w:r>
            <w:r>
              <w:rPr>
                <w:rFonts w:ascii="仿宋" w:hAnsi="仿宋" w:eastAsia="仿宋" w:cs="仿宋"/>
                <w:sz w:val="28"/>
                <w:szCs w:val="28"/>
                <w:lang w:eastAsia="zh-CN"/>
              </w:rPr>
              <w:t>）投标报价相关说明：</w:t>
            </w:r>
          </w:p>
          <w:p w14:paraId="322EB521">
            <w:pPr>
              <w:spacing w:line="480" w:lineRule="exact"/>
              <w:rPr>
                <w:rFonts w:hint="default" w:ascii="仿宋" w:hAnsi="仿宋" w:eastAsia="仿宋" w:cs="仿宋"/>
                <w:bCs/>
                <w:sz w:val="28"/>
                <w:szCs w:val="28"/>
                <w:lang w:eastAsia="zh-CN"/>
              </w:rPr>
            </w:pPr>
            <w:r>
              <w:rPr>
                <w:rFonts w:ascii="仿宋" w:hAnsi="仿宋" w:eastAsia="仿宋" w:cs="仿宋"/>
                <w:bCs/>
                <w:sz w:val="28"/>
                <w:szCs w:val="28"/>
                <w:lang w:eastAsia="zh-CN"/>
              </w:rPr>
              <w:t>①</w:t>
            </w:r>
            <w:r>
              <w:rPr>
                <w:rFonts w:ascii="仿宋" w:hAnsi="仿宋" w:eastAsia="仿宋" w:cs="仿宋"/>
                <w:sz w:val="28"/>
                <w:szCs w:val="28"/>
                <w:lang w:eastAsia="zh-CN"/>
              </w:rPr>
              <w:t>最低工资标准按</w:t>
            </w:r>
            <w:r>
              <w:rPr>
                <w:rFonts w:hint="eastAsia" w:ascii="仿宋" w:hAnsi="仿宋" w:eastAsia="仿宋" w:cs="仿宋"/>
                <w:sz w:val="28"/>
                <w:szCs w:val="28"/>
                <w:lang w:val="en-US" w:eastAsia="zh-CN"/>
              </w:rPr>
              <w:t>最新</w:t>
            </w:r>
            <w:r>
              <w:rPr>
                <w:rFonts w:ascii="仿宋" w:hAnsi="仿宋" w:eastAsia="仿宋" w:cs="仿宋"/>
                <w:sz w:val="28"/>
                <w:szCs w:val="28"/>
                <w:lang w:eastAsia="zh-CN"/>
              </w:rPr>
              <w:t>《</w:t>
            </w:r>
            <w:r>
              <w:rPr>
                <w:rFonts w:ascii="仿宋" w:hAnsi="仿宋" w:eastAsia="仿宋" w:cs="仿宋"/>
                <w:sz w:val="28"/>
                <w:szCs w:val="28"/>
                <w:lang w:val="en-US" w:eastAsia="zh-CN"/>
              </w:rPr>
              <w:t>河南省人民政府关于调整河南省最低工资标准的通知</w:t>
            </w:r>
            <w:r>
              <w:rPr>
                <w:rFonts w:ascii="仿宋" w:hAnsi="仿宋" w:eastAsia="仿宋" w:cs="仿宋"/>
                <w:sz w:val="28"/>
                <w:szCs w:val="28"/>
                <w:lang w:eastAsia="zh-CN"/>
              </w:rPr>
              <w:t>》执行。</w:t>
            </w:r>
          </w:p>
          <w:p w14:paraId="1324110C">
            <w:pPr>
              <w:spacing w:line="480" w:lineRule="exact"/>
              <w:rPr>
                <w:rFonts w:hint="default" w:ascii="仿宋" w:hAnsi="仿宋" w:eastAsia="仿宋" w:cs="仿宋"/>
                <w:bCs/>
                <w:sz w:val="28"/>
                <w:szCs w:val="28"/>
                <w:lang w:eastAsia="zh-CN"/>
              </w:rPr>
            </w:pPr>
            <w:r>
              <w:rPr>
                <w:rFonts w:ascii="仿宋" w:hAnsi="仿宋" w:eastAsia="仿宋" w:cs="仿宋"/>
                <w:bCs/>
                <w:sz w:val="28"/>
                <w:szCs w:val="28"/>
                <w:lang w:eastAsia="zh-CN"/>
              </w:rPr>
              <w:t>②岗位人员工资、社会保险费、税金取费不得低于国家规定的最低标准。</w:t>
            </w:r>
          </w:p>
          <w:p w14:paraId="6CBDDEB9">
            <w:pPr>
              <w:spacing w:line="480" w:lineRule="exact"/>
              <w:rPr>
                <w:rFonts w:hint="default" w:ascii="仿宋" w:hAnsi="仿宋" w:eastAsia="仿宋" w:cs="仿宋"/>
                <w:b/>
                <w:bCs/>
                <w:sz w:val="28"/>
                <w:szCs w:val="28"/>
                <w:lang w:eastAsia="zh-CN"/>
              </w:rPr>
            </w:pPr>
            <w:r>
              <w:rPr>
                <w:rFonts w:ascii="仿宋" w:hAnsi="仿宋" w:eastAsia="仿宋" w:cs="仿宋"/>
                <w:bCs/>
                <w:sz w:val="28"/>
                <w:szCs w:val="28"/>
                <w:lang w:eastAsia="zh-CN"/>
              </w:rPr>
              <w:t>③若有特殊情况，请予以备注说明并提供相关证明。</w:t>
            </w:r>
          </w:p>
          <w:p w14:paraId="37FE3F6C">
            <w:pPr>
              <w:spacing w:line="480" w:lineRule="exact"/>
              <w:jc w:val="left"/>
              <w:rPr>
                <w:rFonts w:hint="default" w:ascii="仿宋" w:hAnsi="仿宋" w:eastAsia="仿宋" w:cs="仿宋"/>
                <w:bCs/>
                <w:sz w:val="28"/>
                <w:szCs w:val="28"/>
                <w:lang w:eastAsia="zh-CN"/>
              </w:rPr>
            </w:pPr>
            <w:r>
              <w:rPr>
                <w:rFonts w:ascii="仿宋" w:hAnsi="仿宋" w:eastAsia="仿宋" w:cs="仿宋"/>
                <w:bCs/>
                <w:kern w:val="0"/>
                <w:sz w:val="28"/>
                <w:szCs w:val="28"/>
                <w:lang w:eastAsia="zh-CN"/>
              </w:rPr>
              <w:t>（</w:t>
            </w:r>
            <w:r>
              <w:rPr>
                <w:rFonts w:ascii="仿宋" w:hAnsi="仿宋" w:eastAsia="仿宋" w:cs="仿宋"/>
                <w:bCs/>
                <w:kern w:val="0"/>
                <w:sz w:val="28"/>
                <w:szCs w:val="28"/>
                <w:lang w:val="en-US" w:eastAsia="zh-CN"/>
              </w:rPr>
              <w:t>3</w:t>
            </w:r>
            <w:r>
              <w:rPr>
                <w:rFonts w:ascii="仿宋" w:hAnsi="仿宋" w:eastAsia="仿宋" w:cs="仿宋"/>
                <w:bCs/>
                <w:kern w:val="0"/>
                <w:sz w:val="28"/>
                <w:szCs w:val="28"/>
                <w:lang w:eastAsia="zh-CN"/>
              </w:rPr>
              <w:t>）</w:t>
            </w:r>
            <w:r>
              <w:rPr>
                <w:rFonts w:ascii="仿宋" w:hAnsi="仿宋" w:eastAsia="仿宋" w:cs="仿宋"/>
                <w:bCs/>
                <w:sz w:val="28"/>
                <w:szCs w:val="28"/>
                <w:lang w:eastAsia="zh-CN"/>
              </w:rPr>
              <w:t>投标报价超过</w:t>
            </w:r>
            <w:r>
              <w:rPr>
                <w:rFonts w:ascii="仿宋" w:hAnsi="仿宋" w:eastAsia="仿宋" w:cs="仿宋"/>
                <w:bCs/>
                <w:kern w:val="0"/>
                <w:sz w:val="28"/>
                <w:szCs w:val="28"/>
                <w:lang w:eastAsia="zh-CN"/>
              </w:rPr>
              <w:t>最高限价</w:t>
            </w:r>
            <w:r>
              <w:rPr>
                <w:rFonts w:ascii="仿宋" w:hAnsi="仿宋" w:eastAsia="仿宋" w:cs="仿宋"/>
                <w:bCs/>
                <w:sz w:val="28"/>
                <w:szCs w:val="28"/>
                <w:lang w:eastAsia="zh-CN"/>
              </w:rPr>
              <w:t>的按无效投标处理。</w:t>
            </w:r>
          </w:p>
        </w:tc>
      </w:tr>
      <w:tr w14:paraId="414EB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5" w:hRule="atLeast"/>
        </w:trPr>
        <w:tc>
          <w:tcPr>
            <w:tcW w:w="960" w:type="dxa"/>
            <w:noWrap/>
            <w:vAlign w:val="center"/>
          </w:tcPr>
          <w:p w14:paraId="585A4381">
            <w:pPr>
              <w:spacing w:line="480" w:lineRule="exact"/>
              <w:jc w:val="center"/>
              <w:rPr>
                <w:rFonts w:hint="default" w:ascii="仿宋" w:hAnsi="仿宋" w:eastAsia="仿宋" w:cs="仿宋"/>
                <w:sz w:val="28"/>
                <w:szCs w:val="28"/>
              </w:rPr>
            </w:pPr>
            <w:r>
              <w:rPr>
                <w:rFonts w:ascii="仿宋" w:hAnsi="仿宋" w:eastAsia="仿宋" w:cs="仿宋"/>
                <w:snapToGrid w:val="0"/>
                <w:sz w:val="28"/>
                <w:szCs w:val="28"/>
              </w:rPr>
              <w:t>19</w:t>
            </w:r>
          </w:p>
        </w:tc>
        <w:tc>
          <w:tcPr>
            <w:tcW w:w="7826" w:type="dxa"/>
            <w:noWrap/>
            <w:vAlign w:val="center"/>
          </w:tcPr>
          <w:p w14:paraId="65494B53">
            <w:pPr>
              <w:spacing w:line="480" w:lineRule="exact"/>
              <w:rPr>
                <w:rFonts w:hint="default" w:ascii="仿宋" w:hAnsi="仿宋" w:eastAsia="仿宋" w:cs="仿宋"/>
                <w:sz w:val="28"/>
                <w:szCs w:val="28"/>
                <w:u w:val="single"/>
              </w:rPr>
            </w:pPr>
            <w:r>
              <w:rPr>
                <w:rFonts w:ascii="仿宋" w:hAnsi="仿宋" w:eastAsia="仿宋" w:cs="仿宋"/>
                <w:sz w:val="28"/>
                <w:szCs w:val="28"/>
              </w:rPr>
              <w:t>投标货币：人民币。</w:t>
            </w:r>
          </w:p>
        </w:tc>
      </w:tr>
      <w:tr w14:paraId="7DF82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39" w:hRule="atLeast"/>
        </w:trPr>
        <w:tc>
          <w:tcPr>
            <w:tcW w:w="960" w:type="dxa"/>
            <w:noWrap/>
            <w:vAlign w:val="center"/>
          </w:tcPr>
          <w:p w14:paraId="4EC65E33">
            <w:pPr>
              <w:spacing w:line="480" w:lineRule="exact"/>
              <w:jc w:val="center"/>
              <w:rPr>
                <w:rFonts w:hint="default" w:ascii="仿宋" w:hAnsi="仿宋" w:eastAsia="仿宋" w:cs="仿宋"/>
                <w:sz w:val="28"/>
                <w:szCs w:val="28"/>
                <w:lang w:val="en-US" w:eastAsia="zh-CN"/>
              </w:rPr>
            </w:pPr>
            <w:r>
              <w:rPr>
                <w:rFonts w:ascii="仿宋" w:hAnsi="仿宋" w:eastAsia="仿宋" w:cs="仿宋"/>
                <w:sz w:val="28"/>
                <w:szCs w:val="28"/>
                <w:lang w:val="en-US" w:eastAsia="zh-CN"/>
              </w:rPr>
              <w:t>20</w:t>
            </w:r>
          </w:p>
        </w:tc>
        <w:tc>
          <w:tcPr>
            <w:tcW w:w="7826" w:type="dxa"/>
            <w:noWrap/>
            <w:vAlign w:val="center"/>
          </w:tcPr>
          <w:p w14:paraId="78EE12F2">
            <w:pPr>
              <w:spacing w:line="480" w:lineRule="exact"/>
              <w:rPr>
                <w:rFonts w:hint="default" w:ascii="仿宋" w:hAnsi="仿宋" w:eastAsia="仿宋" w:cs="仿宋"/>
                <w:sz w:val="28"/>
                <w:szCs w:val="28"/>
                <w:lang w:val="en-US" w:eastAsia="zh-CN"/>
              </w:rPr>
            </w:pPr>
            <w:r>
              <w:rPr>
                <w:rFonts w:ascii="仿宋" w:hAnsi="仿宋" w:eastAsia="仿宋" w:cs="仿宋"/>
                <w:sz w:val="28"/>
                <w:szCs w:val="28"/>
                <w:lang w:val="en-US" w:eastAsia="zh-CN"/>
              </w:rPr>
              <w:t>投标人资格证明文件：</w:t>
            </w:r>
          </w:p>
          <w:p w14:paraId="68675B7F">
            <w:pPr>
              <w:tabs>
                <w:tab w:val="left" w:pos="5580"/>
              </w:tabs>
              <w:spacing w:line="480" w:lineRule="exact"/>
              <w:rPr>
                <w:rFonts w:hint="default" w:ascii="仿宋" w:hAnsi="仿宋" w:eastAsia="仿宋" w:cs="仿宋"/>
                <w:sz w:val="28"/>
                <w:szCs w:val="28"/>
                <w:lang w:val="en-US" w:eastAsia="zh-CN"/>
              </w:rPr>
            </w:pPr>
            <w:r>
              <w:rPr>
                <w:rFonts w:ascii="仿宋" w:hAnsi="仿宋" w:eastAsia="仿宋" w:cs="仿宋"/>
                <w:sz w:val="28"/>
                <w:szCs w:val="28"/>
                <w:lang w:val="en-US" w:eastAsia="zh-CN"/>
              </w:rPr>
              <w:t>（1）</w:t>
            </w:r>
            <w:r>
              <w:rPr>
                <w:rFonts w:ascii="仿宋" w:hAnsi="仿宋" w:eastAsia="仿宋" w:cs="仿宋"/>
                <w:color w:val="auto"/>
                <w:kern w:val="0"/>
                <w:sz w:val="28"/>
                <w:szCs w:val="28"/>
                <w:lang w:eastAsia="zh-CN"/>
              </w:rPr>
              <w:t>法人或者其他组织的营业执照等证明文件或自然人的身份证明</w:t>
            </w:r>
            <w:r>
              <w:rPr>
                <w:rFonts w:ascii="仿宋" w:hAnsi="仿宋" w:eastAsia="仿宋" w:cs="仿宋"/>
                <w:sz w:val="28"/>
                <w:szCs w:val="28"/>
                <w:lang w:val="en-US" w:eastAsia="zh-CN"/>
              </w:rPr>
              <w:t>；</w:t>
            </w:r>
          </w:p>
          <w:p w14:paraId="2F9F1ED7">
            <w:pPr>
              <w:spacing w:line="480" w:lineRule="exact"/>
              <w:rPr>
                <w:rFonts w:hint="default" w:ascii="仿宋" w:hAnsi="仿宋" w:eastAsia="仿宋" w:cs="仿宋"/>
                <w:sz w:val="28"/>
                <w:szCs w:val="28"/>
                <w:lang w:val="en-US" w:eastAsia="zh-CN"/>
              </w:rPr>
            </w:pPr>
            <w:r>
              <w:rPr>
                <w:rFonts w:ascii="仿宋" w:hAnsi="仿宋" w:eastAsia="仿宋" w:cs="仿宋"/>
                <w:sz w:val="28"/>
                <w:szCs w:val="28"/>
                <w:lang w:val="en-US" w:eastAsia="zh-CN"/>
              </w:rPr>
              <w:t>（2）202</w:t>
            </w:r>
            <w:r>
              <w:rPr>
                <w:rFonts w:hint="eastAsia" w:ascii="仿宋" w:hAnsi="仿宋" w:eastAsia="仿宋" w:cs="仿宋"/>
                <w:sz w:val="28"/>
                <w:szCs w:val="28"/>
                <w:lang w:val="en-US" w:eastAsia="zh-CN"/>
              </w:rPr>
              <w:t>4</w:t>
            </w:r>
            <w:r>
              <w:rPr>
                <w:rFonts w:ascii="仿宋" w:hAnsi="仿宋" w:eastAsia="仿宋" w:cs="仿宋"/>
                <w:sz w:val="28"/>
                <w:szCs w:val="28"/>
                <w:lang w:val="en-US" w:eastAsia="zh-CN"/>
              </w:rPr>
              <w:t>年度财务审计报告扫描件（要求注册会计师签字并加盖会计师印章；如截止到投标截止时间，投标人成立时间不足要求时限的，可提供银行资信证明材料）；</w:t>
            </w:r>
          </w:p>
          <w:p w14:paraId="0DCD19E7">
            <w:pPr>
              <w:spacing w:line="480" w:lineRule="exact"/>
              <w:rPr>
                <w:rFonts w:hint="default" w:ascii="仿宋" w:hAnsi="仿宋" w:eastAsia="仿宋" w:cs="仿宋"/>
                <w:sz w:val="28"/>
                <w:szCs w:val="28"/>
                <w:lang w:val="en-US" w:eastAsia="zh-CN"/>
              </w:rPr>
            </w:pPr>
            <w:r>
              <w:rPr>
                <w:rFonts w:ascii="仿宋" w:hAnsi="仿宋" w:eastAsia="仿宋" w:cs="仿宋"/>
                <w:sz w:val="28"/>
                <w:szCs w:val="28"/>
                <w:lang w:val="en-US" w:eastAsia="zh-CN"/>
              </w:rPr>
              <w:t>（3）</w:t>
            </w:r>
            <w:r>
              <w:rPr>
                <w:rFonts w:ascii="仿宋" w:hAnsi="仿宋" w:eastAsia="仿宋" w:cs="仿宋"/>
                <w:color w:val="auto"/>
                <w:sz w:val="28"/>
                <w:szCs w:val="28"/>
                <w:lang w:val="en-US" w:eastAsia="zh-CN"/>
              </w:rPr>
              <w:t>依法缴纳税收和社会保障资金的相关材料（提供自</w:t>
            </w:r>
            <w:r>
              <w:rPr>
                <w:rFonts w:hint="eastAsia" w:ascii="仿宋" w:hAnsi="仿宋" w:eastAsia="仿宋" w:cs="仿宋"/>
                <w:color w:val="auto"/>
                <w:sz w:val="28"/>
                <w:szCs w:val="28"/>
                <w:lang w:val="en-US" w:eastAsia="zh-CN"/>
              </w:rPr>
              <w:t>2025</w:t>
            </w:r>
            <w:r>
              <w:rPr>
                <w:rFonts w:ascii="仿宋" w:hAnsi="仿宋" w:eastAsia="仿宋" w:cs="仿宋"/>
                <w:color w:val="auto"/>
                <w:sz w:val="28"/>
                <w:szCs w:val="28"/>
                <w:lang w:val="en-US" w:eastAsia="zh-CN"/>
              </w:rPr>
              <w:t>年1月1日以来至少一个月的纳税证明和社保缴纳证明，依法免税或不需要缴纳社会保障资金的，应提供相应文件证明其依法免税或不需要缴纳）。</w:t>
            </w:r>
          </w:p>
          <w:p w14:paraId="13EDE6CA">
            <w:pPr>
              <w:spacing w:line="480" w:lineRule="exact"/>
              <w:rPr>
                <w:rFonts w:hint="default" w:ascii="仿宋" w:hAnsi="仿宋" w:eastAsia="仿宋" w:cs="仿宋"/>
                <w:sz w:val="28"/>
                <w:szCs w:val="28"/>
                <w:lang w:val="en-US" w:eastAsia="zh-CN"/>
              </w:rPr>
            </w:pPr>
            <w:r>
              <w:rPr>
                <w:rFonts w:ascii="仿宋" w:hAnsi="仿宋" w:eastAsia="仿宋" w:cs="仿宋"/>
                <w:sz w:val="28"/>
                <w:szCs w:val="28"/>
                <w:lang w:val="en-US" w:eastAsia="zh-CN"/>
              </w:rPr>
              <w:t>（4）具备履行合同所必需的设备和专业技术能力的证明材料；</w:t>
            </w:r>
          </w:p>
          <w:p w14:paraId="06561BC0">
            <w:pPr>
              <w:spacing w:line="480" w:lineRule="exact"/>
              <w:rPr>
                <w:rFonts w:hint="eastAsia" w:ascii="仿宋" w:hAnsi="仿宋" w:eastAsia="仿宋" w:cs="仿宋"/>
                <w:sz w:val="28"/>
                <w:szCs w:val="28"/>
                <w:lang w:val="en-US" w:eastAsia="zh-CN"/>
              </w:rPr>
            </w:pPr>
            <w:r>
              <w:rPr>
                <w:rFonts w:ascii="仿宋" w:hAnsi="仿宋" w:eastAsia="仿宋" w:cs="仿宋"/>
                <w:sz w:val="28"/>
                <w:szCs w:val="28"/>
                <w:lang w:val="en-US" w:eastAsia="zh-CN"/>
              </w:rPr>
              <w:t>（5）</w:t>
            </w:r>
            <w:r>
              <w:rPr>
                <w:rFonts w:ascii="仿宋" w:hAnsi="仿宋" w:eastAsia="仿宋" w:cs="仿宋"/>
                <w:color w:val="auto"/>
                <w:kern w:val="0"/>
                <w:sz w:val="28"/>
                <w:szCs w:val="28"/>
                <w:lang w:eastAsia="zh-CN"/>
              </w:rPr>
              <w:t>参加政府采购活动前</w:t>
            </w:r>
            <w:r>
              <w:rPr>
                <w:rFonts w:ascii="仿宋" w:hAnsi="仿宋" w:eastAsia="仿宋" w:cs="仿宋"/>
                <w:color w:val="auto"/>
                <w:kern w:val="0"/>
                <w:sz w:val="28"/>
                <w:szCs w:val="28"/>
                <w:lang w:val="en-US" w:eastAsia="zh-CN"/>
              </w:rPr>
              <w:t>3</w:t>
            </w:r>
            <w:r>
              <w:rPr>
                <w:rFonts w:ascii="仿宋" w:hAnsi="仿宋" w:eastAsia="仿宋" w:cs="仿宋"/>
                <w:color w:val="auto"/>
                <w:kern w:val="0"/>
                <w:sz w:val="28"/>
                <w:szCs w:val="28"/>
                <w:lang w:eastAsia="zh-CN"/>
              </w:rPr>
              <w:t>年内在经营活动中没有重大违法记录的书面</w:t>
            </w:r>
            <w:r>
              <w:rPr>
                <w:rFonts w:ascii="仿宋" w:hAnsi="仿宋" w:eastAsia="仿宋" w:cs="仿宋"/>
                <w:sz w:val="28"/>
                <w:szCs w:val="28"/>
                <w:lang w:val="en-US" w:eastAsia="zh-CN"/>
              </w:rPr>
              <w:t>声明</w:t>
            </w:r>
            <w:r>
              <w:rPr>
                <w:rFonts w:hint="eastAsia" w:ascii="仿宋" w:hAnsi="仿宋" w:eastAsia="仿宋" w:cs="仿宋"/>
                <w:sz w:val="28"/>
                <w:szCs w:val="28"/>
                <w:lang w:val="en-US" w:eastAsia="zh-CN"/>
              </w:rPr>
              <w:t>；</w:t>
            </w:r>
          </w:p>
          <w:p w14:paraId="2D547600">
            <w:pPr>
              <w:spacing w:line="480" w:lineRule="exact"/>
              <w:rPr>
                <w:rFonts w:hint="default" w:ascii="仿宋" w:hAnsi="仿宋" w:eastAsia="仿宋" w:cs="仿宋"/>
                <w:sz w:val="28"/>
                <w:szCs w:val="28"/>
                <w:lang w:val="en-US" w:eastAsia="zh-CN"/>
              </w:rPr>
            </w:pPr>
            <w:r>
              <w:rPr>
                <w:rFonts w:hint="default" w:ascii="Times New Roman" w:hAnsi="Times New Roman" w:eastAsia="仿宋_GB2312" w:cs="Times New Roman"/>
                <w:color w:val="auto"/>
                <w:kern w:val="0"/>
                <w:sz w:val="28"/>
                <w:szCs w:val="28"/>
                <w:lang w:val="en-US" w:eastAsia="zh-CN"/>
              </w:rPr>
              <w:t>（6）投标人关联单位的说明</w:t>
            </w:r>
            <w:r>
              <w:rPr>
                <w:rFonts w:ascii="仿宋" w:hAnsi="仿宋" w:eastAsia="仿宋" w:cs="仿宋"/>
                <w:sz w:val="28"/>
                <w:szCs w:val="28"/>
                <w:lang w:val="en-US" w:eastAsia="zh-CN"/>
              </w:rPr>
              <w:t>。</w:t>
            </w:r>
          </w:p>
          <w:p w14:paraId="28CD5A50">
            <w:pPr>
              <w:spacing w:line="480" w:lineRule="exact"/>
              <w:rPr>
                <w:rFonts w:hint="default" w:ascii="仿宋" w:hAnsi="仿宋" w:eastAsia="仿宋" w:cs="仿宋"/>
                <w:sz w:val="28"/>
                <w:szCs w:val="28"/>
                <w:lang w:val="en-US" w:eastAsia="zh-CN"/>
              </w:rPr>
            </w:pPr>
            <w:r>
              <w:rPr>
                <w:rFonts w:ascii="仿宋" w:hAnsi="仿宋" w:eastAsia="仿宋" w:cs="仿宋"/>
                <w:sz w:val="28"/>
                <w:szCs w:val="28"/>
                <w:lang w:val="en-US" w:eastAsia="zh-CN"/>
              </w:rPr>
              <w:t>（以上要求中，如有投标人成立时限不足要求时限的，由投标人根据自身成立时间提供证明资料。）</w:t>
            </w:r>
          </w:p>
        </w:tc>
      </w:tr>
      <w:tr w14:paraId="1EB6B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64" w:hRule="atLeast"/>
        </w:trPr>
        <w:tc>
          <w:tcPr>
            <w:tcW w:w="960" w:type="dxa"/>
            <w:noWrap/>
            <w:vAlign w:val="center"/>
          </w:tcPr>
          <w:p w14:paraId="4F710791">
            <w:pPr>
              <w:spacing w:line="480" w:lineRule="exact"/>
              <w:jc w:val="center"/>
              <w:rPr>
                <w:rFonts w:hint="default" w:ascii="仿宋" w:hAnsi="仿宋" w:eastAsia="仿宋" w:cs="仿宋"/>
                <w:sz w:val="28"/>
                <w:szCs w:val="28"/>
              </w:rPr>
            </w:pPr>
            <w:r>
              <w:rPr>
                <w:rFonts w:ascii="仿宋" w:hAnsi="仿宋" w:eastAsia="仿宋" w:cs="仿宋"/>
                <w:sz w:val="28"/>
                <w:szCs w:val="28"/>
              </w:rPr>
              <w:t>2</w:t>
            </w:r>
            <w:r>
              <w:rPr>
                <w:rFonts w:ascii="仿宋" w:hAnsi="仿宋" w:eastAsia="仿宋" w:cs="仿宋"/>
                <w:sz w:val="28"/>
                <w:szCs w:val="28"/>
                <w:lang w:val="en-US" w:eastAsia="zh-CN"/>
              </w:rPr>
              <w:t>4</w:t>
            </w:r>
            <w:r>
              <w:rPr>
                <w:rFonts w:ascii="仿宋" w:hAnsi="仿宋" w:eastAsia="仿宋" w:cs="仿宋"/>
                <w:sz w:val="28"/>
                <w:szCs w:val="28"/>
              </w:rPr>
              <w:t>.1</w:t>
            </w:r>
          </w:p>
        </w:tc>
        <w:tc>
          <w:tcPr>
            <w:tcW w:w="7826" w:type="dxa"/>
            <w:noWrap/>
            <w:vAlign w:val="center"/>
          </w:tcPr>
          <w:p w14:paraId="160AEB5E">
            <w:pPr>
              <w:spacing w:line="480" w:lineRule="exact"/>
              <w:jc w:val="left"/>
              <w:rPr>
                <w:rFonts w:hint="default" w:ascii="仿宋" w:hAnsi="仿宋" w:eastAsia="仿宋" w:cs="仿宋"/>
                <w:sz w:val="28"/>
                <w:szCs w:val="28"/>
                <w:lang w:eastAsia="zh-CN"/>
              </w:rPr>
            </w:pPr>
            <w:r>
              <w:rPr>
                <w:rFonts w:ascii="仿宋" w:hAnsi="仿宋" w:eastAsia="仿宋" w:cs="仿宋"/>
                <w:sz w:val="28"/>
                <w:szCs w:val="28"/>
                <w:lang w:eastAsia="zh-CN"/>
              </w:rPr>
              <w:t>投标有效期：从投标截止之日起60日</w:t>
            </w:r>
          </w:p>
        </w:tc>
      </w:tr>
      <w:tr w14:paraId="48445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60" w:type="dxa"/>
            <w:noWrap/>
            <w:vAlign w:val="center"/>
          </w:tcPr>
          <w:p w14:paraId="19668AEE">
            <w:pPr>
              <w:spacing w:line="480" w:lineRule="exact"/>
              <w:jc w:val="center"/>
              <w:rPr>
                <w:rFonts w:hint="default" w:ascii="仿宋" w:hAnsi="仿宋" w:eastAsia="仿宋" w:cs="仿宋"/>
                <w:sz w:val="28"/>
                <w:szCs w:val="28"/>
              </w:rPr>
            </w:pPr>
            <w:r>
              <w:rPr>
                <w:rFonts w:ascii="仿宋" w:hAnsi="仿宋" w:eastAsia="仿宋" w:cs="仿宋"/>
                <w:sz w:val="28"/>
                <w:szCs w:val="28"/>
              </w:rPr>
              <w:t>2</w:t>
            </w:r>
            <w:r>
              <w:rPr>
                <w:rFonts w:ascii="仿宋" w:hAnsi="仿宋" w:eastAsia="仿宋" w:cs="仿宋"/>
                <w:sz w:val="28"/>
                <w:szCs w:val="28"/>
                <w:lang w:val="en-US" w:eastAsia="zh-CN"/>
              </w:rPr>
              <w:t>6</w:t>
            </w:r>
            <w:r>
              <w:rPr>
                <w:rFonts w:ascii="仿宋" w:hAnsi="仿宋" w:eastAsia="仿宋" w:cs="仿宋"/>
                <w:sz w:val="28"/>
                <w:szCs w:val="28"/>
              </w:rPr>
              <w:t>.1</w:t>
            </w:r>
          </w:p>
        </w:tc>
        <w:tc>
          <w:tcPr>
            <w:tcW w:w="7826" w:type="dxa"/>
            <w:noWrap/>
            <w:vAlign w:val="center"/>
          </w:tcPr>
          <w:p w14:paraId="0B52912E">
            <w:pPr>
              <w:spacing w:line="480" w:lineRule="exact"/>
              <w:jc w:val="left"/>
              <w:rPr>
                <w:rFonts w:hint="default" w:ascii="仿宋" w:hAnsi="仿宋" w:eastAsia="仿宋" w:cs="仿宋"/>
                <w:sz w:val="28"/>
                <w:szCs w:val="28"/>
              </w:rPr>
            </w:pPr>
            <w:r>
              <w:rPr>
                <w:rFonts w:ascii="仿宋" w:hAnsi="仿宋" w:eastAsia="仿宋" w:cs="仿宋"/>
                <w:sz w:val="28"/>
                <w:szCs w:val="28"/>
              </w:rPr>
              <w:t>加密电子投标文件的上传：加密电子投标文件须在投标截止时间前通过“河南省公共资源交易中心（</w:t>
            </w:r>
            <w:r>
              <w:rPr>
                <w:rFonts w:hint="eastAsia" w:ascii="仿宋" w:hAnsi="仿宋" w:eastAsia="仿宋" w:cs="仿宋"/>
                <w:sz w:val="28"/>
                <w:szCs w:val="28"/>
                <w:lang w:eastAsia="zh-CN"/>
              </w:rPr>
              <w:t>hnsggzyjy.henan.gov.cn</w:t>
            </w:r>
            <w:r>
              <w:rPr>
                <w:rFonts w:ascii="仿宋" w:hAnsi="仿宋" w:eastAsia="仿宋" w:cs="仿宋"/>
                <w:sz w:val="28"/>
                <w:szCs w:val="28"/>
              </w:rPr>
              <w:t>）”电子交易平台加密上传。</w:t>
            </w:r>
          </w:p>
        </w:tc>
      </w:tr>
      <w:tr w14:paraId="4F4F5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60" w:type="dxa"/>
            <w:noWrap/>
            <w:vAlign w:val="center"/>
          </w:tcPr>
          <w:p w14:paraId="0AEF07D0">
            <w:pPr>
              <w:spacing w:line="480" w:lineRule="exact"/>
              <w:jc w:val="center"/>
              <w:rPr>
                <w:rFonts w:hint="default" w:ascii="仿宋" w:hAnsi="仿宋" w:eastAsia="仿宋" w:cs="仿宋"/>
                <w:sz w:val="28"/>
                <w:szCs w:val="28"/>
              </w:rPr>
            </w:pPr>
            <w:r>
              <w:rPr>
                <w:rFonts w:ascii="仿宋" w:hAnsi="仿宋" w:eastAsia="仿宋" w:cs="仿宋"/>
                <w:sz w:val="28"/>
                <w:szCs w:val="28"/>
              </w:rPr>
              <w:t>2</w:t>
            </w:r>
            <w:r>
              <w:rPr>
                <w:rFonts w:ascii="仿宋" w:hAnsi="仿宋" w:eastAsia="仿宋" w:cs="仿宋"/>
                <w:sz w:val="28"/>
                <w:szCs w:val="28"/>
                <w:lang w:val="en-US" w:eastAsia="zh-CN"/>
              </w:rPr>
              <w:t>7</w:t>
            </w:r>
            <w:r>
              <w:rPr>
                <w:rFonts w:ascii="仿宋" w:hAnsi="仿宋" w:eastAsia="仿宋" w:cs="仿宋"/>
                <w:sz w:val="28"/>
                <w:szCs w:val="28"/>
              </w:rPr>
              <w:t>.1</w:t>
            </w:r>
          </w:p>
        </w:tc>
        <w:tc>
          <w:tcPr>
            <w:tcW w:w="7826" w:type="dxa"/>
            <w:noWrap/>
            <w:vAlign w:val="center"/>
          </w:tcPr>
          <w:p w14:paraId="30A4D099">
            <w:pPr>
              <w:spacing w:line="480" w:lineRule="exact"/>
              <w:jc w:val="left"/>
              <w:rPr>
                <w:rFonts w:hint="default" w:ascii="仿宋" w:hAnsi="仿宋" w:eastAsia="仿宋" w:cs="仿宋"/>
                <w:sz w:val="28"/>
                <w:szCs w:val="28"/>
                <w:lang w:eastAsia="zh-CN"/>
              </w:rPr>
            </w:pPr>
            <w:r>
              <w:rPr>
                <w:rFonts w:ascii="仿宋" w:hAnsi="仿宋" w:eastAsia="仿宋" w:cs="仿宋"/>
                <w:sz w:val="28"/>
                <w:szCs w:val="28"/>
                <w:lang w:eastAsia="zh-CN"/>
              </w:rPr>
              <w:t>投标截止时间：详见“第一章 投标邀请”</w:t>
            </w:r>
          </w:p>
        </w:tc>
      </w:tr>
      <w:tr w14:paraId="1EBFD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877" w:hRule="atLeast"/>
        </w:trPr>
        <w:tc>
          <w:tcPr>
            <w:tcW w:w="960" w:type="dxa"/>
            <w:noWrap/>
            <w:vAlign w:val="center"/>
          </w:tcPr>
          <w:p w14:paraId="559D3B2E">
            <w:pPr>
              <w:spacing w:line="480" w:lineRule="exact"/>
              <w:jc w:val="center"/>
              <w:rPr>
                <w:rFonts w:hint="default" w:ascii="仿宋" w:hAnsi="仿宋" w:eastAsia="仿宋" w:cs="仿宋"/>
                <w:sz w:val="28"/>
                <w:szCs w:val="28"/>
              </w:rPr>
            </w:pPr>
            <w:r>
              <w:rPr>
                <w:rFonts w:ascii="仿宋" w:hAnsi="仿宋" w:eastAsia="仿宋" w:cs="仿宋"/>
                <w:sz w:val="28"/>
                <w:szCs w:val="28"/>
                <w:lang w:val="en-US" w:eastAsia="zh-CN"/>
              </w:rPr>
              <w:t>30</w:t>
            </w:r>
            <w:r>
              <w:rPr>
                <w:rFonts w:ascii="仿宋" w:hAnsi="仿宋" w:eastAsia="仿宋" w:cs="仿宋"/>
                <w:sz w:val="28"/>
                <w:szCs w:val="28"/>
              </w:rPr>
              <w:t>.1</w:t>
            </w:r>
          </w:p>
        </w:tc>
        <w:tc>
          <w:tcPr>
            <w:tcW w:w="7826" w:type="dxa"/>
            <w:noWrap/>
            <w:vAlign w:val="center"/>
          </w:tcPr>
          <w:p w14:paraId="2301E631">
            <w:pPr>
              <w:spacing w:line="480" w:lineRule="exact"/>
              <w:rPr>
                <w:rFonts w:hint="default" w:ascii="仿宋" w:hAnsi="仿宋" w:eastAsia="仿宋" w:cs="仿宋"/>
                <w:sz w:val="28"/>
                <w:szCs w:val="28"/>
                <w:lang w:eastAsia="zh-CN"/>
              </w:rPr>
            </w:pPr>
            <w:r>
              <w:rPr>
                <w:rFonts w:ascii="仿宋" w:hAnsi="仿宋" w:eastAsia="仿宋" w:cs="仿宋"/>
                <w:sz w:val="28"/>
                <w:szCs w:val="28"/>
                <w:lang w:eastAsia="zh-CN"/>
              </w:rPr>
              <w:t>开标及解密方式：“远程不见面”开标方式，投标人无需到河南省公共资源交易中心现场参加开标会议。在投标截止时间前，投标人登陆不见面开标大厅，在线准时参加开标活动并进行文件解密。未在规定时间内解密投标文件的投标人，其投标文件不予接受并退回。</w:t>
            </w:r>
          </w:p>
        </w:tc>
      </w:tr>
      <w:tr w14:paraId="1F82D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60" w:type="dxa"/>
            <w:noWrap/>
            <w:vAlign w:val="center"/>
          </w:tcPr>
          <w:p w14:paraId="1709ADA5">
            <w:pPr>
              <w:spacing w:line="480" w:lineRule="exact"/>
              <w:jc w:val="center"/>
              <w:rPr>
                <w:rFonts w:hint="default" w:ascii="仿宋" w:hAnsi="仿宋" w:eastAsia="仿宋" w:cs="仿宋"/>
                <w:sz w:val="28"/>
                <w:szCs w:val="28"/>
              </w:rPr>
            </w:pPr>
            <w:r>
              <w:rPr>
                <w:rFonts w:ascii="仿宋" w:hAnsi="仿宋" w:eastAsia="仿宋" w:cs="仿宋"/>
                <w:sz w:val="28"/>
                <w:szCs w:val="28"/>
                <w:lang w:val="en-US" w:eastAsia="zh-CN"/>
              </w:rPr>
              <w:t>30</w:t>
            </w:r>
            <w:r>
              <w:rPr>
                <w:rFonts w:ascii="仿宋" w:hAnsi="仿宋" w:eastAsia="仿宋" w:cs="仿宋"/>
                <w:sz w:val="28"/>
                <w:szCs w:val="28"/>
              </w:rPr>
              <w:t>.2</w:t>
            </w:r>
          </w:p>
        </w:tc>
        <w:tc>
          <w:tcPr>
            <w:tcW w:w="7826" w:type="dxa"/>
            <w:noWrap/>
            <w:vAlign w:val="center"/>
          </w:tcPr>
          <w:p w14:paraId="32AB7E49">
            <w:pPr>
              <w:spacing w:line="480" w:lineRule="exact"/>
              <w:rPr>
                <w:rFonts w:hint="default" w:ascii="仿宋" w:hAnsi="仿宋" w:eastAsia="仿宋" w:cs="仿宋"/>
                <w:sz w:val="28"/>
                <w:szCs w:val="28"/>
                <w:lang w:eastAsia="zh-CN"/>
              </w:rPr>
            </w:pPr>
            <w:r>
              <w:rPr>
                <w:rFonts w:ascii="仿宋" w:hAnsi="仿宋" w:eastAsia="仿宋" w:cs="仿宋"/>
                <w:sz w:val="28"/>
                <w:szCs w:val="28"/>
                <w:lang w:eastAsia="zh-CN"/>
              </w:rPr>
              <w:t>远程开标大厅网址：河南省公共资源交易中心 （</w:t>
            </w:r>
            <w:r>
              <w:rPr>
                <w:rFonts w:hint="eastAsia" w:ascii="仿宋" w:hAnsi="仿宋" w:eastAsia="仿宋" w:cs="仿宋"/>
                <w:sz w:val="28"/>
                <w:szCs w:val="28"/>
                <w:lang w:eastAsia="zh-CN"/>
              </w:rPr>
              <w:t>hnsggzyjy.henan.gov.cn</w:t>
            </w:r>
            <w:r>
              <w:rPr>
                <w:rFonts w:ascii="仿宋" w:hAnsi="仿宋" w:eastAsia="仿宋" w:cs="仿宋"/>
                <w:sz w:val="28"/>
                <w:szCs w:val="28"/>
                <w:lang w:eastAsia="zh-CN"/>
              </w:rPr>
              <w:t>）——不见面开标大厅。</w:t>
            </w:r>
          </w:p>
        </w:tc>
      </w:tr>
      <w:tr w14:paraId="2E199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60" w:type="dxa"/>
            <w:noWrap/>
            <w:vAlign w:val="center"/>
          </w:tcPr>
          <w:p w14:paraId="49C953E6">
            <w:pPr>
              <w:spacing w:line="480" w:lineRule="exact"/>
              <w:jc w:val="center"/>
              <w:rPr>
                <w:rFonts w:hint="default" w:ascii="仿宋" w:hAnsi="仿宋" w:eastAsia="仿宋" w:cs="仿宋"/>
                <w:sz w:val="28"/>
                <w:szCs w:val="28"/>
              </w:rPr>
            </w:pPr>
            <w:r>
              <w:rPr>
                <w:rFonts w:ascii="仿宋" w:hAnsi="仿宋" w:eastAsia="仿宋" w:cs="仿宋"/>
                <w:sz w:val="28"/>
                <w:szCs w:val="28"/>
                <w:lang w:val="en-US" w:eastAsia="zh-CN"/>
              </w:rPr>
              <w:t>30</w:t>
            </w:r>
            <w:r>
              <w:rPr>
                <w:rFonts w:ascii="仿宋" w:hAnsi="仿宋" w:eastAsia="仿宋" w:cs="仿宋"/>
                <w:sz w:val="28"/>
                <w:szCs w:val="28"/>
              </w:rPr>
              <w:t>.3</w:t>
            </w:r>
          </w:p>
        </w:tc>
        <w:tc>
          <w:tcPr>
            <w:tcW w:w="7826" w:type="dxa"/>
            <w:noWrap/>
            <w:vAlign w:val="center"/>
          </w:tcPr>
          <w:p w14:paraId="3DA91898">
            <w:pPr>
              <w:widowControl w:val="0"/>
              <w:spacing w:line="480" w:lineRule="exact"/>
              <w:rPr>
                <w:rFonts w:hint="default" w:ascii="仿宋" w:hAnsi="仿宋" w:eastAsia="仿宋" w:cs="仿宋"/>
                <w:color w:val="auto"/>
                <w:sz w:val="28"/>
                <w:szCs w:val="28"/>
                <w:u w:val="single"/>
                <w:lang w:val="en-US" w:eastAsia="zh-CN"/>
              </w:rPr>
            </w:pPr>
            <w:r>
              <w:rPr>
                <w:rFonts w:ascii="仿宋" w:hAnsi="仿宋" w:eastAsia="仿宋" w:cs="仿宋"/>
                <w:color w:val="auto"/>
                <w:sz w:val="28"/>
                <w:szCs w:val="28"/>
                <w:lang w:val="en-US" w:eastAsia="zh-CN"/>
              </w:rPr>
              <w:t>开标时间：详见“第一章 投标邀请”</w:t>
            </w:r>
          </w:p>
          <w:p w14:paraId="165345A7">
            <w:pPr>
              <w:spacing w:line="480" w:lineRule="exact"/>
              <w:jc w:val="left"/>
              <w:rPr>
                <w:rFonts w:hint="default" w:ascii="仿宋" w:hAnsi="仿宋" w:eastAsia="仿宋" w:cs="仿宋"/>
                <w:b/>
                <w:bCs/>
                <w:sz w:val="28"/>
                <w:szCs w:val="28"/>
                <w:lang w:eastAsia="zh-CN"/>
              </w:rPr>
            </w:pPr>
            <w:r>
              <w:rPr>
                <w:rFonts w:ascii="仿宋" w:hAnsi="仿宋" w:eastAsia="仿宋" w:cs="仿宋"/>
                <w:color w:val="auto"/>
                <w:sz w:val="28"/>
                <w:szCs w:val="28"/>
                <w:lang w:val="en-US" w:eastAsia="zh-CN"/>
              </w:rPr>
              <w:t>开标地点：</w:t>
            </w:r>
            <w:r>
              <w:rPr>
                <w:rFonts w:ascii="仿宋" w:hAnsi="仿宋" w:eastAsia="仿宋" w:cs="仿宋"/>
                <w:sz w:val="28"/>
                <w:szCs w:val="28"/>
                <w:lang w:eastAsia="zh-CN"/>
              </w:rPr>
              <w:t>详见“第一章 投标邀请”</w:t>
            </w:r>
          </w:p>
        </w:tc>
      </w:tr>
      <w:tr w14:paraId="2CCAA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60" w:type="dxa"/>
            <w:noWrap/>
            <w:vAlign w:val="center"/>
          </w:tcPr>
          <w:p w14:paraId="46076146">
            <w:pPr>
              <w:spacing w:line="480" w:lineRule="exact"/>
              <w:jc w:val="center"/>
              <w:rPr>
                <w:rFonts w:hint="default" w:ascii="仿宋" w:hAnsi="仿宋" w:eastAsia="仿宋" w:cs="仿宋"/>
                <w:sz w:val="28"/>
                <w:szCs w:val="28"/>
              </w:rPr>
            </w:pPr>
            <w:r>
              <w:rPr>
                <w:rFonts w:ascii="仿宋" w:hAnsi="仿宋" w:eastAsia="仿宋" w:cs="仿宋"/>
                <w:sz w:val="28"/>
                <w:szCs w:val="28"/>
                <w:lang w:val="en-US" w:eastAsia="zh-CN"/>
              </w:rPr>
              <w:t>31</w:t>
            </w:r>
            <w:r>
              <w:rPr>
                <w:rFonts w:ascii="仿宋" w:hAnsi="仿宋" w:eastAsia="仿宋" w:cs="仿宋"/>
                <w:sz w:val="28"/>
                <w:szCs w:val="28"/>
              </w:rPr>
              <w:t>.3</w:t>
            </w:r>
          </w:p>
        </w:tc>
        <w:tc>
          <w:tcPr>
            <w:tcW w:w="7826" w:type="dxa"/>
            <w:noWrap/>
            <w:vAlign w:val="center"/>
          </w:tcPr>
          <w:p w14:paraId="362EB67F">
            <w:pPr>
              <w:spacing w:line="480" w:lineRule="exact"/>
              <w:rPr>
                <w:rFonts w:hint="default" w:ascii="仿宋" w:hAnsi="仿宋" w:eastAsia="仿宋" w:cs="仿宋"/>
                <w:sz w:val="28"/>
                <w:szCs w:val="28"/>
                <w:lang w:val="en-US" w:eastAsia="zh-CN"/>
              </w:rPr>
            </w:pPr>
            <w:r>
              <w:rPr>
                <w:rFonts w:ascii="仿宋" w:hAnsi="仿宋" w:eastAsia="仿宋" w:cs="仿宋"/>
                <w:sz w:val="28"/>
                <w:szCs w:val="28"/>
                <w:lang w:val="en-US" w:eastAsia="zh-CN"/>
              </w:rPr>
              <w:t>采购人依据以下标准对投标人的资格进行审查，有一项不符合审查标准的，该投标人资格为不合格。</w:t>
            </w:r>
          </w:p>
          <w:p w14:paraId="5731131C">
            <w:pPr>
              <w:tabs>
                <w:tab w:val="left" w:pos="5580"/>
              </w:tabs>
              <w:spacing w:line="480" w:lineRule="exact"/>
              <w:rPr>
                <w:rFonts w:hint="default" w:ascii="仿宋" w:hAnsi="仿宋" w:eastAsia="仿宋" w:cs="仿宋"/>
                <w:sz w:val="28"/>
                <w:szCs w:val="28"/>
                <w:lang w:eastAsia="zh-CN"/>
              </w:rPr>
            </w:pPr>
            <w:r>
              <w:rPr>
                <w:rFonts w:ascii="仿宋" w:hAnsi="仿宋" w:eastAsia="仿宋" w:cs="仿宋"/>
                <w:sz w:val="28"/>
                <w:szCs w:val="28"/>
                <w:lang w:eastAsia="zh-CN"/>
              </w:rPr>
              <w:t>（1）法人</w:t>
            </w:r>
            <w:r>
              <w:rPr>
                <w:rFonts w:ascii="仿宋" w:hAnsi="仿宋" w:eastAsia="仿宋" w:cs="仿宋"/>
                <w:color w:val="auto"/>
                <w:kern w:val="0"/>
                <w:sz w:val="28"/>
                <w:szCs w:val="28"/>
                <w:lang w:eastAsia="zh-CN"/>
              </w:rPr>
              <w:t>或者其他组织的营业执照等证明文件或自然人的身份证明符合招标文件规定；</w:t>
            </w:r>
          </w:p>
          <w:p w14:paraId="5C47ECA1">
            <w:pPr>
              <w:spacing w:line="480" w:lineRule="exact"/>
              <w:rPr>
                <w:rFonts w:hint="default" w:ascii="仿宋" w:hAnsi="仿宋" w:eastAsia="仿宋" w:cs="仿宋"/>
                <w:sz w:val="28"/>
                <w:szCs w:val="28"/>
                <w:lang w:val="en-US" w:eastAsia="zh-CN"/>
              </w:rPr>
            </w:pPr>
            <w:r>
              <w:rPr>
                <w:rFonts w:ascii="仿宋" w:hAnsi="仿宋" w:eastAsia="仿宋" w:cs="仿宋"/>
                <w:sz w:val="28"/>
                <w:szCs w:val="28"/>
                <w:lang w:val="en-US" w:eastAsia="zh-CN"/>
              </w:rPr>
              <w:t>（2）财务审计报告（202</w:t>
            </w:r>
            <w:r>
              <w:rPr>
                <w:rFonts w:hint="eastAsia" w:ascii="仿宋" w:hAnsi="仿宋" w:eastAsia="仿宋" w:cs="仿宋"/>
                <w:sz w:val="28"/>
                <w:szCs w:val="28"/>
                <w:lang w:val="en-US" w:eastAsia="zh-CN"/>
              </w:rPr>
              <w:t>4</w:t>
            </w:r>
            <w:r>
              <w:rPr>
                <w:rFonts w:ascii="仿宋" w:hAnsi="仿宋" w:eastAsia="仿宋" w:cs="仿宋"/>
                <w:sz w:val="28"/>
                <w:szCs w:val="28"/>
                <w:lang w:val="en-US" w:eastAsia="zh-CN"/>
              </w:rPr>
              <w:t>年</w:t>
            </w:r>
            <w:r>
              <w:rPr>
                <w:rFonts w:hint="eastAsia" w:ascii="仿宋" w:hAnsi="仿宋" w:eastAsia="仿宋" w:cs="仿宋"/>
                <w:sz w:val="28"/>
                <w:szCs w:val="28"/>
                <w:lang w:val="en-US" w:eastAsia="zh-CN"/>
              </w:rPr>
              <w:t>度</w:t>
            </w:r>
            <w:r>
              <w:rPr>
                <w:rFonts w:ascii="仿宋" w:hAnsi="仿宋" w:eastAsia="仿宋" w:cs="仿宋"/>
                <w:sz w:val="28"/>
                <w:szCs w:val="28"/>
                <w:lang w:val="en-US" w:eastAsia="zh-CN"/>
              </w:rPr>
              <w:t>）等材料符合招标文件规定；</w:t>
            </w:r>
          </w:p>
          <w:p w14:paraId="7CF750CF">
            <w:pPr>
              <w:spacing w:line="480" w:lineRule="exact"/>
              <w:rPr>
                <w:rFonts w:hint="default" w:ascii="仿宋" w:hAnsi="仿宋" w:eastAsia="仿宋" w:cs="仿宋"/>
                <w:sz w:val="28"/>
                <w:szCs w:val="28"/>
                <w:lang w:val="en-US" w:eastAsia="zh-CN"/>
              </w:rPr>
            </w:pPr>
            <w:r>
              <w:rPr>
                <w:rFonts w:ascii="仿宋" w:hAnsi="仿宋" w:eastAsia="仿宋" w:cs="仿宋"/>
                <w:sz w:val="28"/>
                <w:szCs w:val="28"/>
                <w:lang w:val="en-US" w:eastAsia="zh-CN"/>
              </w:rPr>
              <w:t>（3）依法缴纳税收和依法缴纳社会保障资金的证明材料符合招标文件规定（自</w:t>
            </w:r>
            <w:r>
              <w:rPr>
                <w:rFonts w:hint="eastAsia" w:ascii="仿宋" w:hAnsi="仿宋" w:eastAsia="仿宋" w:cs="仿宋"/>
                <w:sz w:val="28"/>
                <w:szCs w:val="28"/>
                <w:lang w:val="en-US" w:eastAsia="zh-CN"/>
              </w:rPr>
              <w:t>2025</w:t>
            </w:r>
            <w:r>
              <w:rPr>
                <w:rFonts w:ascii="仿宋" w:hAnsi="仿宋" w:eastAsia="仿宋" w:cs="仿宋"/>
                <w:sz w:val="28"/>
                <w:szCs w:val="28"/>
                <w:lang w:val="en-US" w:eastAsia="zh-CN"/>
              </w:rPr>
              <w:t>年1月1日以来至少一个月）；</w:t>
            </w:r>
          </w:p>
          <w:p w14:paraId="46925B67">
            <w:pPr>
              <w:spacing w:line="480" w:lineRule="exact"/>
              <w:rPr>
                <w:rFonts w:hint="default" w:ascii="仿宋" w:hAnsi="仿宋" w:eastAsia="仿宋" w:cs="仿宋"/>
                <w:sz w:val="28"/>
                <w:szCs w:val="28"/>
                <w:lang w:val="en-US" w:eastAsia="zh-CN"/>
              </w:rPr>
            </w:pPr>
            <w:r>
              <w:rPr>
                <w:rFonts w:ascii="仿宋" w:hAnsi="仿宋" w:eastAsia="仿宋" w:cs="仿宋"/>
                <w:sz w:val="28"/>
                <w:szCs w:val="28"/>
                <w:lang w:val="en-US" w:eastAsia="zh-CN"/>
              </w:rPr>
              <w:t>（4）具备履行合同所必需的设备和专业技术能力；</w:t>
            </w:r>
          </w:p>
          <w:p w14:paraId="2773852E">
            <w:pPr>
              <w:spacing w:line="480" w:lineRule="exact"/>
              <w:rPr>
                <w:rFonts w:hint="default" w:ascii="仿宋" w:hAnsi="仿宋" w:eastAsia="仿宋" w:cs="仿宋"/>
                <w:sz w:val="28"/>
                <w:szCs w:val="28"/>
                <w:lang w:eastAsia="zh-CN"/>
              </w:rPr>
            </w:pPr>
            <w:r>
              <w:rPr>
                <w:rFonts w:ascii="仿宋" w:hAnsi="仿宋" w:eastAsia="仿宋" w:cs="仿宋"/>
                <w:sz w:val="28"/>
                <w:szCs w:val="28"/>
                <w:lang w:val="en-US" w:eastAsia="zh-CN"/>
              </w:rPr>
              <w:t>（5）</w:t>
            </w:r>
            <w:r>
              <w:rPr>
                <w:rFonts w:ascii="仿宋" w:hAnsi="仿宋" w:eastAsia="仿宋" w:cs="仿宋"/>
                <w:color w:val="auto"/>
                <w:kern w:val="0"/>
                <w:sz w:val="28"/>
                <w:szCs w:val="28"/>
                <w:lang w:eastAsia="zh-CN"/>
              </w:rPr>
              <w:t>参加政府采购活动前</w:t>
            </w:r>
            <w:r>
              <w:rPr>
                <w:rFonts w:ascii="仿宋" w:hAnsi="仿宋" w:eastAsia="仿宋" w:cs="仿宋"/>
                <w:color w:val="auto"/>
                <w:kern w:val="0"/>
                <w:sz w:val="28"/>
                <w:szCs w:val="28"/>
                <w:lang w:val="en-US" w:eastAsia="zh-CN"/>
              </w:rPr>
              <w:t>3</w:t>
            </w:r>
            <w:r>
              <w:rPr>
                <w:rFonts w:ascii="仿宋" w:hAnsi="仿宋" w:eastAsia="仿宋" w:cs="仿宋"/>
                <w:color w:val="auto"/>
                <w:kern w:val="0"/>
                <w:sz w:val="28"/>
                <w:szCs w:val="28"/>
                <w:lang w:eastAsia="zh-CN"/>
              </w:rPr>
              <w:t>年内在经营活动中没有重大违法记录</w:t>
            </w:r>
            <w:r>
              <w:rPr>
                <w:rFonts w:ascii="仿宋" w:hAnsi="仿宋" w:eastAsia="仿宋" w:cs="仿宋"/>
                <w:sz w:val="28"/>
                <w:szCs w:val="28"/>
                <w:lang w:val="en-US" w:eastAsia="zh-CN"/>
              </w:rPr>
              <w:t>声明符合招标文件规定</w:t>
            </w:r>
            <w:r>
              <w:rPr>
                <w:rFonts w:ascii="仿宋" w:hAnsi="仿宋" w:eastAsia="仿宋" w:cs="仿宋"/>
                <w:sz w:val="28"/>
                <w:szCs w:val="28"/>
                <w:lang w:eastAsia="zh-CN"/>
              </w:rPr>
              <w:t>;</w:t>
            </w:r>
          </w:p>
          <w:p w14:paraId="37D5C2D8">
            <w:pPr>
              <w:spacing w:line="480" w:lineRule="exact"/>
              <w:rPr>
                <w:rFonts w:hint="eastAsia" w:ascii="仿宋" w:hAnsi="仿宋" w:eastAsia="仿宋" w:cs="仿宋"/>
                <w:sz w:val="28"/>
                <w:szCs w:val="28"/>
                <w:lang w:val="en-US" w:eastAsia="zh-CN"/>
              </w:rPr>
            </w:pPr>
            <w:r>
              <w:rPr>
                <w:rFonts w:ascii="仿宋" w:hAnsi="仿宋" w:eastAsia="仿宋" w:cs="仿宋"/>
                <w:sz w:val="28"/>
                <w:szCs w:val="28"/>
                <w:lang w:val="en-US" w:eastAsia="zh-CN"/>
              </w:rPr>
              <w:t>（6）信用查询记录符合招标文件规定</w:t>
            </w:r>
            <w:r>
              <w:rPr>
                <w:rFonts w:hint="eastAsia" w:ascii="仿宋" w:hAnsi="仿宋" w:eastAsia="仿宋" w:cs="仿宋"/>
                <w:sz w:val="28"/>
                <w:szCs w:val="28"/>
                <w:lang w:val="en-US" w:eastAsia="zh-CN"/>
              </w:rPr>
              <w:t>；</w:t>
            </w:r>
          </w:p>
          <w:p w14:paraId="1FBDE6F3">
            <w:pPr>
              <w:spacing w:line="48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（7）不同投标人单位负责人不是同一人或者未存在直接控股、管理关系；</w:t>
            </w:r>
          </w:p>
          <w:p w14:paraId="44966F01">
            <w:pPr>
              <w:spacing w:line="480" w:lineRule="exact"/>
              <w:rPr>
                <w:rFonts w:hint="default" w:ascii="仿宋" w:hAnsi="仿宋" w:eastAsia="仿宋" w:cs="仿宋"/>
                <w:sz w:val="28"/>
                <w:szCs w:val="28"/>
                <w:lang w:eastAsia="zh-CN"/>
              </w:rPr>
            </w:pPr>
            <w:r>
              <w:rPr>
                <w:rFonts w:hint="eastAsia" w:ascii="仿宋" w:hAnsi="仿宋" w:eastAsia="仿宋" w:cs="仿宋"/>
                <w:sz w:val="28"/>
                <w:szCs w:val="28"/>
                <w:lang w:eastAsia="zh-CN"/>
              </w:rPr>
              <w:t>（8）非联合体投标</w:t>
            </w:r>
            <w:r>
              <w:rPr>
                <w:rFonts w:ascii="仿宋" w:hAnsi="仿宋" w:eastAsia="仿宋" w:cs="仿宋"/>
                <w:sz w:val="28"/>
                <w:szCs w:val="28"/>
                <w:lang w:eastAsia="zh-CN"/>
              </w:rPr>
              <w:t>。</w:t>
            </w:r>
          </w:p>
        </w:tc>
      </w:tr>
      <w:tr w14:paraId="6F552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60" w:type="dxa"/>
            <w:noWrap/>
            <w:vAlign w:val="center"/>
          </w:tcPr>
          <w:p w14:paraId="6F2E6FF1">
            <w:pPr>
              <w:spacing w:line="480" w:lineRule="exact"/>
              <w:jc w:val="center"/>
              <w:rPr>
                <w:rFonts w:hint="default" w:ascii="仿宋" w:hAnsi="仿宋" w:eastAsia="仿宋" w:cs="仿宋"/>
                <w:sz w:val="28"/>
                <w:szCs w:val="28"/>
              </w:rPr>
            </w:pPr>
            <w:r>
              <w:rPr>
                <w:rFonts w:ascii="仿宋" w:hAnsi="仿宋" w:eastAsia="仿宋" w:cs="仿宋"/>
                <w:sz w:val="28"/>
                <w:szCs w:val="28"/>
              </w:rPr>
              <w:t>3</w:t>
            </w:r>
            <w:r>
              <w:rPr>
                <w:rFonts w:ascii="仿宋" w:hAnsi="仿宋" w:eastAsia="仿宋" w:cs="仿宋"/>
                <w:sz w:val="28"/>
                <w:szCs w:val="28"/>
                <w:lang w:val="en-US" w:eastAsia="zh-CN"/>
              </w:rPr>
              <w:t>1</w:t>
            </w:r>
            <w:r>
              <w:rPr>
                <w:rFonts w:ascii="仿宋" w:hAnsi="仿宋" w:eastAsia="仿宋" w:cs="仿宋"/>
                <w:sz w:val="28"/>
                <w:szCs w:val="28"/>
              </w:rPr>
              <w:t>.4</w:t>
            </w:r>
          </w:p>
        </w:tc>
        <w:tc>
          <w:tcPr>
            <w:tcW w:w="7826" w:type="dxa"/>
            <w:noWrap/>
            <w:vAlign w:val="center"/>
          </w:tcPr>
          <w:p w14:paraId="44B1E55B">
            <w:pPr>
              <w:spacing w:line="480" w:lineRule="exact"/>
              <w:rPr>
                <w:rFonts w:hint="default" w:ascii="仿宋" w:hAnsi="仿宋" w:eastAsia="仿宋" w:cs="仿宋"/>
                <w:sz w:val="28"/>
                <w:szCs w:val="28"/>
                <w:lang w:val="en-US" w:eastAsia="zh-CN"/>
              </w:rPr>
            </w:pPr>
            <w:r>
              <w:rPr>
                <w:rFonts w:ascii="仿宋" w:hAnsi="仿宋" w:eastAsia="仿宋" w:cs="仿宋"/>
                <w:b/>
                <w:bCs/>
                <w:sz w:val="28"/>
                <w:szCs w:val="28"/>
                <w:lang w:val="en-US" w:eastAsia="zh-CN"/>
              </w:rPr>
              <w:t>信用记录:</w:t>
            </w:r>
            <w:r>
              <w:rPr>
                <w:rFonts w:ascii="仿宋" w:hAnsi="仿宋" w:eastAsia="仿宋" w:cs="仿宋"/>
                <w:sz w:val="28"/>
                <w:szCs w:val="28"/>
                <w:lang w:val="en-US" w:eastAsia="zh-CN"/>
              </w:rPr>
              <w:t>根据《关于在政府采购活动中查询及使用信用记录有关问题的通知》(财库〔2016〕125号)文的要求，采购人将在投标截止时间后</w:t>
            </w:r>
            <w:r>
              <w:rPr>
                <w:rFonts w:hint="eastAsia" w:ascii="仿宋" w:hAnsi="仿宋" w:eastAsia="仿宋" w:cs="仿宋"/>
                <w:sz w:val="28"/>
                <w:szCs w:val="28"/>
                <w:lang w:val="en-US" w:eastAsia="zh-CN"/>
              </w:rPr>
              <w:t>，项目评审前</w:t>
            </w:r>
            <w:r>
              <w:rPr>
                <w:rFonts w:ascii="仿宋" w:hAnsi="仿宋" w:eastAsia="仿宋" w:cs="仿宋"/>
                <w:sz w:val="28"/>
                <w:szCs w:val="28"/>
                <w:lang w:val="en-US" w:eastAsia="zh-CN"/>
              </w:rPr>
              <w:t>在“信用中国”网站查询投标人“失信被执行人”和“重大税收违法案件当事人名单”，在“中国政府采购网”站查询投标人“政府采购严重违法失信行为记录名单”；投标人被列入失信被执行人、重大税收违法案件当事人名单、政府采购严重违法失信行为记录名单的，其投标文件作为无效处理。</w:t>
            </w:r>
          </w:p>
          <w:p w14:paraId="7D9BE7FF">
            <w:pPr>
              <w:spacing w:line="480" w:lineRule="exact"/>
              <w:rPr>
                <w:rFonts w:hint="default" w:ascii="仿宋" w:hAnsi="仿宋" w:eastAsia="仿宋" w:cs="仿宋"/>
                <w:sz w:val="28"/>
                <w:szCs w:val="28"/>
                <w:lang w:eastAsia="zh-CN"/>
              </w:rPr>
            </w:pPr>
            <w:r>
              <w:rPr>
                <w:rFonts w:ascii="仿宋" w:hAnsi="仿宋" w:eastAsia="仿宋" w:cs="仿宋"/>
                <w:b/>
                <w:bCs/>
                <w:sz w:val="28"/>
                <w:szCs w:val="28"/>
                <w:lang w:val="en-US" w:eastAsia="zh-CN"/>
              </w:rPr>
              <w:t>查询及记录方式：</w:t>
            </w:r>
            <w:r>
              <w:rPr>
                <w:rFonts w:ascii="仿宋" w:hAnsi="仿宋" w:eastAsia="仿宋" w:cs="仿宋"/>
                <w:sz w:val="28"/>
                <w:szCs w:val="28"/>
                <w:lang w:val="en-US" w:eastAsia="zh-CN"/>
              </w:rPr>
              <w:t>采购人将查询网页打印、存档备查。投标人信用记录以采购人查询结果为准，采购人查询之后，网站信息发生的任何变更均不再作为资格审查或评审依据，投标人自行提供的与网站信息不一致的其他证明材料亦不作为资格审查或评审依据。</w:t>
            </w:r>
          </w:p>
        </w:tc>
      </w:tr>
      <w:tr w14:paraId="2EB98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60" w:type="dxa"/>
            <w:noWrap/>
            <w:vAlign w:val="center"/>
          </w:tcPr>
          <w:p w14:paraId="59F5D5EF">
            <w:pPr>
              <w:spacing w:line="480" w:lineRule="exact"/>
              <w:jc w:val="center"/>
              <w:rPr>
                <w:rFonts w:hint="default" w:ascii="仿宋" w:hAnsi="仿宋" w:eastAsia="仿宋" w:cs="仿宋"/>
                <w:sz w:val="28"/>
                <w:szCs w:val="28"/>
              </w:rPr>
            </w:pPr>
            <w:r>
              <w:rPr>
                <w:rFonts w:ascii="仿宋" w:hAnsi="仿宋" w:eastAsia="仿宋" w:cs="仿宋"/>
                <w:sz w:val="28"/>
                <w:szCs w:val="28"/>
              </w:rPr>
              <w:t>3</w:t>
            </w:r>
            <w:r>
              <w:rPr>
                <w:rFonts w:ascii="仿宋" w:hAnsi="仿宋" w:eastAsia="仿宋" w:cs="仿宋"/>
                <w:sz w:val="28"/>
                <w:szCs w:val="28"/>
                <w:lang w:val="en-US" w:eastAsia="zh-CN"/>
              </w:rPr>
              <w:t>2</w:t>
            </w:r>
            <w:r>
              <w:rPr>
                <w:rFonts w:ascii="仿宋" w:hAnsi="仿宋" w:eastAsia="仿宋" w:cs="仿宋"/>
                <w:sz w:val="28"/>
                <w:szCs w:val="28"/>
              </w:rPr>
              <w:t>.1</w:t>
            </w:r>
          </w:p>
        </w:tc>
        <w:tc>
          <w:tcPr>
            <w:tcW w:w="7826" w:type="dxa"/>
            <w:noWrap/>
            <w:vAlign w:val="center"/>
          </w:tcPr>
          <w:p w14:paraId="0CD35330">
            <w:pPr>
              <w:spacing w:line="480" w:lineRule="exact"/>
              <w:rPr>
                <w:rFonts w:hint="default" w:ascii="仿宋" w:hAnsi="仿宋" w:eastAsia="仿宋" w:cs="仿宋"/>
                <w:b/>
                <w:sz w:val="28"/>
                <w:szCs w:val="28"/>
                <w:lang w:eastAsia="zh-CN"/>
              </w:rPr>
            </w:pPr>
            <w:r>
              <w:rPr>
                <w:rFonts w:ascii="仿宋" w:hAnsi="仿宋" w:eastAsia="仿宋" w:cs="仿宋"/>
                <w:sz w:val="28"/>
                <w:szCs w:val="28"/>
                <w:lang w:eastAsia="zh-CN"/>
              </w:rPr>
              <w:t>评标委员会负责具体评标事务。评标委员会由采购人代表和评审专家组成，成员人数应当为</w:t>
            </w:r>
            <w:r>
              <w:rPr>
                <w:rFonts w:ascii="仿宋" w:hAnsi="仿宋" w:eastAsia="仿宋" w:cs="仿宋"/>
                <w:sz w:val="28"/>
                <w:szCs w:val="28"/>
                <w:lang w:val="en-US" w:eastAsia="zh-CN"/>
              </w:rPr>
              <w:t>5</w:t>
            </w:r>
            <w:r>
              <w:rPr>
                <w:rFonts w:ascii="仿宋" w:hAnsi="仿宋" w:eastAsia="仿宋" w:cs="仿宋"/>
                <w:sz w:val="28"/>
                <w:szCs w:val="28"/>
                <w:lang w:eastAsia="zh-CN"/>
              </w:rPr>
              <w:t>人，其中评审专家不得少于成员总数的三分之二。</w:t>
            </w:r>
          </w:p>
        </w:tc>
      </w:tr>
      <w:tr w14:paraId="599CD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2" w:hRule="atLeast"/>
        </w:trPr>
        <w:tc>
          <w:tcPr>
            <w:tcW w:w="960" w:type="dxa"/>
            <w:noWrap/>
            <w:vAlign w:val="center"/>
          </w:tcPr>
          <w:p w14:paraId="21D75701">
            <w:pPr>
              <w:spacing w:line="480" w:lineRule="exact"/>
              <w:jc w:val="center"/>
              <w:rPr>
                <w:rFonts w:hint="default" w:ascii="仿宋" w:hAnsi="仿宋" w:eastAsia="仿宋" w:cs="仿宋"/>
                <w:sz w:val="28"/>
                <w:szCs w:val="28"/>
              </w:rPr>
            </w:pPr>
            <w:r>
              <w:rPr>
                <w:rFonts w:ascii="仿宋" w:hAnsi="仿宋" w:eastAsia="仿宋" w:cs="仿宋"/>
                <w:sz w:val="28"/>
                <w:szCs w:val="28"/>
              </w:rPr>
              <w:t>3</w:t>
            </w:r>
            <w:r>
              <w:rPr>
                <w:rFonts w:ascii="仿宋" w:hAnsi="仿宋" w:eastAsia="仿宋" w:cs="仿宋"/>
                <w:sz w:val="28"/>
                <w:szCs w:val="28"/>
                <w:lang w:val="en-US" w:eastAsia="zh-CN"/>
              </w:rPr>
              <w:t>6</w:t>
            </w:r>
            <w:r>
              <w:rPr>
                <w:rFonts w:ascii="仿宋" w:hAnsi="仿宋" w:eastAsia="仿宋" w:cs="仿宋"/>
                <w:sz w:val="28"/>
                <w:szCs w:val="28"/>
              </w:rPr>
              <w:t>.1</w:t>
            </w:r>
          </w:p>
        </w:tc>
        <w:tc>
          <w:tcPr>
            <w:tcW w:w="7826" w:type="dxa"/>
            <w:noWrap/>
            <w:vAlign w:val="center"/>
          </w:tcPr>
          <w:p w14:paraId="03B0AA6D">
            <w:pPr>
              <w:spacing w:line="480" w:lineRule="exact"/>
              <w:rPr>
                <w:rFonts w:hint="default" w:ascii="仿宋" w:hAnsi="仿宋" w:eastAsia="仿宋" w:cs="仿宋"/>
                <w:sz w:val="28"/>
                <w:szCs w:val="28"/>
                <w:lang w:val="en-US" w:eastAsia="zh-CN"/>
              </w:rPr>
            </w:pPr>
            <w:r>
              <w:rPr>
                <w:rFonts w:ascii="仿宋" w:hAnsi="仿宋" w:eastAsia="仿宋" w:cs="仿宋"/>
                <w:b/>
                <w:bCs/>
                <w:sz w:val="28"/>
                <w:szCs w:val="28"/>
                <w:lang w:val="en-US" w:eastAsia="zh-CN"/>
              </w:rPr>
              <w:t>中小企业扶持：</w:t>
            </w:r>
            <w:r>
              <w:rPr>
                <w:rFonts w:ascii="仿宋" w:hAnsi="仿宋" w:eastAsia="仿宋" w:cs="仿宋"/>
                <w:sz w:val="28"/>
                <w:szCs w:val="28"/>
                <w:lang w:val="en-US" w:eastAsia="zh-CN"/>
              </w:rPr>
              <w:t>根据《政府采购促进中小企业发展管理办法》：价格评审优惠（未预留采购份额的采购项目），对小型和微型企业报价给予10%的扣除，用扣除后的价格参与评审。小型和微型企业的认定根据投标人提供的《中小企业声明函》等材料（第五章 投标文件格式）进行。</w:t>
            </w:r>
          </w:p>
          <w:p w14:paraId="6E91AB6B">
            <w:pPr>
              <w:spacing w:line="480" w:lineRule="exact"/>
              <w:rPr>
                <w:rFonts w:hint="default" w:ascii="仿宋" w:hAnsi="仿宋" w:eastAsia="仿宋" w:cs="仿宋"/>
                <w:sz w:val="28"/>
                <w:szCs w:val="28"/>
                <w:lang w:val="en-US" w:eastAsia="zh-CN"/>
              </w:rPr>
            </w:pPr>
            <w:r>
              <w:rPr>
                <w:rFonts w:ascii="仿宋" w:hAnsi="仿宋" w:eastAsia="仿宋" w:cs="仿宋"/>
                <w:sz w:val="28"/>
                <w:szCs w:val="28"/>
                <w:lang w:val="en-US" w:eastAsia="zh-CN"/>
              </w:rPr>
              <w:t>本采购项目所属行业：</w:t>
            </w:r>
            <w:r>
              <w:rPr>
                <w:rFonts w:ascii="仿宋" w:hAnsi="仿宋" w:eastAsia="仿宋" w:cs="仿宋"/>
                <w:b/>
                <w:bCs/>
                <w:sz w:val="28"/>
                <w:szCs w:val="28"/>
                <w:u w:val="single"/>
                <w:lang w:val="en-US" w:eastAsia="zh-CN"/>
              </w:rPr>
              <w:t>物业管理</w:t>
            </w:r>
            <w:r>
              <w:rPr>
                <w:rFonts w:ascii="仿宋" w:hAnsi="仿宋" w:eastAsia="仿宋" w:cs="仿宋"/>
                <w:b/>
                <w:bCs/>
                <w:sz w:val="28"/>
                <w:szCs w:val="28"/>
                <w:lang w:val="en-US" w:eastAsia="zh-CN"/>
              </w:rPr>
              <w:t>。</w:t>
            </w:r>
          </w:p>
        </w:tc>
      </w:tr>
      <w:tr w14:paraId="6F4E7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60" w:type="dxa"/>
            <w:noWrap/>
            <w:vAlign w:val="center"/>
          </w:tcPr>
          <w:p w14:paraId="73A1FD0A">
            <w:pPr>
              <w:spacing w:line="480" w:lineRule="exact"/>
              <w:jc w:val="center"/>
              <w:rPr>
                <w:rFonts w:hint="default" w:ascii="仿宋" w:hAnsi="仿宋" w:eastAsia="仿宋" w:cs="仿宋"/>
                <w:sz w:val="28"/>
                <w:szCs w:val="28"/>
              </w:rPr>
            </w:pPr>
            <w:r>
              <w:rPr>
                <w:rFonts w:ascii="仿宋" w:hAnsi="仿宋" w:eastAsia="仿宋" w:cs="仿宋"/>
                <w:sz w:val="28"/>
                <w:szCs w:val="28"/>
              </w:rPr>
              <w:t>3</w:t>
            </w:r>
            <w:r>
              <w:rPr>
                <w:rFonts w:ascii="仿宋" w:hAnsi="仿宋" w:eastAsia="仿宋" w:cs="仿宋"/>
                <w:sz w:val="28"/>
                <w:szCs w:val="28"/>
                <w:lang w:val="en-US" w:eastAsia="zh-CN"/>
              </w:rPr>
              <w:t>7</w:t>
            </w:r>
            <w:r>
              <w:rPr>
                <w:rFonts w:ascii="仿宋" w:hAnsi="仿宋" w:eastAsia="仿宋" w:cs="仿宋"/>
                <w:sz w:val="28"/>
                <w:szCs w:val="28"/>
              </w:rPr>
              <w:t>.</w:t>
            </w:r>
            <w:r>
              <w:rPr>
                <w:rFonts w:ascii="仿宋" w:hAnsi="仿宋" w:eastAsia="仿宋" w:cs="仿宋"/>
                <w:sz w:val="28"/>
                <w:szCs w:val="28"/>
                <w:lang w:val="en-US" w:eastAsia="zh-CN"/>
              </w:rPr>
              <w:t>1</w:t>
            </w:r>
          </w:p>
        </w:tc>
        <w:tc>
          <w:tcPr>
            <w:tcW w:w="7826" w:type="dxa"/>
            <w:noWrap/>
            <w:vAlign w:val="center"/>
          </w:tcPr>
          <w:p w14:paraId="0D346925">
            <w:pPr>
              <w:spacing w:line="480" w:lineRule="exact"/>
              <w:jc w:val="left"/>
              <w:rPr>
                <w:rFonts w:hint="default" w:ascii="仿宋" w:hAnsi="仿宋" w:eastAsia="仿宋" w:cs="仿宋"/>
                <w:b/>
                <w:bCs/>
                <w:sz w:val="28"/>
                <w:szCs w:val="28"/>
                <w:lang w:val="en-US" w:eastAsia="zh-CN"/>
              </w:rPr>
            </w:pPr>
            <w:r>
              <w:rPr>
                <w:rFonts w:ascii="仿宋" w:hAnsi="仿宋" w:eastAsia="仿宋" w:cs="仿宋"/>
                <w:b/>
                <w:bCs/>
                <w:sz w:val="28"/>
                <w:szCs w:val="28"/>
                <w:lang w:val="en-US" w:eastAsia="zh-CN"/>
              </w:rPr>
              <w:t>评标方法：综合评分法。</w:t>
            </w:r>
          </w:p>
          <w:p w14:paraId="1590E93B">
            <w:pPr>
              <w:spacing w:line="480" w:lineRule="exact"/>
              <w:ind w:firstLine="560" w:firstLineChars="200"/>
              <w:rPr>
                <w:rFonts w:hint="default" w:ascii="仿宋" w:hAnsi="仿宋" w:eastAsia="仿宋" w:cs="仿宋"/>
                <w:sz w:val="28"/>
                <w:szCs w:val="28"/>
                <w:lang w:eastAsia="zh-CN"/>
              </w:rPr>
            </w:pPr>
            <w:r>
              <w:rPr>
                <w:rFonts w:ascii="仿宋" w:hAnsi="仿宋" w:eastAsia="仿宋" w:cs="仿宋"/>
                <w:sz w:val="28"/>
                <w:szCs w:val="28"/>
                <w:lang w:val="en-US" w:eastAsia="zh-CN"/>
              </w:rPr>
              <w:t>评标委员会对满足招标文件全部实质性要求的投标文件，按照招标文件规定的评审因素的量化指标进行评审打分，以评审得分从高到低顺序确定中标候选人。</w:t>
            </w:r>
          </w:p>
        </w:tc>
      </w:tr>
      <w:tr w14:paraId="3FCF4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60" w:type="dxa"/>
            <w:noWrap/>
            <w:vAlign w:val="center"/>
          </w:tcPr>
          <w:p w14:paraId="3E0DF9CF">
            <w:pPr>
              <w:spacing w:line="480" w:lineRule="exact"/>
              <w:jc w:val="center"/>
              <w:rPr>
                <w:rFonts w:hint="default" w:ascii="仿宋" w:hAnsi="仿宋" w:eastAsia="仿宋" w:cs="仿宋"/>
                <w:sz w:val="28"/>
                <w:szCs w:val="28"/>
                <w:lang w:val="en-US" w:eastAsia="zh-CN"/>
              </w:rPr>
            </w:pPr>
            <w:r>
              <w:rPr>
                <w:rFonts w:ascii="仿宋" w:hAnsi="仿宋" w:eastAsia="仿宋" w:cs="仿宋"/>
                <w:sz w:val="28"/>
                <w:szCs w:val="28"/>
                <w:lang w:val="en-US" w:eastAsia="zh-CN"/>
              </w:rPr>
              <w:t>38</w:t>
            </w:r>
          </w:p>
        </w:tc>
        <w:tc>
          <w:tcPr>
            <w:tcW w:w="7826" w:type="dxa"/>
            <w:noWrap/>
            <w:vAlign w:val="center"/>
          </w:tcPr>
          <w:p w14:paraId="0E2C9AEA">
            <w:pPr>
              <w:spacing w:line="48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（1）根据评审后得分由高到低的顺序推荐3名中标候选人</w:t>
            </w:r>
            <w:r>
              <w:rPr>
                <w:rFonts w:ascii="Times New Roman" w:hAnsi="Times New Roman" w:eastAsia="仿宋_GB2312" w:cs="Times New Roman"/>
                <w:sz w:val="28"/>
                <w:szCs w:val="28"/>
                <w:lang w:val="en-US" w:eastAsia="zh-CN"/>
              </w:rPr>
              <w:t>；</w:t>
            </w:r>
          </w:p>
          <w:p w14:paraId="748EAAEA">
            <w:pPr>
              <w:spacing w:line="48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（2）评审得分相同的，按投标报价由低到高顺序推荐排列；评审得分且投标报价相同的并列</w:t>
            </w:r>
            <w:r>
              <w:rPr>
                <w:rFonts w:ascii="Times New Roman" w:hAnsi="Times New Roman" w:eastAsia="仿宋_GB2312" w:cs="Times New Roman"/>
                <w:sz w:val="28"/>
                <w:szCs w:val="28"/>
                <w:lang w:val="en-US" w:eastAsia="zh-CN"/>
              </w:rPr>
              <w:t>；</w:t>
            </w:r>
          </w:p>
          <w:p w14:paraId="382D230A">
            <w:pPr>
              <w:spacing w:line="480" w:lineRule="exact"/>
              <w:rPr>
                <w:rFonts w:hint="default" w:ascii="仿宋" w:hAnsi="仿宋" w:eastAsia="仿宋" w:cs="仿宋"/>
                <w:sz w:val="28"/>
                <w:szCs w:val="28"/>
                <w:lang w:val="en-US" w:eastAsia="zh-CN"/>
              </w:rPr>
            </w:pPr>
            <w:r>
              <w:rPr>
                <w:rFonts w:hint="default" w:ascii="Times New Roman" w:hAnsi="Times New Roman" w:eastAsia="仿宋_GB2312" w:cs="Times New Roman"/>
                <w:sz w:val="28"/>
                <w:szCs w:val="28"/>
                <w:lang w:val="en-US" w:eastAsia="zh-CN"/>
              </w:rPr>
              <w:t>（3）中标的顺序按包1、包2</w:t>
            </w:r>
            <w:r>
              <w:rPr>
                <w:rFonts w:ascii="Times New Roman" w:hAnsi="Times New Roman" w:eastAsia="仿宋_GB2312" w:cs="Times New Roman"/>
                <w:sz w:val="28"/>
                <w:szCs w:val="28"/>
                <w:lang w:val="en-US" w:eastAsia="zh-CN"/>
              </w:rPr>
              <w:t>、包3</w:t>
            </w:r>
            <w:r>
              <w:rPr>
                <w:rFonts w:hint="default" w:ascii="Times New Roman" w:hAnsi="Times New Roman" w:eastAsia="仿宋_GB2312" w:cs="Times New Roman"/>
                <w:sz w:val="28"/>
                <w:szCs w:val="28"/>
                <w:lang w:val="en-US" w:eastAsia="zh-CN"/>
              </w:rPr>
              <w:t>先后顺序确认，包1排名第一的中标候选人不再被推荐为包2</w:t>
            </w:r>
            <w:r>
              <w:rPr>
                <w:rFonts w:ascii="Times New Roman" w:hAnsi="Times New Roman" w:eastAsia="仿宋_GB2312" w:cs="Times New Roman"/>
                <w:sz w:val="28"/>
                <w:szCs w:val="28"/>
                <w:lang w:val="en-US" w:eastAsia="zh-CN"/>
              </w:rPr>
              <w:t>、包3</w:t>
            </w:r>
            <w:r>
              <w:rPr>
                <w:rFonts w:hint="default" w:ascii="Times New Roman" w:hAnsi="Times New Roman" w:eastAsia="仿宋_GB2312" w:cs="Times New Roman"/>
                <w:sz w:val="28"/>
                <w:szCs w:val="28"/>
                <w:lang w:val="en-US" w:eastAsia="zh-CN"/>
              </w:rPr>
              <w:t>的中标候选人</w:t>
            </w:r>
            <w:r>
              <w:rPr>
                <w:rFonts w:ascii="Times New Roman" w:hAnsi="Times New Roman" w:eastAsia="仿宋_GB2312" w:cs="Times New Roman"/>
                <w:sz w:val="28"/>
                <w:szCs w:val="28"/>
                <w:lang w:val="en-US" w:eastAsia="zh-CN"/>
              </w:rPr>
              <w:t>，包2</w:t>
            </w:r>
            <w:r>
              <w:rPr>
                <w:rFonts w:hint="default" w:ascii="Times New Roman" w:hAnsi="Times New Roman" w:eastAsia="仿宋_GB2312" w:cs="Times New Roman"/>
                <w:sz w:val="28"/>
                <w:szCs w:val="28"/>
                <w:lang w:val="en-US" w:eastAsia="zh-CN"/>
              </w:rPr>
              <w:t>排名第一的中标候选人不再被推荐为</w:t>
            </w:r>
            <w:r>
              <w:rPr>
                <w:rFonts w:ascii="Times New Roman" w:hAnsi="Times New Roman" w:eastAsia="仿宋_GB2312" w:cs="Times New Roman"/>
                <w:sz w:val="28"/>
                <w:szCs w:val="28"/>
                <w:lang w:val="en-US" w:eastAsia="zh-CN"/>
              </w:rPr>
              <w:t>包3</w:t>
            </w:r>
            <w:r>
              <w:rPr>
                <w:rFonts w:hint="default" w:ascii="Times New Roman" w:hAnsi="Times New Roman" w:eastAsia="仿宋_GB2312" w:cs="Times New Roman"/>
                <w:sz w:val="28"/>
                <w:szCs w:val="28"/>
                <w:lang w:val="en-US" w:eastAsia="zh-CN"/>
              </w:rPr>
              <w:t>的中标候选人。</w:t>
            </w:r>
          </w:p>
        </w:tc>
      </w:tr>
      <w:tr w14:paraId="3DAFC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60" w:type="dxa"/>
            <w:noWrap/>
            <w:vAlign w:val="center"/>
          </w:tcPr>
          <w:p w14:paraId="266EFE97">
            <w:pPr>
              <w:spacing w:line="480" w:lineRule="exact"/>
              <w:jc w:val="center"/>
              <w:rPr>
                <w:rFonts w:hint="default" w:ascii="仿宋" w:hAnsi="仿宋" w:eastAsia="仿宋" w:cs="仿宋"/>
                <w:sz w:val="28"/>
                <w:szCs w:val="28"/>
                <w:lang w:eastAsia="zh-CN"/>
              </w:rPr>
            </w:pPr>
            <w:r>
              <w:rPr>
                <w:rFonts w:ascii="仿宋" w:hAnsi="仿宋" w:eastAsia="仿宋" w:cs="仿宋"/>
                <w:sz w:val="28"/>
                <w:szCs w:val="28"/>
                <w:lang w:val="en-US" w:eastAsia="zh-CN"/>
              </w:rPr>
              <w:t>41.1</w:t>
            </w:r>
          </w:p>
        </w:tc>
        <w:tc>
          <w:tcPr>
            <w:tcW w:w="7826" w:type="dxa"/>
            <w:noWrap/>
            <w:vAlign w:val="center"/>
          </w:tcPr>
          <w:p w14:paraId="22003FCD">
            <w:pPr>
              <w:spacing w:line="480" w:lineRule="exact"/>
              <w:jc w:val="left"/>
              <w:rPr>
                <w:rFonts w:hint="default" w:ascii="仿宋" w:hAnsi="仿宋" w:eastAsia="仿宋" w:cs="仿宋"/>
                <w:sz w:val="28"/>
                <w:szCs w:val="28"/>
                <w:lang w:eastAsia="zh-CN"/>
              </w:rPr>
            </w:pPr>
            <w:r>
              <w:rPr>
                <w:rFonts w:ascii="仿宋" w:hAnsi="仿宋" w:eastAsia="仿宋" w:cs="仿宋"/>
                <w:sz w:val="28"/>
                <w:szCs w:val="28"/>
                <w:lang w:eastAsia="zh-CN"/>
              </w:rPr>
              <w:t>中标结果公告媒介：《河南省政府采购网》《河南省公共资源交易中心网》</w:t>
            </w:r>
          </w:p>
        </w:tc>
      </w:tr>
      <w:tr w14:paraId="461FE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471" w:hRule="atLeast"/>
        </w:trPr>
        <w:tc>
          <w:tcPr>
            <w:tcW w:w="960" w:type="dxa"/>
            <w:noWrap/>
            <w:vAlign w:val="center"/>
          </w:tcPr>
          <w:p w14:paraId="617882CC">
            <w:pPr>
              <w:spacing w:line="480" w:lineRule="exact"/>
              <w:jc w:val="center"/>
              <w:rPr>
                <w:rFonts w:hint="default" w:ascii="仿宋" w:hAnsi="仿宋" w:eastAsia="仿宋" w:cs="仿宋"/>
                <w:sz w:val="28"/>
                <w:szCs w:val="28"/>
                <w:lang w:eastAsia="zh-CN"/>
              </w:rPr>
            </w:pPr>
            <w:r>
              <w:rPr>
                <w:rFonts w:ascii="仿宋" w:hAnsi="仿宋" w:eastAsia="仿宋" w:cs="仿宋"/>
                <w:sz w:val="28"/>
                <w:szCs w:val="28"/>
              </w:rPr>
              <w:t>4</w:t>
            </w:r>
            <w:r>
              <w:rPr>
                <w:rFonts w:ascii="仿宋" w:hAnsi="仿宋" w:eastAsia="仿宋" w:cs="仿宋"/>
                <w:sz w:val="28"/>
                <w:szCs w:val="28"/>
                <w:lang w:val="en-US" w:eastAsia="zh-CN"/>
              </w:rPr>
              <w:t>4</w:t>
            </w:r>
          </w:p>
        </w:tc>
        <w:tc>
          <w:tcPr>
            <w:tcW w:w="7826" w:type="dxa"/>
            <w:noWrap/>
            <w:vAlign w:val="center"/>
          </w:tcPr>
          <w:p w14:paraId="24E30FC4">
            <w:pPr>
              <w:spacing w:line="480" w:lineRule="exact"/>
              <w:rPr>
                <w:rFonts w:hint="default" w:ascii="仿宋" w:hAnsi="仿宋" w:eastAsia="仿宋" w:cs="仿宋"/>
                <w:sz w:val="28"/>
                <w:szCs w:val="28"/>
                <w:lang w:eastAsia="zh-CN"/>
              </w:rPr>
            </w:pPr>
            <w:r>
              <w:rPr>
                <w:rFonts w:ascii="仿宋" w:hAnsi="仿宋" w:eastAsia="仿宋" w:cs="仿宋"/>
                <w:sz w:val="28"/>
                <w:szCs w:val="28"/>
                <w:lang w:eastAsia="zh-CN"/>
              </w:rPr>
              <w:t>数量追加范围：采购人需追加与合同标的相同的服务的，在不改变合同其它条款的前提下，可以与投标人签订补充合同，但所有补充合同的采购金额不得超过原合同金额的百分之十。</w:t>
            </w:r>
          </w:p>
        </w:tc>
      </w:tr>
      <w:tr w14:paraId="0676C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471" w:hRule="atLeast"/>
        </w:trPr>
        <w:tc>
          <w:tcPr>
            <w:tcW w:w="960" w:type="dxa"/>
            <w:noWrap/>
            <w:vAlign w:val="center"/>
          </w:tcPr>
          <w:p w14:paraId="6E9288F9">
            <w:pPr>
              <w:spacing w:line="480" w:lineRule="exact"/>
              <w:jc w:val="center"/>
              <w:rPr>
                <w:rFonts w:hint="default" w:ascii="仿宋" w:hAnsi="仿宋" w:eastAsia="仿宋" w:cs="仿宋"/>
                <w:sz w:val="28"/>
                <w:szCs w:val="28"/>
                <w:lang w:val="en-US" w:eastAsia="zh-CN"/>
              </w:rPr>
            </w:pPr>
            <w:r>
              <w:rPr>
                <w:rFonts w:ascii="仿宋" w:hAnsi="仿宋" w:eastAsia="仿宋" w:cs="仿宋"/>
                <w:sz w:val="28"/>
                <w:szCs w:val="28"/>
                <w:lang w:val="en-US" w:eastAsia="zh-CN"/>
              </w:rPr>
              <w:t>46</w:t>
            </w:r>
          </w:p>
        </w:tc>
        <w:tc>
          <w:tcPr>
            <w:tcW w:w="7826" w:type="dxa"/>
            <w:noWrap/>
            <w:vAlign w:val="center"/>
          </w:tcPr>
          <w:p w14:paraId="1CE94725">
            <w:pPr>
              <w:spacing w:line="480" w:lineRule="exac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履约保证金：</w:t>
            </w:r>
          </w:p>
          <w:p w14:paraId="1400E225">
            <w:pPr>
              <w:spacing w:line="48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1、缴纳时间：中标人需在合同签订后30日历天内向采购方缴纳；</w:t>
            </w:r>
          </w:p>
          <w:p w14:paraId="51A4C600">
            <w:pPr>
              <w:spacing w:line="48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2、履约保证金的金额：</w:t>
            </w:r>
            <w:r>
              <w:rPr>
                <w:rFonts w:hint="default" w:ascii="Times New Roman" w:hAnsi="Times New Roman" w:eastAsia="仿宋_GB2312" w:cs="Times New Roman"/>
                <w:sz w:val="28"/>
                <w:szCs w:val="28"/>
                <w:lang w:eastAsia="zh-CN"/>
              </w:rPr>
              <w:t>合同金额的5%</w:t>
            </w:r>
            <w:r>
              <w:rPr>
                <w:rFonts w:hint="eastAsia" w:ascii="Times New Roman" w:hAnsi="Times New Roman" w:eastAsia="仿宋_GB2312" w:cs="Times New Roman"/>
                <w:sz w:val="28"/>
                <w:szCs w:val="28"/>
                <w:lang w:eastAsia="zh-CN"/>
              </w:rPr>
              <w:t>；</w:t>
            </w:r>
          </w:p>
          <w:p w14:paraId="5DB59147">
            <w:pPr>
              <w:spacing w:line="48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3、交纳方式：以电汇、支票、汇票、本票、保函等非现金形式；</w:t>
            </w:r>
          </w:p>
          <w:p w14:paraId="7B1BA7DF">
            <w:pPr>
              <w:spacing w:line="48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4、履约保证金的退还：在中标人履行完合同约定义务事项后退还。</w:t>
            </w:r>
          </w:p>
        </w:tc>
      </w:tr>
      <w:tr w14:paraId="76ECF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17" w:hRule="atLeast"/>
        </w:trPr>
        <w:tc>
          <w:tcPr>
            <w:tcW w:w="960" w:type="dxa"/>
            <w:noWrap/>
            <w:vAlign w:val="center"/>
          </w:tcPr>
          <w:p w14:paraId="1FD85827">
            <w:pPr>
              <w:spacing w:line="480" w:lineRule="exact"/>
              <w:jc w:val="center"/>
              <w:rPr>
                <w:rFonts w:hint="default" w:ascii="仿宋" w:hAnsi="仿宋" w:eastAsia="仿宋" w:cs="仿宋"/>
                <w:sz w:val="28"/>
                <w:szCs w:val="28"/>
                <w:lang w:val="en-US" w:eastAsia="zh-CN"/>
              </w:rPr>
            </w:pPr>
            <w:r>
              <w:rPr>
                <w:rFonts w:ascii="仿宋" w:hAnsi="仿宋" w:eastAsia="仿宋" w:cs="仿宋"/>
                <w:sz w:val="28"/>
                <w:szCs w:val="28"/>
                <w:lang w:val="en-US" w:eastAsia="zh-CN"/>
              </w:rPr>
              <w:t>48</w:t>
            </w:r>
          </w:p>
        </w:tc>
        <w:tc>
          <w:tcPr>
            <w:tcW w:w="7826" w:type="dxa"/>
            <w:noWrap/>
            <w:vAlign w:val="center"/>
          </w:tcPr>
          <w:p w14:paraId="33758167">
            <w:pPr>
              <w:spacing w:line="480" w:lineRule="exact"/>
              <w:rPr>
                <w:rFonts w:hint="default" w:ascii="仿宋" w:hAnsi="仿宋" w:eastAsia="仿宋" w:cs="仿宋"/>
                <w:sz w:val="28"/>
                <w:szCs w:val="28"/>
                <w:lang w:val="en-US" w:eastAsia="zh-CN"/>
              </w:rPr>
            </w:pPr>
            <w:r>
              <w:rPr>
                <w:rFonts w:ascii="仿宋" w:hAnsi="仿宋" w:eastAsia="仿宋" w:cs="仿宋"/>
                <w:sz w:val="28"/>
                <w:szCs w:val="28"/>
                <w:lang w:val="en-US" w:eastAsia="zh-CN"/>
              </w:rPr>
              <w:t>招标代理费</w:t>
            </w:r>
            <w:r>
              <w:rPr>
                <w:rFonts w:ascii="仿宋" w:hAnsi="仿宋" w:eastAsia="仿宋" w:cs="仿宋"/>
                <w:sz w:val="28"/>
                <w:szCs w:val="28"/>
              </w:rPr>
              <w:t>：免费。</w:t>
            </w:r>
          </w:p>
        </w:tc>
      </w:tr>
      <w:tr w14:paraId="230FC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58" w:hRule="atLeast"/>
        </w:trPr>
        <w:tc>
          <w:tcPr>
            <w:tcW w:w="960" w:type="dxa"/>
            <w:noWrap/>
            <w:vAlign w:val="center"/>
          </w:tcPr>
          <w:p w14:paraId="08528568">
            <w:pPr>
              <w:spacing w:line="480" w:lineRule="exact"/>
              <w:jc w:val="center"/>
              <w:rPr>
                <w:rFonts w:hint="default" w:ascii="仿宋" w:hAnsi="仿宋" w:eastAsia="仿宋" w:cs="仿宋"/>
                <w:sz w:val="28"/>
                <w:szCs w:val="28"/>
                <w:lang w:val="en-US" w:eastAsia="zh-CN"/>
              </w:rPr>
            </w:pPr>
            <w:r>
              <w:rPr>
                <w:rFonts w:ascii="仿宋" w:hAnsi="仿宋" w:eastAsia="仿宋" w:cs="仿宋"/>
                <w:sz w:val="28"/>
                <w:szCs w:val="28"/>
                <w:lang w:val="en-US" w:eastAsia="zh-CN"/>
              </w:rPr>
              <w:t>49.2</w:t>
            </w:r>
          </w:p>
        </w:tc>
        <w:tc>
          <w:tcPr>
            <w:tcW w:w="7826" w:type="dxa"/>
            <w:noWrap/>
            <w:vAlign w:val="center"/>
          </w:tcPr>
          <w:p w14:paraId="5B47C891">
            <w:pPr>
              <w:spacing w:line="480" w:lineRule="exact"/>
              <w:rPr>
                <w:rFonts w:hint="default" w:ascii="仿宋" w:hAnsi="仿宋" w:eastAsia="仿宋" w:cs="仿宋"/>
                <w:sz w:val="28"/>
                <w:szCs w:val="28"/>
                <w:lang w:eastAsia="zh-CN"/>
              </w:rPr>
            </w:pPr>
            <w:r>
              <w:rPr>
                <w:rFonts w:ascii="仿宋" w:hAnsi="仿宋" w:eastAsia="仿宋" w:cs="仿宋"/>
                <w:sz w:val="28"/>
                <w:szCs w:val="28"/>
                <w:lang w:val="en-US" w:eastAsia="zh-CN"/>
              </w:rPr>
              <w:t>投标人应在法定质疑期内针对同一采购程序环节的质疑次数：一次。</w:t>
            </w:r>
          </w:p>
        </w:tc>
      </w:tr>
      <w:tr w14:paraId="18B35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9" w:hRule="atLeast"/>
        </w:trPr>
        <w:tc>
          <w:tcPr>
            <w:tcW w:w="960" w:type="dxa"/>
            <w:noWrap/>
            <w:vAlign w:val="center"/>
          </w:tcPr>
          <w:p w14:paraId="483240ED">
            <w:pPr>
              <w:spacing w:line="480" w:lineRule="exact"/>
              <w:jc w:val="center"/>
              <w:rPr>
                <w:rFonts w:hint="default" w:ascii="仿宋" w:hAnsi="仿宋" w:eastAsia="仿宋" w:cs="仿宋"/>
                <w:sz w:val="28"/>
                <w:szCs w:val="28"/>
                <w:lang w:val="en-US" w:eastAsia="zh-CN"/>
              </w:rPr>
            </w:pPr>
          </w:p>
        </w:tc>
        <w:tc>
          <w:tcPr>
            <w:tcW w:w="7826" w:type="dxa"/>
            <w:noWrap/>
            <w:vAlign w:val="center"/>
          </w:tcPr>
          <w:p w14:paraId="6FC4F16A">
            <w:pPr>
              <w:spacing w:line="480" w:lineRule="exact"/>
              <w:jc w:val="center"/>
              <w:rPr>
                <w:rFonts w:hint="default" w:ascii="仿宋" w:hAnsi="仿宋" w:eastAsia="仿宋" w:cs="仿宋"/>
                <w:sz w:val="28"/>
                <w:szCs w:val="28"/>
              </w:rPr>
            </w:pPr>
            <w:r>
              <w:rPr>
                <w:rFonts w:ascii="仿宋" w:hAnsi="仿宋" w:eastAsia="仿宋" w:cs="仿宋"/>
                <w:sz w:val="28"/>
                <w:szCs w:val="28"/>
              </w:rPr>
              <w:t>需要补充的其他内容</w:t>
            </w:r>
          </w:p>
        </w:tc>
      </w:tr>
      <w:tr w14:paraId="3B9BC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60" w:type="dxa"/>
            <w:noWrap/>
            <w:vAlign w:val="center"/>
          </w:tcPr>
          <w:p w14:paraId="031862FC">
            <w:pPr>
              <w:spacing w:line="480" w:lineRule="exact"/>
              <w:jc w:val="center"/>
              <w:rPr>
                <w:rFonts w:hint="default" w:ascii="仿宋" w:hAnsi="仿宋" w:eastAsia="仿宋" w:cs="仿宋"/>
                <w:sz w:val="28"/>
                <w:szCs w:val="28"/>
                <w:lang w:eastAsia="zh-CN"/>
              </w:rPr>
            </w:pPr>
            <w:r>
              <w:rPr>
                <w:rFonts w:ascii="仿宋" w:hAnsi="仿宋" w:eastAsia="仿宋" w:cs="仿宋"/>
                <w:sz w:val="28"/>
                <w:szCs w:val="28"/>
                <w:lang w:val="en-US" w:eastAsia="zh-CN"/>
              </w:rPr>
              <w:t>50</w:t>
            </w:r>
            <w:r>
              <w:rPr>
                <w:rFonts w:ascii="仿宋" w:hAnsi="仿宋" w:eastAsia="仿宋" w:cs="仿宋"/>
                <w:sz w:val="28"/>
                <w:szCs w:val="28"/>
                <w:lang w:eastAsia="zh-CN"/>
              </w:rPr>
              <w:t>.1</w:t>
            </w:r>
          </w:p>
        </w:tc>
        <w:tc>
          <w:tcPr>
            <w:tcW w:w="7826" w:type="dxa"/>
            <w:noWrap/>
            <w:vAlign w:val="center"/>
          </w:tcPr>
          <w:p w14:paraId="6A927917">
            <w:pPr>
              <w:spacing w:line="480" w:lineRule="exact"/>
              <w:jc w:val="left"/>
              <w:rPr>
                <w:rFonts w:hint="default" w:ascii="仿宋" w:hAnsi="仿宋" w:eastAsia="仿宋" w:cs="仿宋"/>
                <w:b/>
                <w:bCs/>
                <w:sz w:val="28"/>
                <w:szCs w:val="28"/>
                <w:lang w:eastAsia="zh-CN"/>
              </w:rPr>
            </w:pPr>
            <w:r>
              <w:rPr>
                <w:rFonts w:ascii="仿宋" w:hAnsi="仿宋" w:eastAsia="仿宋" w:cs="仿宋"/>
                <w:b/>
                <w:bCs/>
                <w:sz w:val="28"/>
                <w:szCs w:val="28"/>
                <w:lang w:eastAsia="zh-CN"/>
              </w:rPr>
              <w:t>付款方式：</w:t>
            </w:r>
          </w:p>
          <w:p w14:paraId="7E5ABF30">
            <w:pPr>
              <w:spacing w:line="480" w:lineRule="exact"/>
              <w:rPr>
                <w:rFonts w:hint="default" w:ascii="仿宋" w:hAnsi="仿宋" w:eastAsia="仿宋" w:cs="仿宋"/>
                <w:sz w:val="28"/>
                <w:szCs w:val="28"/>
                <w:lang w:val="en-US" w:eastAsia="zh-CN"/>
              </w:rPr>
            </w:pPr>
            <w:r>
              <w:rPr>
                <w:rFonts w:ascii="仿宋" w:hAnsi="仿宋" w:eastAsia="仿宋" w:cs="仿宋"/>
                <w:sz w:val="28"/>
                <w:szCs w:val="28"/>
                <w:lang w:val="en-US" w:eastAsia="zh-CN"/>
              </w:rPr>
              <w:t>物业管理服务费按月支付，采购人在对中标人上一月的服务考核后，以转帐方式支付上一月物业管理服务费，月底前完成支付。合同期内最后一个月的物业管理服务费待双方办理完交接手续后，无遗留问题，由采购人支付给中标人，若考核不合格，按照考核办法扣减物业管理服务费。</w:t>
            </w:r>
          </w:p>
        </w:tc>
      </w:tr>
      <w:tr w14:paraId="6A18D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138" w:hRule="atLeast"/>
        </w:trPr>
        <w:tc>
          <w:tcPr>
            <w:tcW w:w="960" w:type="dxa"/>
            <w:noWrap/>
            <w:vAlign w:val="center"/>
          </w:tcPr>
          <w:p w14:paraId="46B852A0">
            <w:pPr>
              <w:spacing w:line="480" w:lineRule="exact"/>
              <w:jc w:val="center"/>
              <w:rPr>
                <w:rFonts w:hint="default" w:ascii="仿宋" w:hAnsi="仿宋" w:eastAsia="仿宋" w:cs="仿宋"/>
                <w:sz w:val="28"/>
                <w:szCs w:val="28"/>
                <w:lang w:val="en-US" w:eastAsia="zh-CN"/>
              </w:rPr>
            </w:pPr>
            <w:r>
              <w:rPr>
                <w:rFonts w:ascii="仿宋" w:hAnsi="仿宋" w:eastAsia="仿宋" w:cs="仿宋"/>
                <w:sz w:val="28"/>
                <w:szCs w:val="28"/>
                <w:lang w:val="en-US" w:eastAsia="zh-CN"/>
              </w:rPr>
              <w:t>50.2</w:t>
            </w:r>
          </w:p>
        </w:tc>
        <w:tc>
          <w:tcPr>
            <w:tcW w:w="7826" w:type="dxa"/>
            <w:noWrap/>
            <w:vAlign w:val="center"/>
          </w:tcPr>
          <w:p w14:paraId="7331FADB">
            <w:pPr>
              <w:tabs>
                <w:tab w:val="left" w:pos="3150"/>
              </w:tabs>
              <w:spacing w:line="480" w:lineRule="exact"/>
              <w:jc w:val="left"/>
              <w:rPr>
                <w:rFonts w:hint="default" w:ascii="仿宋" w:hAnsi="仿宋" w:eastAsia="仿宋" w:cs="仿宋"/>
                <w:b/>
                <w:bCs/>
                <w:sz w:val="28"/>
                <w:szCs w:val="28"/>
                <w:lang w:val="en-US" w:eastAsia="zh-CN"/>
              </w:rPr>
            </w:pPr>
            <w:r>
              <w:rPr>
                <w:rFonts w:ascii="仿宋" w:hAnsi="仿宋" w:eastAsia="仿宋" w:cs="仿宋"/>
                <w:b/>
                <w:bCs/>
                <w:kern w:val="0"/>
                <w:sz w:val="28"/>
                <w:szCs w:val="28"/>
                <w:lang w:val="en-US" w:eastAsia="zh-CN"/>
              </w:rPr>
              <w:t>“</w:t>
            </w:r>
            <w:r>
              <w:rPr>
                <w:rFonts w:ascii="仿宋" w:hAnsi="仿宋" w:eastAsia="仿宋" w:cs="仿宋"/>
                <w:b/>
                <w:bCs/>
                <w:sz w:val="28"/>
                <w:szCs w:val="28"/>
                <w:lang w:val="en-US" w:eastAsia="zh-CN"/>
              </w:rPr>
              <w:t>一号咨询”服务：</w:t>
            </w:r>
            <w:r>
              <w:rPr>
                <w:rFonts w:ascii="仿宋" w:hAnsi="仿宋" w:eastAsia="仿宋" w:cs="仿宋"/>
                <w:kern w:val="0"/>
                <w:sz w:val="28"/>
                <w:szCs w:val="28"/>
                <w:lang w:val="en-US" w:eastAsia="zh-CN"/>
              </w:rPr>
              <w:t>市场主体拨打0371-61335566即可咨询河南省公共资源交易中心业务的相关问题。</w:t>
            </w:r>
          </w:p>
        </w:tc>
      </w:tr>
    </w:tbl>
    <w:p w14:paraId="1113937F">
      <w:pPr>
        <w:spacing w:line="480" w:lineRule="exact"/>
        <w:jc w:val="left"/>
        <w:rPr>
          <w:rFonts w:hint="default" w:ascii="宋体" w:hAnsi="宋体" w:eastAsia="宋体" w:cs="宋体"/>
          <w:color w:val="auto"/>
          <w:sz w:val="24"/>
          <w:szCs w:val="24"/>
          <w:lang w:eastAsia="zh-CN"/>
        </w:rPr>
      </w:pPr>
    </w:p>
    <w:p w14:paraId="03C228E4">
      <w:pPr>
        <w:spacing w:line="480" w:lineRule="exact"/>
        <w:ind w:left="1077" w:hanging="539"/>
        <w:rPr>
          <w:rFonts w:hint="default" w:ascii="宋体" w:hAnsi="宋体" w:eastAsia="宋体" w:cs="宋体"/>
          <w:color w:val="auto"/>
          <w:lang w:eastAsia="zh-CN"/>
        </w:rPr>
        <w:sectPr>
          <w:footerReference r:id="rId4" w:type="default"/>
          <w:pgSz w:w="11900" w:h="16840"/>
          <w:pgMar w:top="1440" w:right="1797" w:bottom="1440" w:left="1797" w:header="851" w:footer="992" w:gutter="0"/>
          <w:cols w:space="720" w:num="1"/>
        </w:sectPr>
      </w:pPr>
    </w:p>
    <w:p w14:paraId="6A06F983">
      <w:pPr>
        <w:pStyle w:val="2"/>
        <w:spacing w:before="0" w:after="0" w:line="240" w:lineRule="auto"/>
        <w:jc w:val="center"/>
        <w:rPr>
          <w:rFonts w:ascii="宋体" w:hAnsi="宋体" w:eastAsia="宋体" w:cs="宋体"/>
          <w:color w:val="auto"/>
          <w:sz w:val="36"/>
          <w:szCs w:val="36"/>
          <w:lang w:val="en-US" w:eastAsia="zh-CN"/>
        </w:rPr>
      </w:pPr>
      <w:bookmarkStart w:id="113" w:name="_Toc580298809"/>
      <w:bookmarkStart w:id="114" w:name="_Toc2118786865_WPSOffice_Level1"/>
      <w:bookmarkStart w:id="115" w:name="_Toc672784450_WPSOffice_Level1"/>
      <w:bookmarkStart w:id="116" w:name="_Toc1344387214"/>
      <w:bookmarkStart w:id="117" w:name="_Toc1855516403"/>
      <w:bookmarkStart w:id="118" w:name="_Toc1810187627_WPSOffice_Level1"/>
      <w:bookmarkStart w:id="119" w:name="_Toc754728636"/>
      <w:bookmarkStart w:id="120" w:name="_Toc914717081"/>
      <w:bookmarkStart w:id="121" w:name="_Toc309192439"/>
      <w:bookmarkStart w:id="122" w:name="_Toc540794793"/>
      <w:bookmarkStart w:id="123" w:name="_Toc696406431"/>
      <w:bookmarkStart w:id="124" w:name="_Toc653624039"/>
      <w:bookmarkStart w:id="125" w:name="_Toc194396107"/>
      <w:bookmarkStart w:id="126" w:name="_Toc1484219635"/>
      <w:bookmarkStart w:id="127" w:name="_Toc435542012"/>
      <w:bookmarkStart w:id="128" w:name="_Toc152586292"/>
      <w:bookmarkStart w:id="129" w:name="_Toc1639549268"/>
      <w:bookmarkStart w:id="130" w:name="_Toc457436968_WPSOffice_Level1"/>
      <w:bookmarkStart w:id="131" w:name="_Toc1341383622_WPSOffice_Level1"/>
      <w:bookmarkStart w:id="132" w:name="_Toc511855247"/>
      <w:r>
        <w:rPr>
          <w:rFonts w:hint="eastAsia" w:ascii="宋体" w:hAnsi="宋体" w:eastAsia="宋体" w:cs="宋体"/>
          <w:color w:val="auto"/>
          <w:sz w:val="36"/>
          <w:szCs w:val="36"/>
          <w:lang w:val="en-US" w:eastAsia="zh-CN"/>
        </w:rPr>
        <w:t xml:space="preserve">第三章 </w:t>
      </w:r>
      <w:r>
        <w:rPr>
          <w:rFonts w:hint="eastAsia" w:ascii="宋体" w:hAnsi="宋体" w:eastAsia="宋体" w:cs="宋体"/>
          <w:color w:val="auto"/>
          <w:sz w:val="36"/>
          <w:szCs w:val="36"/>
          <w:lang w:eastAsia="zh-CN"/>
        </w:rPr>
        <w:t>投标人须知</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445DBDFA">
      <w:pPr>
        <w:keepNext/>
        <w:keepLines/>
        <w:widowControl w:val="0"/>
        <w:autoSpaceDE w:val="0"/>
        <w:autoSpaceDN w:val="0"/>
        <w:adjustRightInd w:val="0"/>
        <w:spacing w:line="360" w:lineRule="auto"/>
        <w:jc w:val="center"/>
        <w:outlineLvl w:val="1"/>
        <w:rPr>
          <w:rFonts w:hint="default" w:ascii="方正小标宋_GBK" w:hAnsi="方正小标宋_GBK" w:eastAsia="方正小标宋_GBK" w:cs="方正小标宋_GBK"/>
          <w:bCs/>
          <w:color w:val="auto"/>
          <w:kern w:val="0"/>
          <w:sz w:val="30"/>
          <w:szCs w:val="30"/>
          <w:lang w:val="en-US" w:eastAsia="zh-CN"/>
        </w:rPr>
      </w:pPr>
      <w:bookmarkStart w:id="133" w:name="_Toc963499806"/>
      <w:bookmarkStart w:id="134" w:name="_Toc2103873687_WPSOffice_Level2"/>
      <w:bookmarkStart w:id="135" w:name="_Toc1698066625"/>
      <w:bookmarkStart w:id="136" w:name="_Toc587412607"/>
      <w:bookmarkStart w:id="137" w:name="_Toc1239566703"/>
      <w:bookmarkStart w:id="138" w:name="_Toc1605126531"/>
      <w:bookmarkStart w:id="139" w:name="_Toc1875035149"/>
      <w:bookmarkStart w:id="140" w:name="_Toc795505054"/>
      <w:bookmarkStart w:id="141" w:name="_Toc1420306246"/>
      <w:bookmarkStart w:id="142" w:name="_Toc72595909_WPSOffice_Level2"/>
      <w:bookmarkStart w:id="143" w:name="_Toc1547883234"/>
      <w:bookmarkStart w:id="144" w:name="_Toc1724158210_WPSOffice_Level2"/>
      <w:bookmarkStart w:id="145" w:name="_Toc547533145"/>
      <w:bookmarkStart w:id="146" w:name="_Toc753331058"/>
      <w:bookmarkStart w:id="147" w:name="_Toc1820077040_WPSOffice_Level2"/>
      <w:bookmarkStart w:id="148" w:name="_Toc1053718759_WPSOffice_Level2"/>
      <w:bookmarkStart w:id="149" w:name="_Toc6348"/>
      <w:bookmarkStart w:id="150" w:name="_Toc225324457"/>
      <w:r>
        <w:rPr>
          <w:rFonts w:ascii="方正小标宋_GBK" w:hAnsi="方正小标宋_GBK" w:eastAsia="方正小标宋_GBK" w:cs="方正小标宋_GBK"/>
          <w:bCs/>
          <w:color w:val="auto"/>
          <w:kern w:val="0"/>
          <w:sz w:val="30"/>
          <w:szCs w:val="30"/>
          <w:lang w:val="en-US" w:eastAsia="zh-CN"/>
        </w:rPr>
        <w:t>一、说  明</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14C84AD2">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eastAsia="zh-CN"/>
        </w:rPr>
        <w:t>1</w:t>
      </w:r>
      <w:r>
        <w:rPr>
          <w:rFonts w:ascii="仿宋" w:hAnsi="仿宋" w:eastAsia="仿宋" w:cs="仿宋"/>
          <w:b/>
          <w:bCs/>
          <w:sz w:val="28"/>
          <w:szCs w:val="28"/>
          <w:lang w:val="en-US" w:eastAsia="zh-CN"/>
        </w:rPr>
        <w:t>.</w:t>
      </w:r>
      <w:r>
        <w:rPr>
          <w:rFonts w:ascii="仿宋" w:hAnsi="仿宋" w:eastAsia="仿宋" w:cs="仿宋"/>
          <w:b/>
          <w:bCs/>
          <w:sz w:val="28"/>
          <w:szCs w:val="28"/>
          <w:lang w:eastAsia="zh-CN"/>
        </w:rPr>
        <w:t>适用范围</w:t>
      </w:r>
    </w:p>
    <w:p w14:paraId="4101AE59">
      <w:pPr>
        <w:spacing w:line="360" w:lineRule="auto"/>
        <w:rPr>
          <w:rFonts w:hint="default" w:ascii="仿宋" w:hAnsi="仿宋" w:eastAsia="仿宋" w:cs="仿宋"/>
          <w:sz w:val="28"/>
          <w:szCs w:val="28"/>
          <w:lang w:eastAsia="zh-CN"/>
        </w:rPr>
      </w:pPr>
      <w:bookmarkStart w:id="151" w:name="_Toc196648728_WPSOffice_Level3"/>
      <w:bookmarkStart w:id="152" w:name="_Toc532150620_WPSOffice_Level3"/>
      <w:bookmarkStart w:id="153" w:name="_Toc187354401_WPSOffice_Level3"/>
      <w:r>
        <w:rPr>
          <w:rFonts w:ascii="仿宋" w:hAnsi="仿宋" w:eastAsia="仿宋" w:cs="仿宋"/>
          <w:sz w:val="28"/>
          <w:szCs w:val="28"/>
          <w:lang w:eastAsia="zh-CN"/>
        </w:rPr>
        <w:t>1.1本招标文件仅适用于本次公开招标所述的服务。</w:t>
      </w:r>
      <w:bookmarkEnd w:id="151"/>
      <w:bookmarkEnd w:id="152"/>
      <w:bookmarkEnd w:id="153"/>
    </w:p>
    <w:p w14:paraId="7C1B2278">
      <w:pPr>
        <w:spacing w:line="360" w:lineRule="auto"/>
        <w:rPr>
          <w:rFonts w:hint="default" w:ascii="仿宋" w:hAnsi="仿宋" w:eastAsia="仿宋" w:cs="仿宋"/>
          <w:sz w:val="28"/>
          <w:szCs w:val="28"/>
          <w:lang w:eastAsia="zh-CN"/>
        </w:rPr>
      </w:pPr>
      <w:bookmarkStart w:id="154" w:name="_Toc548249303_WPSOffice_Level3"/>
      <w:bookmarkStart w:id="155" w:name="_Toc1359847161_WPSOffice_Level3"/>
      <w:bookmarkStart w:id="156" w:name="_Toc900722191_WPSOffice_Level3"/>
      <w:r>
        <w:rPr>
          <w:rFonts w:ascii="仿宋" w:hAnsi="仿宋" w:eastAsia="仿宋" w:cs="仿宋"/>
          <w:sz w:val="28"/>
          <w:szCs w:val="28"/>
          <w:lang w:eastAsia="zh-CN"/>
        </w:rPr>
        <w:t>1.2采购项目：见“投标人须知前附表”。</w:t>
      </w:r>
      <w:bookmarkEnd w:id="154"/>
      <w:bookmarkEnd w:id="155"/>
      <w:bookmarkEnd w:id="156"/>
    </w:p>
    <w:p w14:paraId="125A5E41">
      <w:pPr>
        <w:spacing w:line="360" w:lineRule="auto"/>
        <w:rPr>
          <w:rFonts w:hint="default" w:ascii="仿宋" w:hAnsi="仿宋" w:eastAsia="仿宋" w:cs="仿宋"/>
          <w:sz w:val="28"/>
          <w:szCs w:val="28"/>
          <w:lang w:eastAsia="zh-CN"/>
        </w:rPr>
      </w:pPr>
      <w:bookmarkStart w:id="157" w:name="_Toc1512585633_WPSOffice_Level3"/>
      <w:bookmarkStart w:id="158" w:name="_Toc1100833192_WPSOffice_Level3"/>
      <w:bookmarkStart w:id="159" w:name="_Toc334765003_WPSOffice_Level3"/>
      <w:r>
        <w:rPr>
          <w:rFonts w:ascii="仿宋" w:hAnsi="仿宋" w:eastAsia="仿宋" w:cs="仿宋"/>
          <w:sz w:val="28"/>
          <w:szCs w:val="28"/>
          <w:lang w:eastAsia="zh-CN"/>
        </w:rPr>
        <w:t>1.3采购编号：见“投标人须知前附表”。</w:t>
      </w:r>
      <w:bookmarkEnd w:id="157"/>
      <w:bookmarkEnd w:id="158"/>
      <w:bookmarkEnd w:id="159"/>
    </w:p>
    <w:p w14:paraId="28408D54">
      <w:pPr>
        <w:spacing w:line="360" w:lineRule="auto"/>
        <w:rPr>
          <w:rFonts w:hint="default" w:ascii="仿宋" w:hAnsi="仿宋" w:eastAsia="仿宋" w:cs="仿宋"/>
          <w:sz w:val="28"/>
          <w:szCs w:val="28"/>
          <w:lang w:eastAsia="zh-CN"/>
        </w:rPr>
      </w:pPr>
      <w:bookmarkStart w:id="160" w:name="_Toc1513112147_WPSOffice_Level3"/>
      <w:bookmarkStart w:id="161" w:name="_Toc979196621_WPSOffice_Level3"/>
      <w:bookmarkStart w:id="162" w:name="_Toc2062433103_WPSOffice_Level3"/>
      <w:r>
        <w:rPr>
          <w:rFonts w:ascii="仿宋" w:hAnsi="仿宋" w:eastAsia="仿宋" w:cs="仿宋"/>
          <w:sz w:val="28"/>
          <w:szCs w:val="28"/>
          <w:lang w:eastAsia="zh-CN"/>
        </w:rPr>
        <w:t>1.4采购项目简要说明：见“投标人须知前附表”。</w:t>
      </w:r>
      <w:bookmarkEnd w:id="160"/>
      <w:bookmarkEnd w:id="161"/>
      <w:bookmarkEnd w:id="162"/>
    </w:p>
    <w:p w14:paraId="6C4CE856">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eastAsia="zh-CN"/>
        </w:rPr>
        <w:t>2</w:t>
      </w:r>
      <w:r>
        <w:rPr>
          <w:rFonts w:ascii="仿宋" w:hAnsi="仿宋" w:eastAsia="仿宋" w:cs="仿宋"/>
          <w:b/>
          <w:bCs/>
          <w:sz w:val="28"/>
          <w:szCs w:val="28"/>
          <w:lang w:val="en-US" w:eastAsia="zh-CN"/>
        </w:rPr>
        <w:t>.</w:t>
      </w:r>
      <w:r>
        <w:rPr>
          <w:rFonts w:ascii="仿宋" w:hAnsi="仿宋" w:eastAsia="仿宋" w:cs="仿宋"/>
          <w:b/>
          <w:bCs/>
          <w:sz w:val="28"/>
          <w:szCs w:val="28"/>
          <w:lang w:eastAsia="zh-CN"/>
        </w:rPr>
        <w:t>定义</w:t>
      </w:r>
    </w:p>
    <w:p w14:paraId="033004DC">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2.1政府采购监督管理部门：河南省财政厅。</w:t>
      </w:r>
    </w:p>
    <w:p w14:paraId="4EFCCF09">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2.2采购人：</w:t>
      </w:r>
      <w:r>
        <w:rPr>
          <w:rFonts w:ascii="仿宋" w:hAnsi="仿宋" w:eastAsia="仿宋" w:cs="仿宋"/>
          <w:sz w:val="28"/>
          <w:szCs w:val="28"/>
          <w:lang w:val="en-US" w:eastAsia="zh-CN"/>
        </w:rPr>
        <w:t>是指依法进行政府采购的国家机关、事业单位、团体组织。本项目的采购人见投标人须知前附表。</w:t>
      </w:r>
    </w:p>
    <w:p w14:paraId="79712EA5">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2.3集中采购机构：“投标人须知前附表”中所述的受采购人委托组织集中采购的代理机构。</w:t>
      </w:r>
    </w:p>
    <w:p w14:paraId="17E2F24B">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2.4集中采购：是指政府集中采购目录及限额标准规定的集中采购项目的采购活动。</w:t>
      </w:r>
    </w:p>
    <w:p w14:paraId="38AEC6F7">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2.5合格投标人：提供资格证明文件并通过资格审查的投标人。</w:t>
      </w:r>
    </w:p>
    <w:p w14:paraId="0C1960A7">
      <w:pPr>
        <w:spacing w:line="360" w:lineRule="auto"/>
        <w:rPr>
          <w:rFonts w:hint="default" w:ascii="仿宋" w:hAnsi="仿宋" w:eastAsia="仿宋" w:cs="仿宋"/>
          <w:sz w:val="28"/>
          <w:szCs w:val="28"/>
          <w:lang w:val="en-US" w:eastAsia="zh-CN"/>
        </w:rPr>
      </w:pPr>
      <w:r>
        <w:rPr>
          <w:rFonts w:ascii="仿宋" w:hAnsi="仿宋" w:eastAsia="仿宋" w:cs="仿宋"/>
          <w:sz w:val="28"/>
          <w:szCs w:val="28"/>
          <w:lang w:val="en-US" w:eastAsia="zh-CN"/>
        </w:rPr>
        <w:t>2.5.1若投标人须知前附表中写明专门面向中小企业采购的，如投标人为非中小企业，其投标将被认定为投标无效。</w:t>
      </w:r>
    </w:p>
    <w:p w14:paraId="69AAE727">
      <w:pPr>
        <w:spacing w:line="360" w:lineRule="auto"/>
        <w:rPr>
          <w:rFonts w:hint="default" w:ascii="仿宋" w:hAnsi="仿宋" w:eastAsia="仿宋" w:cs="仿宋"/>
          <w:lang w:val="en-US" w:eastAsia="zh-CN"/>
        </w:rPr>
      </w:pPr>
      <w:r>
        <w:rPr>
          <w:rFonts w:ascii="仿宋" w:hAnsi="仿宋" w:eastAsia="仿宋" w:cs="仿宋"/>
          <w:sz w:val="28"/>
          <w:szCs w:val="28"/>
          <w:lang w:val="en-US" w:eastAsia="zh-CN"/>
        </w:rPr>
        <w:t>2.5.2</w:t>
      </w:r>
      <w:r>
        <w:rPr>
          <w:rFonts w:ascii="仿宋" w:hAnsi="仿宋" w:eastAsia="仿宋" w:cs="仿宋"/>
          <w:sz w:val="28"/>
          <w:szCs w:val="28"/>
          <w:lang w:eastAsia="zh-CN"/>
        </w:rPr>
        <w:t>若投标人须知前附表中写明允许采购进口产品，但不限制满足招标文件要求的国内产品参与采购活动，投标人应保证所投产品可履行合法报通关手续进入中国关境内。若投标人须知前附表中未写明允许采购进口产品，如投标人提供产品为进口产品，其投标文件将被认定为无效投标文件。</w:t>
      </w:r>
    </w:p>
    <w:p w14:paraId="481D899E">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2.6投标文件：指投标人根据招标文件提交的所有文件。</w:t>
      </w:r>
    </w:p>
    <w:p w14:paraId="07355E32">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eastAsia="zh-CN"/>
        </w:rPr>
        <w:t>3</w:t>
      </w:r>
      <w:r>
        <w:rPr>
          <w:rFonts w:ascii="仿宋" w:hAnsi="仿宋" w:eastAsia="仿宋" w:cs="仿宋"/>
          <w:b/>
          <w:bCs/>
          <w:sz w:val="28"/>
          <w:szCs w:val="28"/>
          <w:lang w:val="en-US" w:eastAsia="zh-CN"/>
        </w:rPr>
        <w:t>.</w:t>
      </w:r>
      <w:r>
        <w:rPr>
          <w:rFonts w:ascii="仿宋" w:hAnsi="仿宋" w:eastAsia="仿宋" w:cs="仿宋"/>
          <w:b/>
          <w:bCs/>
          <w:sz w:val="28"/>
          <w:szCs w:val="28"/>
          <w:lang w:eastAsia="zh-CN"/>
        </w:rPr>
        <w:t>投标费用</w:t>
      </w:r>
    </w:p>
    <w:p w14:paraId="523C7CA4">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投标人须自行承担所有与参加投标有关的费用，无论投标的结果如何，采购人和集中采购机构在任何情况下均无义务和责任承担这些费用。</w:t>
      </w:r>
    </w:p>
    <w:p w14:paraId="200B19D8">
      <w:pPr>
        <w:spacing w:line="360" w:lineRule="auto"/>
        <w:rPr>
          <w:rFonts w:hint="default" w:ascii="仿宋" w:hAnsi="仿宋" w:eastAsia="仿宋" w:cs="仿宋"/>
          <w:b/>
          <w:bCs/>
          <w:sz w:val="28"/>
          <w:szCs w:val="28"/>
          <w:lang w:eastAsia="zh-CN"/>
        </w:rPr>
      </w:pPr>
      <w:bookmarkStart w:id="163" w:name="_Toc284337471"/>
      <w:bookmarkStart w:id="164" w:name="_Toc337225031"/>
      <w:bookmarkStart w:id="165" w:name="_Toc441214089"/>
      <w:r>
        <w:rPr>
          <w:rFonts w:ascii="仿宋" w:hAnsi="仿宋" w:eastAsia="仿宋" w:cs="仿宋"/>
          <w:b/>
          <w:bCs/>
          <w:sz w:val="28"/>
          <w:szCs w:val="28"/>
          <w:lang w:eastAsia="zh-CN"/>
        </w:rPr>
        <w:t>4</w:t>
      </w:r>
      <w:r>
        <w:rPr>
          <w:rFonts w:ascii="仿宋" w:hAnsi="仿宋" w:eastAsia="仿宋" w:cs="仿宋"/>
          <w:b/>
          <w:bCs/>
          <w:sz w:val="28"/>
          <w:szCs w:val="28"/>
          <w:lang w:val="en-US" w:eastAsia="zh-CN"/>
        </w:rPr>
        <w:t>.</w:t>
      </w:r>
      <w:r>
        <w:rPr>
          <w:rFonts w:ascii="仿宋" w:hAnsi="仿宋" w:eastAsia="仿宋" w:cs="仿宋"/>
          <w:b/>
          <w:bCs/>
          <w:sz w:val="28"/>
          <w:szCs w:val="28"/>
          <w:lang w:eastAsia="zh-CN"/>
        </w:rPr>
        <w:t>踏勘现场</w:t>
      </w:r>
      <w:bookmarkEnd w:id="163"/>
      <w:bookmarkEnd w:id="164"/>
      <w:bookmarkEnd w:id="165"/>
    </w:p>
    <w:p w14:paraId="7C3A8367">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4.1“投标人须知前附表”规定组织踏勘现场的，采购人按“投标人须知前附表”规定的时间、地点组织投标人踏勘项目现场。</w:t>
      </w:r>
    </w:p>
    <w:p w14:paraId="64D0EC0E">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4.2投标人踏勘现场发生的费用自理。</w:t>
      </w:r>
    </w:p>
    <w:p w14:paraId="391C72F5">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4.3除采购人的原因外，投标人自行负责在踏勘现场中所发生的人员伤亡和财产损失。</w:t>
      </w:r>
    </w:p>
    <w:p w14:paraId="56968316">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4.4采购人在踏勘现场中介绍的项目现场和相关的周边环境情况，供投标人在编制投标文件时参考，采购人不对投标人据此作出的判断和决策负责。</w:t>
      </w:r>
    </w:p>
    <w:p w14:paraId="4153F5F0">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eastAsia="zh-CN"/>
        </w:rPr>
        <w:t>5.知识产权</w:t>
      </w:r>
    </w:p>
    <w:p w14:paraId="5438CF16">
      <w:pPr>
        <w:spacing w:line="360" w:lineRule="auto"/>
        <w:rPr>
          <w:rFonts w:hint="default" w:ascii="仿宋" w:hAnsi="仿宋" w:eastAsia="仿宋" w:cs="仿宋"/>
          <w:sz w:val="28"/>
          <w:szCs w:val="28"/>
          <w:lang w:eastAsia="zh-CN"/>
        </w:rPr>
      </w:pPr>
      <w:r>
        <w:rPr>
          <w:rFonts w:ascii="仿宋" w:hAnsi="仿宋" w:eastAsia="仿宋" w:cs="仿宋"/>
          <w:sz w:val="28"/>
          <w:szCs w:val="28"/>
          <w:lang w:val="en-GB" w:eastAsia="zh-CN"/>
        </w:rPr>
        <w:t>所有涉及知识产权的成果，</w:t>
      </w:r>
      <w:r>
        <w:rPr>
          <w:rFonts w:ascii="仿宋" w:hAnsi="仿宋" w:eastAsia="仿宋" w:cs="仿宋"/>
          <w:sz w:val="28"/>
          <w:szCs w:val="28"/>
          <w:lang w:eastAsia="zh-CN"/>
        </w:rPr>
        <w:t>投标人</w:t>
      </w:r>
      <w:r>
        <w:rPr>
          <w:rFonts w:ascii="仿宋" w:hAnsi="仿宋" w:eastAsia="仿宋" w:cs="仿宋"/>
          <w:sz w:val="28"/>
          <w:szCs w:val="28"/>
          <w:lang w:val="en-GB" w:eastAsia="zh-CN"/>
        </w:rPr>
        <w:t>必须确保采购人拥有其合法的、不受限制的无偿使用权，并免受任何侵权诉讼或索偿，否则，由此产生的一切经济损失和法律责任由</w:t>
      </w:r>
      <w:r>
        <w:rPr>
          <w:rFonts w:ascii="仿宋" w:hAnsi="仿宋" w:eastAsia="仿宋" w:cs="仿宋"/>
          <w:sz w:val="28"/>
          <w:szCs w:val="28"/>
          <w:lang w:eastAsia="zh-CN"/>
        </w:rPr>
        <w:t>投标人</w:t>
      </w:r>
      <w:r>
        <w:rPr>
          <w:rFonts w:ascii="仿宋" w:hAnsi="仿宋" w:eastAsia="仿宋" w:cs="仿宋"/>
          <w:sz w:val="28"/>
          <w:szCs w:val="28"/>
          <w:lang w:val="en-GB" w:eastAsia="zh-CN"/>
        </w:rPr>
        <w:t>承担。</w:t>
      </w:r>
    </w:p>
    <w:p w14:paraId="028C21BA">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val="en-US" w:eastAsia="zh-CN"/>
        </w:rPr>
        <w:t>6</w:t>
      </w:r>
      <w:r>
        <w:rPr>
          <w:rFonts w:ascii="仿宋" w:hAnsi="仿宋" w:eastAsia="仿宋" w:cs="仿宋"/>
          <w:b/>
          <w:bCs/>
          <w:sz w:val="28"/>
          <w:szCs w:val="28"/>
          <w:lang w:eastAsia="zh-CN"/>
        </w:rPr>
        <w:t>.联合体投标</w:t>
      </w:r>
    </w:p>
    <w:p w14:paraId="6481B71E">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6.1除非本项目明确要求不接受联合体形式投标外，两个或两个以上投标人可以组成一个联合体，以一个投标人的身份共同参加投标。</w:t>
      </w:r>
    </w:p>
    <w:p w14:paraId="6B72A549">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6.2以联合体形式参加投标的，联合体各方均应当符合《政府采购法》第二十二条第规定的条件，并应当向采购人提交联合协议，载明联合体各方承担的工作和义务。根据采购项目的特殊要求规定投标人特定条件的，联合体各方中至少应当有一方符合。</w:t>
      </w:r>
    </w:p>
    <w:p w14:paraId="21B5A20E">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6.3联合体中有同类资质的投标人按照联合体分工承担相同工作的，应当按照资质等级较低的投标人确定资质等级。</w:t>
      </w:r>
    </w:p>
    <w:p w14:paraId="063C407A">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6.4联合体投标的，可以由联合体中的牵头人或者共同提交投标承诺函，以牵头人名义提交投标承诺函的，对联合体各方均具有约束力。</w:t>
      </w:r>
    </w:p>
    <w:p w14:paraId="12810089">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6.5以联合体形式参加政府采购活动的，联合体各方不得再单独参加或者与其他投标人另外组成联合体参加同一合同项下的政府采购活动。</w:t>
      </w:r>
    </w:p>
    <w:p w14:paraId="4772F372">
      <w:pPr>
        <w:pStyle w:val="17"/>
        <w:spacing w:line="360" w:lineRule="auto"/>
        <w:rPr>
          <w:rFonts w:ascii="仿宋" w:hAnsi="仿宋" w:eastAsia="仿宋" w:cs="仿宋"/>
          <w:lang w:eastAsia="zh-CN"/>
        </w:rPr>
      </w:pPr>
      <w:r>
        <w:rPr>
          <w:rFonts w:hint="eastAsia" w:ascii="仿宋" w:hAnsi="仿宋" w:eastAsia="仿宋" w:cs="仿宋"/>
          <w:sz w:val="28"/>
          <w:szCs w:val="28"/>
          <w:lang w:eastAsia="zh-CN"/>
        </w:rPr>
        <w:t>6.6</w:t>
      </w:r>
      <w:r>
        <w:rPr>
          <w:rFonts w:hint="eastAsia" w:ascii="仿宋" w:hAnsi="仿宋" w:eastAsia="仿宋" w:cs="仿宋"/>
          <w:sz w:val="28"/>
          <w:szCs w:val="28"/>
          <w:lang w:val="en-US" w:eastAsia="zh-CN"/>
        </w:rPr>
        <w:t>是否允许联合体投标见投标人须知前附表。</w:t>
      </w:r>
    </w:p>
    <w:p w14:paraId="6358668E">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eastAsia="zh-CN"/>
        </w:rPr>
        <w:t>7.保密</w:t>
      </w:r>
    </w:p>
    <w:p w14:paraId="6A35B5DF">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参与招标投标活动的各方应对招标文件和投标文件中的商业和技术等秘密保密，违者应对由此造成的后果承担法律责任。</w:t>
      </w:r>
    </w:p>
    <w:p w14:paraId="4C6E842A">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eastAsia="zh-CN"/>
        </w:rPr>
        <w:t>8.市场主体信息库</w:t>
      </w:r>
    </w:p>
    <w:p w14:paraId="39C94089">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（1）投标人应及时对入库信息进行补充、更新，若投标人提供虚假信息或未及时对入库信息进行补充、更新，由投标人承担全部责任。</w:t>
      </w:r>
    </w:p>
    <w:p w14:paraId="2276AF6D">
      <w:pPr>
        <w:spacing w:line="360" w:lineRule="auto"/>
        <w:rPr>
          <w:rFonts w:ascii="仿宋" w:hAnsi="仿宋" w:eastAsia="仿宋" w:cs="仿宋"/>
          <w:sz w:val="28"/>
          <w:szCs w:val="28"/>
          <w:lang w:eastAsia="zh-CN"/>
        </w:rPr>
      </w:pPr>
      <w:r>
        <w:rPr>
          <w:rFonts w:ascii="仿宋" w:hAnsi="仿宋" w:eastAsia="仿宋" w:cs="仿宋"/>
          <w:sz w:val="28"/>
          <w:szCs w:val="28"/>
          <w:lang w:eastAsia="zh-CN"/>
        </w:rPr>
        <w:t>（2）投标人可将本项目评审涉及到的资质、业绩、人员、获奖、证书、纳税、社保等信息补充到其市场主体信息库中。</w:t>
      </w:r>
    </w:p>
    <w:p w14:paraId="661FF1D9">
      <w:pPr>
        <w:spacing w:line="360" w:lineRule="auto"/>
        <w:rPr>
          <w:rFonts w:hint="default"/>
          <w:lang w:eastAsia="zh-CN"/>
        </w:rPr>
      </w:pPr>
      <w:r>
        <w:rPr>
          <w:rFonts w:hint="default" w:ascii="Times New Roman" w:hAnsi="Times New Roman" w:eastAsia="仿宋_GB2312" w:cs="Times New Roman"/>
          <w:color w:val="auto"/>
          <w:sz w:val="28"/>
          <w:szCs w:val="28"/>
          <w:lang w:val="zh-TW" w:eastAsia="zh-CN"/>
        </w:rPr>
        <w:t>（</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val="zh-TW" w:eastAsia="zh-CN"/>
        </w:rPr>
        <w:t>）投标人应当按照招标文件的要求编制投标文件，并予以提交。投标人的入库信息不作为评审的依据。</w:t>
      </w:r>
    </w:p>
    <w:p w14:paraId="1F5A1E4D">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eastAsia="zh-CN"/>
        </w:rPr>
        <w:t>9.采购信息的发布</w:t>
      </w:r>
    </w:p>
    <w:p w14:paraId="100B0495">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与本次采购活动相关的信息，将在《河南省政府采购网》《河南省公共资源交易中心网》上及时发布。</w:t>
      </w:r>
    </w:p>
    <w:p w14:paraId="2151965F">
      <w:pPr>
        <w:spacing w:line="360" w:lineRule="auto"/>
        <w:rPr>
          <w:rFonts w:hint="default" w:ascii="仿宋" w:hAnsi="仿宋" w:eastAsia="仿宋" w:cs="仿宋"/>
          <w:sz w:val="28"/>
          <w:szCs w:val="28"/>
          <w:lang w:eastAsia="zh-CN"/>
        </w:rPr>
      </w:pPr>
    </w:p>
    <w:p w14:paraId="73CFE1C0">
      <w:pPr>
        <w:keepNext/>
        <w:keepLines/>
        <w:widowControl w:val="0"/>
        <w:autoSpaceDE w:val="0"/>
        <w:autoSpaceDN w:val="0"/>
        <w:adjustRightInd w:val="0"/>
        <w:spacing w:line="360" w:lineRule="auto"/>
        <w:jc w:val="center"/>
        <w:outlineLvl w:val="1"/>
        <w:rPr>
          <w:rFonts w:hint="default" w:ascii="方正小标宋_GBK" w:hAnsi="方正小标宋_GBK" w:eastAsia="方正小标宋_GBK" w:cs="方正小标宋_GBK"/>
          <w:bCs/>
          <w:color w:val="auto"/>
          <w:kern w:val="0"/>
          <w:sz w:val="30"/>
          <w:szCs w:val="30"/>
          <w:lang w:val="en-US" w:eastAsia="zh-CN"/>
        </w:rPr>
      </w:pPr>
      <w:bookmarkStart w:id="166" w:name="_Toc1035752825"/>
      <w:bookmarkStart w:id="167" w:name="_Toc1225442179_WPSOffice_Level2"/>
      <w:bookmarkStart w:id="168" w:name="_Toc923512225_WPSOffice_Level2"/>
      <w:bookmarkStart w:id="169" w:name="_Toc1329330261"/>
      <w:bookmarkStart w:id="170" w:name="_Toc812246970"/>
      <w:bookmarkStart w:id="171" w:name="_Toc773843715"/>
      <w:bookmarkStart w:id="172" w:name="_Toc2021756318"/>
      <w:bookmarkStart w:id="173" w:name="_Toc503947722_WPSOffice_Level2"/>
      <w:bookmarkStart w:id="174" w:name="_Toc1613525329"/>
      <w:bookmarkStart w:id="175" w:name="_Toc1090042493_WPSOffice_Level2"/>
      <w:bookmarkStart w:id="176" w:name="_Toc601554517"/>
      <w:bookmarkStart w:id="177" w:name="_Toc28660129"/>
      <w:bookmarkStart w:id="178" w:name="_Toc1045699149"/>
      <w:bookmarkStart w:id="179" w:name="_Toc1135767039"/>
      <w:bookmarkStart w:id="180" w:name="_Toc71799347"/>
      <w:r>
        <w:rPr>
          <w:rFonts w:ascii="方正小标宋_GBK" w:hAnsi="方正小标宋_GBK" w:eastAsia="方正小标宋_GBK" w:cs="方正小标宋_GBK"/>
          <w:bCs/>
          <w:color w:val="auto"/>
          <w:kern w:val="0"/>
          <w:sz w:val="30"/>
          <w:szCs w:val="30"/>
          <w:lang w:val="en-US" w:eastAsia="zh-CN"/>
        </w:rPr>
        <w:t>二、招标文件</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4C4C5F5E">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eastAsia="zh-CN"/>
        </w:rPr>
        <w:t>10.招标文件的组成</w:t>
      </w:r>
    </w:p>
    <w:p w14:paraId="59605ABF">
      <w:pPr>
        <w:widowControl w:val="0"/>
        <w:spacing w:line="360" w:lineRule="auto"/>
        <w:ind w:left="1050" w:hanging="1050" w:hangingChars="375"/>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10.1   招标文件共九章，构成如下：</w:t>
      </w:r>
    </w:p>
    <w:p w14:paraId="02813D3A">
      <w:pPr>
        <w:widowControl w:val="0"/>
        <w:numPr>
          <w:ilvl w:val="0"/>
          <w:numId w:val="1"/>
        </w:numPr>
        <w:spacing w:line="360" w:lineRule="auto"/>
        <w:ind w:left="901" w:leftChars="429"/>
        <w:rPr>
          <w:rFonts w:hint="default" w:ascii="仿宋" w:hAnsi="仿宋" w:eastAsia="仿宋" w:cs="仿宋"/>
          <w:color w:val="auto"/>
          <w:sz w:val="28"/>
          <w:szCs w:val="28"/>
          <w:lang w:val="en-US" w:eastAsia="zh-CN"/>
        </w:rPr>
      </w:pPr>
      <w:bookmarkStart w:id="181" w:name="_Toc2041508748_WPSOffice_Level3"/>
      <w:r>
        <w:rPr>
          <w:rFonts w:ascii="仿宋" w:hAnsi="仿宋" w:eastAsia="仿宋" w:cs="仿宋"/>
          <w:color w:val="auto"/>
          <w:sz w:val="28"/>
          <w:szCs w:val="28"/>
          <w:lang w:val="en-US" w:eastAsia="zh-CN"/>
        </w:rPr>
        <w:t xml:space="preserve"> 投标邀请</w:t>
      </w:r>
      <w:bookmarkEnd w:id="181"/>
    </w:p>
    <w:p w14:paraId="7263BBE0">
      <w:pPr>
        <w:widowControl w:val="0"/>
        <w:spacing w:line="360" w:lineRule="auto"/>
        <w:ind w:left="901" w:leftChars="429"/>
        <w:rPr>
          <w:rFonts w:hint="default" w:ascii="仿宋" w:hAnsi="仿宋" w:eastAsia="仿宋" w:cs="仿宋"/>
          <w:color w:val="auto"/>
          <w:sz w:val="28"/>
          <w:szCs w:val="28"/>
          <w:lang w:val="en-US" w:eastAsia="zh-CN"/>
        </w:rPr>
      </w:pPr>
      <w:bookmarkStart w:id="182" w:name="_Toc481281934_WPSOffice_Level3"/>
      <w:r>
        <w:rPr>
          <w:rFonts w:ascii="仿宋" w:hAnsi="仿宋" w:eastAsia="仿宋" w:cs="仿宋"/>
          <w:color w:val="auto"/>
          <w:sz w:val="28"/>
          <w:szCs w:val="28"/>
          <w:lang w:val="en-US" w:eastAsia="zh-CN"/>
        </w:rPr>
        <w:t>第二章  投标人须知前附表</w:t>
      </w:r>
      <w:bookmarkEnd w:id="182"/>
    </w:p>
    <w:p w14:paraId="38F58235">
      <w:pPr>
        <w:widowControl w:val="0"/>
        <w:spacing w:line="360" w:lineRule="auto"/>
        <w:ind w:left="901" w:leftChars="429"/>
        <w:rPr>
          <w:rFonts w:hint="default" w:ascii="仿宋" w:hAnsi="仿宋" w:eastAsia="仿宋" w:cs="仿宋"/>
          <w:color w:val="auto"/>
          <w:sz w:val="28"/>
          <w:szCs w:val="28"/>
          <w:lang w:val="en-US" w:eastAsia="zh-CN"/>
        </w:rPr>
      </w:pPr>
      <w:bookmarkStart w:id="183" w:name="_Toc1216452732_WPSOffice_Level3"/>
      <w:r>
        <w:rPr>
          <w:rFonts w:ascii="仿宋" w:hAnsi="仿宋" w:eastAsia="仿宋" w:cs="仿宋"/>
          <w:color w:val="auto"/>
          <w:sz w:val="28"/>
          <w:szCs w:val="28"/>
          <w:lang w:val="en-US" w:eastAsia="zh-CN"/>
        </w:rPr>
        <w:t>第三章  投标人须知</w:t>
      </w:r>
      <w:bookmarkEnd w:id="183"/>
    </w:p>
    <w:p w14:paraId="1F5C10FE">
      <w:pPr>
        <w:widowControl w:val="0"/>
        <w:spacing w:line="360" w:lineRule="auto"/>
        <w:ind w:left="901" w:leftChars="429"/>
        <w:rPr>
          <w:rFonts w:hint="default" w:ascii="仿宋" w:hAnsi="仿宋" w:eastAsia="仿宋" w:cs="仿宋"/>
          <w:color w:val="auto"/>
          <w:sz w:val="28"/>
          <w:szCs w:val="28"/>
          <w:lang w:val="en-US" w:eastAsia="zh-CN"/>
        </w:rPr>
      </w:pPr>
      <w:bookmarkStart w:id="184" w:name="_Toc1355532098_WPSOffice_Level3"/>
      <w:r>
        <w:rPr>
          <w:rFonts w:ascii="仿宋" w:hAnsi="仿宋" w:eastAsia="仿宋" w:cs="仿宋"/>
          <w:color w:val="auto"/>
          <w:sz w:val="28"/>
          <w:szCs w:val="28"/>
          <w:lang w:val="en-US" w:eastAsia="zh-CN"/>
        </w:rPr>
        <w:t>第四章  资格证明文件格式</w:t>
      </w:r>
      <w:bookmarkEnd w:id="184"/>
    </w:p>
    <w:p w14:paraId="7ECAA84C">
      <w:pPr>
        <w:widowControl w:val="0"/>
        <w:spacing w:line="360" w:lineRule="auto"/>
        <w:ind w:left="901" w:leftChars="429"/>
        <w:rPr>
          <w:rFonts w:hint="default" w:ascii="仿宋" w:hAnsi="仿宋" w:eastAsia="仿宋" w:cs="仿宋"/>
          <w:color w:val="auto"/>
          <w:sz w:val="28"/>
          <w:szCs w:val="28"/>
          <w:lang w:val="en-US" w:eastAsia="zh-CN"/>
        </w:rPr>
      </w:pPr>
      <w:bookmarkStart w:id="185" w:name="_Toc1831540022_WPSOffice_Level3"/>
      <w:r>
        <w:rPr>
          <w:rFonts w:ascii="仿宋" w:hAnsi="仿宋" w:eastAsia="仿宋" w:cs="仿宋"/>
          <w:color w:val="auto"/>
          <w:sz w:val="28"/>
          <w:szCs w:val="28"/>
          <w:lang w:val="en-US" w:eastAsia="zh-CN"/>
        </w:rPr>
        <w:t>第五章  投标文件格式</w:t>
      </w:r>
      <w:bookmarkEnd w:id="185"/>
    </w:p>
    <w:p w14:paraId="72C59BA2">
      <w:pPr>
        <w:widowControl w:val="0"/>
        <w:spacing w:line="360" w:lineRule="auto"/>
        <w:ind w:left="901" w:leftChars="429"/>
        <w:rPr>
          <w:rFonts w:hint="default" w:ascii="仿宋" w:hAnsi="仿宋" w:eastAsia="仿宋" w:cs="仿宋"/>
          <w:color w:val="auto"/>
          <w:sz w:val="28"/>
          <w:szCs w:val="28"/>
          <w:lang w:eastAsia="zh-CN"/>
        </w:rPr>
      </w:pPr>
      <w:bookmarkStart w:id="186" w:name="_Toc1218962891_WPSOffice_Level3"/>
      <w:r>
        <w:rPr>
          <w:rFonts w:ascii="仿宋" w:hAnsi="仿宋" w:eastAsia="仿宋" w:cs="仿宋"/>
          <w:color w:val="auto"/>
          <w:sz w:val="28"/>
          <w:szCs w:val="28"/>
          <w:lang w:val="en-US" w:eastAsia="zh-CN"/>
        </w:rPr>
        <w:t xml:space="preserve">第六章  </w:t>
      </w:r>
      <w:r>
        <w:rPr>
          <w:rFonts w:ascii="仿宋" w:hAnsi="仿宋" w:eastAsia="仿宋" w:cs="仿宋"/>
          <w:color w:val="auto"/>
          <w:sz w:val="28"/>
          <w:szCs w:val="28"/>
          <w:lang w:eastAsia="zh-CN"/>
        </w:rPr>
        <w:t>项目需求及有关要求</w:t>
      </w:r>
      <w:bookmarkEnd w:id="186"/>
    </w:p>
    <w:p w14:paraId="64522382">
      <w:pPr>
        <w:widowControl w:val="0"/>
        <w:spacing w:line="360" w:lineRule="auto"/>
        <w:ind w:left="901" w:leftChars="429"/>
        <w:rPr>
          <w:rFonts w:hint="default" w:ascii="仿宋" w:hAnsi="仿宋" w:eastAsia="仿宋" w:cs="仿宋"/>
          <w:color w:val="auto"/>
          <w:sz w:val="28"/>
          <w:szCs w:val="28"/>
          <w:lang w:val="en-US" w:eastAsia="zh-CN"/>
        </w:rPr>
      </w:pPr>
      <w:bookmarkStart w:id="187" w:name="_Toc1886187112_WPSOffice_Level3"/>
      <w:r>
        <w:rPr>
          <w:rFonts w:ascii="仿宋" w:hAnsi="仿宋" w:eastAsia="仿宋" w:cs="仿宋"/>
          <w:color w:val="auto"/>
          <w:sz w:val="28"/>
          <w:szCs w:val="28"/>
          <w:lang w:val="en-US" w:eastAsia="zh-CN"/>
        </w:rPr>
        <w:t>第七章  评标方法和标准</w:t>
      </w:r>
      <w:bookmarkEnd w:id="187"/>
    </w:p>
    <w:p w14:paraId="602B8D18">
      <w:pPr>
        <w:widowControl w:val="0"/>
        <w:spacing w:line="360" w:lineRule="auto"/>
        <w:ind w:left="901" w:leftChars="429"/>
        <w:rPr>
          <w:rFonts w:hint="default" w:ascii="仿宋" w:hAnsi="仿宋" w:eastAsia="仿宋" w:cs="仿宋"/>
          <w:color w:val="auto"/>
          <w:sz w:val="28"/>
          <w:szCs w:val="28"/>
          <w:lang w:val="en-US" w:eastAsia="zh-CN"/>
        </w:rPr>
      </w:pPr>
      <w:bookmarkStart w:id="188" w:name="_Toc1510798510_WPSOffice_Level3"/>
      <w:r>
        <w:rPr>
          <w:rFonts w:ascii="仿宋" w:hAnsi="仿宋" w:eastAsia="仿宋" w:cs="仿宋"/>
          <w:color w:val="auto"/>
          <w:sz w:val="28"/>
          <w:szCs w:val="28"/>
          <w:lang w:val="en-US" w:eastAsia="zh-CN"/>
        </w:rPr>
        <w:t>第八章  政府采购合同</w:t>
      </w:r>
      <w:bookmarkEnd w:id="188"/>
    </w:p>
    <w:p w14:paraId="13D05EDE">
      <w:pPr>
        <w:widowControl w:val="0"/>
        <w:spacing w:line="360" w:lineRule="auto"/>
        <w:ind w:left="901" w:leftChars="429"/>
        <w:rPr>
          <w:rFonts w:hint="default" w:ascii="仿宋" w:hAnsi="仿宋" w:eastAsia="仿宋" w:cs="仿宋"/>
          <w:color w:val="auto"/>
          <w:sz w:val="28"/>
          <w:szCs w:val="28"/>
          <w:lang w:val="en-US" w:eastAsia="zh-CN"/>
        </w:rPr>
      </w:pPr>
      <w:bookmarkStart w:id="189" w:name="_Toc1853082451_WPSOffice_Level3"/>
      <w:r>
        <w:rPr>
          <w:rFonts w:ascii="仿宋" w:hAnsi="仿宋" w:eastAsia="仿宋" w:cs="仿宋"/>
          <w:color w:val="auto"/>
          <w:sz w:val="28"/>
          <w:szCs w:val="28"/>
          <w:lang w:val="en-US" w:eastAsia="zh-CN"/>
        </w:rPr>
        <w:t>第九章  附件</w:t>
      </w:r>
      <w:bookmarkEnd w:id="189"/>
    </w:p>
    <w:p w14:paraId="20EE3A88">
      <w:pPr>
        <w:spacing w:line="360" w:lineRule="auto"/>
        <w:rPr>
          <w:rFonts w:hint="default" w:ascii="仿宋" w:hAnsi="仿宋" w:eastAsia="仿宋" w:cs="仿宋"/>
          <w:sz w:val="28"/>
          <w:szCs w:val="28"/>
          <w:lang w:val="en-US" w:eastAsia="zh-CN"/>
        </w:rPr>
      </w:pPr>
      <w:r>
        <w:rPr>
          <w:rFonts w:ascii="仿宋" w:hAnsi="仿宋" w:eastAsia="仿宋" w:cs="仿宋"/>
          <w:sz w:val="28"/>
          <w:szCs w:val="28"/>
          <w:lang w:eastAsia="zh-CN"/>
        </w:rPr>
        <w:t>10.2</w:t>
      </w:r>
      <w:r>
        <w:rPr>
          <w:rFonts w:ascii="仿宋" w:hAnsi="仿宋" w:eastAsia="仿宋" w:cs="仿宋"/>
          <w:sz w:val="28"/>
          <w:szCs w:val="28"/>
          <w:lang w:val="en-US" w:eastAsia="zh-CN"/>
        </w:rPr>
        <w:t>招标文件中有不一致的，有澄清的部分以最终的澄清更正内容为准；未澄清的，以投标人须知前附表为准；投标须知前表不涉及的内容，以编排在后的描述为准。</w:t>
      </w:r>
    </w:p>
    <w:p w14:paraId="1CA9A967">
      <w:pPr>
        <w:spacing w:line="360" w:lineRule="auto"/>
        <w:rPr>
          <w:rFonts w:hint="default" w:ascii="仿宋" w:hAnsi="仿宋" w:eastAsia="仿宋" w:cs="仿宋"/>
          <w:sz w:val="28"/>
          <w:szCs w:val="28"/>
          <w:lang w:val="en-US" w:eastAsia="zh-CN"/>
        </w:rPr>
      </w:pPr>
      <w:r>
        <w:rPr>
          <w:rFonts w:ascii="仿宋" w:hAnsi="仿宋" w:eastAsia="仿宋" w:cs="仿宋"/>
          <w:sz w:val="28"/>
          <w:szCs w:val="28"/>
          <w:lang w:val="en-US" w:eastAsia="zh-CN"/>
        </w:rPr>
        <w:t>10.3投标人应认真阅读招标文件所有的事项、格式、条款和技术规范等。如投标人没有按照招标文件要求提交全部资料，或者投标文件没有对招标文件的实质性要求做出响应，其投标被认定为投标无效。</w:t>
      </w:r>
    </w:p>
    <w:p w14:paraId="5C6D9685">
      <w:pPr>
        <w:numPr>
          <w:ilvl w:val="0"/>
          <w:numId w:val="2"/>
        </w:numPr>
        <w:spacing w:line="360" w:lineRule="auto"/>
        <w:rPr>
          <w:rFonts w:hint="default" w:ascii="仿宋" w:hAnsi="仿宋" w:eastAsia="仿宋" w:cs="仿宋"/>
          <w:sz w:val="28"/>
          <w:szCs w:val="28"/>
          <w:lang w:val="en-US" w:eastAsia="zh-CN"/>
        </w:rPr>
      </w:pPr>
      <w:r>
        <w:rPr>
          <w:rFonts w:ascii="仿宋" w:hAnsi="仿宋" w:eastAsia="仿宋" w:cs="仿宋"/>
          <w:b/>
          <w:bCs/>
          <w:sz w:val="28"/>
          <w:szCs w:val="28"/>
        </w:rPr>
        <w:t>招标文件的澄清</w:t>
      </w:r>
      <w:r>
        <w:rPr>
          <w:rFonts w:ascii="仿宋" w:hAnsi="仿宋" w:eastAsia="仿宋" w:cs="仿宋"/>
          <w:b/>
          <w:bCs/>
          <w:sz w:val="28"/>
          <w:szCs w:val="28"/>
          <w:lang w:val="en-US" w:eastAsia="zh-CN"/>
        </w:rPr>
        <w:t>与修改</w:t>
      </w:r>
    </w:p>
    <w:p w14:paraId="473F0A3D">
      <w:pPr>
        <w:spacing w:line="360" w:lineRule="auto"/>
        <w:rPr>
          <w:rFonts w:hint="default" w:ascii="仿宋" w:hAnsi="仿宋" w:eastAsia="仿宋" w:cs="仿宋"/>
          <w:sz w:val="28"/>
          <w:szCs w:val="28"/>
          <w:lang w:val="en-US" w:eastAsia="zh-CN"/>
        </w:rPr>
      </w:pPr>
      <w:r>
        <w:rPr>
          <w:rFonts w:ascii="仿宋" w:hAnsi="仿宋" w:eastAsia="仿宋" w:cs="仿宋"/>
          <w:sz w:val="28"/>
          <w:szCs w:val="28"/>
          <w:lang w:val="en-US" w:eastAsia="zh-CN"/>
        </w:rPr>
        <w:t>11.1投标人应仔细阅读和检查招标文件的全部内容。如有疑问，应及时向采购人或</w:t>
      </w:r>
      <w:r>
        <w:rPr>
          <w:rFonts w:ascii="仿宋" w:hAnsi="仿宋" w:eastAsia="仿宋" w:cs="仿宋"/>
          <w:sz w:val="28"/>
          <w:szCs w:val="28"/>
          <w:lang w:eastAsia="zh-CN"/>
        </w:rPr>
        <w:t>集中采购机构</w:t>
      </w:r>
      <w:r>
        <w:rPr>
          <w:rFonts w:ascii="仿宋" w:hAnsi="仿宋" w:eastAsia="仿宋" w:cs="仿宋"/>
          <w:sz w:val="28"/>
          <w:szCs w:val="28"/>
          <w:lang w:val="en-US" w:eastAsia="zh-CN"/>
        </w:rPr>
        <w:t>提出。</w:t>
      </w:r>
    </w:p>
    <w:p w14:paraId="2ED31181">
      <w:pPr>
        <w:spacing w:line="360" w:lineRule="auto"/>
        <w:rPr>
          <w:rFonts w:hint="default" w:ascii="仿宋" w:hAnsi="仿宋" w:eastAsia="仿宋" w:cs="仿宋"/>
          <w:sz w:val="28"/>
          <w:szCs w:val="28"/>
          <w:lang w:val="en-US" w:eastAsia="zh-CN"/>
        </w:rPr>
      </w:pPr>
      <w:r>
        <w:rPr>
          <w:rFonts w:ascii="仿宋" w:hAnsi="仿宋" w:eastAsia="仿宋" w:cs="仿宋"/>
          <w:sz w:val="28"/>
          <w:szCs w:val="28"/>
          <w:lang w:val="en-US" w:eastAsia="zh-CN"/>
        </w:rPr>
        <w:t>11.2采购人或</w:t>
      </w:r>
      <w:r>
        <w:rPr>
          <w:rFonts w:ascii="仿宋" w:hAnsi="仿宋" w:eastAsia="仿宋" w:cs="仿宋"/>
          <w:sz w:val="28"/>
          <w:szCs w:val="28"/>
          <w:lang w:eastAsia="zh-CN"/>
        </w:rPr>
        <w:t>集中采购机构</w:t>
      </w:r>
      <w:r>
        <w:rPr>
          <w:rFonts w:ascii="仿宋" w:hAnsi="仿宋" w:eastAsia="仿宋" w:cs="仿宋"/>
          <w:sz w:val="28"/>
          <w:szCs w:val="28"/>
          <w:lang w:val="en-US" w:eastAsia="zh-CN"/>
        </w:rPr>
        <w:t>可主动地或在解答投标人提出的澄清问题时对招标文件进行澄清（更正）或修改。将以发布澄清（更正）公告的方式，澄清（更正）或修改招标文件，澄清（更正）或修改的内容作为招标文件的组成部分。澄清（更正）或者修改的内容可能影响投标文件编制的，将在投标截止时间15日前，在原公告发布媒体上发布变更（更正）公告（或澄清公告），不足15日的将顺延递交投标文件的截止时间。</w:t>
      </w:r>
    </w:p>
    <w:p w14:paraId="448750B9">
      <w:pPr>
        <w:spacing w:line="360" w:lineRule="auto"/>
        <w:rPr>
          <w:rFonts w:hint="default" w:ascii="仿宋" w:hAnsi="仿宋" w:eastAsia="仿宋" w:cs="仿宋"/>
          <w:sz w:val="28"/>
          <w:szCs w:val="28"/>
          <w:lang w:val="en-US" w:eastAsia="zh-CN"/>
        </w:rPr>
      </w:pPr>
      <w:r>
        <w:rPr>
          <w:rFonts w:ascii="仿宋" w:hAnsi="仿宋" w:eastAsia="仿宋" w:cs="仿宋"/>
          <w:sz w:val="28"/>
          <w:szCs w:val="28"/>
          <w:lang w:val="en-US" w:eastAsia="zh-CN"/>
        </w:rPr>
        <w:t>11.3招标文件的澄清（更正）或修改在交易平台上公布给所有下载过招标文件的投标人，但不指明澄清问题的来源。</w:t>
      </w:r>
    </w:p>
    <w:p w14:paraId="50AEEB20">
      <w:pPr>
        <w:spacing w:line="360" w:lineRule="auto"/>
        <w:rPr>
          <w:rFonts w:hint="default" w:ascii="仿宋" w:hAnsi="仿宋" w:eastAsia="仿宋" w:cs="仿宋"/>
          <w:sz w:val="28"/>
          <w:szCs w:val="28"/>
          <w:lang w:val="en-US" w:eastAsia="zh-CN"/>
        </w:rPr>
      </w:pPr>
      <w:r>
        <w:rPr>
          <w:rFonts w:ascii="仿宋" w:hAnsi="仿宋" w:eastAsia="仿宋" w:cs="仿宋"/>
          <w:sz w:val="28"/>
          <w:szCs w:val="28"/>
          <w:lang w:val="en-US" w:eastAsia="zh-CN"/>
        </w:rPr>
        <w:t>11.4对已发出的招标文件进行的澄清、更正或修改，澄清、更正或修改的内容将作为招标文件的组成部分。通过“</w:t>
      </w:r>
      <w:r>
        <w:fldChar w:fldCharType="begin"/>
      </w:r>
      <w:r>
        <w:instrText xml:space="preserve"> HYPERLINK "http://www.ccgp-henan.gov.cn)和河南省政府采购网河南省公共资源交易网" </w:instrText>
      </w:r>
      <w:r>
        <w:fldChar w:fldCharType="separate"/>
      </w:r>
      <w:r>
        <w:rPr>
          <w:rFonts w:ascii="仿宋" w:hAnsi="仿宋" w:eastAsia="仿宋" w:cs="仿宋"/>
          <w:sz w:val="28"/>
          <w:szCs w:val="28"/>
          <w:lang w:val="en-US" w:eastAsia="zh-CN"/>
        </w:rPr>
        <w:t>河南省政府采购网”（</w:t>
      </w:r>
      <w:r>
        <w:rPr>
          <w:rFonts w:hint="eastAsia" w:ascii="Times New Roman" w:hAnsi="Times New Roman" w:eastAsia="仿宋_GB2312" w:cs="Times New Roman"/>
          <w:color w:val="auto"/>
          <w:sz w:val="28"/>
          <w:szCs w:val="28"/>
          <w:lang w:val="en-US" w:eastAsia="zh-CN"/>
        </w:rPr>
        <w:t>zfcg.henan.gov.cn</w:t>
      </w:r>
      <w:r>
        <w:rPr>
          <w:rFonts w:ascii="仿宋" w:hAnsi="仿宋" w:eastAsia="仿宋" w:cs="仿宋"/>
          <w:sz w:val="28"/>
          <w:szCs w:val="28"/>
          <w:lang w:val="en-US" w:eastAsia="zh-CN"/>
        </w:rPr>
        <w:t>）“河南省公共资源交易网</w:t>
      </w:r>
      <w:r>
        <w:rPr>
          <w:rFonts w:ascii="仿宋" w:hAnsi="仿宋" w:eastAsia="仿宋" w:cs="仿宋"/>
          <w:sz w:val="28"/>
          <w:szCs w:val="28"/>
          <w:lang w:val="en-US" w:eastAsia="zh-CN"/>
        </w:rPr>
        <w:fldChar w:fldCharType="end"/>
      </w:r>
      <w:r>
        <w:rPr>
          <w:rFonts w:ascii="仿宋" w:hAnsi="仿宋" w:eastAsia="仿宋" w:cs="仿宋"/>
          <w:sz w:val="28"/>
          <w:szCs w:val="28"/>
          <w:lang w:val="en-US" w:eastAsia="zh-CN"/>
        </w:rPr>
        <w:t>”（</w:t>
      </w:r>
      <w:r>
        <w:rPr>
          <w:rFonts w:hint="default" w:ascii="Times New Roman" w:hAnsi="Times New Roman" w:eastAsia="仿宋_GB2312" w:cs="Times New Roman"/>
          <w:color w:val="auto"/>
          <w:sz w:val="28"/>
          <w:szCs w:val="28"/>
          <w:lang w:val="en-US" w:eastAsia="zh-CN"/>
        </w:rPr>
        <w:t>hnsggzyjy.henan.gov.cn</w:t>
      </w:r>
      <w:r>
        <w:rPr>
          <w:rFonts w:ascii="仿宋" w:hAnsi="仿宋" w:eastAsia="仿宋" w:cs="仿宋"/>
          <w:sz w:val="28"/>
          <w:szCs w:val="28"/>
          <w:lang w:val="en-US" w:eastAsia="zh-CN"/>
        </w:rPr>
        <w:t>）网站“变更（澄清或更正）公告”和系统内部“答疑文件”告知投标人，各投标人重新下载最新的答疑、变更（澄清或更正）文件，以此编制投标文件。</w:t>
      </w:r>
    </w:p>
    <w:p w14:paraId="1D95B414">
      <w:pPr>
        <w:spacing w:line="360" w:lineRule="auto"/>
        <w:rPr>
          <w:rFonts w:hint="default" w:ascii="仿宋" w:hAnsi="仿宋" w:eastAsia="仿宋" w:cs="仿宋"/>
          <w:sz w:val="28"/>
          <w:szCs w:val="28"/>
          <w:lang w:val="en-US" w:eastAsia="zh-CN"/>
        </w:rPr>
      </w:pPr>
      <w:r>
        <w:rPr>
          <w:rFonts w:ascii="仿宋" w:hAnsi="仿宋" w:eastAsia="仿宋" w:cs="仿宋"/>
          <w:sz w:val="28"/>
          <w:szCs w:val="28"/>
          <w:lang w:val="en-US" w:eastAsia="zh-CN"/>
        </w:rPr>
        <w:t>11.5</w:t>
      </w:r>
      <w:bookmarkStart w:id="190" w:name="_Hlk86850585"/>
      <w:r>
        <w:rPr>
          <w:rFonts w:ascii="仿宋" w:hAnsi="仿宋" w:eastAsia="仿宋" w:cs="仿宋"/>
          <w:sz w:val="28"/>
          <w:szCs w:val="28"/>
          <w:lang w:val="en-US" w:eastAsia="zh-CN"/>
        </w:rPr>
        <w:t>《河南省公共资源交易中心》</w:t>
      </w:r>
      <w:bookmarkEnd w:id="190"/>
      <w:r>
        <w:rPr>
          <w:rFonts w:ascii="仿宋" w:hAnsi="仿宋" w:eastAsia="仿宋" w:cs="仿宋"/>
          <w:sz w:val="28"/>
          <w:szCs w:val="28"/>
          <w:lang w:val="en-US" w:eastAsia="zh-CN"/>
        </w:rPr>
        <w:t>交易平台投标人信息在投标截止时间前具有保密性，投标人在投标截止时间前应当自行查看项目进展、答疑、变更（澄清或更正）通知、澄清及回复</w:t>
      </w:r>
      <w:bookmarkStart w:id="191" w:name="_Hlk86850663"/>
      <w:r>
        <w:rPr>
          <w:rFonts w:ascii="仿宋" w:hAnsi="仿宋" w:eastAsia="仿宋" w:cs="仿宋"/>
          <w:sz w:val="28"/>
          <w:szCs w:val="28"/>
          <w:lang w:val="en-US" w:eastAsia="zh-CN"/>
        </w:rPr>
        <w:t>。</w:t>
      </w:r>
    </w:p>
    <w:bookmarkEnd w:id="191"/>
    <w:p w14:paraId="271B990B">
      <w:pPr>
        <w:spacing w:line="360" w:lineRule="auto"/>
        <w:jc w:val="left"/>
        <w:rPr>
          <w:rFonts w:hint="default" w:ascii="仿宋" w:hAnsi="仿宋" w:eastAsia="仿宋" w:cs="仿宋"/>
          <w:b/>
          <w:bCs/>
          <w:sz w:val="28"/>
          <w:szCs w:val="28"/>
          <w:lang w:val="en-US" w:eastAsia="zh-CN"/>
        </w:rPr>
      </w:pPr>
      <w:r>
        <w:rPr>
          <w:rFonts w:ascii="仿宋" w:hAnsi="仿宋" w:eastAsia="仿宋" w:cs="仿宋"/>
          <w:b/>
          <w:bCs/>
          <w:sz w:val="28"/>
          <w:szCs w:val="28"/>
          <w:lang w:eastAsia="zh-CN"/>
        </w:rPr>
        <w:t>12.</w:t>
      </w:r>
      <w:r>
        <w:rPr>
          <w:rFonts w:ascii="仿宋" w:hAnsi="仿宋" w:eastAsia="仿宋" w:cs="仿宋"/>
          <w:b/>
          <w:bCs/>
          <w:sz w:val="28"/>
          <w:szCs w:val="28"/>
          <w:lang w:val="en-US" w:eastAsia="zh-CN"/>
        </w:rPr>
        <w:t xml:space="preserve"> 投标截止时间的顺延</w:t>
      </w:r>
    </w:p>
    <w:p w14:paraId="0E0C47A7">
      <w:pPr>
        <w:spacing w:line="360" w:lineRule="auto"/>
        <w:jc w:val="left"/>
        <w:rPr>
          <w:rFonts w:hint="default" w:ascii="仿宋" w:hAnsi="仿宋" w:eastAsia="仿宋" w:cs="仿宋"/>
          <w:sz w:val="28"/>
          <w:szCs w:val="28"/>
          <w:lang w:val="en-US" w:eastAsia="zh-CN"/>
        </w:rPr>
      </w:pPr>
      <w:r>
        <w:rPr>
          <w:rFonts w:ascii="仿宋" w:hAnsi="仿宋" w:eastAsia="仿宋" w:cs="仿宋"/>
          <w:sz w:val="28"/>
          <w:szCs w:val="28"/>
          <w:lang w:val="en-US" w:eastAsia="zh-CN"/>
        </w:rPr>
        <w:t>为使投标人有足够的时间对招标文件的澄清或者修改部分进行研究而准备投标或因其他原因，采购人将依法决定是否顺延投标截止时间。</w:t>
      </w:r>
    </w:p>
    <w:p w14:paraId="77ADE047">
      <w:pPr>
        <w:keepNext/>
        <w:keepLines/>
        <w:widowControl w:val="0"/>
        <w:autoSpaceDE w:val="0"/>
        <w:autoSpaceDN w:val="0"/>
        <w:adjustRightInd w:val="0"/>
        <w:spacing w:line="360" w:lineRule="auto"/>
        <w:jc w:val="center"/>
        <w:outlineLvl w:val="1"/>
        <w:rPr>
          <w:rFonts w:hint="default" w:ascii="方正小标宋_GBK" w:hAnsi="方正小标宋_GBK" w:eastAsia="方正小标宋_GBK" w:cs="方正小标宋_GBK"/>
          <w:bCs/>
          <w:color w:val="auto"/>
          <w:kern w:val="0"/>
          <w:sz w:val="30"/>
          <w:szCs w:val="30"/>
          <w:lang w:val="en-US" w:eastAsia="zh-CN"/>
        </w:rPr>
      </w:pPr>
      <w:bookmarkStart w:id="192" w:name="_Toc1078664286_WPSOffice_Level2"/>
      <w:bookmarkStart w:id="193" w:name="_Toc1809617340"/>
      <w:bookmarkStart w:id="194" w:name="_Toc113296060"/>
      <w:bookmarkStart w:id="195" w:name="_Toc395976497"/>
      <w:bookmarkStart w:id="196" w:name="_Toc587380469_WPSOffice_Level2"/>
      <w:bookmarkStart w:id="197" w:name="_Toc1878515555"/>
      <w:bookmarkStart w:id="198" w:name="_Toc760401867"/>
      <w:bookmarkStart w:id="199" w:name="_Toc1758648705"/>
      <w:bookmarkStart w:id="200" w:name="_Toc1060332415"/>
      <w:bookmarkStart w:id="201" w:name="_Toc1106273699"/>
      <w:bookmarkStart w:id="202" w:name="_Toc1289807408"/>
      <w:bookmarkStart w:id="203" w:name="_Toc868408535"/>
      <w:bookmarkStart w:id="204" w:name="_Toc933740821_WPSOffice_Level2"/>
      <w:bookmarkStart w:id="205" w:name="_Toc1133061307_WPSOffice_Level2"/>
      <w:bookmarkStart w:id="206" w:name="_Toc1317763722"/>
      <w:r>
        <w:rPr>
          <w:rFonts w:ascii="方正小标宋_GBK" w:hAnsi="方正小标宋_GBK" w:eastAsia="方正小标宋_GBK" w:cs="方正小标宋_GBK"/>
          <w:bCs/>
          <w:color w:val="auto"/>
          <w:kern w:val="0"/>
          <w:sz w:val="30"/>
          <w:szCs w:val="30"/>
          <w:lang w:val="en-US" w:eastAsia="zh-CN"/>
        </w:rPr>
        <w:t>三、投标文件的编制</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7E95A54A">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eastAsia="zh-CN"/>
        </w:rPr>
        <w:t>13.投标语言</w:t>
      </w:r>
    </w:p>
    <w:p w14:paraId="0B78843C">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投标文件以及投标人所有与采购人及集中采购机构就投标来往的函电均使用中文。投标人提供的外文资料应附有相应的中文译本，并以中文译本为准。</w:t>
      </w:r>
    </w:p>
    <w:p w14:paraId="23B49605">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val="en-US" w:eastAsia="zh-CN"/>
        </w:rPr>
        <w:t>14.</w:t>
      </w:r>
      <w:r>
        <w:rPr>
          <w:rFonts w:ascii="仿宋" w:hAnsi="仿宋" w:eastAsia="仿宋" w:cs="仿宋"/>
          <w:b/>
          <w:bCs/>
          <w:sz w:val="28"/>
          <w:szCs w:val="28"/>
          <w:lang w:eastAsia="zh-CN"/>
        </w:rPr>
        <w:t>投标文件计量单位</w:t>
      </w:r>
    </w:p>
    <w:p w14:paraId="772D8D8E">
      <w:pPr>
        <w:spacing w:line="360" w:lineRule="auto"/>
        <w:rPr>
          <w:rFonts w:hint="default" w:ascii="仿宋" w:hAnsi="仿宋" w:eastAsia="仿宋" w:cs="仿宋"/>
          <w:sz w:val="28"/>
          <w:szCs w:val="28"/>
          <w:lang w:val="en-US" w:eastAsia="zh-CN"/>
        </w:rPr>
      </w:pPr>
      <w:r>
        <w:rPr>
          <w:rFonts w:ascii="仿宋" w:hAnsi="仿宋" w:eastAsia="仿宋" w:cs="仿宋"/>
          <w:sz w:val="28"/>
          <w:szCs w:val="28"/>
          <w:lang w:val="en-US" w:eastAsia="zh-CN"/>
        </w:rPr>
        <w:t>除招标文件中有特殊要求外，投标文件中所使用的计量单位，应采用中华人民共和国法定计量单位。</w:t>
      </w:r>
    </w:p>
    <w:p w14:paraId="51BCACB0">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val="en-US" w:eastAsia="zh-CN"/>
        </w:rPr>
        <w:t>15.</w:t>
      </w:r>
      <w:r>
        <w:rPr>
          <w:rFonts w:ascii="仿宋" w:hAnsi="仿宋" w:eastAsia="仿宋" w:cs="仿宋"/>
          <w:b/>
          <w:bCs/>
          <w:sz w:val="28"/>
          <w:szCs w:val="28"/>
          <w:lang w:eastAsia="zh-CN"/>
        </w:rPr>
        <w:t>投标文件的组成</w:t>
      </w:r>
    </w:p>
    <w:p w14:paraId="453C4331">
      <w:pPr>
        <w:spacing w:line="360" w:lineRule="auto"/>
        <w:rPr>
          <w:rFonts w:hint="default" w:ascii="仿宋" w:hAnsi="仿宋" w:eastAsia="仿宋" w:cs="仿宋"/>
          <w:sz w:val="28"/>
          <w:szCs w:val="28"/>
          <w:lang w:val="en-US" w:eastAsia="zh-CN"/>
        </w:rPr>
      </w:pPr>
      <w:r>
        <w:rPr>
          <w:rFonts w:ascii="仿宋" w:hAnsi="仿宋" w:eastAsia="仿宋" w:cs="仿宋"/>
          <w:sz w:val="28"/>
          <w:szCs w:val="28"/>
          <w:lang w:val="en-US" w:eastAsia="zh-CN"/>
        </w:rPr>
        <w:t>投标人应完整地按照招标文件提供的投标文件格式及要求编写投标文件。投标文件中资格审查和符合性审查涉及的事项不满足招标文件要求的，其投标将被认定为投标无效。</w:t>
      </w:r>
    </w:p>
    <w:p w14:paraId="2F053842">
      <w:pPr>
        <w:spacing w:line="360" w:lineRule="auto"/>
        <w:rPr>
          <w:rFonts w:hint="default" w:ascii="仿宋" w:hAnsi="仿宋" w:eastAsia="仿宋" w:cs="仿宋"/>
          <w:sz w:val="28"/>
          <w:szCs w:val="28"/>
          <w:lang w:val="en-US" w:eastAsia="zh-CN"/>
        </w:rPr>
      </w:pPr>
      <w:r>
        <w:rPr>
          <w:rFonts w:ascii="仿宋" w:hAnsi="仿宋" w:eastAsia="仿宋" w:cs="仿宋"/>
          <w:b/>
          <w:bCs/>
          <w:sz w:val="28"/>
          <w:szCs w:val="28"/>
          <w:lang w:val="en-US" w:eastAsia="zh-CN"/>
        </w:rPr>
        <w:t>16.</w:t>
      </w:r>
      <w:r>
        <w:rPr>
          <w:rFonts w:ascii="仿宋" w:hAnsi="仿宋" w:eastAsia="仿宋" w:cs="仿宋"/>
          <w:sz w:val="28"/>
          <w:szCs w:val="28"/>
          <w:lang w:eastAsia="zh-CN"/>
        </w:rPr>
        <w:t>招标文件中的每个分包，是项目招标不可拆分的最小投标单元。投标人必须按各包分别编制各包的投标文件，并按各包分别提交相应的文件资料，拆包投标将视为漏项或非实质性响应，将承担其投标无效的风险。</w:t>
      </w:r>
      <w:r>
        <w:rPr>
          <w:rFonts w:ascii="仿宋" w:hAnsi="仿宋" w:eastAsia="仿宋" w:cs="仿宋"/>
          <w:sz w:val="28"/>
          <w:szCs w:val="28"/>
          <w:lang w:val="en-US" w:eastAsia="zh-CN"/>
        </w:rPr>
        <w:t>投标人可对招标文件中一个或几个分包进行投标，除投标人须知前附表中另有规定。</w:t>
      </w:r>
    </w:p>
    <w:p w14:paraId="0D116C09">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eastAsia="zh-CN"/>
        </w:rPr>
        <w:t>17.投标文件编制</w:t>
      </w:r>
    </w:p>
    <w:p w14:paraId="3CCE25DF">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17.1投标文件应按招标文件要求的内容编制投标文件，应当对招标文件提出的实质性要求和条件做出响应。</w:t>
      </w:r>
    </w:p>
    <w:p w14:paraId="5EF977D9">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17.2投标人在编制投标文件时，涉及到投标人须知前附表中要求的资格审查证明文件，须上传到“资格审查材料”中。</w:t>
      </w:r>
    </w:p>
    <w:p w14:paraId="09B18CAE">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val="en-US" w:eastAsia="zh-CN"/>
        </w:rPr>
        <w:t>18.</w:t>
      </w:r>
      <w:r>
        <w:rPr>
          <w:rFonts w:ascii="仿宋" w:hAnsi="仿宋" w:eastAsia="仿宋" w:cs="仿宋"/>
          <w:b/>
          <w:bCs/>
          <w:sz w:val="28"/>
          <w:szCs w:val="28"/>
          <w:lang w:eastAsia="zh-CN"/>
        </w:rPr>
        <w:t>投标报价</w:t>
      </w:r>
    </w:p>
    <w:p w14:paraId="046E2347">
      <w:pPr>
        <w:pStyle w:val="18"/>
        <w:spacing w:line="360" w:lineRule="auto"/>
        <w:rPr>
          <w:rFonts w:ascii="仿宋" w:hAnsi="仿宋" w:eastAsia="仿宋" w:cs="仿宋"/>
          <w:kern w:val="2"/>
          <w:sz w:val="28"/>
          <w:szCs w:val="28"/>
          <w:lang w:val="zh-TW"/>
        </w:rPr>
      </w:pPr>
      <w:r>
        <w:rPr>
          <w:rFonts w:hint="eastAsia" w:ascii="仿宋" w:hAnsi="仿宋" w:eastAsia="仿宋" w:cs="仿宋"/>
          <w:kern w:val="2"/>
          <w:sz w:val="28"/>
          <w:szCs w:val="28"/>
          <w:lang w:val="zh-TW"/>
        </w:rPr>
        <w:t>投标人报价超过招标文件规定的预算金额或者分项、分包最高限价的，其投标将被认定为投标无效。</w:t>
      </w:r>
    </w:p>
    <w:p w14:paraId="34A8CD2C">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val="en-US" w:eastAsia="zh-CN"/>
        </w:rPr>
        <w:t>19.</w:t>
      </w:r>
      <w:r>
        <w:rPr>
          <w:rFonts w:ascii="仿宋" w:hAnsi="仿宋" w:eastAsia="仿宋" w:cs="仿宋"/>
          <w:b/>
          <w:bCs/>
          <w:sz w:val="28"/>
          <w:szCs w:val="28"/>
          <w:lang w:eastAsia="zh-CN"/>
        </w:rPr>
        <w:t>投标货币</w:t>
      </w:r>
    </w:p>
    <w:p w14:paraId="06F36493">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除非“投标人须知前附表”另有规定，投标人提供的所有服务用人民币报价。</w:t>
      </w:r>
    </w:p>
    <w:p w14:paraId="0AB0A431">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val="en-US" w:eastAsia="zh-CN"/>
        </w:rPr>
        <w:t>20.</w:t>
      </w:r>
      <w:r>
        <w:rPr>
          <w:rFonts w:ascii="仿宋" w:hAnsi="仿宋" w:eastAsia="仿宋" w:cs="仿宋"/>
          <w:b/>
          <w:bCs/>
          <w:sz w:val="28"/>
          <w:szCs w:val="28"/>
          <w:lang w:eastAsia="zh-CN"/>
        </w:rPr>
        <w:t>投标人资格证明文件</w:t>
      </w:r>
    </w:p>
    <w:p w14:paraId="44EEF42E">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依据“投标人须知前附表”中的要求按“第四章”的规定提交相应的资格证明文件，作为投标文件的一部分，以证明其有资格进行投标和有能力履行合同。</w:t>
      </w:r>
    </w:p>
    <w:p w14:paraId="7186F219">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eastAsia="zh-CN"/>
        </w:rPr>
        <w:t>21</w:t>
      </w:r>
      <w:r>
        <w:rPr>
          <w:rFonts w:ascii="仿宋" w:hAnsi="仿宋" w:eastAsia="仿宋" w:cs="仿宋"/>
          <w:b/>
          <w:bCs/>
          <w:sz w:val="28"/>
          <w:szCs w:val="28"/>
          <w:lang w:val="en-US" w:eastAsia="zh-CN"/>
        </w:rPr>
        <w:t>.</w:t>
      </w:r>
      <w:r>
        <w:rPr>
          <w:rFonts w:ascii="仿宋" w:hAnsi="仿宋" w:eastAsia="仿宋" w:cs="仿宋"/>
          <w:b/>
          <w:bCs/>
          <w:sz w:val="28"/>
          <w:szCs w:val="28"/>
          <w:lang w:eastAsia="zh-CN"/>
        </w:rPr>
        <w:t>投标人</w:t>
      </w:r>
      <w:r>
        <w:rPr>
          <w:rFonts w:ascii="仿宋" w:hAnsi="仿宋" w:eastAsia="仿宋" w:cs="仿宋"/>
          <w:b/>
          <w:bCs/>
          <w:sz w:val="28"/>
          <w:szCs w:val="28"/>
          <w:lang w:val="en-US" w:eastAsia="zh-CN"/>
        </w:rPr>
        <w:t>商务、</w:t>
      </w:r>
      <w:r>
        <w:rPr>
          <w:rFonts w:ascii="仿宋" w:hAnsi="仿宋" w:eastAsia="仿宋" w:cs="仿宋"/>
          <w:b/>
          <w:bCs/>
          <w:sz w:val="28"/>
          <w:szCs w:val="28"/>
          <w:lang w:eastAsia="zh-CN"/>
        </w:rPr>
        <w:t>技术证明文件</w:t>
      </w:r>
    </w:p>
    <w:p w14:paraId="483668A0">
      <w:pPr>
        <w:spacing w:line="360" w:lineRule="auto"/>
        <w:rPr>
          <w:rFonts w:hint="default" w:ascii="仿宋" w:hAnsi="仿宋" w:eastAsia="仿宋" w:cs="仿宋"/>
          <w:sz w:val="28"/>
          <w:szCs w:val="28"/>
          <w:lang w:val="en-US" w:eastAsia="zh-CN"/>
        </w:rPr>
      </w:pPr>
      <w:r>
        <w:rPr>
          <w:rFonts w:ascii="仿宋" w:hAnsi="仿宋" w:eastAsia="仿宋" w:cs="仿宋"/>
          <w:sz w:val="28"/>
          <w:szCs w:val="28"/>
          <w:lang w:eastAsia="zh-CN"/>
        </w:rPr>
        <w:t>21.1</w:t>
      </w:r>
      <w:r>
        <w:rPr>
          <w:rFonts w:ascii="仿宋" w:hAnsi="仿宋" w:eastAsia="仿宋" w:cs="仿宋"/>
          <w:sz w:val="28"/>
          <w:szCs w:val="28"/>
          <w:lang w:val="en-US" w:eastAsia="zh-CN"/>
        </w:rPr>
        <w:t>投标人应按招标文件要求提交证明文件，证明其投标标的符合招标文件规定。</w:t>
      </w:r>
    </w:p>
    <w:p w14:paraId="2A3FBC11">
      <w:pPr>
        <w:spacing w:line="360" w:lineRule="auto"/>
        <w:rPr>
          <w:rFonts w:hint="default" w:ascii="仿宋" w:hAnsi="仿宋" w:eastAsia="仿宋" w:cs="仿宋"/>
          <w:sz w:val="28"/>
          <w:szCs w:val="28"/>
          <w:lang w:val="en-US" w:eastAsia="zh-CN"/>
        </w:rPr>
      </w:pPr>
      <w:r>
        <w:rPr>
          <w:rFonts w:ascii="仿宋" w:hAnsi="仿宋" w:eastAsia="仿宋" w:cs="仿宋"/>
          <w:sz w:val="28"/>
          <w:szCs w:val="28"/>
          <w:lang w:val="en-US" w:eastAsia="zh-CN"/>
        </w:rPr>
        <w:t>21.2上款所述的证明文件，可以是文字资料、图纸和数据。</w:t>
      </w:r>
    </w:p>
    <w:p w14:paraId="1764B1FA">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eastAsia="zh-CN"/>
        </w:rPr>
        <w:t>22</w:t>
      </w:r>
      <w:r>
        <w:rPr>
          <w:rFonts w:ascii="仿宋" w:hAnsi="仿宋" w:eastAsia="仿宋" w:cs="仿宋"/>
          <w:b/>
          <w:bCs/>
          <w:sz w:val="28"/>
          <w:szCs w:val="28"/>
          <w:lang w:val="en-US" w:eastAsia="zh-CN"/>
        </w:rPr>
        <w:t>.</w:t>
      </w:r>
      <w:r>
        <w:rPr>
          <w:rFonts w:ascii="仿宋" w:hAnsi="仿宋" w:eastAsia="仿宋" w:cs="仿宋"/>
          <w:b/>
          <w:bCs/>
          <w:sz w:val="28"/>
          <w:szCs w:val="28"/>
          <w:lang w:eastAsia="zh-CN"/>
        </w:rPr>
        <w:t>投标函</w:t>
      </w:r>
    </w:p>
    <w:p w14:paraId="02D1424D">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22.1投标人应按招标文件规定的格式和内容提交投标函。</w:t>
      </w:r>
    </w:p>
    <w:p w14:paraId="7A2A8044">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22.2下列任何情况发生时，按国家有关法律法规进行处理并按投标函的约定向采购人支付违约赔偿金：</w:t>
      </w:r>
    </w:p>
    <w:p w14:paraId="26D582B2">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w:t>
      </w:r>
      <w:r>
        <w:rPr>
          <w:rFonts w:ascii="仿宋" w:hAnsi="仿宋" w:eastAsia="仿宋" w:cs="仿宋"/>
          <w:sz w:val="28"/>
          <w:szCs w:val="28"/>
          <w:lang w:val="en-US" w:eastAsia="zh-CN"/>
        </w:rPr>
        <w:t>1</w:t>
      </w:r>
      <w:r>
        <w:rPr>
          <w:rFonts w:ascii="仿宋" w:hAnsi="仿宋" w:eastAsia="仿宋" w:cs="仿宋"/>
          <w:sz w:val="28"/>
          <w:szCs w:val="28"/>
          <w:lang w:eastAsia="zh-CN"/>
        </w:rPr>
        <w:t>）投标人在招标文件规定的投标有效期内实质上修改或撤回其投标；</w:t>
      </w:r>
    </w:p>
    <w:p w14:paraId="6737518A">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w:t>
      </w:r>
      <w:r>
        <w:rPr>
          <w:rFonts w:ascii="仿宋" w:hAnsi="仿宋" w:eastAsia="仿宋" w:cs="仿宋"/>
          <w:sz w:val="28"/>
          <w:szCs w:val="28"/>
          <w:lang w:val="en-US" w:eastAsia="zh-CN"/>
        </w:rPr>
        <w:t>2</w:t>
      </w:r>
      <w:r>
        <w:rPr>
          <w:rFonts w:ascii="仿宋" w:hAnsi="仿宋" w:eastAsia="仿宋" w:cs="仿宋"/>
          <w:sz w:val="28"/>
          <w:szCs w:val="28"/>
          <w:lang w:eastAsia="zh-CN"/>
        </w:rPr>
        <w:t>）在投标文件中有意提供虚假材料；</w:t>
      </w:r>
    </w:p>
    <w:p w14:paraId="0735A781">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w:t>
      </w:r>
      <w:r>
        <w:rPr>
          <w:rFonts w:ascii="仿宋" w:hAnsi="仿宋" w:eastAsia="仿宋" w:cs="仿宋"/>
          <w:sz w:val="28"/>
          <w:szCs w:val="28"/>
          <w:lang w:val="en-US" w:eastAsia="zh-CN"/>
        </w:rPr>
        <w:t>3</w:t>
      </w:r>
      <w:r>
        <w:rPr>
          <w:rFonts w:ascii="仿宋" w:hAnsi="仿宋" w:eastAsia="仿宋" w:cs="仿宋"/>
          <w:sz w:val="28"/>
          <w:szCs w:val="28"/>
          <w:lang w:eastAsia="zh-CN"/>
        </w:rPr>
        <w:t>）中标人拒绝在中标通知书规定的时间内签订合同。</w:t>
      </w:r>
    </w:p>
    <w:p w14:paraId="644E3175">
      <w:pPr>
        <w:keepNext/>
        <w:keepLines/>
        <w:widowControl w:val="0"/>
        <w:autoSpaceDE w:val="0"/>
        <w:autoSpaceDN w:val="0"/>
        <w:adjustRightInd w:val="0"/>
        <w:spacing w:line="360" w:lineRule="auto"/>
        <w:jc w:val="left"/>
        <w:rPr>
          <w:rFonts w:hint="default" w:ascii="仿宋" w:hAnsi="仿宋" w:eastAsia="仿宋" w:cs="仿宋"/>
          <w:b/>
          <w:color w:val="auto"/>
          <w:kern w:val="0"/>
          <w:sz w:val="28"/>
          <w:szCs w:val="28"/>
          <w:lang w:val="en-US" w:eastAsia="zh-CN"/>
        </w:rPr>
      </w:pPr>
      <w:r>
        <w:rPr>
          <w:rFonts w:ascii="仿宋" w:hAnsi="仿宋" w:eastAsia="仿宋" w:cs="仿宋"/>
          <w:b/>
          <w:bCs/>
          <w:sz w:val="28"/>
          <w:szCs w:val="28"/>
          <w:lang w:eastAsia="zh-CN"/>
        </w:rPr>
        <w:t>23</w:t>
      </w:r>
      <w:r>
        <w:rPr>
          <w:rFonts w:ascii="仿宋" w:hAnsi="仿宋" w:eastAsia="仿宋" w:cs="仿宋"/>
          <w:b/>
          <w:bCs/>
          <w:sz w:val="28"/>
          <w:szCs w:val="28"/>
          <w:lang w:val="en-US" w:eastAsia="zh-CN"/>
        </w:rPr>
        <w:t>.</w:t>
      </w:r>
      <w:r>
        <w:rPr>
          <w:rFonts w:ascii="仿宋" w:hAnsi="仿宋" w:eastAsia="仿宋" w:cs="仿宋"/>
          <w:b/>
          <w:color w:val="auto"/>
          <w:kern w:val="0"/>
          <w:sz w:val="28"/>
          <w:szCs w:val="28"/>
          <w:lang w:val="en-US" w:eastAsia="zh-CN"/>
        </w:rPr>
        <w:t>投标保证金</w:t>
      </w:r>
    </w:p>
    <w:p w14:paraId="74CB344D">
      <w:pPr>
        <w:spacing w:line="360" w:lineRule="auto"/>
        <w:rPr>
          <w:rFonts w:hint="default" w:ascii="仿宋" w:hAnsi="仿宋" w:eastAsia="仿宋" w:cs="仿宋"/>
          <w:b/>
          <w:bCs/>
          <w:sz w:val="28"/>
          <w:szCs w:val="28"/>
          <w:lang w:val="en-US" w:eastAsia="zh-CN"/>
        </w:rPr>
      </w:pPr>
      <w:bookmarkStart w:id="207" w:name="_Toc975469575_WPSOffice_Level3"/>
      <w:r>
        <w:rPr>
          <w:rFonts w:ascii="仿宋" w:hAnsi="仿宋" w:eastAsia="仿宋" w:cs="仿宋"/>
          <w:bCs/>
          <w:color w:val="auto"/>
          <w:sz w:val="28"/>
          <w:szCs w:val="28"/>
          <w:lang w:val="en-US" w:eastAsia="zh-CN"/>
        </w:rPr>
        <w:t>本项目投标人无需提交投标保证金。</w:t>
      </w:r>
      <w:bookmarkEnd w:id="207"/>
    </w:p>
    <w:p w14:paraId="0D0BFA06">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val="en-US" w:eastAsia="zh-CN"/>
        </w:rPr>
        <w:t>24.</w:t>
      </w:r>
      <w:r>
        <w:rPr>
          <w:rFonts w:ascii="仿宋" w:hAnsi="仿宋" w:eastAsia="仿宋" w:cs="仿宋"/>
          <w:b/>
          <w:bCs/>
          <w:sz w:val="28"/>
          <w:szCs w:val="28"/>
          <w:lang w:eastAsia="zh-CN"/>
        </w:rPr>
        <w:t>投标有效期</w:t>
      </w:r>
    </w:p>
    <w:p w14:paraId="6156F0E9">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w:t>
      </w:r>
      <w:r>
        <w:rPr>
          <w:rFonts w:ascii="仿宋" w:hAnsi="仿宋" w:eastAsia="仿宋" w:cs="仿宋"/>
          <w:sz w:val="28"/>
          <w:szCs w:val="28"/>
          <w:lang w:val="en-US" w:eastAsia="zh-CN"/>
        </w:rPr>
        <w:t>4</w:t>
      </w:r>
      <w:r>
        <w:rPr>
          <w:rFonts w:ascii="仿宋" w:hAnsi="仿宋" w:eastAsia="仿宋" w:cs="仿宋"/>
          <w:sz w:val="28"/>
          <w:szCs w:val="28"/>
          <w:lang w:eastAsia="zh-CN"/>
        </w:rPr>
        <w:t>.1投标文件应自招标文件规定的投标截止日起，在“投标人须知前附表”规定的时间内保持有效。投标有效期不足的将被视为非响应性投标而予以拒绝。</w:t>
      </w:r>
    </w:p>
    <w:p w14:paraId="31A368D7">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w:t>
      </w:r>
      <w:r>
        <w:rPr>
          <w:rFonts w:ascii="仿宋" w:hAnsi="仿宋" w:eastAsia="仿宋" w:cs="仿宋"/>
          <w:sz w:val="28"/>
          <w:szCs w:val="28"/>
          <w:lang w:val="en-US" w:eastAsia="zh-CN"/>
        </w:rPr>
        <w:t>4</w:t>
      </w:r>
      <w:r>
        <w:rPr>
          <w:rFonts w:ascii="仿宋" w:hAnsi="仿宋" w:eastAsia="仿宋" w:cs="仿宋"/>
          <w:sz w:val="28"/>
          <w:szCs w:val="28"/>
          <w:lang w:eastAsia="zh-CN"/>
        </w:rPr>
        <w:t>.2在特殊情况下，采购人可征求投标人同意延长投标文件的有效期。这种要求与答复均应以书面形式提交。投标人可以拒绝这种要求，原有效期到期后</w:t>
      </w:r>
      <w:r>
        <w:rPr>
          <w:rFonts w:ascii="仿宋" w:hAnsi="仿宋" w:eastAsia="仿宋" w:cs="仿宋"/>
          <w:sz w:val="28"/>
          <w:szCs w:val="28"/>
          <w:lang w:val="zh-CN" w:eastAsia="zh-CN"/>
        </w:rPr>
        <w:t>其投标文件失效</w:t>
      </w:r>
      <w:r>
        <w:rPr>
          <w:rFonts w:ascii="仿宋" w:hAnsi="仿宋" w:eastAsia="仿宋" w:cs="仿宋"/>
          <w:sz w:val="28"/>
          <w:szCs w:val="28"/>
          <w:lang w:eastAsia="zh-CN"/>
        </w:rPr>
        <w:t>。同意延期的投标人将不会被要求也不允许修改其投标文件，</w:t>
      </w:r>
      <w:r>
        <w:rPr>
          <w:rFonts w:ascii="仿宋" w:hAnsi="仿宋" w:eastAsia="仿宋" w:cs="仿宋"/>
          <w:sz w:val="28"/>
          <w:szCs w:val="28"/>
          <w:lang w:val="zh-CN" w:eastAsia="zh-CN"/>
        </w:rPr>
        <w:t>其投标文件</w:t>
      </w:r>
      <w:r>
        <w:rPr>
          <w:rFonts w:ascii="仿宋" w:hAnsi="仿宋" w:eastAsia="仿宋" w:cs="仿宋"/>
          <w:sz w:val="28"/>
          <w:szCs w:val="28"/>
          <w:lang w:eastAsia="zh-CN"/>
        </w:rPr>
        <w:t>相应延长到新的有效期。</w:t>
      </w:r>
    </w:p>
    <w:p w14:paraId="720BA9F0">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val="en-US" w:eastAsia="zh-CN"/>
        </w:rPr>
        <w:t>25.</w:t>
      </w:r>
      <w:r>
        <w:rPr>
          <w:rFonts w:ascii="仿宋" w:hAnsi="仿宋" w:eastAsia="仿宋" w:cs="仿宋"/>
          <w:b/>
          <w:bCs/>
          <w:sz w:val="28"/>
          <w:szCs w:val="28"/>
          <w:lang w:eastAsia="zh-CN"/>
        </w:rPr>
        <w:t>投标文件形式和签署</w:t>
      </w:r>
    </w:p>
    <w:p w14:paraId="11484A67">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w:t>
      </w:r>
      <w:r>
        <w:rPr>
          <w:rFonts w:ascii="仿宋" w:hAnsi="仿宋" w:eastAsia="仿宋" w:cs="仿宋"/>
          <w:sz w:val="28"/>
          <w:szCs w:val="28"/>
          <w:lang w:val="en-US" w:eastAsia="zh-CN"/>
        </w:rPr>
        <w:t>5</w:t>
      </w:r>
      <w:r>
        <w:rPr>
          <w:rFonts w:ascii="仿宋" w:hAnsi="仿宋" w:eastAsia="仿宋" w:cs="仿宋"/>
          <w:sz w:val="28"/>
          <w:szCs w:val="28"/>
          <w:lang w:eastAsia="zh-CN"/>
        </w:rPr>
        <w:t>.1投标人须在投标截止时间前制作并提交加密的电子投标文件。</w:t>
      </w:r>
    </w:p>
    <w:p w14:paraId="6AD21135">
      <w:pPr>
        <w:spacing w:line="360" w:lineRule="auto"/>
        <w:rPr>
          <w:rFonts w:hint="default" w:ascii="仿宋" w:hAnsi="仿宋" w:eastAsia="仿宋" w:cs="仿宋"/>
          <w:sz w:val="28"/>
          <w:szCs w:val="28"/>
        </w:rPr>
      </w:pPr>
      <w:r>
        <w:rPr>
          <w:rFonts w:ascii="仿宋" w:hAnsi="仿宋" w:eastAsia="仿宋" w:cs="仿宋"/>
          <w:sz w:val="28"/>
          <w:szCs w:val="28"/>
        </w:rPr>
        <w:t>2</w:t>
      </w:r>
      <w:r>
        <w:rPr>
          <w:rFonts w:ascii="仿宋" w:hAnsi="仿宋" w:eastAsia="仿宋" w:cs="仿宋"/>
          <w:sz w:val="28"/>
          <w:szCs w:val="28"/>
          <w:lang w:val="en-US"/>
        </w:rPr>
        <w:t>5</w:t>
      </w:r>
      <w:r>
        <w:rPr>
          <w:rFonts w:ascii="仿宋" w:hAnsi="仿宋" w:eastAsia="仿宋" w:cs="仿宋"/>
          <w:sz w:val="28"/>
          <w:szCs w:val="28"/>
        </w:rPr>
        <w:t>.</w:t>
      </w:r>
      <w:r>
        <w:rPr>
          <w:rFonts w:ascii="仿宋" w:hAnsi="仿宋" w:eastAsia="仿宋" w:cs="仿宋"/>
          <w:sz w:val="28"/>
          <w:szCs w:val="28"/>
          <w:lang w:val="en-US"/>
        </w:rPr>
        <w:t>2</w:t>
      </w:r>
      <w:r>
        <w:rPr>
          <w:rFonts w:ascii="仿宋" w:hAnsi="仿宋" w:eastAsia="仿宋" w:cs="仿宋"/>
          <w:sz w:val="28"/>
          <w:szCs w:val="28"/>
        </w:rPr>
        <w:t>投标人可登录“河南省公共资源交易中心（</w:t>
      </w:r>
      <w:r>
        <w:rPr>
          <w:rFonts w:hint="eastAsia" w:ascii="仿宋" w:hAnsi="仿宋" w:eastAsia="仿宋" w:cs="仿宋"/>
          <w:sz w:val="28"/>
          <w:szCs w:val="28"/>
          <w:lang w:eastAsia="zh-CN"/>
        </w:rPr>
        <w:t>hnsggzyjy.henan.gov.cn</w:t>
      </w:r>
      <w:r>
        <w:rPr>
          <w:rFonts w:ascii="仿宋" w:hAnsi="仿宋" w:eastAsia="仿宋" w:cs="仿宋"/>
          <w:sz w:val="28"/>
          <w:szCs w:val="28"/>
        </w:rPr>
        <w:t>）”网站查看公共服务—办事指南—</w:t>
      </w:r>
      <w:r>
        <w:rPr>
          <w:rFonts w:ascii="仿宋" w:hAnsi="仿宋" w:eastAsia="仿宋" w:cs="仿宋"/>
          <w:sz w:val="28"/>
          <w:szCs w:val="28"/>
          <w:lang w:val="en-US"/>
        </w:rPr>
        <w:t>新交易平台使用手册（培训资料）</w:t>
      </w:r>
      <w:r>
        <w:rPr>
          <w:rFonts w:ascii="仿宋" w:hAnsi="仿宋" w:eastAsia="仿宋" w:cs="仿宋"/>
          <w:sz w:val="28"/>
          <w:szCs w:val="28"/>
        </w:rPr>
        <w:t>。</w:t>
      </w:r>
    </w:p>
    <w:p w14:paraId="114ED531">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w:t>
      </w:r>
      <w:r>
        <w:rPr>
          <w:rFonts w:ascii="仿宋" w:hAnsi="仿宋" w:eastAsia="仿宋" w:cs="仿宋"/>
          <w:sz w:val="28"/>
          <w:szCs w:val="28"/>
          <w:lang w:val="en-US" w:eastAsia="zh-CN"/>
        </w:rPr>
        <w:t>5</w:t>
      </w:r>
      <w:r>
        <w:rPr>
          <w:rFonts w:ascii="仿宋" w:hAnsi="仿宋" w:eastAsia="仿宋" w:cs="仿宋"/>
          <w:sz w:val="28"/>
          <w:szCs w:val="28"/>
          <w:lang w:eastAsia="zh-CN"/>
        </w:rPr>
        <w:t>.</w:t>
      </w:r>
      <w:r>
        <w:rPr>
          <w:rFonts w:ascii="仿宋" w:hAnsi="仿宋" w:eastAsia="仿宋" w:cs="仿宋"/>
          <w:sz w:val="28"/>
          <w:szCs w:val="28"/>
          <w:lang w:val="en-US" w:eastAsia="zh-CN"/>
        </w:rPr>
        <w:t>3</w:t>
      </w:r>
      <w:r>
        <w:rPr>
          <w:rFonts w:ascii="仿宋" w:hAnsi="仿宋" w:eastAsia="仿宋" w:cs="仿宋"/>
          <w:sz w:val="28"/>
          <w:szCs w:val="28"/>
          <w:lang w:val="zh-CN" w:eastAsia="zh-CN"/>
        </w:rPr>
        <w:t>投标人在制作电子投标文件时，按格式内容要求进行电子签章（包括企业电子签章、个人电子签章）</w:t>
      </w:r>
      <w:r>
        <w:rPr>
          <w:rFonts w:ascii="仿宋" w:hAnsi="仿宋" w:eastAsia="仿宋" w:cs="仿宋"/>
          <w:sz w:val="28"/>
          <w:szCs w:val="28"/>
          <w:lang w:eastAsia="zh-CN"/>
        </w:rPr>
        <w:t>。</w:t>
      </w:r>
    </w:p>
    <w:p w14:paraId="51ECC83D">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w:t>
      </w:r>
      <w:r>
        <w:rPr>
          <w:rFonts w:ascii="仿宋" w:hAnsi="仿宋" w:eastAsia="仿宋" w:cs="仿宋"/>
          <w:sz w:val="28"/>
          <w:szCs w:val="28"/>
          <w:lang w:val="en-US" w:eastAsia="zh-CN"/>
        </w:rPr>
        <w:t>5</w:t>
      </w:r>
      <w:r>
        <w:rPr>
          <w:rFonts w:ascii="仿宋" w:hAnsi="仿宋" w:eastAsia="仿宋" w:cs="仿宋"/>
          <w:sz w:val="28"/>
          <w:szCs w:val="28"/>
          <w:lang w:eastAsia="zh-CN"/>
        </w:rPr>
        <w:t>.</w:t>
      </w:r>
      <w:r>
        <w:rPr>
          <w:rFonts w:ascii="仿宋" w:hAnsi="仿宋" w:eastAsia="仿宋" w:cs="仿宋"/>
          <w:sz w:val="28"/>
          <w:szCs w:val="28"/>
          <w:lang w:val="en-US" w:eastAsia="zh-CN"/>
        </w:rPr>
        <w:t>4</w:t>
      </w:r>
      <w:r>
        <w:rPr>
          <w:rFonts w:ascii="仿宋" w:hAnsi="仿宋" w:eastAsia="仿宋" w:cs="仿宋"/>
          <w:sz w:val="28"/>
          <w:szCs w:val="28"/>
          <w:lang w:eastAsia="zh-CN"/>
        </w:rPr>
        <w:t>投标人在制作电子投标文件时，开标一览表按照格式编辑，并作为电子开标系统上传的依据。</w:t>
      </w:r>
    </w:p>
    <w:p w14:paraId="4CDC5680">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w:t>
      </w:r>
      <w:r>
        <w:rPr>
          <w:rFonts w:ascii="仿宋" w:hAnsi="仿宋" w:eastAsia="仿宋" w:cs="仿宋"/>
          <w:sz w:val="28"/>
          <w:szCs w:val="28"/>
          <w:lang w:val="en-US" w:eastAsia="zh-CN"/>
        </w:rPr>
        <w:t>5</w:t>
      </w:r>
      <w:r>
        <w:rPr>
          <w:rFonts w:ascii="仿宋" w:hAnsi="仿宋" w:eastAsia="仿宋" w:cs="仿宋"/>
          <w:sz w:val="28"/>
          <w:szCs w:val="28"/>
          <w:lang w:eastAsia="zh-CN"/>
        </w:rPr>
        <w:t>.</w:t>
      </w:r>
      <w:r>
        <w:rPr>
          <w:rFonts w:ascii="仿宋" w:hAnsi="仿宋" w:eastAsia="仿宋" w:cs="仿宋"/>
          <w:sz w:val="28"/>
          <w:szCs w:val="28"/>
          <w:lang w:val="en-US" w:eastAsia="zh-CN"/>
        </w:rPr>
        <w:t>5</w:t>
      </w:r>
      <w:r>
        <w:rPr>
          <w:rFonts w:ascii="仿宋" w:hAnsi="仿宋" w:eastAsia="仿宋" w:cs="仿宋"/>
          <w:sz w:val="28"/>
          <w:szCs w:val="28"/>
          <w:lang w:eastAsia="zh-CN"/>
        </w:rPr>
        <w:t>投标文件以外的任何资料采购人和集中采购机构将拒收。</w:t>
      </w:r>
    </w:p>
    <w:p w14:paraId="2A032446">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w:t>
      </w:r>
      <w:r>
        <w:rPr>
          <w:rFonts w:ascii="仿宋" w:hAnsi="仿宋" w:eastAsia="仿宋" w:cs="仿宋"/>
          <w:sz w:val="28"/>
          <w:szCs w:val="28"/>
          <w:lang w:val="en-US" w:eastAsia="zh-CN"/>
        </w:rPr>
        <w:t>5</w:t>
      </w:r>
      <w:r>
        <w:rPr>
          <w:rFonts w:ascii="仿宋" w:hAnsi="仿宋" w:eastAsia="仿宋" w:cs="仿宋"/>
          <w:sz w:val="28"/>
          <w:szCs w:val="28"/>
          <w:lang w:eastAsia="zh-CN"/>
        </w:rPr>
        <w:t>.</w:t>
      </w:r>
      <w:r>
        <w:rPr>
          <w:rFonts w:ascii="仿宋" w:hAnsi="仿宋" w:eastAsia="仿宋" w:cs="仿宋"/>
          <w:sz w:val="28"/>
          <w:szCs w:val="28"/>
          <w:lang w:val="en-US" w:eastAsia="zh-CN"/>
        </w:rPr>
        <w:t>6</w:t>
      </w:r>
      <w:r>
        <w:rPr>
          <w:rFonts w:ascii="仿宋" w:hAnsi="仿宋" w:eastAsia="仿宋" w:cs="仿宋"/>
          <w:sz w:val="28"/>
          <w:szCs w:val="28"/>
          <w:lang w:eastAsia="zh-CN"/>
        </w:rPr>
        <w:t>其他形式的投标文件一律不接受。</w:t>
      </w:r>
    </w:p>
    <w:p w14:paraId="28CFB094">
      <w:pPr>
        <w:spacing w:line="360" w:lineRule="auto"/>
        <w:rPr>
          <w:rFonts w:hint="default" w:ascii="仿宋" w:hAnsi="仿宋" w:eastAsia="仿宋" w:cs="仿宋"/>
          <w:sz w:val="28"/>
          <w:szCs w:val="28"/>
          <w:lang w:eastAsia="zh-CN"/>
        </w:rPr>
      </w:pPr>
    </w:p>
    <w:p w14:paraId="69A04A6E">
      <w:pPr>
        <w:keepNext/>
        <w:keepLines/>
        <w:widowControl w:val="0"/>
        <w:autoSpaceDE w:val="0"/>
        <w:autoSpaceDN w:val="0"/>
        <w:adjustRightInd w:val="0"/>
        <w:spacing w:line="360" w:lineRule="auto"/>
        <w:jc w:val="center"/>
        <w:outlineLvl w:val="1"/>
        <w:rPr>
          <w:rFonts w:hint="default" w:ascii="仿宋" w:hAnsi="仿宋" w:eastAsia="仿宋" w:cs="仿宋"/>
          <w:bCs/>
          <w:color w:val="auto"/>
          <w:kern w:val="0"/>
          <w:sz w:val="30"/>
          <w:szCs w:val="30"/>
          <w:lang w:val="en-US" w:eastAsia="zh-CN"/>
        </w:rPr>
      </w:pPr>
      <w:bookmarkStart w:id="208" w:name="_Toc689398289_WPSOffice_Level2"/>
      <w:bookmarkStart w:id="209" w:name="_Toc1446727086"/>
      <w:bookmarkStart w:id="210" w:name="_Toc1658848054"/>
      <w:bookmarkStart w:id="211" w:name="_Toc269831806"/>
      <w:bookmarkStart w:id="212" w:name="_Toc880470383"/>
      <w:bookmarkStart w:id="213" w:name="_Toc1602167768_WPSOffice_Level2"/>
      <w:bookmarkStart w:id="214" w:name="_Toc99139981"/>
      <w:bookmarkStart w:id="215" w:name="_Toc99171812"/>
      <w:bookmarkStart w:id="216" w:name="_Toc1958475392"/>
      <w:bookmarkStart w:id="217" w:name="_Toc1517317572"/>
      <w:bookmarkStart w:id="218" w:name="_Toc1940674049"/>
      <w:bookmarkStart w:id="219" w:name="_Toc340063481"/>
      <w:bookmarkStart w:id="220" w:name="_Toc123955915"/>
      <w:bookmarkStart w:id="221" w:name="_Toc814900001_WPSOffice_Level2"/>
      <w:bookmarkStart w:id="222" w:name="_Toc1354261087_WPSOffice_Level2"/>
      <w:r>
        <w:rPr>
          <w:rFonts w:ascii="方正小标宋_GBK" w:hAnsi="方正小标宋_GBK" w:eastAsia="方正小标宋_GBK" w:cs="方正小标宋_GBK"/>
          <w:bCs/>
          <w:color w:val="auto"/>
          <w:kern w:val="0"/>
          <w:sz w:val="30"/>
          <w:szCs w:val="30"/>
          <w:lang w:val="en-US" w:eastAsia="zh-CN"/>
        </w:rPr>
        <w:t>四、投标文件的上传</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2DC7343A">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eastAsia="zh-CN"/>
        </w:rPr>
        <w:t>2</w:t>
      </w:r>
      <w:r>
        <w:rPr>
          <w:rFonts w:ascii="仿宋" w:hAnsi="仿宋" w:eastAsia="仿宋" w:cs="仿宋"/>
          <w:b/>
          <w:bCs/>
          <w:sz w:val="28"/>
          <w:szCs w:val="28"/>
          <w:lang w:val="en-US" w:eastAsia="zh-CN"/>
        </w:rPr>
        <w:t>6</w:t>
      </w:r>
      <w:r>
        <w:rPr>
          <w:rFonts w:ascii="仿宋" w:hAnsi="仿宋" w:eastAsia="仿宋" w:cs="仿宋"/>
          <w:b/>
          <w:bCs/>
          <w:sz w:val="28"/>
          <w:szCs w:val="28"/>
          <w:lang w:eastAsia="zh-CN"/>
        </w:rPr>
        <w:t>.投标文件的上传</w:t>
      </w:r>
    </w:p>
    <w:p w14:paraId="7650B683">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w:t>
      </w:r>
      <w:r>
        <w:rPr>
          <w:rFonts w:ascii="仿宋" w:hAnsi="仿宋" w:eastAsia="仿宋" w:cs="仿宋"/>
          <w:sz w:val="28"/>
          <w:szCs w:val="28"/>
          <w:lang w:val="en-US" w:eastAsia="zh-CN"/>
        </w:rPr>
        <w:t>6</w:t>
      </w:r>
      <w:r>
        <w:rPr>
          <w:rFonts w:ascii="仿宋" w:hAnsi="仿宋" w:eastAsia="仿宋" w:cs="仿宋"/>
          <w:sz w:val="28"/>
          <w:szCs w:val="28"/>
          <w:lang w:eastAsia="zh-CN"/>
        </w:rPr>
        <w:t>.1加密电子投标文件的上传：见“投标人须知前附表”。</w:t>
      </w:r>
    </w:p>
    <w:p w14:paraId="5EFC8AB9">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w:t>
      </w:r>
      <w:r>
        <w:rPr>
          <w:rFonts w:ascii="仿宋" w:hAnsi="仿宋" w:eastAsia="仿宋" w:cs="仿宋"/>
          <w:sz w:val="28"/>
          <w:szCs w:val="28"/>
          <w:lang w:val="en-US" w:eastAsia="zh-CN"/>
        </w:rPr>
        <w:t>6</w:t>
      </w:r>
      <w:r>
        <w:rPr>
          <w:rFonts w:ascii="仿宋" w:hAnsi="仿宋" w:eastAsia="仿宋" w:cs="仿宋"/>
          <w:sz w:val="28"/>
          <w:szCs w:val="28"/>
          <w:lang w:eastAsia="zh-CN"/>
        </w:rPr>
        <w:t>.2投标人在上传时认真检查上传投标文件是否完整、正确。投标人因交易中心投标系统问题无法上传电子投标文件时，请在工作时间与河南省公共资源交易中心联系，联系电话：0371-65915501。</w:t>
      </w:r>
    </w:p>
    <w:p w14:paraId="5CAAF2DC">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val="en-US" w:eastAsia="zh-CN"/>
        </w:rPr>
        <w:t>27.</w:t>
      </w:r>
      <w:r>
        <w:rPr>
          <w:rFonts w:ascii="仿宋" w:hAnsi="仿宋" w:eastAsia="仿宋" w:cs="仿宋"/>
          <w:b/>
          <w:bCs/>
          <w:sz w:val="28"/>
          <w:szCs w:val="28"/>
          <w:lang w:eastAsia="zh-CN"/>
        </w:rPr>
        <w:t>投标截止时间</w:t>
      </w:r>
    </w:p>
    <w:p w14:paraId="34A36E8E">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w:t>
      </w:r>
      <w:r>
        <w:rPr>
          <w:rFonts w:ascii="仿宋" w:hAnsi="仿宋" w:eastAsia="仿宋" w:cs="仿宋"/>
          <w:sz w:val="28"/>
          <w:szCs w:val="28"/>
          <w:lang w:val="en-US" w:eastAsia="zh-CN"/>
        </w:rPr>
        <w:t>7</w:t>
      </w:r>
      <w:r>
        <w:rPr>
          <w:rFonts w:ascii="仿宋" w:hAnsi="仿宋" w:eastAsia="仿宋" w:cs="仿宋"/>
          <w:sz w:val="28"/>
          <w:szCs w:val="28"/>
          <w:lang w:eastAsia="zh-CN"/>
        </w:rPr>
        <w:t>.1投标人应在“投标人须知前附表”规定的投标截止时间前上传投标文件。</w:t>
      </w:r>
    </w:p>
    <w:p w14:paraId="5CF0AC77">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w:t>
      </w:r>
      <w:r>
        <w:rPr>
          <w:rFonts w:ascii="仿宋" w:hAnsi="仿宋" w:eastAsia="仿宋" w:cs="仿宋"/>
          <w:sz w:val="28"/>
          <w:szCs w:val="28"/>
          <w:lang w:val="en-US" w:eastAsia="zh-CN"/>
        </w:rPr>
        <w:t>7</w:t>
      </w:r>
      <w:r>
        <w:rPr>
          <w:rFonts w:ascii="仿宋" w:hAnsi="仿宋" w:eastAsia="仿宋" w:cs="仿宋"/>
          <w:sz w:val="28"/>
          <w:szCs w:val="28"/>
          <w:lang w:eastAsia="zh-CN"/>
        </w:rPr>
        <w:t>.2采购人和集中采购机构可以按本章第12条规定，通过修改招标文件自行决定酌情延长投标截止期限。</w:t>
      </w:r>
    </w:p>
    <w:p w14:paraId="3D8576DC">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val="en-US" w:eastAsia="zh-CN"/>
        </w:rPr>
        <w:t>28.</w:t>
      </w:r>
      <w:r>
        <w:rPr>
          <w:rFonts w:ascii="仿宋" w:hAnsi="仿宋" w:eastAsia="仿宋" w:cs="仿宋"/>
          <w:b/>
          <w:bCs/>
          <w:sz w:val="28"/>
          <w:szCs w:val="28"/>
          <w:lang w:eastAsia="zh-CN"/>
        </w:rPr>
        <w:t>迟交的投标文件</w:t>
      </w:r>
    </w:p>
    <w:p w14:paraId="6D8EA26B">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投标人在投标截止时间后上传的投标文件，将被拒绝。</w:t>
      </w:r>
    </w:p>
    <w:p w14:paraId="1BC0C089">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val="en-US" w:eastAsia="zh-CN"/>
        </w:rPr>
        <w:t>29.</w:t>
      </w:r>
      <w:r>
        <w:rPr>
          <w:rFonts w:ascii="仿宋" w:hAnsi="仿宋" w:eastAsia="仿宋" w:cs="仿宋"/>
          <w:b/>
          <w:bCs/>
          <w:sz w:val="28"/>
          <w:szCs w:val="28"/>
          <w:lang w:eastAsia="zh-CN"/>
        </w:rPr>
        <w:t>投标文件的修改和撤回</w:t>
      </w:r>
    </w:p>
    <w:p w14:paraId="35962F84">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w:t>
      </w:r>
      <w:r>
        <w:rPr>
          <w:rFonts w:ascii="仿宋" w:hAnsi="仿宋" w:eastAsia="仿宋" w:cs="仿宋"/>
          <w:sz w:val="28"/>
          <w:szCs w:val="28"/>
          <w:lang w:val="en-US" w:eastAsia="zh-CN"/>
        </w:rPr>
        <w:t>9</w:t>
      </w:r>
      <w:r>
        <w:rPr>
          <w:rFonts w:ascii="仿宋" w:hAnsi="仿宋" w:eastAsia="仿宋" w:cs="仿宋"/>
          <w:sz w:val="28"/>
          <w:szCs w:val="28"/>
          <w:lang w:eastAsia="zh-CN"/>
        </w:rPr>
        <w:t>.1在投标截止时间前，投标人可以修改或撤回已上传的投标文件。</w:t>
      </w:r>
    </w:p>
    <w:p w14:paraId="6521361E">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w:t>
      </w:r>
      <w:r>
        <w:rPr>
          <w:rFonts w:ascii="仿宋" w:hAnsi="仿宋" w:eastAsia="仿宋" w:cs="仿宋"/>
          <w:sz w:val="28"/>
          <w:szCs w:val="28"/>
          <w:lang w:val="en-US" w:eastAsia="zh-CN"/>
        </w:rPr>
        <w:t>9</w:t>
      </w:r>
      <w:r>
        <w:rPr>
          <w:rFonts w:ascii="仿宋" w:hAnsi="仿宋" w:eastAsia="仿宋" w:cs="仿宋"/>
          <w:sz w:val="28"/>
          <w:szCs w:val="28"/>
          <w:lang w:eastAsia="zh-CN"/>
        </w:rPr>
        <w:t>.2在投标截止时间后，投标人不得修改或撤回其投标文件。</w:t>
      </w:r>
    </w:p>
    <w:p w14:paraId="495EDFBD">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w:t>
      </w:r>
      <w:r>
        <w:rPr>
          <w:rFonts w:ascii="仿宋" w:hAnsi="仿宋" w:eastAsia="仿宋" w:cs="仿宋"/>
          <w:sz w:val="28"/>
          <w:szCs w:val="28"/>
          <w:lang w:val="en-US" w:eastAsia="zh-CN"/>
        </w:rPr>
        <w:t>9</w:t>
      </w:r>
      <w:r>
        <w:rPr>
          <w:rFonts w:ascii="仿宋" w:hAnsi="仿宋" w:eastAsia="仿宋" w:cs="仿宋"/>
          <w:sz w:val="28"/>
          <w:szCs w:val="28"/>
          <w:lang w:eastAsia="zh-CN"/>
        </w:rPr>
        <w:t>.3在招标文件规定的投标有效期内，投标人不得实质上修改或撤回其投标。</w:t>
      </w:r>
    </w:p>
    <w:p w14:paraId="4F72CDFB">
      <w:pPr>
        <w:spacing w:line="360" w:lineRule="auto"/>
        <w:rPr>
          <w:rFonts w:hint="default" w:ascii="仿宋" w:hAnsi="仿宋" w:eastAsia="仿宋" w:cs="仿宋"/>
          <w:sz w:val="28"/>
          <w:szCs w:val="28"/>
          <w:lang w:eastAsia="zh-CN"/>
        </w:rPr>
      </w:pPr>
    </w:p>
    <w:p w14:paraId="77034465">
      <w:pPr>
        <w:keepNext/>
        <w:keepLines/>
        <w:widowControl w:val="0"/>
        <w:autoSpaceDE w:val="0"/>
        <w:autoSpaceDN w:val="0"/>
        <w:adjustRightInd w:val="0"/>
        <w:spacing w:line="360" w:lineRule="auto"/>
        <w:jc w:val="center"/>
        <w:outlineLvl w:val="1"/>
        <w:rPr>
          <w:rFonts w:hint="default" w:ascii="方正小标宋_GBK" w:hAnsi="方正小标宋_GBK" w:eastAsia="方正小标宋_GBK" w:cs="方正小标宋_GBK"/>
          <w:bCs/>
          <w:color w:val="auto"/>
          <w:kern w:val="0"/>
          <w:sz w:val="30"/>
          <w:szCs w:val="30"/>
          <w:lang w:val="en-US" w:eastAsia="zh-CN"/>
        </w:rPr>
      </w:pPr>
      <w:bookmarkStart w:id="223" w:name="_Toc960388964"/>
      <w:bookmarkStart w:id="224" w:name="_Toc491646129_WPSOffice_Level2"/>
      <w:bookmarkStart w:id="225" w:name="_Toc1109071882"/>
      <w:bookmarkStart w:id="226" w:name="_Toc516757662_WPSOffice_Level2"/>
      <w:bookmarkStart w:id="227" w:name="_Toc1288741030"/>
      <w:bookmarkStart w:id="228" w:name="_Toc1744903856_WPSOffice_Level2"/>
      <w:bookmarkStart w:id="229" w:name="_Toc1124298034"/>
      <w:bookmarkStart w:id="230" w:name="_Toc1140657126"/>
      <w:bookmarkStart w:id="231" w:name="_Toc58778488"/>
      <w:bookmarkStart w:id="232" w:name="_Toc1550393937_WPSOffice_Level2"/>
      <w:bookmarkStart w:id="233" w:name="_Toc516778272"/>
      <w:bookmarkStart w:id="234" w:name="_Toc229139457"/>
      <w:bookmarkStart w:id="235" w:name="_Toc702554443"/>
      <w:bookmarkStart w:id="236" w:name="_Toc874621790"/>
      <w:bookmarkStart w:id="237" w:name="_Toc1130786219"/>
      <w:r>
        <w:rPr>
          <w:rFonts w:ascii="方正小标宋_GBK" w:hAnsi="方正小标宋_GBK" w:eastAsia="方正小标宋_GBK" w:cs="方正小标宋_GBK"/>
          <w:bCs/>
          <w:color w:val="auto"/>
          <w:kern w:val="0"/>
          <w:sz w:val="30"/>
          <w:szCs w:val="30"/>
          <w:lang w:val="en-US" w:eastAsia="zh-CN"/>
        </w:rPr>
        <w:t>五、开标与评标</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5CE92712">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val="en-US" w:eastAsia="zh-CN"/>
        </w:rPr>
        <w:t>30</w:t>
      </w:r>
      <w:r>
        <w:rPr>
          <w:rFonts w:ascii="仿宋" w:hAnsi="仿宋" w:eastAsia="仿宋" w:cs="仿宋"/>
          <w:b/>
          <w:bCs/>
          <w:sz w:val="28"/>
          <w:szCs w:val="28"/>
          <w:lang w:eastAsia="zh-CN"/>
        </w:rPr>
        <w:t>.开标</w:t>
      </w:r>
    </w:p>
    <w:p w14:paraId="5B8744C1">
      <w:pPr>
        <w:spacing w:line="360" w:lineRule="auto"/>
        <w:rPr>
          <w:rFonts w:hint="default" w:ascii="仿宋" w:hAnsi="仿宋" w:eastAsia="仿宋" w:cs="仿宋"/>
          <w:sz w:val="28"/>
          <w:szCs w:val="28"/>
          <w:lang w:eastAsia="zh-CN"/>
        </w:rPr>
      </w:pPr>
      <w:r>
        <w:rPr>
          <w:rFonts w:ascii="仿宋" w:hAnsi="仿宋" w:eastAsia="仿宋" w:cs="仿宋"/>
          <w:sz w:val="28"/>
          <w:szCs w:val="28"/>
          <w:lang w:val="en-US" w:eastAsia="zh-CN"/>
        </w:rPr>
        <w:t>30</w:t>
      </w:r>
      <w:r>
        <w:rPr>
          <w:rFonts w:ascii="仿宋" w:hAnsi="仿宋" w:eastAsia="仿宋" w:cs="仿宋"/>
          <w:sz w:val="28"/>
          <w:szCs w:val="28"/>
          <w:lang w:eastAsia="zh-CN"/>
        </w:rPr>
        <w:t>.1开标及解密方式：见“投标人须知前附表”。</w:t>
      </w:r>
    </w:p>
    <w:p w14:paraId="4BBB0C39">
      <w:pPr>
        <w:spacing w:line="360" w:lineRule="auto"/>
        <w:rPr>
          <w:rFonts w:hint="default" w:ascii="仿宋" w:hAnsi="仿宋" w:eastAsia="仿宋" w:cs="仿宋"/>
          <w:sz w:val="28"/>
          <w:szCs w:val="28"/>
          <w:lang w:eastAsia="zh-CN"/>
        </w:rPr>
      </w:pPr>
      <w:r>
        <w:rPr>
          <w:rFonts w:ascii="仿宋" w:hAnsi="仿宋" w:eastAsia="仿宋" w:cs="仿宋"/>
          <w:sz w:val="28"/>
          <w:szCs w:val="28"/>
          <w:lang w:val="en-US" w:eastAsia="zh-CN"/>
        </w:rPr>
        <w:t>30</w:t>
      </w:r>
      <w:r>
        <w:rPr>
          <w:rFonts w:ascii="仿宋" w:hAnsi="仿宋" w:eastAsia="仿宋" w:cs="仿宋"/>
          <w:sz w:val="28"/>
          <w:szCs w:val="28"/>
          <w:lang w:eastAsia="zh-CN"/>
        </w:rPr>
        <w:t>.2不见面开标大厅网址：见“投标人须知前附表”。</w:t>
      </w:r>
    </w:p>
    <w:p w14:paraId="3B997C7B">
      <w:pPr>
        <w:spacing w:line="360" w:lineRule="auto"/>
        <w:rPr>
          <w:rFonts w:hint="default" w:ascii="仿宋" w:hAnsi="仿宋" w:eastAsia="仿宋" w:cs="仿宋"/>
          <w:sz w:val="28"/>
          <w:szCs w:val="28"/>
          <w:lang w:eastAsia="zh-CN"/>
        </w:rPr>
      </w:pPr>
      <w:r>
        <w:rPr>
          <w:rFonts w:ascii="仿宋" w:hAnsi="仿宋" w:eastAsia="仿宋" w:cs="仿宋"/>
          <w:sz w:val="28"/>
          <w:szCs w:val="28"/>
          <w:lang w:val="en-US" w:eastAsia="zh-CN"/>
        </w:rPr>
        <w:t>30</w:t>
      </w:r>
      <w:r>
        <w:rPr>
          <w:rFonts w:ascii="仿宋" w:hAnsi="仿宋" w:eastAsia="仿宋" w:cs="仿宋"/>
          <w:sz w:val="28"/>
          <w:szCs w:val="28"/>
          <w:lang w:eastAsia="zh-CN"/>
        </w:rPr>
        <w:t>.3开标时间和开标地点：见“投标人须知前附表”。</w:t>
      </w:r>
    </w:p>
    <w:p w14:paraId="1C52820D">
      <w:pPr>
        <w:spacing w:line="360" w:lineRule="auto"/>
        <w:rPr>
          <w:rFonts w:hint="default" w:ascii="仿宋" w:hAnsi="仿宋" w:eastAsia="仿宋" w:cs="仿宋"/>
          <w:sz w:val="28"/>
          <w:szCs w:val="28"/>
          <w:lang w:eastAsia="zh-CN"/>
        </w:rPr>
      </w:pPr>
      <w:r>
        <w:rPr>
          <w:rFonts w:ascii="仿宋" w:hAnsi="仿宋" w:eastAsia="仿宋" w:cs="仿宋"/>
          <w:sz w:val="28"/>
          <w:szCs w:val="28"/>
          <w:lang w:val="en-US" w:eastAsia="zh-CN"/>
        </w:rPr>
        <w:t>30</w:t>
      </w:r>
      <w:r>
        <w:rPr>
          <w:rFonts w:ascii="仿宋" w:hAnsi="仿宋" w:eastAsia="仿宋" w:cs="仿宋"/>
          <w:sz w:val="28"/>
          <w:szCs w:val="28"/>
          <w:lang w:eastAsia="zh-CN"/>
        </w:rPr>
        <w:t>.4开标时，集中采购机构将通过网上开标系统公布投标人名称、投标价格以及其它有关内容。</w:t>
      </w:r>
    </w:p>
    <w:p w14:paraId="57DA53C2">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val="en-US" w:eastAsia="zh-CN"/>
        </w:rPr>
        <w:t>31.</w:t>
      </w:r>
      <w:r>
        <w:rPr>
          <w:rFonts w:ascii="仿宋" w:hAnsi="仿宋" w:eastAsia="仿宋" w:cs="仿宋"/>
          <w:b/>
          <w:bCs/>
          <w:sz w:val="28"/>
          <w:szCs w:val="28"/>
          <w:lang w:eastAsia="zh-CN"/>
        </w:rPr>
        <w:t>资格审查</w:t>
      </w:r>
    </w:p>
    <w:p w14:paraId="3367782A">
      <w:pPr>
        <w:spacing w:line="360" w:lineRule="auto"/>
        <w:rPr>
          <w:rFonts w:hint="default" w:ascii="仿宋" w:hAnsi="仿宋" w:eastAsia="仿宋" w:cs="仿宋"/>
          <w:sz w:val="28"/>
          <w:szCs w:val="28"/>
          <w:lang w:eastAsia="zh-CN"/>
        </w:rPr>
      </w:pPr>
      <w:bookmarkStart w:id="238" w:name="_Toc694141672_WPSOffice_Level3"/>
      <w:bookmarkStart w:id="239" w:name="_Toc45114864_WPSOffice_Level3"/>
      <w:bookmarkStart w:id="240" w:name="_Toc1584989513_WPSOffice_Level3"/>
      <w:r>
        <w:rPr>
          <w:rFonts w:ascii="仿宋" w:hAnsi="仿宋" w:eastAsia="仿宋" w:cs="仿宋"/>
          <w:sz w:val="28"/>
          <w:szCs w:val="28"/>
          <w:lang w:eastAsia="zh-CN"/>
        </w:rPr>
        <w:t>3</w:t>
      </w:r>
      <w:r>
        <w:rPr>
          <w:rFonts w:ascii="仿宋" w:hAnsi="仿宋" w:eastAsia="仿宋" w:cs="仿宋"/>
          <w:sz w:val="28"/>
          <w:szCs w:val="28"/>
          <w:lang w:val="en-US" w:eastAsia="zh-CN"/>
        </w:rPr>
        <w:t>1</w:t>
      </w:r>
      <w:r>
        <w:rPr>
          <w:rFonts w:ascii="仿宋" w:hAnsi="仿宋" w:eastAsia="仿宋" w:cs="仿宋"/>
          <w:sz w:val="28"/>
          <w:szCs w:val="28"/>
          <w:lang w:eastAsia="zh-CN"/>
        </w:rPr>
        <w:t>.1开标结束后，采购人对投标人的资格进行审查。</w:t>
      </w:r>
      <w:bookmarkEnd w:id="238"/>
      <w:bookmarkEnd w:id="239"/>
      <w:bookmarkEnd w:id="240"/>
    </w:p>
    <w:p w14:paraId="0BE8584B">
      <w:pPr>
        <w:spacing w:line="360" w:lineRule="auto"/>
        <w:rPr>
          <w:rFonts w:hint="default" w:ascii="仿宋" w:hAnsi="仿宋" w:eastAsia="仿宋" w:cs="仿宋"/>
          <w:sz w:val="28"/>
          <w:szCs w:val="28"/>
          <w:lang w:eastAsia="zh-CN"/>
        </w:rPr>
      </w:pPr>
      <w:bookmarkStart w:id="241" w:name="_Toc1693296442_WPSOffice_Level3"/>
      <w:bookmarkStart w:id="242" w:name="_Toc85856132_WPSOffice_Level3"/>
      <w:bookmarkStart w:id="243" w:name="_Toc1493406836_WPSOffice_Level3"/>
      <w:r>
        <w:rPr>
          <w:rFonts w:ascii="仿宋" w:hAnsi="仿宋" w:eastAsia="仿宋" w:cs="仿宋"/>
          <w:sz w:val="28"/>
          <w:szCs w:val="28"/>
          <w:lang w:eastAsia="zh-CN"/>
        </w:rPr>
        <w:t>3</w:t>
      </w:r>
      <w:r>
        <w:rPr>
          <w:rFonts w:ascii="仿宋" w:hAnsi="仿宋" w:eastAsia="仿宋" w:cs="仿宋"/>
          <w:sz w:val="28"/>
          <w:szCs w:val="28"/>
          <w:lang w:val="en-US" w:eastAsia="zh-CN"/>
        </w:rPr>
        <w:t>1</w:t>
      </w:r>
      <w:r>
        <w:rPr>
          <w:rFonts w:ascii="仿宋" w:hAnsi="仿宋" w:eastAsia="仿宋" w:cs="仿宋"/>
          <w:sz w:val="28"/>
          <w:szCs w:val="28"/>
          <w:lang w:eastAsia="zh-CN"/>
        </w:rPr>
        <w:t>.2合格投标人不足3家的，不得评标。</w:t>
      </w:r>
      <w:bookmarkEnd w:id="241"/>
      <w:bookmarkEnd w:id="242"/>
      <w:bookmarkEnd w:id="243"/>
    </w:p>
    <w:p w14:paraId="1FB5D919">
      <w:pPr>
        <w:spacing w:line="360" w:lineRule="auto"/>
        <w:rPr>
          <w:rFonts w:hint="default" w:ascii="仿宋" w:hAnsi="仿宋" w:eastAsia="仿宋" w:cs="仿宋"/>
          <w:sz w:val="28"/>
          <w:szCs w:val="28"/>
          <w:lang w:eastAsia="zh-CN"/>
        </w:rPr>
      </w:pPr>
      <w:bookmarkStart w:id="244" w:name="_Toc1971674233_WPSOffice_Level3"/>
      <w:bookmarkStart w:id="245" w:name="_Toc1285333830_WPSOffice_Level3"/>
      <w:bookmarkStart w:id="246" w:name="_Toc21976785_WPSOffice_Level3"/>
      <w:r>
        <w:rPr>
          <w:rFonts w:ascii="仿宋" w:hAnsi="仿宋" w:eastAsia="仿宋" w:cs="仿宋"/>
          <w:sz w:val="28"/>
          <w:szCs w:val="28"/>
          <w:lang w:eastAsia="zh-CN"/>
        </w:rPr>
        <w:t>3</w:t>
      </w:r>
      <w:r>
        <w:rPr>
          <w:rFonts w:ascii="仿宋" w:hAnsi="仿宋" w:eastAsia="仿宋" w:cs="仿宋"/>
          <w:sz w:val="28"/>
          <w:szCs w:val="28"/>
          <w:lang w:val="en-US" w:eastAsia="zh-CN"/>
        </w:rPr>
        <w:t>1</w:t>
      </w:r>
      <w:r>
        <w:rPr>
          <w:rFonts w:ascii="仿宋" w:hAnsi="仿宋" w:eastAsia="仿宋" w:cs="仿宋"/>
          <w:sz w:val="28"/>
          <w:szCs w:val="28"/>
          <w:lang w:eastAsia="zh-CN"/>
        </w:rPr>
        <w:t>.3资格审查标准见“投标人须知前附表”。</w:t>
      </w:r>
      <w:bookmarkEnd w:id="244"/>
      <w:bookmarkEnd w:id="245"/>
      <w:bookmarkEnd w:id="246"/>
    </w:p>
    <w:p w14:paraId="0D80ADE0">
      <w:pPr>
        <w:spacing w:line="360" w:lineRule="auto"/>
        <w:rPr>
          <w:rFonts w:hint="default" w:ascii="仿宋" w:hAnsi="仿宋" w:eastAsia="仿宋" w:cs="仿宋"/>
          <w:sz w:val="28"/>
          <w:szCs w:val="28"/>
          <w:lang w:eastAsia="zh-CN"/>
        </w:rPr>
      </w:pPr>
      <w:bookmarkStart w:id="247" w:name="_Toc468577997_WPSOffice_Level3"/>
      <w:bookmarkStart w:id="248" w:name="_Toc1102086292_WPSOffice_Level3"/>
      <w:bookmarkStart w:id="249" w:name="_Toc1785145571_WPSOffice_Level3"/>
      <w:r>
        <w:rPr>
          <w:rFonts w:ascii="仿宋" w:hAnsi="仿宋" w:eastAsia="仿宋" w:cs="仿宋"/>
          <w:sz w:val="28"/>
          <w:szCs w:val="28"/>
          <w:lang w:eastAsia="zh-CN"/>
        </w:rPr>
        <w:t>3</w:t>
      </w:r>
      <w:r>
        <w:rPr>
          <w:rFonts w:ascii="仿宋" w:hAnsi="仿宋" w:eastAsia="仿宋" w:cs="仿宋"/>
          <w:sz w:val="28"/>
          <w:szCs w:val="28"/>
          <w:lang w:val="en-US" w:eastAsia="zh-CN"/>
        </w:rPr>
        <w:t>1</w:t>
      </w:r>
      <w:r>
        <w:rPr>
          <w:rFonts w:ascii="仿宋" w:hAnsi="仿宋" w:eastAsia="仿宋" w:cs="仿宋"/>
          <w:sz w:val="28"/>
          <w:szCs w:val="28"/>
          <w:lang w:eastAsia="zh-CN"/>
        </w:rPr>
        <w:t>.4信用记录的查询方法：见“投标人须知前附表”。</w:t>
      </w:r>
      <w:bookmarkEnd w:id="247"/>
      <w:bookmarkEnd w:id="248"/>
      <w:bookmarkEnd w:id="249"/>
    </w:p>
    <w:p w14:paraId="170C4C14">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eastAsia="zh-CN"/>
        </w:rPr>
        <w:t>3</w:t>
      </w:r>
      <w:r>
        <w:rPr>
          <w:rFonts w:ascii="仿宋" w:hAnsi="仿宋" w:eastAsia="仿宋" w:cs="仿宋"/>
          <w:b/>
          <w:bCs/>
          <w:sz w:val="28"/>
          <w:szCs w:val="28"/>
          <w:lang w:val="en-US" w:eastAsia="zh-CN"/>
        </w:rPr>
        <w:t>2</w:t>
      </w:r>
      <w:r>
        <w:rPr>
          <w:rFonts w:ascii="仿宋" w:hAnsi="仿宋" w:eastAsia="仿宋" w:cs="仿宋"/>
          <w:b/>
          <w:bCs/>
          <w:sz w:val="28"/>
          <w:szCs w:val="28"/>
          <w:lang w:eastAsia="zh-CN"/>
        </w:rPr>
        <w:t>.评标委员会</w:t>
      </w:r>
    </w:p>
    <w:p w14:paraId="33242562">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2</w:t>
      </w:r>
      <w:r>
        <w:rPr>
          <w:rFonts w:ascii="仿宋" w:hAnsi="仿宋" w:eastAsia="仿宋" w:cs="仿宋"/>
          <w:sz w:val="28"/>
          <w:szCs w:val="28"/>
          <w:lang w:eastAsia="zh-CN"/>
        </w:rPr>
        <w:t>.1评标由评标委员会负责，评标委员会由采购人代表和有关技术、经济等方面的专家组成，成员人数见“投标人须知前附表”。其中技术、经济等方面的专家不少于成员总数的三分之二。评审专家由采购人从河南省财政厅政府采购专家库中</w:t>
      </w:r>
      <w:r>
        <w:rPr>
          <w:rFonts w:ascii="仿宋" w:hAnsi="仿宋" w:eastAsia="仿宋" w:cs="仿宋"/>
          <w:sz w:val="28"/>
          <w:szCs w:val="28"/>
          <w:lang w:val="en-US" w:eastAsia="zh-CN"/>
        </w:rPr>
        <w:t>提交</w:t>
      </w:r>
      <w:r>
        <w:rPr>
          <w:rFonts w:ascii="仿宋" w:hAnsi="仿宋" w:eastAsia="仿宋" w:cs="仿宋"/>
          <w:sz w:val="28"/>
          <w:szCs w:val="28"/>
          <w:lang w:eastAsia="zh-CN"/>
        </w:rPr>
        <w:t>抽取</w:t>
      </w:r>
      <w:r>
        <w:rPr>
          <w:rFonts w:ascii="仿宋" w:hAnsi="仿宋" w:eastAsia="仿宋" w:cs="仿宋"/>
          <w:sz w:val="28"/>
          <w:szCs w:val="28"/>
          <w:lang w:val="en-US" w:eastAsia="zh-CN"/>
        </w:rPr>
        <w:t>申请</w:t>
      </w:r>
      <w:r>
        <w:rPr>
          <w:rFonts w:ascii="仿宋" w:hAnsi="仿宋" w:eastAsia="仿宋" w:cs="仿宋"/>
          <w:sz w:val="28"/>
          <w:szCs w:val="28"/>
          <w:lang w:eastAsia="zh-CN"/>
        </w:rPr>
        <w:t>，有关人员对评标委员会成员名单须严格保密。</w:t>
      </w:r>
    </w:p>
    <w:p w14:paraId="63674B29">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2</w:t>
      </w:r>
      <w:r>
        <w:rPr>
          <w:rFonts w:ascii="仿宋" w:hAnsi="仿宋" w:eastAsia="仿宋" w:cs="仿宋"/>
          <w:sz w:val="28"/>
          <w:szCs w:val="28"/>
          <w:lang w:eastAsia="zh-CN"/>
        </w:rPr>
        <w:t>.2与投标人有利害关系的人员不得进入评标委员会。</w:t>
      </w:r>
    </w:p>
    <w:p w14:paraId="62B033F2">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val="en-US" w:eastAsia="zh-CN"/>
        </w:rPr>
        <w:t>33.</w:t>
      </w:r>
      <w:r>
        <w:rPr>
          <w:rFonts w:ascii="仿宋" w:hAnsi="仿宋" w:eastAsia="仿宋" w:cs="仿宋"/>
          <w:b/>
          <w:bCs/>
          <w:sz w:val="28"/>
          <w:szCs w:val="28"/>
          <w:lang w:eastAsia="zh-CN"/>
        </w:rPr>
        <w:t>投标文件的澄清</w:t>
      </w:r>
    </w:p>
    <w:p w14:paraId="05558A53">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3</w:t>
      </w:r>
      <w:r>
        <w:rPr>
          <w:rFonts w:ascii="仿宋" w:hAnsi="仿宋" w:eastAsia="仿宋" w:cs="仿宋"/>
          <w:sz w:val="28"/>
          <w:szCs w:val="28"/>
          <w:lang w:eastAsia="zh-CN"/>
        </w:rPr>
        <w:t>.1为了有助于对投标文件进行审查、评估和比较，评标委员会有权向投标人</w:t>
      </w:r>
      <w:r>
        <w:rPr>
          <w:rFonts w:ascii="仿宋" w:hAnsi="仿宋" w:eastAsia="仿宋" w:cs="仿宋"/>
          <w:sz w:val="28"/>
          <w:szCs w:val="28"/>
          <w:lang w:val="en-US" w:eastAsia="zh-CN"/>
        </w:rPr>
        <w:t>提出澄清</w:t>
      </w:r>
      <w:r>
        <w:rPr>
          <w:rFonts w:ascii="仿宋" w:hAnsi="仿宋" w:eastAsia="仿宋" w:cs="仿宋"/>
          <w:sz w:val="28"/>
          <w:szCs w:val="28"/>
          <w:lang w:eastAsia="zh-CN"/>
        </w:rPr>
        <w:t>，请投标人澄清其投标内容。</w:t>
      </w:r>
    </w:p>
    <w:p w14:paraId="5A439054">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3</w:t>
      </w:r>
      <w:r>
        <w:rPr>
          <w:rFonts w:ascii="仿宋" w:hAnsi="仿宋" w:eastAsia="仿宋" w:cs="仿宋"/>
          <w:sz w:val="28"/>
          <w:szCs w:val="28"/>
          <w:lang w:eastAsia="zh-CN"/>
        </w:rPr>
        <w:t>.2澄清的答复应加盖投标人公章（或企业电子签章）或由法定代表人（或其委托代理人）签字或签章（或个人电子签章）。</w:t>
      </w:r>
    </w:p>
    <w:p w14:paraId="348C2B9D">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3</w:t>
      </w:r>
      <w:r>
        <w:rPr>
          <w:rFonts w:ascii="仿宋" w:hAnsi="仿宋" w:eastAsia="仿宋" w:cs="仿宋"/>
          <w:sz w:val="28"/>
          <w:szCs w:val="28"/>
          <w:lang w:eastAsia="zh-CN"/>
        </w:rPr>
        <w:t>.3投标人的澄清文件是投标文件的组成部分。</w:t>
      </w:r>
    </w:p>
    <w:p w14:paraId="60EA292C">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3</w:t>
      </w:r>
      <w:r>
        <w:rPr>
          <w:rFonts w:ascii="仿宋" w:hAnsi="仿宋" w:eastAsia="仿宋" w:cs="仿宋"/>
          <w:sz w:val="28"/>
          <w:szCs w:val="28"/>
          <w:lang w:eastAsia="zh-CN"/>
        </w:rPr>
        <w:t>.4投标文件的澄清不得对投标内容进行实质性修改。</w:t>
      </w:r>
    </w:p>
    <w:p w14:paraId="5A802849">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val="en-US" w:eastAsia="zh-CN"/>
        </w:rPr>
        <w:t>34.</w:t>
      </w:r>
      <w:r>
        <w:rPr>
          <w:rFonts w:ascii="仿宋" w:hAnsi="仿宋" w:eastAsia="仿宋" w:cs="仿宋"/>
          <w:b/>
          <w:bCs/>
          <w:sz w:val="28"/>
          <w:szCs w:val="28"/>
          <w:lang w:eastAsia="zh-CN"/>
        </w:rPr>
        <w:t>投标文件的符合性审查</w:t>
      </w:r>
    </w:p>
    <w:p w14:paraId="65395138">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4</w:t>
      </w:r>
      <w:r>
        <w:rPr>
          <w:rFonts w:ascii="仿宋" w:hAnsi="仿宋" w:eastAsia="仿宋" w:cs="仿宋"/>
          <w:sz w:val="28"/>
          <w:szCs w:val="28"/>
          <w:lang w:eastAsia="zh-CN"/>
        </w:rPr>
        <w:t>.1评标委员会将审查投标文件是否实质上响应招标文件。通过</w:t>
      </w:r>
      <w:r>
        <w:rPr>
          <w:rFonts w:ascii="仿宋" w:hAnsi="仿宋" w:eastAsia="仿宋" w:cs="仿宋"/>
          <w:sz w:val="28"/>
          <w:szCs w:val="28"/>
          <w:lang w:val="en-US" w:eastAsia="zh-CN"/>
        </w:rPr>
        <w:t>符合性审查</w:t>
      </w:r>
      <w:r>
        <w:rPr>
          <w:rFonts w:ascii="仿宋" w:hAnsi="仿宋" w:eastAsia="仿宋" w:cs="仿宋"/>
          <w:sz w:val="28"/>
          <w:szCs w:val="28"/>
          <w:lang w:eastAsia="zh-CN"/>
        </w:rPr>
        <w:t>的合格投标人不足3家的，</w:t>
      </w:r>
      <w:r>
        <w:rPr>
          <w:rFonts w:ascii="仿宋" w:hAnsi="仿宋" w:eastAsia="仿宋" w:cs="仿宋"/>
          <w:sz w:val="28"/>
          <w:szCs w:val="28"/>
          <w:lang w:val="en-US" w:eastAsia="zh-CN"/>
        </w:rPr>
        <w:t>项目废标</w:t>
      </w:r>
      <w:r>
        <w:rPr>
          <w:rFonts w:ascii="仿宋" w:hAnsi="仿宋" w:eastAsia="仿宋" w:cs="仿宋"/>
          <w:sz w:val="28"/>
          <w:szCs w:val="28"/>
          <w:lang w:eastAsia="zh-CN"/>
        </w:rPr>
        <w:t>。</w:t>
      </w:r>
    </w:p>
    <w:p w14:paraId="02612EB6">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4</w:t>
      </w:r>
      <w:r>
        <w:rPr>
          <w:rFonts w:ascii="仿宋" w:hAnsi="仿宋" w:eastAsia="仿宋" w:cs="仿宋"/>
          <w:sz w:val="28"/>
          <w:szCs w:val="28"/>
          <w:lang w:eastAsia="zh-CN"/>
        </w:rPr>
        <w:t>.2允许修正投标文件中不构成重大偏离的、微小的、非正规的、不一致或不规则的地方。</w:t>
      </w:r>
    </w:p>
    <w:p w14:paraId="04266600">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4</w:t>
      </w:r>
      <w:r>
        <w:rPr>
          <w:rFonts w:ascii="仿宋" w:hAnsi="仿宋" w:eastAsia="仿宋" w:cs="仿宋"/>
          <w:sz w:val="28"/>
          <w:szCs w:val="28"/>
          <w:lang w:eastAsia="zh-CN"/>
        </w:rPr>
        <w:t>.3在对投标文件进行详细评</w:t>
      </w:r>
      <w:r>
        <w:rPr>
          <w:rFonts w:ascii="仿宋" w:hAnsi="仿宋" w:eastAsia="仿宋" w:cs="仿宋"/>
          <w:sz w:val="28"/>
          <w:szCs w:val="28"/>
          <w:lang w:val="en-US" w:eastAsia="zh-CN"/>
        </w:rPr>
        <w:t>审</w:t>
      </w:r>
      <w:r>
        <w:rPr>
          <w:rFonts w:ascii="仿宋" w:hAnsi="仿宋" w:eastAsia="仿宋" w:cs="仿宋"/>
          <w:sz w:val="28"/>
          <w:szCs w:val="28"/>
          <w:lang w:eastAsia="zh-CN"/>
        </w:rPr>
        <w:t>之前，评标委员会将确定</w:t>
      </w:r>
      <w:r>
        <w:rPr>
          <w:rFonts w:ascii="仿宋" w:hAnsi="仿宋" w:eastAsia="仿宋" w:cs="仿宋"/>
          <w:sz w:val="28"/>
          <w:szCs w:val="28"/>
          <w:lang w:val="en-US" w:eastAsia="zh-CN"/>
        </w:rPr>
        <w:t>投标文件</w:t>
      </w:r>
      <w:r>
        <w:rPr>
          <w:rFonts w:ascii="仿宋" w:hAnsi="仿宋" w:eastAsia="仿宋" w:cs="仿宋"/>
          <w:sz w:val="28"/>
          <w:szCs w:val="28"/>
          <w:lang w:eastAsia="zh-CN"/>
        </w:rPr>
        <w:t>是否对招标文件的要求做出了实质性的响应，而没有重大偏离。实质性响应的投标是指投标符合招标文件的实质性条款、条件和规定且没有重大偏离和保留。重大偏离和保留是指对招标文件规定的采购需求、服务期限、投标有效期、付款方式等产生重大或不可接受的偏差，或限制了集中采购机构、采购人的权利和投标人的义务的规定，而纠正这些偏离将影响到其它提交实质性响应投标的投标人的公平竞争地位。</w:t>
      </w:r>
    </w:p>
    <w:p w14:paraId="5A5E820F">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4</w:t>
      </w:r>
      <w:r>
        <w:rPr>
          <w:rFonts w:ascii="仿宋" w:hAnsi="仿宋" w:eastAsia="仿宋" w:cs="仿宋"/>
          <w:sz w:val="28"/>
          <w:szCs w:val="28"/>
          <w:lang w:eastAsia="zh-CN"/>
        </w:rPr>
        <w:t>.4评标委员会判断投标文件的响应性仅基于投标文件本身内容而不靠外部证据。</w:t>
      </w:r>
    </w:p>
    <w:p w14:paraId="372F48C0">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4</w:t>
      </w:r>
      <w:r>
        <w:rPr>
          <w:rFonts w:ascii="仿宋" w:hAnsi="仿宋" w:eastAsia="仿宋" w:cs="仿宋"/>
          <w:sz w:val="28"/>
          <w:szCs w:val="28"/>
          <w:lang w:eastAsia="zh-CN"/>
        </w:rPr>
        <w:t>.5实质上没有响应招标文件要求的投标将被视为无效投标，投标人不得通过修正或撤消不符之处而使其投标成为实质上响应投标。</w:t>
      </w:r>
    </w:p>
    <w:p w14:paraId="76B0FC8B">
      <w:pPr>
        <w:spacing w:line="360" w:lineRule="auto"/>
        <w:rPr>
          <w:rFonts w:hint="default" w:ascii="仿宋" w:hAnsi="仿宋" w:eastAsia="仿宋" w:cs="仿宋"/>
          <w:sz w:val="28"/>
          <w:szCs w:val="28"/>
          <w:lang w:val="en-US" w:eastAsia="zh-CN"/>
        </w:rPr>
      </w:pPr>
      <w:r>
        <w:rPr>
          <w:rFonts w:ascii="仿宋" w:hAnsi="仿宋" w:eastAsia="仿宋" w:cs="仿宋"/>
          <w:sz w:val="28"/>
          <w:szCs w:val="28"/>
          <w:lang w:eastAsia="zh-CN"/>
        </w:rPr>
        <w:t>3</w:t>
      </w:r>
      <w:r>
        <w:rPr>
          <w:rFonts w:ascii="仿宋" w:hAnsi="仿宋" w:eastAsia="仿宋" w:cs="仿宋"/>
          <w:sz w:val="28"/>
          <w:szCs w:val="28"/>
          <w:lang w:val="en-US" w:eastAsia="zh-CN"/>
        </w:rPr>
        <w:t>4</w:t>
      </w:r>
      <w:r>
        <w:rPr>
          <w:rFonts w:ascii="仿宋" w:hAnsi="仿宋" w:eastAsia="仿宋" w:cs="仿宋"/>
          <w:sz w:val="28"/>
          <w:szCs w:val="28"/>
          <w:lang w:eastAsia="zh-CN"/>
        </w:rPr>
        <w:t>.6</w:t>
      </w:r>
      <w:r>
        <w:rPr>
          <w:rFonts w:ascii="仿宋" w:hAnsi="仿宋" w:eastAsia="仿宋" w:cs="仿宋"/>
          <w:sz w:val="28"/>
          <w:szCs w:val="28"/>
          <w:lang w:val="en-US" w:eastAsia="zh-CN"/>
        </w:rPr>
        <w:t>参与同一个标段（包）的投标人存在下列情形之一的，其投标（响应）文件无效：</w:t>
      </w:r>
    </w:p>
    <w:p w14:paraId="1361BF5B">
      <w:pPr>
        <w:spacing w:line="360" w:lineRule="auto"/>
        <w:rPr>
          <w:rFonts w:hint="default" w:ascii="仿宋" w:hAnsi="仿宋" w:eastAsia="仿宋" w:cs="仿宋"/>
          <w:sz w:val="28"/>
          <w:szCs w:val="28"/>
          <w:lang w:eastAsia="zh-CN"/>
        </w:rPr>
      </w:pPr>
      <w:r>
        <w:rPr>
          <w:rFonts w:ascii="仿宋" w:hAnsi="仿宋" w:eastAsia="仿宋" w:cs="仿宋"/>
          <w:sz w:val="28"/>
          <w:szCs w:val="28"/>
          <w:lang w:val="en-US" w:eastAsia="zh-CN"/>
        </w:rPr>
        <w:t>（1）不同投标人的电子投标（响应）文件上传计算机的网卡MAC地址、CPU序列号和硬盘序列号等硬件信息相同的；</w:t>
      </w:r>
    </w:p>
    <w:p w14:paraId="4C52CAE7">
      <w:pPr>
        <w:spacing w:line="360" w:lineRule="auto"/>
        <w:rPr>
          <w:rFonts w:hint="default" w:ascii="仿宋" w:hAnsi="仿宋" w:eastAsia="仿宋" w:cs="仿宋"/>
          <w:sz w:val="28"/>
          <w:szCs w:val="28"/>
          <w:lang w:eastAsia="zh-CN"/>
        </w:rPr>
      </w:pPr>
      <w:r>
        <w:rPr>
          <w:rFonts w:ascii="仿宋" w:hAnsi="仿宋" w:eastAsia="仿宋" w:cs="仿宋"/>
          <w:sz w:val="28"/>
          <w:szCs w:val="28"/>
          <w:lang w:val="en-US" w:eastAsia="zh-CN"/>
        </w:rPr>
        <w:t>（2）不同投标人的投标（响应）文件由同一电子设备编制、加密或者上传；</w:t>
      </w:r>
    </w:p>
    <w:p w14:paraId="4A5CB18E">
      <w:pPr>
        <w:spacing w:line="360" w:lineRule="auto"/>
        <w:rPr>
          <w:rFonts w:hint="default" w:ascii="仿宋" w:hAnsi="仿宋" w:eastAsia="仿宋" w:cs="仿宋"/>
          <w:sz w:val="28"/>
          <w:szCs w:val="28"/>
          <w:lang w:eastAsia="zh-CN"/>
        </w:rPr>
      </w:pPr>
      <w:r>
        <w:rPr>
          <w:rFonts w:ascii="仿宋" w:hAnsi="仿宋" w:eastAsia="仿宋" w:cs="仿宋"/>
          <w:sz w:val="28"/>
          <w:szCs w:val="28"/>
          <w:lang w:val="en-US" w:eastAsia="zh-CN"/>
        </w:rPr>
        <w:t>（3）不同投标人的投标（响应）文件由同一人送达或者分发，或者不同投标人联系人为同一人或不同联系人的联系电话一致的；</w:t>
      </w:r>
    </w:p>
    <w:p w14:paraId="73100184">
      <w:pPr>
        <w:spacing w:line="360" w:lineRule="auto"/>
        <w:rPr>
          <w:rFonts w:hint="default" w:ascii="仿宋" w:hAnsi="仿宋" w:eastAsia="仿宋" w:cs="仿宋"/>
          <w:sz w:val="28"/>
          <w:szCs w:val="28"/>
          <w:lang w:eastAsia="zh-CN"/>
        </w:rPr>
      </w:pPr>
      <w:r>
        <w:rPr>
          <w:rFonts w:ascii="仿宋" w:hAnsi="仿宋" w:eastAsia="仿宋" w:cs="仿宋"/>
          <w:sz w:val="28"/>
          <w:szCs w:val="28"/>
          <w:lang w:val="en-US" w:eastAsia="zh-CN"/>
        </w:rPr>
        <w:t>（4）不同投标人的投标（响应）文件的内容存在两处以上专有细节错误一致；</w:t>
      </w:r>
    </w:p>
    <w:p w14:paraId="4C0A6CAC">
      <w:pPr>
        <w:spacing w:line="360" w:lineRule="auto"/>
        <w:rPr>
          <w:rFonts w:hint="default" w:ascii="仿宋" w:hAnsi="仿宋" w:eastAsia="仿宋" w:cs="仿宋"/>
          <w:sz w:val="28"/>
          <w:szCs w:val="28"/>
          <w:lang w:val="en-US"/>
        </w:rPr>
      </w:pPr>
      <w:r>
        <w:rPr>
          <w:rFonts w:ascii="仿宋" w:hAnsi="仿宋" w:eastAsia="仿宋" w:cs="仿宋"/>
          <w:sz w:val="28"/>
          <w:szCs w:val="28"/>
          <w:lang w:val="en-US"/>
        </w:rPr>
        <w:t>（5）其它涉嫌串通的情形。</w:t>
      </w:r>
    </w:p>
    <w:p w14:paraId="2D45EC23">
      <w:pPr>
        <w:spacing w:line="360" w:lineRule="auto"/>
        <w:rPr>
          <w:rFonts w:hint="default" w:ascii="仿宋" w:hAnsi="仿宋" w:eastAsia="仿宋" w:cs="仿宋"/>
          <w:sz w:val="28"/>
          <w:szCs w:val="28"/>
          <w:lang w:val="en-US" w:eastAsia="zh-CN"/>
        </w:rPr>
      </w:pPr>
      <w:r>
        <w:rPr>
          <w:rFonts w:ascii="仿宋" w:hAnsi="仿宋" w:eastAsia="仿宋" w:cs="仿宋"/>
          <w:sz w:val="28"/>
          <w:szCs w:val="28"/>
          <w:lang w:val="en-US" w:eastAsia="zh-CN"/>
        </w:rPr>
        <w:t>34.7有下列情形之一的，视为投标人串通投标，其投标无效：</w:t>
      </w:r>
    </w:p>
    <w:p w14:paraId="0B78C336">
      <w:pPr>
        <w:spacing w:line="360" w:lineRule="auto"/>
        <w:rPr>
          <w:rFonts w:hint="default" w:ascii="仿宋" w:hAnsi="仿宋" w:eastAsia="仿宋" w:cs="仿宋"/>
          <w:sz w:val="28"/>
          <w:szCs w:val="28"/>
          <w:lang w:val="en-US" w:eastAsia="zh-CN"/>
        </w:rPr>
      </w:pPr>
      <w:r>
        <w:rPr>
          <w:rFonts w:ascii="仿宋" w:hAnsi="仿宋" w:eastAsia="仿宋" w:cs="仿宋"/>
          <w:sz w:val="28"/>
          <w:szCs w:val="28"/>
          <w:lang w:val="en-US" w:eastAsia="zh-CN"/>
        </w:rPr>
        <w:t>（1）不同投标人的投标文件由同一单位或者个人编制；</w:t>
      </w:r>
    </w:p>
    <w:p w14:paraId="0A4F5CAF">
      <w:pPr>
        <w:spacing w:line="360" w:lineRule="auto"/>
        <w:rPr>
          <w:rFonts w:hint="default" w:ascii="仿宋" w:hAnsi="仿宋" w:eastAsia="仿宋" w:cs="仿宋"/>
          <w:sz w:val="28"/>
          <w:szCs w:val="28"/>
          <w:lang w:val="en-US" w:eastAsia="zh-CN"/>
        </w:rPr>
      </w:pPr>
      <w:r>
        <w:rPr>
          <w:rFonts w:ascii="仿宋" w:hAnsi="仿宋" w:eastAsia="仿宋" w:cs="仿宋"/>
          <w:sz w:val="28"/>
          <w:szCs w:val="28"/>
          <w:lang w:val="en-US" w:eastAsia="zh-CN"/>
        </w:rPr>
        <w:t>（2）不同投标人委托同一单位或者个人办理投标事宜；</w:t>
      </w:r>
    </w:p>
    <w:p w14:paraId="3224E966">
      <w:pPr>
        <w:spacing w:line="360" w:lineRule="auto"/>
        <w:rPr>
          <w:rFonts w:hint="default" w:ascii="仿宋" w:hAnsi="仿宋" w:eastAsia="仿宋" w:cs="仿宋"/>
          <w:sz w:val="28"/>
          <w:szCs w:val="28"/>
          <w:lang w:val="en-US" w:eastAsia="zh-CN"/>
        </w:rPr>
      </w:pPr>
      <w:r>
        <w:rPr>
          <w:rFonts w:ascii="仿宋" w:hAnsi="仿宋" w:eastAsia="仿宋" w:cs="仿宋"/>
          <w:sz w:val="28"/>
          <w:szCs w:val="28"/>
          <w:lang w:val="en-US" w:eastAsia="zh-CN"/>
        </w:rPr>
        <w:t>（3）不同投标人的投标文件载明的项目管理成员或者联系人员为同一人；</w:t>
      </w:r>
    </w:p>
    <w:p w14:paraId="4650A845">
      <w:pPr>
        <w:spacing w:line="360" w:lineRule="auto"/>
        <w:rPr>
          <w:rFonts w:hint="default" w:ascii="仿宋" w:hAnsi="仿宋" w:eastAsia="仿宋" w:cs="仿宋"/>
          <w:sz w:val="28"/>
          <w:szCs w:val="28"/>
          <w:lang w:val="en-US" w:eastAsia="zh-CN"/>
        </w:rPr>
      </w:pPr>
      <w:r>
        <w:rPr>
          <w:rFonts w:ascii="仿宋" w:hAnsi="仿宋" w:eastAsia="仿宋" w:cs="仿宋"/>
          <w:sz w:val="28"/>
          <w:szCs w:val="28"/>
          <w:lang w:val="en-US" w:eastAsia="zh-CN"/>
        </w:rPr>
        <w:t>（4）不同投标人的投标文件异常一致或者投标报价呈规律性差异；</w:t>
      </w:r>
    </w:p>
    <w:p w14:paraId="0251B118">
      <w:pPr>
        <w:spacing w:line="360" w:lineRule="auto"/>
        <w:rPr>
          <w:rFonts w:hint="default" w:ascii="仿宋" w:hAnsi="仿宋" w:eastAsia="仿宋" w:cs="仿宋"/>
          <w:sz w:val="28"/>
          <w:szCs w:val="28"/>
          <w:lang w:val="en-US" w:eastAsia="zh-CN"/>
        </w:rPr>
      </w:pPr>
      <w:r>
        <w:rPr>
          <w:rFonts w:ascii="仿宋" w:hAnsi="仿宋" w:eastAsia="仿宋" w:cs="仿宋"/>
          <w:sz w:val="28"/>
          <w:szCs w:val="28"/>
          <w:lang w:val="en-US" w:eastAsia="zh-CN"/>
        </w:rPr>
        <w:t>（5）不同投标人的投标文件相互混装；</w:t>
      </w:r>
    </w:p>
    <w:p w14:paraId="19FF6C56">
      <w:pPr>
        <w:spacing w:line="360" w:lineRule="auto"/>
        <w:rPr>
          <w:rFonts w:hint="default" w:ascii="仿宋" w:hAnsi="仿宋" w:eastAsia="仿宋" w:cs="仿宋"/>
          <w:sz w:val="28"/>
          <w:szCs w:val="28"/>
          <w:lang w:val="en-US" w:eastAsia="zh-CN"/>
        </w:rPr>
      </w:pPr>
      <w:r>
        <w:rPr>
          <w:rFonts w:ascii="仿宋" w:hAnsi="仿宋" w:eastAsia="仿宋" w:cs="仿宋"/>
          <w:sz w:val="28"/>
          <w:szCs w:val="28"/>
          <w:lang w:val="en-US" w:eastAsia="zh-CN"/>
        </w:rPr>
        <w:t>（6）不同投标人的投标保证金从同一单位或者个人的账户转出。</w:t>
      </w:r>
    </w:p>
    <w:p w14:paraId="7F611CFB">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eastAsia="zh-CN"/>
        </w:rPr>
        <w:t>3</w:t>
      </w:r>
      <w:r>
        <w:rPr>
          <w:rFonts w:ascii="仿宋" w:hAnsi="仿宋" w:eastAsia="仿宋" w:cs="仿宋"/>
          <w:b/>
          <w:bCs/>
          <w:sz w:val="28"/>
          <w:szCs w:val="28"/>
          <w:lang w:val="en-US" w:eastAsia="zh-CN"/>
        </w:rPr>
        <w:t>5</w:t>
      </w:r>
      <w:r>
        <w:rPr>
          <w:rFonts w:ascii="仿宋" w:hAnsi="仿宋" w:eastAsia="仿宋" w:cs="仿宋"/>
          <w:b/>
          <w:bCs/>
          <w:sz w:val="28"/>
          <w:szCs w:val="28"/>
          <w:lang w:eastAsia="zh-CN"/>
        </w:rPr>
        <w:t>.投标的评价</w:t>
      </w:r>
    </w:p>
    <w:p w14:paraId="73EF599C">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5</w:t>
      </w:r>
      <w:r>
        <w:rPr>
          <w:rFonts w:ascii="仿宋" w:hAnsi="仿宋" w:eastAsia="仿宋" w:cs="仿宋"/>
          <w:sz w:val="28"/>
          <w:szCs w:val="28"/>
          <w:lang w:eastAsia="zh-CN"/>
        </w:rPr>
        <w:t>.1投标文件报价出现前后不一致的，按照下列规定修正：</w:t>
      </w:r>
    </w:p>
    <w:p w14:paraId="1BAF2705">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（1）投标文件中开标一览表（报价表）内容与投标文件中相应内容不一致的，以开标一览表（报价表）为准；</w:t>
      </w:r>
    </w:p>
    <w:p w14:paraId="2B0FA775">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（2）大写金额和小写金额不一致的，以大写金额为准；</w:t>
      </w:r>
    </w:p>
    <w:p w14:paraId="35B7696B">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（3）单价金额小数点或者百分比有明显错位的，以开标一览表的总价为准，并修改单价；</w:t>
      </w:r>
    </w:p>
    <w:p w14:paraId="298CF2A2">
      <w:pPr>
        <w:spacing w:line="360" w:lineRule="auto"/>
        <w:rPr>
          <w:rFonts w:hint="default" w:ascii="仿宋" w:hAnsi="仿宋" w:eastAsia="仿宋" w:cs="仿宋"/>
          <w:color w:val="auto"/>
          <w:sz w:val="28"/>
          <w:szCs w:val="28"/>
          <w:lang w:eastAsia="zh-CN"/>
        </w:rPr>
      </w:pPr>
      <w:r>
        <w:rPr>
          <w:rFonts w:ascii="仿宋" w:hAnsi="仿宋" w:eastAsia="仿宋" w:cs="仿宋"/>
          <w:sz w:val="28"/>
          <w:szCs w:val="28"/>
          <w:lang w:eastAsia="zh-CN"/>
        </w:rPr>
        <w:t>（4</w:t>
      </w:r>
      <w:r>
        <w:rPr>
          <w:rFonts w:ascii="仿宋" w:hAnsi="仿宋" w:eastAsia="仿宋" w:cs="仿宋"/>
          <w:color w:val="auto"/>
          <w:sz w:val="28"/>
          <w:szCs w:val="28"/>
          <w:lang w:eastAsia="zh-CN"/>
        </w:rPr>
        <w:t>）总价金额与按单价汇总金额不一致的，以单价金额计算结果为准。</w:t>
      </w:r>
    </w:p>
    <w:p w14:paraId="35F979B1">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同时出现两种以上不一致的，按照前款规定的顺序修正。修正后的报价经投标人确认后产生约束力，投标人不确认的，其投标无效。</w:t>
      </w:r>
    </w:p>
    <w:p w14:paraId="5EEFC570">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5</w:t>
      </w:r>
      <w:r>
        <w:rPr>
          <w:rFonts w:ascii="仿宋" w:hAnsi="仿宋" w:eastAsia="仿宋" w:cs="仿宋"/>
          <w:sz w:val="28"/>
          <w:szCs w:val="28"/>
          <w:lang w:eastAsia="zh-CN"/>
        </w:rPr>
        <w:t>.2评标委员会认为投标人的报价明显低于其他通过符合性审查投标人的报价，有可能影响服务质量或者不能诚信履约的，应当要求其在合理的时间内提供书面说明，必要时提交相关证明材料；投标人不能证明其报价合理性的，评标委员会应当将其作为无效投标处理。</w:t>
      </w:r>
    </w:p>
    <w:p w14:paraId="58CE5374">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5</w:t>
      </w:r>
      <w:r>
        <w:rPr>
          <w:rFonts w:ascii="仿宋" w:hAnsi="仿宋" w:eastAsia="仿宋" w:cs="仿宋"/>
          <w:sz w:val="28"/>
          <w:szCs w:val="28"/>
          <w:lang w:eastAsia="zh-CN"/>
        </w:rPr>
        <w:t>.3评标委员会只对已判定为实质性响应的投标文件进行评价和比较。</w:t>
      </w:r>
    </w:p>
    <w:p w14:paraId="39F5CCD3">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eastAsia="zh-CN"/>
        </w:rPr>
        <w:t>3</w:t>
      </w:r>
      <w:r>
        <w:rPr>
          <w:rFonts w:ascii="仿宋" w:hAnsi="仿宋" w:eastAsia="仿宋" w:cs="仿宋"/>
          <w:b/>
          <w:bCs/>
          <w:sz w:val="28"/>
          <w:szCs w:val="28"/>
          <w:lang w:val="en-US" w:eastAsia="zh-CN"/>
        </w:rPr>
        <w:t>6</w:t>
      </w:r>
      <w:r>
        <w:rPr>
          <w:rFonts w:ascii="仿宋" w:hAnsi="仿宋" w:eastAsia="仿宋" w:cs="仿宋"/>
          <w:b/>
          <w:bCs/>
          <w:sz w:val="28"/>
          <w:szCs w:val="28"/>
          <w:lang w:eastAsia="zh-CN"/>
        </w:rPr>
        <w:t>.评标价的确定</w:t>
      </w:r>
    </w:p>
    <w:p w14:paraId="5C855715">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6</w:t>
      </w:r>
      <w:r>
        <w:rPr>
          <w:rFonts w:ascii="仿宋" w:hAnsi="仿宋" w:eastAsia="仿宋" w:cs="仿宋"/>
          <w:sz w:val="28"/>
          <w:szCs w:val="28"/>
          <w:lang w:eastAsia="zh-CN"/>
        </w:rPr>
        <w:t>.1根据《政府采购促进中小企业发展管理办法》（财库〔2020〕46号）和《财政部关于进一步加大政府采购支持中小企业力度的通知》（财库〔2022〕19号）的规定，釆购人在政府釆购活动中支持中小企业发展：</w:t>
      </w:r>
    </w:p>
    <w:p w14:paraId="4C1DF4ED">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（1）采购项目或采购包预留釆购份额专门面向中小企业采购；</w:t>
      </w:r>
    </w:p>
    <w:p w14:paraId="6DF7F13A">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（2）未预留份额专门面向中小企业釆购的釆购项目，以及预留份额项目中的非预留部分釆购包，对小微企业报价给予</w:t>
      </w:r>
      <w:r>
        <w:rPr>
          <w:rFonts w:ascii="仿宋" w:hAnsi="仿宋" w:eastAsia="仿宋" w:cs="仿宋"/>
          <w:sz w:val="28"/>
          <w:szCs w:val="28"/>
          <w:lang w:val="en-US" w:eastAsia="zh-CN"/>
        </w:rPr>
        <w:t>10</w:t>
      </w:r>
      <w:r>
        <w:rPr>
          <w:rFonts w:ascii="仿宋" w:hAnsi="仿宋" w:eastAsia="仿宋" w:cs="仿宋"/>
          <w:sz w:val="28"/>
          <w:szCs w:val="28"/>
          <w:lang w:eastAsia="zh-CN"/>
        </w:rPr>
        <w:t>%—</w:t>
      </w:r>
      <w:r>
        <w:rPr>
          <w:rFonts w:ascii="仿宋" w:hAnsi="仿宋" w:eastAsia="仿宋" w:cs="仿宋"/>
          <w:sz w:val="28"/>
          <w:szCs w:val="28"/>
          <w:lang w:val="en-US" w:eastAsia="zh-CN"/>
        </w:rPr>
        <w:t>2</w:t>
      </w:r>
      <w:r>
        <w:rPr>
          <w:rFonts w:ascii="仿宋" w:hAnsi="仿宋" w:eastAsia="仿宋" w:cs="仿宋"/>
          <w:sz w:val="28"/>
          <w:szCs w:val="28"/>
          <w:lang w:eastAsia="zh-CN"/>
        </w:rPr>
        <w:t>0%的扣除，用扣除后的价格参加评审。中小企业扶持政策：见“投标人须知前附表”。</w:t>
      </w:r>
    </w:p>
    <w:p w14:paraId="784D0A30">
      <w:pPr>
        <w:spacing w:line="360" w:lineRule="auto"/>
        <w:rPr>
          <w:rFonts w:hint="default" w:ascii="仿宋" w:hAnsi="仿宋" w:eastAsia="仿宋" w:cs="仿宋"/>
          <w:sz w:val="28"/>
          <w:szCs w:val="28"/>
          <w:lang w:val="en-US" w:eastAsia="zh-CN"/>
        </w:rPr>
      </w:pPr>
      <w:r>
        <w:rPr>
          <w:rFonts w:ascii="仿宋" w:hAnsi="仿宋" w:eastAsia="仿宋" w:cs="仿宋"/>
          <w:sz w:val="28"/>
          <w:szCs w:val="28"/>
          <w:lang w:eastAsia="zh-CN"/>
        </w:rPr>
        <w:t>（</w:t>
      </w:r>
      <w:r>
        <w:rPr>
          <w:rFonts w:ascii="仿宋" w:hAnsi="仿宋" w:eastAsia="仿宋" w:cs="仿宋"/>
          <w:sz w:val="28"/>
          <w:szCs w:val="28"/>
          <w:lang w:val="en-US" w:eastAsia="zh-CN"/>
        </w:rPr>
        <w:t>3</w:t>
      </w:r>
      <w:r>
        <w:rPr>
          <w:rFonts w:ascii="仿宋" w:hAnsi="仿宋" w:eastAsia="仿宋" w:cs="仿宋"/>
          <w:sz w:val="28"/>
          <w:szCs w:val="28"/>
          <w:lang w:eastAsia="zh-CN"/>
        </w:rPr>
        <w:t>）</w:t>
      </w:r>
      <w:r>
        <w:rPr>
          <w:rFonts w:ascii="仿宋" w:hAnsi="仿宋" w:eastAsia="仿宋" w:cs="仿宋"/>
          <w:sz w:val="28"/>
          <w:szCs w:val="28"/>
          <w:lang w:val="en-US" w:eastAsia="zh-CN"/>
        </w:rPr>
        <w:t>中小企业划分标准见《关于印发中小企业划型标准规定的通知》（工信部联企业〔2011〕300号）。中标人享受《政府采购促进中小企业发展管理办法》规定的中小企业扶持政策的，随中标结果公开中标人的《中小企业声明函》。投标人提供声明函内容不实的，属于提供虚假材料谋取中标，依照《中华人民共和国政府采购法》等国家有关规定追究相应责任。</w:t>
      </w:r>
    </w:p>
    <w:p w14:paraId="05D4464E">
      <w:pPr>
        <w:spacing w:line="360" w:lineRule="auto"/>
        <w:rPr>
          <w:rFonts w:hint="default" w:ascii="仿宋" w:hAnsi="仿宋" w:eastAsia="仿宋" w:cs="仿宋"/>
          <w:sz w:val="28"/>
          <w:szCs w:val="28"/>
          <w:lang w:val="en-US" w:eastAsia="zh-CN"/>
        </w:rPr>
      </w:pPr>
      <w:r>
        <w:rPr>
          <w:rFonts w:ascii="仿宋" w:hAnsi="仿宋" w:eastAsia="仿宋" w:cs="仿宋"/>
          <w:sz w:val="28"/>
          <w:szCs w:val="28"/>
          <w:lang w:val="en-US" w:eastAsia="zh-CN"/>
        </w:rPr>
        <w:t>（4）监狱企业视同小型、微型企业，投标人应提供省级及以上监狱管理局、戒毒管理局（含新疆生产建设兵团）出具的属于监狱企业的证明文件。</w:t>
      </w:r>
    </w:p>
    <w:p w14:paraId="25C37C63">
      <w:pPr>
        <w:spacing w:line="360" w:lineRule="auto"/>
        <w:rPr>
          <w:rFonts w:hint="default" w:ascii="仿宋" w:hAnsi="仿宋" w:eastAsia="仿宋" w:cs="仿宋"/>
          <w:sz w:val="28"/>
          <w:szCs w:val="28"/>
          <w:lang w:val="en-US" w:eastAsia="zh-CN"/>
        </w:rPr>
      </w:pPr>
      <w:r>
        <w:rPr>
          <w:rFonts w:ascii="仿宋" w:hAnsi="仿宋" w:eastAsia="仿宋" w:cs="仿宋"/>
          <w:sz w:val="28"/>
          <w:szCs w:val="28"/>
          <w:lang w:val="en-US" w:eastAsia="zh-CN"/>
        </w:rPr>
        <w:t>（5）残疾人福利性单位视同小型、微型企业，残疾人福利性单位须符合《财政部民政部中国残疾人联合会关于促进残疾人就业政府采购政策的通知》（财库〔2017〕141 号）要求，提供《残疾人福利性单位声明函》，提供的《残疾人福利性单位声明函》与事实不符的，依照《政府采购法》第七十七条第一款的规定追究法律责任。中标人为残疾人福利性单位的，随中标、成交结果同时公告其《残疾人福利性单位声明函》，接受社会监督。</w:t>
      </w:r>
    </w:p>
    <w:p w14:paraId="45432FBA">
      <w:pPr>
        <w:spacing w:line="360" w:lineRule="auto"/>
        <w:rPr>
          <w:rFonts w:hint="default" w:ascii="仿宋" w:hAnsi="仿宋" w:eastAsia="仿宋" w:cs="仿宋"/>
          <w:sz w:val="28"/>
          <w:szCs w:val="28"/>
          <w:lang w:eastAsia="zh-CN"/>
        </w:rPr>
      </w:pPr>
      <w:r>
        <w:rPr>
          <w:rFonts w:ascii="仿宋" w:hAnsi="仿宋" w:eastAsia="仿宋" w:cs="仿宋"/>
          <w:sz w:val="28"/>
          <w:szCs w:val="28"/>
          <w:lang w:val="en-US" w:eastAsia="zh-CN"/>
        </w:rPr>
        <w:t>36.2</w:t>
      </w:r>
      <w:r>
        <w:rPr>
          <w:rFonts w:ascii="仿宋" w:hAnsi="仿宋" w:eastAsia="仿宋" w:cs="仿宋"/>
          <w:sz w:val="28"/>
          <w:szCs w:val="28"/>
          <w:lang w:eastAsia="zh-CN"/>
        </w:rPr>
        <w:t>评标价不作为中标价和合同签约价，中标价和合同签约价仍以其投标文件中的报价为准。</w:t>
      </w:r>
    </w:p>
    <w:p w14:paraId="4CC04C96">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eastAsia="zh-CN"/>
        </w:rPr>
        <w:t>3</w:t>
      </w:r>
      <w:r>
        <w:rPr>
          <w:rFonts w:ascii="仿宋" w:hAnsi="仿宋" w:eastAsia="仿宋" w:cs="仿宋"/>
          <w:b/>
          <w:bCs/>
          <w:sz w:val="28"/>
          <w:szCs w:val="28"/>
          <w:lang w:val="en-US" w:eastAsia="zh-CN"/>
        </w:rPr>
        <w:t>7</w:t>
      </w:r>
      <w:r>
        <w:rPr>
          <w:rFonts w:ascii="仿宋" w:hAnsi="仿宋" w:eastAsia="仿宋" w:cs="仿宋"/>
          <w:b/>
          <w:bCs/>
          <w:sz w:val="28"/>
          <w:szCs w:val="28"/>
          <w:lang w:eastAsia="zh-CN"/>
        </w:rPr>
        <w:t>.评标结果</w:t>
      </w:r>
    </w:p>
    <w:p w14:paraId="43C92677">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7</w:t>
      </w:r>
      <w:r>
        <w:rPr>
          <w:rFonts w:ascii="仿宋" w:hAnsi="仿宋" w:eastAsia="仿宋" w:cs="仿宋"/>
          <w:sz w:val="28"/>
          <w:szCs w:val="28"/>
          <w:lang w:eastAsia="zh-CN"/>
        </w:rPr>
        <w:t>.1评标委员会按照招标文件中规定的评标方法和标准，对符合性审查合格的投标文件进行商务和技术评</w:t>
      </w:r>
      <w:r>
        <w:rPr>
          <w:rFonts w:ascii="仿宋" w:hAnsi="仿宋" w:eastAsia="仿宋" w:cs="仿宋"/>
          <w:sz w:val="28"/>
          <w:szCs w:val="28"/>
          <w:lang w:val="en-US" w:eastAsia="zh-CN"/>
        </w:rPr>
        <w:t>审</w:t>
      </w:r>
      <w:r>
        <w:rPr>
          <w:rFonts w:ascii="仿宋" w:hAnsi="仿宋" w:eastAsia="仿宋" w:cs="仿宋"/>
          <w:sz w:val="28"/>
          <w:szCs w:val="28"/>
          <w:lang w:eastAsia="zh-CN"/>
        </w:rPr>
        <w:t>，综合比较与评价。</w:t>
      </w:r>
    </w:p>
    <w:p w14:paraId="6DB494B9">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7</w:t>
      </w:r>
      <w:r>
        <w:rPr>
          <w:rFonts w:ascii="仿宋" w:hAnsi="仿宋" w:eastAsia="仿宋" w:cs="仿宋"/>
          <w:sz w:val="28"/>
          <w:szCs w:val="28"/>
          <w:lang w:eastAsia="zh-CN"/>
        </w:rPr>
        <w:t>.2投标人的评审得分为所有评委评审得分的算术平均值，评审得分取至小数点后两位（第三位四舍五入）。</w:t>
      </w:r>
    </w:p>
    <w:p w14:paraId="23FB348A">
      <w:pPr>
        <w:pStyle w:val="18"/>
        <w:spacing w:line="360" w:lineRule="auto"/>
        <w:rPr>
          <w:rFonts w:ascii="仿宋" w:hAnsi="仿宋" w:eastAsia="仿宋" w:cs="仿宋"/>
        </w:rPr>
      </w:pPr>
      <w:r>
        <w:rPr>
          <w:rFonts w:hint="eastAsia" w:ascii="仿宋" w:hAnsi="仿宋" w:eastAsia="仿宋" w:cs="仿宋"/>
          <w:b/>
          <w:bCs/>
          <w:sz w:val="28"/>
          <w:szCs w:val="28"/>
        </w:rPr>
        <w:t>38.</w:t>
      </w:r>
      <w:r>
        <w:rPr>
          <w:rFonts w:hint="eastAsia" w:ascii="仿宋" w:hAnsi="仿宋" w:eastAsia="仿宋" w:cs="仿宋"/>
          <w:b/>
          <w:color w:val="auto"/>
          <w:sz w:val="28"/>
          <w:szCs w:val="28"/>
        </w:rPr>
        <w:t>推荐中标候选人原则及标准</w:t>
      </w:r>
    </w:p>
    <w:p w14:paraId="09536FF4">
      <w:pPr>
        <w:widowControl w:val="0"/>
        <w:spacing w:line="360" w:lineRule="auto"/>
        <w:jc w:val="left"/>
        <w:rPr>
          <w:rFonts w:hint="default" w:ascii="仿宋" w:hAnsi="仿宋" w:eastAsia="仿宋" w:cs="仿宋"/>
          <w:sz w:val="28"/>
          <w:szCs w:val="28"/>
          <w:lang w:eastAsia="zh-CN"/>
        </w:rPr>
      </w:pPr>
      <w:r>
        <w:rPr>
          <w:rFonts w:ascii="仿宋" w:hAnsi="仿宋" w:eastAsia="仿宋" w:cs="仿宋"/>
          <w:sz w:val="28"/>
          <w:szCs w:val="28"/>
          <w:lang w:eastAsia="zh-CN"/>
        </w:rPr>
        <w:t>除非“投标人须知前附表”有特殊约定，否则评标委员会按评审后得分由高到低顺序</w:t>
      </w:r>
      <w:r>
        <w:rPr>
          <w:rFonts w:ascii="仿宋" w:hAnsi="仿宋" w:eastAsia="仿宋" w:cs="仿宋"/>
          <w:color w:val="auto"/>
          <w:sz w:val="28"/>
          <w:szCs w:val="28"/>
          <w:lang w:val="en-US" w:eastAsia="zh-CN"/>
        </w:rPr>
        <w:t>排列。按投标人须知前附表中规定数量推荐中标候选人。</w:t>
      </w:r>
    </w:p>
    <w:p w14:paraId="5C4021B4">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eastAsia="zh-CN"/>
        </w:rPr>
        <w:t>3</w:t>
      </w:r>
      <w:r>
        <w:rPr>
          <w:rFonts w:ascii="仿宋" w:hAnsi="仿宋" w:eastAsia="仿宋" w:cs="仿宋"/>
          <w:b/>
          <w:bCs/>
          <w:sz w:val="28"/>
          <w:szCs w:val="28"/>
          <w:lang w:val="en-US" w:eastAsia="zh-CN"/>
        </w:rPr>
        <w:t>9</w:t>
      </w:r>
      <w:r>
        <w:rPr>
          <w:rFonts w:ascii="仿宋" w:hAnsi="仿宋" w:eastAsia="仿宋" w:cs="仿宋"/>
          <w:b/>
          <w:bCs/>
          <w:sz w:val="28"/>
          <w:szCs w:val="28"/>
          <w:lang w:eastAsia="zh-CN"/>
        </w:rPr>
        <w:t>.保密及其它注意事项</w:t>
      </w:r>
    </w:p>
    <w:p w14:paraId="798A2B57">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9</w:t>
      </w:r>
      <w:r>
        <w:rPr>
          <w:rFonts w:ascii="仿宋" w:hAnsi="仿宋" w:eastAsia="仿宋" w:cs="仿宋"/>
          <w:sz w:val="28"/>
          <w:szCs w:val="28"/>
          <w:lang w:eastAsia="zh-CN"/>
        </w:rPr>
        <w:t>.1评标是招标工作的重要环节，评标工作在评标委员会内独立进行。</w:t>
      </w:r>
    </w:p>
    <w:p w14:paraId="292E25AB">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9</w:t>
      </w:r>
      <w:r>
        <w:rPr>
          <w:rFonts w:ascii="仿宋" w:hAnsi="仿宋" w:eastAsia="仿宋" w:cs="仿宋"/>
          <w:sz w:val="28"/>
          <w:szCs w:val="28"/>
          <w:lang w:eastAsia="zh-CN"/>
        </w:rPr>
        <w:t>.2评标委员会将遵照规定的评标方法，公正、平等地对待所有投标人。</w:t>
      </w:r>
    </w:p>
    <w:p w14:paraId="7C259BF9">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9</w:t>
      </w:r>
      <w:r>
        <w:rPr>
          <w:rFonts w:ascii="仿宋" w:hAnsi="仿宋" w:eastAsia="仿宋" w:cs="仿宋"/>
          <w:sz w:val="28"/>
          <w:szCs w:val="28"/>
          <w:lang w:eastAsia="zh-CN"/>
        </w:rPr>
        <w:t>.3在评标期间，投标人不得向评委询问评标情况，不得进行旨在影响评标结果的活动。</w:t>
      </w:r>
    </w:p>
    <w:p w14:paraId="72459707">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9</w:t>
      </w:r>
      <w:r>
        <w:rPr>
          <w:rFonts w:ascii="仿宋" w:hAnsi="仿宋" w:eastAsia="仿宋" w:cs="仿宋"/>
          <w:sz w:val="28"/>
          <w:szCs w:val="28"/>
          <w:lang w:eastAsia="zh-CN"/>
        </w:rPr>
        <w:t>.4为保证评标的公正性，开标后直至授予投标人合同，评委不得与投标人私下交换意见。</w:t>
      </w:r>
    </w:p>
    <w:p w14:paraId="7EA1E0F0">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9</w:t>
      </w:r>
      <w:r>
        <w:rPr>
          <w:rFonts w:ascii="仿宋" w:hAnsi="仿宋" w:eastAsia="仿宋" w:cs="仿宋"/>
          <w:sz w:val="28"/>
          <w:szCs w:val="28"/>
          <w:lang w:eastAsia="zh-CN"/>
        </w:rPr>
        <w:t>.5在评标工作结束后，凡与评标情况有接触的任何人不得擅自将评标情况扩散出评标人员之外。</w:t>
      </w:r>
    </w:p>
    <w:p w14:paraId="4FB75E92">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9</w:t>
      </w:r>
      <w:r>
        <w:rPr>
          <w:rFonts w:ascii="仿宋" w:hAnsi="仿宋" w:eastAsia="仿宋" w:cs="仿宋"/>
          <w:sz w:val="28"/>
          <w:szCs w:val="28"/>
          <w:lang w:eastAsia="zh-CN"/>
        </w:rPr>
        <w:t>.6评标结束后，概不退还投标文件。</w:t>
      </w:r>
    </w:p>
    <w:p w14:paraId="3E2A261D">
      <w:pPr>
        <w:pStyle w:val="17"/>
        <w:rPr>
          <w:rFonts w:ascii="仿宋" w:hAnsi="仿宋" w:eastAsia="仿宋" w:cs="仿宋"/>
          <w:lang w:eastAsia="zh-CN"/>
        </w:rPr>
      </w:pPr>
    </w:p>
    <w:p w14:paraId="61D1314A">
      <w:pPr>
        <w:keepNext/>
        <w:keepLines/>
        <w:widowControl w:val="0"/>
        <w:autoSpaceDE w:val="0"/>
        <w:autoSpaceDN w:val="0"/>
        <w:adjustRightInd w:val="0"/>
        <w:spacing w:line="360" w:lineRule="auto"/>
        <w:jc w:val="center"/>
        <w:outlineLvl w:val="1"/>
        <w:rPr>
          <w:rFonts w:hint="default" w:ascii="方正小标宋_GBK" w:hAnsi="方正小标宋_GBK" w:eastAsia="方正小标宋_GBK" w:cs="方正小标宋_GBK"/>
          <w:bCs/>
          <w:color w:val="auto"/>
          <w:kern w:val="0"/>
          <w:sz w:val="30"/>
          <w:szCs w:val="30"/>
          <w:lang w:val="en-US" w:eastAsia="zh-CN"/>
        </w:rPr>
      </w:pPr>
      <w:bookmarkStart w:id="250" w:name="_Toc917262788"/>
      <w:bookmarkStart w:id="251" w:name="_Toc2899487"/>
      <w:bookmarkStart w:id="252" w:name="_Toc1052785819"/>
      <w:bookmarkStart w:id="253" w:name="_Toc249591238"/>
      <w:bookmarkStart w:id="254" w:name="_Toc469259728"/>
      <w:bookmarkStart w:id="255" w:name="_Toc57506616"/>
      <w:bookmarkStart w:id="256" w:name="_Toc69887890"/>
      <w:bookmarkStart w:id="257" w:name="_Toc825115381"/>
      <w:bookmarkStart w:id="258" w:name="_Toc1199683400_WPSOffice_Level2"/>
      <w:bookmarkStart w:id="259" w:name="_Toc1092967952_WPSOffice_Level2"/>
      <w:bookmarkStart w:id="260" w:name="_Toc529068754"/>
      <w:bookmarkStart w:id="261" w:name="_Toc1426358028_WPSOffice_Level2"/>
      <w:bookmarkStart w:id="262" w:name="_Toc1542593003"/>
      <w:bookmarkStart w:id="263" w:name="_Toc1781574470_WPSOffice_Level2"/>
      <w:bookmarkStart w:id="264" w:name="_Toc34536976"/>
      <w:r>
        <w:rPr>
          <w:rFonts w:ascii="方正小标宋_GBK" w:hAnsi="方正小标宋_GBK" w:eastAsia="方正小标宋_GBK" w:cs="方正小标宋_GBK"/>
          <w:bCs/>
          <w:color w:val="auto"/>
          <w:kern w:val="0"/>
          <w:sz w:val="30"/>
          <w:szCs w:val="30"/>
          <w:lang w:val="en-US" w:eastAsia="zh-CN"/>
        </w:rPr>
        <w:t>六、确定中标</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3BC2D2B4">
      <w:pPr>
        <w:keepNext/>
        <w:keepLines/>
        <w:widowControl w:val="0"/>
        <w:autoSpaceDE w:val="0"/>
        <w:autoSpaceDN w:val="0"/>
        <w:adjustRightInd w:val="0"/>
        <w:spacing w:line="360" w:lineRule="auto"/>
        <w:jc w:val="left"/>
        <w:rPr>
          <w:rFonts w:hint="default" w:ascii="仿宋" w:hAnsi="仿宋" w:eastAsia="仿宋" w:cs="仿宋"/>
          <w:b/>
          <w:color w:val="auto"/>
          <w:kern w:val="0"/>
          <w:sz w:val="28"/>
          <w:szCs w:val="28"/>
          <w:lang w:val="en-US" w:eastAsia="zh-CN"/>
        </w:rPr>
      </w:pPr>
      <w:r>
        <w:rPr>
          <w:rFonts w:ascii="仿宋" w:hAnsi="仿宋" w:eastAsia="仿宋" w:cs="仿宋"/>
          <w:b/>
          <w:bCs/>
          <w:sz w:val="28"/>
          <w:szCs w:val="28"/>
          <w:lang w:val="en-US" w:eastAsia="zh-CN"/>
        </w:rPr>
        <w:t>40</w:t>
      </w:r>
      <w:r>
        <w:rPr>
          <w:rFonts w:ascii="仿宋" w:hAnsi="仿宋" w:eastAsia="仿宋" w:cs="仿宋"/>
          <w:b/>
          <w:bCs/>
          <w:sz w:val="28"/>
          <w:szCs w:val="28"/>
          <w:lang w:eastAsia="zh-CN"/>
        </w:rPr>
        <w:t>.</w:t>
      </w:r>
      <w:r>
        <w:rPr>
          <w:rFonts w:ascii="仿宋" w:hAnsi="仿宋" w:eastAsia="仿宋" w:cs="仿宋"/>
          <w:b/>
          <w:color w:val="auto"/>
          <w:kern w:val="0"/>
          <w:sz w:val="28"/>
          <w:szCs w:val="28"/>
          <w:lang w:val="en-US" w:eastAsia="zh-CN"/>
        </w:rPr>
        <w:t>确定中标人</w:t>
      </w:r>
    </w:p>
    <w:p w14:paraId="47810FEB">
      <w:pPr>
        <w:spacing w:line="360" w:lineRule="auto"/>
        <w:rPr>
          <w:rFonts w:hint="default" w:ascii="仿宋" w:hAnsi="仿宋" w:eastAsia="仿宋" w:cs="仿宋"/>
          <w:sz w:val="28"/>
          <w:szCs w:val="28"/>
          <w:lang w:eastAsia="zh-CN"/>
        </w:rPr>
      </w:pPr>
      <w:r>
        <w:rPr>
          <w:rFonts w:ascii="仿宋" w:hAnsi="仿宋" w:eastAsia="仿宋" w:cs="仿宋"/>
          <w:sz w:val="28"/>
          <w:szCs w:val="28"/>
          <w:lang w:val="en-US" w:eastAsia="zh-CN"/>
        </w:rPr>
        <w:t>40</w:t>
      </w:r>
      <w:r>
        <w:rPr>
          <w:rFonts w:ascii="仿宋" w:hAnsi="仿宋" w:eastAsia="仿宋" w:cs="仿宋"/>
          <w:sz w:val="28"/>
          <w:szCs w:val="28"/>
          <w:lang w:eastAsia="zh-CN"/>
        </w:rPr>
        <w:t>.</w:t>
      </w:r>
      <w:r>
        <w:rPr>
          <w:rFonts w:ascii="仿宋" w:hAnsi="仿宋" w:eastAsia="仿宋" w:cs="仿宋"/>
          <w:sz w:val="28"/>
          <w:szCs w:val="28"/>
          <w:lang w:val="en-US" w:eastAsia="zh-CN"/>
        </w:rPr>
        <w:t>1</w:t>
      </w:r>
      <w:r>
        <w:rPr>
          <w:rFonts w:ascii="仿宋" w:hAnsi="仿宋" w:eastAsia="仿宋" w:cs="仿宋"/>
          <w:sz w:val="28"/>
          <w:szCs w:val="28"/>
          <w:lang w:eastAsia="zh-CN"/>
        </w:rPr>
        <w:t>采购人应当自收到评标报告之日起５个工作日内，从评标报告提出的中标候选人中，根据评标委员会推荐排名顺序的中标候选人中，选定第一中标候选人为中标人；也可以书面授权评标委员会直接确定中标人。</w:t>
      </w:r>
    </w:p>
    <w:p w14:paraId="2EF6FEE3">
      <w:pPr>
        <w:spacing w:line="360" w:lineRule="auto"/>
        <w:rPr>
          <w:rFonts w:hint="default" w:ascii="仿宋" w:hAnsi="仿宋" w:eastAsia="仿宋" w:cs="仿宋"/>
          <w:sz w:val="28"/>
          <w:szCs w:val="28"/>
          <w:lang w:eastAsia="zh-CN"/>
        </w:rPr>
      </w:pPr>
      <w:r>
        <w:rPr>
          <w:rFonts w:ascii="仿宋" w:hAnsi="仿宋" w:eastAsia="仿宋" w:cs="仿宋"/>
          <w:sz w:val="28"/>
          <w:szCs w:val="28"/>
          <w:lang w:val="en-US" w:eastAsia="zh-CN"/>
        </w:rPr>
        <w:t>40.2</w:t>
      </w:r>
      <w:r>
        <w:rPr>
          <w:rFonts w:ascii="仿宋" w:hAnsi="仿宋" w:eastAsia="仿宋" w:cs="仿宋"/>
          <w:sz w:val="28"/>
          <w:szCs w:val="28"/>
          <w:lang w:eastAsia="zh-CN"/>
        </w:rPr>
        <w:t>采购人在收到评标报告5个工作日内未按评标报告推荐的中标候选人顺序确定中标人，又不能说明合法理由的，视同按评标报告推荐的顺序确定排名第一的中标候选人为中标人。</w:t>
      </w:r>
    </w:p>
    <w:p w14:paraId="3CF695DD">
      <w:pPr>
        <w:spacing w:line="360" w:lineRule="auto"/>
        <w:rPr>
          <w:rFonts w:hint="default" w:ascii="仿宋" w:hAnsi="仿宋" w:eastAsia="仿宋" w:cs="仿宋"/>
          <w:b/>
          <w:color w:val="auto"/>
          <w:kern w:val="0"/>
          <w:sz w:val="28"/>
          <w:szCs w:val="28"/>
          <w:lang w:val="en-US" w:eastAsia="zh-CN"/>
        </w:rPr>
      </w:pPr>
      <w:r>
        <w:rPr>
          <w:rFonts w:ascii="仿宋" w:hAnsi="仿宋" w:eastAsia="仿宋" w:cs="仿宋"/>
          <w:b/>
          <w:color w:val="auto"/>
          <w:kern w:val="0"/>
          <w:sz w:val="28"/>
          <w:szCs w:val="28"/>
          <w:lang w:val="en-US" w:eastAsia="zh-CN"/>
        </w:rPr>
        <w:t>41.发布中标公告及发出中标通知书</w:t>
      </w:r>
    </w:p>
    <w:p w14:paraId="33ACCA5A">
      <w:pPr>
        <w:spacing w:line="360" w:lineRule="auto"/>
        <w:rPr>
          <w:rFonts w:hint="default" w:ascii="仿宋" w:hAnsi="仿宋" w:eastAsia="仿宋" w:cs="仿宋"/>
          <w:sz w:val="28"/>
          <w:szCs w:val="28"/>
          <w:lang w:eastAsia="zh-CN"/>
        </w:rPr>
      </w:pPr>
      <w:r>
        <w:rPr>
          <w:rFonts w:ascii="仿宋" w:hAnsi="仿宋" w:eastAsia="仿宋" w:cs="仿宋"/>
          <w:sz w:val="28"/>
          <w:szCs w:val="28"/>
          <w:lang w:val="en-US" w:eastAsia="zh-CN"/>
        </w:rPr>
        <w:t>41</w:t>
      </w:r>
      <w:r>
        <w:rPr>
          <w:rFonts w:ascii="仿宋" w:hAnsi="仿宋" w:eastAsia="仿宋" w:cs="仿宋"/>
          <w:sz w:val="28"/>
          <w:szCs w:val="28"/>
          <w:lang w:eastAsia="zh-CN"/>
        </w:rPr>
        <w:t>.</w:t>
      </w:r>
      <w:r>
        <w:rPr>
          <w:rFonts w:ascii="仿宋" w:hAnsi="仿宋" w:eastAsia="仿宋" w:cs="仿宋"/>
          <w:sz w:val="28"/>
          <w:szCs w:val="28"/>
          <w:lang w:val="en-US" w:eastAsia="zh-CN"/>
        </w:rPr>
        <w:t>1</w:t>
      </w:r>
      <w:r>
        <w:rPr>
          <w:rFonts w:ascii="仿宋" w:hAnsi="仿宋" w:eastAsia="仿宋" w:cs="仿宋"/>
          <w:sz w:val="28"/>
          <w:szCs w:val="28"/>
          <w:lang w:eastAsia="zh-CN"/>
        </w:rPr>
        <w:t>采购人按规定确定中标人后，</w:t>
      </w:r>
      <w:r>
        <w:rPr>
          <w:rFonts w:ascii="仿宋" w:hAnsi="仿宋" w:eastAsia="仿宋" w:cs="仿宋"/>
          <w:sz w:val="28"/>
          <w:szCs w:val="28"/>
          <w:lang w:val="en-US" w:eastAsia="zh-CN"/>
        </w:rPr>
        <w:t>采购人或</w:t>
      </w:r>
      <w:r>
        <w:rPr>
          <w:rFonts w:ascii="仿宋" w:hAnsi="仿宋" w:eastAsia="仿宋" w:cs="仿宋"/>
          <w:sz w:val="28"/>
          <w:szCs w:val="28"/>
          <w:lang w:eastAsia="zh-CN"/>
        </w:rPr>
        <w:t>集中采购机构应将中标结果在“投标人须知前附表”规定的媒介上予以公告，中标结果公告期限为1个工作日。</w:t>
      </w:r>
    </w:p>
    <w:p w14:paraId="704AB805">
      <w:pPr>
        <w:widowControl w:val="0"/>
        <w:spacing w:line="360" w:lineRule="auto"/>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41.2发布中标公告同时向中标人发出中标通知书。</w:t>
      </w:r>
    </w:p>
    <w:p w14:paraId="4EEDAC32">
      <w:pPr>
        <w:pStyle w:val="17"/>
        <w:spacing w:before="0" w:line="360" w:lineRule="auto"/>
        <w:rPr>
          <w:rFonts w:ascii="仿宋" w:hAnsi="仿宋" w:eastAsia="仿宋" w:cs="仿宋"/>
          <w:lang w:val="en-US" w:eastAsia="zh-CN"/>
        </w:rPr>
      </w:pPr>
      <w:r>
        <w:rPr>
          <w:rFonts w:hint="eastAsia" w:ascii="仿宋" w:hAnsi="仿宋" w:eastAsia="仿宋" w:cs="仿宋"/>
          <w:sz w:val="28"/>
          <w:szCs w:val="28"/>
          <w:lang w:val="en-US" w:eastAsia="zh-CN"/>
        </w:rPr>
        <w:t>41.3</w:t>
      </w:r>
      <w:r>
        <w:rPr>
          <w:rFonts w:hint="eastAsia" w:ascii="仿宋" w:hAnsi="仿宋" w:eastAsia="仿宋" w:cs="仿宋"/>
          <w:kern w:val="1"/>
          <w:sz w:val="28"/>
          <w:szCs w:val="28"/>
          <w:lang w:eastAsia="zh-CN"/>
        </w:rPr>
        <w:t>中标通知书发出后，采购人不得违法改变</w:t>
      </w:r>
      <w:r>
        <w:rPr>
          <w:rFonts w:hint="eastAsia" w:ascii="仿宋" w:hAnsi="仿宋" w:eastAsia="仿宋" w:cs="仿宋"/>
          <w:kern w:val="1"/>
          <w:sz w:val="28"/>
          <w:szCs w:val="28"/>
          <w:lang w:val="en-US" w:eastAsia="zh-CN"/>
        </w:rPr>
        <w:t>中标</w:t>
      </w:r>
      <w:r>
        <w:rPr>
          <w:rFonts w:hint="eastAsia" w:ascii="仿宋" w:hAnsi="仿宋" w:eastAsia="仿宋" w:cs="仿宋"/>
          <w:kern w:val="1"/>
          <w:sz w:val="28"/>
          <w:szCs w:val="28"/>
          <w:lang w:eastAsia="zh-CN"/>
        </w:rPr>
        <w:t>结果，中标</w:t>
      </w:r>
      <w:r>
        <w:rPr>
          <w:rFonts w:hint="eastAsia" w:ascii="仿宋" w:hAnsi="仿宋" w:eastAsia="仿宋" w:cs="仿宋"/>
          <w:kern w:val="1"/>
          <w:sz w:val="28"/>
          <w:szCs w:val="28"/>
          <w:lang w:val="en-US" w:eastAsia="zh-CN"/>
        </w:rPr>
        <w:t>人</w:t>
      </w:r>
      <w:r>
        <w:rPr>
          <w:rFonts w:hint="eastAsia" w:ascii="仿宋" w:hAnsi="仿宋" w:eastAsia="仿宋" w:cs="仿宋"/>
          <w:kern w:val="1"/>
          <w:sz w:val="28"/>
          <w:szCs w:val="28"/>
          <w:lang w:eastAsia="zh-CN"/>
        </w:rPr>
        <w:t>无正当理由不得放弃</w:t>
      </w:r>
      <w:r>
        <w:rPr>
          <w:rFonts w:hint="eastAsia" w:ascii="仿宋" w:hAnsi="仿宋" w:eastAsia="仿宋" w:cs="仿宋"/>
          <w:kern w:val="1"/>
          <w:sz w:val="28"/>
          <w:szCs w:val="28"/>
          <w:lang w:val="en-US" w:eastAsia="zh-CN"/>
        </w:rPr>
        <w:t>中标</w:t>
      </w:r>
      <w:r>
        <w:rPr>
          <w:rFonts w:hint="eastAsia" w:ascii="仿宋" w:hAnsi="仿宋" w:eastAsia="仿宋" w:cs="仿宋"/>
          <w:kern w:val="1"/>
          <w:sz w:val="28"/>
          <w:szCs w:val="28"/>
          <w:lang w:eastAsia="zh-CN"/>
        </w:rPr>
        <w:t>。</w:t>
      </w:r>
    </w:p>
    <w:p w14:paraId="4235809A">
      <w:pPr>
        <w:widowControl w:val="0"/>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eastAsia="zh-CN"/>
        </w:rPr>
        <w:t>4</w:t>
      </w:r>
      <w:r>
        <w:rPr>
          <w:rFonts w:ascii="仿宋" w:hAnsi="仿宋" w:eastAsia="仿宋" w:cs="仿宋"/>
          <w:b/>
          <w:bCs/>
          <w:sz w:val="28"/>
          <w:szCs w:val="28"/>
          <w:lang w:val="en-US" w:eastAsia="zh-CN"/>
        </w:rPr>
        <w:t>2</w:t>
      </w:r>
      <w:r>
        <w:rPr>
          <w:rFonts w:ascii="仿宋" w:hAnsi="仿宋" w:eastAsia="仿宋" w:cs="仿宋"/>
          <w:b/>
          <w:bCs/>
          <w:sz w:val="28"/>
          <w:szCs w:val="28"/>
          <w:lang w:eastAsia="zh-CN"/>
        </w:rPr>
        <w:t>.接受和拒绝任何或所有投标的权利</w:t>
      </w:r>
    </w:p>
    <w:p w14:paraId="38E86906">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如出现重大变故，采购任务取消情况，集中采购机构和采购人保留因此原因在授标之前任何时候接受或拒绝任何投标、以及宣布招标无效或拒绝所有投标的权利，对受影响的投标人不承担任何责任。</w:t>
      </w:r>
    </w:p>
    <w:p w14:paraId="199C8C35">
      <w:pPr>
        <w:spacing w:line="360" w:lineRule="auto"/>
        <w:rPr>
          <w:rFonts w:hint="default" w:ascii="方正小标宋_GBK" w:hAnsi="方正小标宋_GBK" w:eastAsia="方正小标宋_GBK" w:cs="方正小标宋_GBK"/>
          <w:sz w:val="28"/>
          <w:szCs w:val="28"/>
          <w:lang w:eastAsia="zh-CN"/>
        </w:rPr>
      </w:pPr>
    </w:p>
    <w:p w14:paraId="1AE3FD7C">
      <w:pPr>
        <w:keepNext/>
        <w:keepLines/>
        <w:widowControl w:val="0"/>
        <w:autoSpaceDE w:val="0"/>
        <w:autoSpaceDN w:val="0"/>
        <w:adjustRightInd w:val="0"/>
        <w:spacing w:line="360" w:lineRule="auto"/>
        <w:jc w:val="center"/>
        <w:outlineLvl w:val="1"/>
        <w:rPr>
          <w:rFonts w:hint="default" w:ascii="方正小标宋_GBK" w:hAnsi="方正小标宋_GBK" w:eastAsia="方正小标宋_GBK" w:cs="方正小标宋_GBK"/>
          <w:bCs/>
          <w:color w:val="auto"/>
          <w:kern w:val="0"/>
          <w:sz w:val="30"/>
          <w:szCs w:val="30"/>
          <w:lang w:val="en-US" w:eastAsia="zh-CN"/>
        </w:rPr>
      </w:pPr>
      <w:bookmarkStart w:id="265" w:name="_Toc420601376"/>
      <w:bookmarkStart w:id="266" w:name="_Toc272788692"/>
      <w:bookmarkStart w:id="267" w:name="_Toc285838294"/>
      <w:bookmarkStart w:id="268" w:name="_Toc1253526278"/>
      <w:bookmarkStart w:id="269" w:name="_Toc2045390548_WPSOffice_Level2"/>
      <w:bookmarkStart w:id="270" w:name="_Toc1835231440"/>
      <w:bookmarkStart w:id="271" w:name="_Toc155496134_WPSOffice_Level2"/>
      <w:bookmarkStart w:id="272" w:name="_Toc1435125006"/>
      <w:bookmarkStart w:id="273" w:name="_Toc387142253"/>
      <w:bookmarkStart w:id="274" w:name="_Toc574236286"/>
      <w:bookmarkStart w:id="275" w:name="_Toc2132928082"/>
      <w:bookmarkStart w:id="276" w:name="_Toc212998948_WPSOffice_Level2"/>
      <w:bookmarkStart w:id="277" w:name="_Toc1194929028_WPSOffice_Level2"/>
      <w:bookmarkStart w:id="278" w:name="_Toc1674499174"/>
      <w:bookmarkStart w:id="279" w:name="_Toc289293782"/>
      <w:r>
        <w:rPr>
          <w:rFonts w:ascii="方正小标宋_GBK" w:hAnsi="方正小标宋_GBK" w:eastAsia="方正小标宋_GBK" w:cs="方正小标宋_GBK"/>
          <w:bCs/>
          <w:color w:val="auto"/>
          <w:kern w:val="0"/>
          <w:sz w:val="30"/>
          <w:szCs w:val="30"/>
          <w:lang w:val="en-US" w:eastAsia="zh-CN"/>
        </w:rPr>
        <w:t>七、授予合同</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07672E16">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eastAsia="zh-CN"/>
        </w:rPr>
        <w:t>4</w:t>
      </w:r>
      <w:r>
        <w:rPr>
          <w:rFonts w:ascii="仿宋" w:hAnsi="仿宋" w:eastAsia="仿宋" w:cs="仿宋"/>
          <w:b/>
          <w:bCs/>
          <w:sz w:val="28"/>
          <w:szCs w:val="28"/>
          <w:lang w:val="en-US" w:eastAsia="zh-CN"/>
        </w:rPr>
        <w:t>3</w:t>
      </w:r>
      <w:r>
        <w:rPr>
          <w:rFonts w:ascii="仿宋" w:hAnsi="仿宋" w:eastAsia="仿宋" w:cs="仿宋"/>
          <w:b/>
          <w:bCs/>
          <w:sz w:val="28"/>
          <w:szCs w:val="28"/>
          <w:lang w:eastAsia="zh-CN"/>
        </w:rPr>
        <w:t>.合同授予标准</w:t>
      </w:r>
    </w:p>
    <w:p w14:paraId="090D89C4">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除本章第4</w:t>
      </w:r>
      <w:r>
        <w:rPr>
          <w:rFonts w:ascii="仿宋" w:hAnsi="仿宋" w:eastAsia="仿宋" w:cs="仿宋"/>
          <w:sz w:val="28"/>
          <w:szCs w:val="28"/>
          <w:lang w:val="en-US" w:eastAsia="zh-CN"/>
        </w:rPr>
        <w:t>2</w:t>
      </w:r>
      <w:r>
        <w:rPr>
          <w:rFonts w:ascii="仿宋" w:hAnsi="仿宋" w:eastAsia="仿宋" w:cs="仿宋"/>
          <w:sz w:val="28"/>
          <w:szCs w:val="28"/>
          <w:lang w:eastAsia="zh-CN"/>
        </w:rPr>
        <w:t>条、</w:t>
      </w:r>
      <w:r>
        <w:rPr>
          <w:rFonts w:ascii="仿宋" w:hAnsi="仿宋" w:eastAsia="仿宋" w:cs="仿宋"/>
          <w:sz w:val="28"/>
          <w:szCs w:val="28"/>
          <w:lang w:val="en-US" w:eastAsia="zh-CN"/>
        </w:rPr>
        <w:t>47条</w:t>
      </w:r>
      <w:r>
        <w:rPr>
          <w:rFonts w:ascii="仿宋" w:hAnsi="仿宋" w:eastAsia="仿宋" w:cs="仿宋"/>
          <w:sz w:val="28"/>
          <w:szCs w:val="28"/>
          <w:lang w:eastAsia="zh-CN"/>
        </w:rPr>
        <w:t>的规定之外，采购人将把合同授予被确定为实质上响应招标文件要求并有履行合同能力的评审后综合得分最高的投标人。</w:t>
      </w:r>
    </w:p>
    <w:p w14:paraId="7C715193">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eastAsia="zh-CN"/>
        </w:rPr>
        <w:t>4</w:t>
      </w:r>
      <w:r>
        <w:rPr>
          <w:rFonts w:ascii="仿宋" w:hAnsi="仿宋" w:eastAsia="仿宋" w:cs="仿宋"/>
          <w:b/>
          <w:bCs/>
          <w:sz w:val="28"/>
          <w:szCs w:val="28"/>
          <w:lang w:val="en-US" w:eastAsia="zh-CN"/>
        </w:rPr>
        <w:t>4</w:t>
      </w:r>
      <w:r>
        <w:rPr>
          <w:rFonts w:ascii="仿宋" w:hAnsi="仿宋" w:eastAsia="仿宋" w:cs="仿宋"/>
          <w:b/>
          <w:bCs/>
          <w:sz w:val="28"/>
          <w:szCs w:val="28"/>
          <w:lang w:eastAsia="zh-CN"/>
        </w:rPr>
        <w:t>.合同授予时追加采购服务数量的权利</w:t>
      </w:r>
    </w:p>
    <w:p w14:paraId="4CF25A50">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采购人在授予合同时有权在“投标人须知前附表”规定的范围内，对项目需求中规定的服务的量予以增加，但不得对服务内容或其它实质性的条款和条件做任何改变。</w:t>
      </w:r>
    </w:p>
    <w:p w14:paraId="3DBCAADC">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val="en-US" w:eastAsia="zh-CN"/>
        </w:rPr>
        <w:t>45.</w:t>
      </w:r>
      <w:r>
        <w:rPr>
          <w:rFonts w:ascii="仿宋" w:hAnsi="仿宋" w:eastAsia="仿宋" w:cs="仿宋"/>
          <w:b/>
          <w:bCs/>
          <w:sz w:val="28"/>
          <w:szCs w:val="28"/>
          <w:lang w:eastAsia="zh-CN"/>
        </w:rPr>
        <w:t>签订合同</w:t>
      </w:r>
    </w:p>
    <w:p w14:paraId="3C5533EC">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4</w:t>
      </w:r>
      <w:r>
        <w:rPr>
          <w:rFonts w:ascii="仿宋" w:hAnsi="仿宋" w:eastAsia="仿宋" w:cs="仿宋"/>
          <w:sz w:val="28"/>
          <w:szCs w:val="28"/>
          <w:lang w:val="en-US" w:eastAsia="zh-CN"/>
        </w:rPr>
        <w:t>5</w:t>
      </w:r>
      <w:r>
        <w:rPr>
          <w:rFonts w:ascii="仿宋" w:hAnsi="仿宋" w:eastAsia="仿宋" w:cs="仿宋"/>
          <w:sz w:val="28"/>
          <w:szCs w:val="28"/>
          <w:lang w:eastAsia="zh-CN"/>
        </w:rPr>
        <w:t>.1采购人应当自中标通知书发出之日起15日内，按照招标文件和中标人投标文件的规定，与中标人签订书面合同。所签订的合同不得对招标文件确定的事项和中标人投标文件作实质性修改。</w:t>
      </w:r>
    </w:p>
    <w:p w14:paraId="7132279A">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4</w:t>
      </w:r>
      <w:r>
        <w:rPr>
          <w:rFonts w:ascii="仿宋" w:hAnsi="仿宋" w:eastAsia="仿宋" w:cs="仿宋"/>
          <w:sz w:val="28"/>
          <w:szCs w:val="28"/>
          <w:lang w:val="en-US" w:eastAsia="zh-CN"/>
        </w:rPr>
        <w:t>5</w:t>
      </w:r>
      <w:r>
        <w:rPr>
          <w:rFonts w:ascii="仿宋" w:hAnsi="仿宋" w:eastAsia="仿宋" w:cs="仿宋"/>
          <w:sz w:val="28"/>
          <w:szCs w:val="28"/>
          <w:lang w:eastAsia="zh-CN"/>
        </w:rPr>
        <w:t>.2招标文件、中标人的投标文件和澄清文件等，均应作为签约的合同文本的基础。</w:t>
      </w:r>
    </w:p>
    <w:p w14:paraId="25D360D2">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4</w:t>
      </w:r>
      <w:r>
        <w:rPr>
          <w:rFonts w:ascii="仿宋" w:hAnsi="仿宋" w:eastAsia="仿宋" w:cs="仿宋"/>
          <w:sz w:val="28"/>
          <w:szCs w:val="28"/>
          <w:lang w:val="en-US" w:eastAsia="zh-CN"/>
        </w:rPr>
        <w:t>5</w:t>
      </w:r>
      <w:r>
        <w:rPr>
          <w:rFonts w:ascii="仿宋" w:hAnsi="仿宋" w:eastAsia="仿宋" w:cs="仿宋"/>
          <w:sz w:val="28"/>
          <w:szCs w:val="28"/>
          <w:lang w:eastAsia="zh-CN"/>
        </w:rPr>
        <w:t>.3如采购人对中标人拒签合同，依照《中华人民共和国政府采购法》《中华人民共和国政府采购法实施条例》《政府采购货物和服务招标投标管理办法》（财政部令第87号）等规定承担相应的违约责任。</w:t>
      </w:r>
    </w:p>
    <w:p w14:paraId="4107A40D">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val="en-US" w:eastAsia="zh-CN"/>
        </w:rPr>
        <w:t>46.</w:t>
      </w:r>
      <w:r>
        <w:rPr>
          <w:rFonts w:ascii="仿宋" w:hAnsi="仿宋" w:eastAsia="仿宋" w:cs="仿宋"/>
          <w:b/>
          <w:bCs/>
          <w:sz w:val="28"/>
          <w:szCs w:val="28"/>
          <w:lang w:eastAsia="zh-CN"/>
        </w:rPr>
        <w:t>履约保证金</w:t>
      </w:r>
    </w:p>
    <w:p w14:paraId="1E863D54">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中标人应按</w:t>
      </w:r>
      <w:r>
        <w:rPr>
          <w:rFonts w:ascii="仿宋" w:hAnsi="仿宋" w:eastAsia="仿宋" w:cs="仿宋"/>
          <w:sz w:val="28"/>
          <w:szCs w:val="28"/>
          <w:lang w:val="en-US" w:eastAsia="zh-CN"/>
        </w:rPr>
        <w:t>招标文件</w:t>
      </w:r>
      <w:r>
        <w:rPr>
          <w:rFonts w:ascii="仿宋" w:hAnsi="仿宋" w:eastAsia="仿宋" w:cs="仿宋"/>
          <w:sz w:val="28"/>
          <w:szCs w:val="28"/>
          <w:lang w:eastAsia="zh-CN"/>
        </w:rPr>
        <w:t>的规定向采购人提交履约保证金。采购人不得以中标人事先缴纳履约保证金作为签订合同的条件,并应在中标人履行完合同约定义务事项后及时退还。</w:t>
      </w:r>
    </w:p>
    <w:p w14:paraId="1D78F28A">
      <w:pPr>
        <w:spacing w:line="360" w:lineRule="auto"/>
        <w:rPr>
          <w:rFonts w:hint="default" w:ascii="仿宋" w:hAnsi="仿宋" w:eastAsia="仿宋" w:cs="仿宋"/>
          <w:sz w:val="28"/>
          <w:szCs w:val="28"/>
          <w:lang w:eastAsia="zh-CN"/>
        </w:rPr>
      </w:pPr>
      <w:r>
        <w:rPr>
          <w:rFonts w:ascii="仿宋" w:hAnsi="仿宋" w:eastAsia="仿宋" w:cs="仿宋"/>
          <w:b/>
          <w:bCs/>
          <w:sz w:val="28"/>
          <w:szCs w:val="28"/>
          <w:lang w:val="en-US" w:eastAsia="zh-CN"/>
        </w:rPr>
        <w:t>47.</w:t>
      </w:r>
      <w:r>
        <w:rPr>
          <w:rFonts w:ascii="仿宋" w:hAnsi="仿宋" w:eastAsia="仿宋" w:cs="仿宋"/>
          <w:sz w:val="28"/>
          <w:szCs w:val="28"/>
          <w:lang w:eastAsia="zh-CN"/>
        </w:rPr>
        <w:t>如中标人不按本章第4</w:t>
      </w:r>
      <w:r>
        <w:rPr>
          <w:rFonts w:ascii="仿宋" w:hAnsi="仿宋" w:eastAsia="仿宋" w:cs="仿宋"/>
          <w:sz w:val="28"/>
          <w:szCs w:val="28"/>
          <w:lang w:val="en-US" w:eastAsia="zh-CN"/>
        </w:rPr>
        <w:t>5</w:t>
      </w:r>
      <w:r>
        <w:rPr>
          <w:rFonts w:ascii="仿宋" w:hAnsi="仿宋" w:eastAsia="仿宋" w:cs="仿宋"/>
          <w:sz w:val="28"/>
          <w:szCs w:val="28"/>
          <w:lang w:eastAsia="zh-CN"/>
        </w:rPr>
        <w:t>条约定签订合同，依照《中华人民共和国政府采购法》《中华人民共和国政府采购法实施条例》《政府采购货物和服务招标投标管理办法》（财政部令第87号）等规定</w:t>
      </w:r>
      <w:r>
        <w:rPr>
          <w:rFonts w:ascii="仿宋" w:hAnsi="仿宋" w:eastAsia="仿宋" w:cs="仿宋"/>
          <w:sz w:val="28"/>
          <w:szCs w:val="28"/>
          <w:lang w:val="en-US" w:eastAsia="zh-CN"/>
        </w:rPr>
        <w:t>承</w:t>
      </w:r>
      <w:r>
        <w:rPr>
          <w:rFonts w:ascii="仿宋" w:hAnsi="仿宋" w:eastAsia="仿宋" w:cs="仿宋"/>
          <w:sz w:val="28"/>
          <w:szCs w:val="28"/>
          <w:lang w:eastAsia="zh-CN"/>
        </w:rPr>
        <w:t>担相应的违约责任）。采购人可在按照评审报告推荐的中标或者成交候选人名单排序，确定下一中标候选人为中标人，也可以重新开展政府采购活动。</w:t>
      </w:r>
    </w:p>
    <w:p w14:paraId="26296C18">
      <w:pPr>
        <w:keepNext/>
        <w:keepLines/>
        <w:spacing w:line="360" w:lineRule="auto"/>
        <w:rPr>
          <w:rFonts w:hint="default" w:ascii="仿宋" w:hAnsi="仿宋" w:eastAsia="仿宋" w:cs="仿宋"/>
          <w:b/>
          <w:color w:val="auto"/>
          <w:kern w:val="0"/>
          <w:sz w:val="28"/>
          <w:szCs w:val="28"/>
          <w:lang w:val="en-US" w:eastAsia="zh-CN"/>
        </w:rPr>
      </w:pPr>
      <w:r>
        <w:rPr>
          <w:rFonts w:ascii="仿宋" w:hAnsi="仿宋" w:eastAsia="仿宋" w:cs="仿宋"/>
          <w:b/>
          <w:color w:val="auto"/>
          <w:kern w:val="0"/>
          <w:sz w:val="28"/>
          <w:szCs w:val="28"/>
          <w:lang w:val="en-US" w:eastAsia="zh-CN"/>
        </w:rPr>
        <w:t>48.招标代理费</w:t>
      </w:r>
    </w:p>
    <w:p w14:paraId="740D081C">
      <w:pPr>
        <w:spacing w:line="360" w:lineRule="auto"/>
        <w:rPr>
          <w:rFonts w:hint="default" w:ascii="仿宋" w:hAnsi="仿宋" w:eastAsia="仿宋" w:cs="仿宋"/>
          <w:sz w:val="28"/>
          <w:szCs w:val="28"/>
          <w:lang w:val="en-US" w:eastAsia="zh-CN"/>
        </w:rPr>
      </w:pPr>
      <w:r>
        <w:rPr>
          <w:rFonts w:ascii="仿宋" w:hAnsi="仿宋" w:eastAsia="仿宋" w:cs="仿宋"/>
          <w:sz w:val="28"/>
          <w:szCs w:val="28"/>
          <w:lang w:val="en-US" w:eastAsia="zh-CN"/>
        </w:rPr>
        <w:t>本项目是否由中标人向</w:t>
      </w:r>
      <w:r>
        <w:rPr>
          <w:rFonts w:ascii="仿宋" w:hAnsi="仿宋" w:eastAsia="仿宋" w:cs="仿宋"/>
          <w:sz w:val="28"/>
          <w:szCs w:val="28"/>
          <w:lang w:eastAsia="zh-CN"/>
        </w:rPr>
        <w:t>集中采购机构</w:t>
      </w:r>
      <w:r>
        <w:rPr>
          <w:rFonts w:ascii="仿宋" w:hAnsi="仿宋" w:eastAsia="仿宋" w:cs="仿宋"/>
          <w:sz w:val="28"/>
          <w:szCs w:val="28"/>
          <w:lang w:val="en-US" w:eastAsia="zh-CN"/>
        </w:rPr>
        <w:t>支付招标代理费，按照投标人须知前附表规定执行。</w:t>
      </w:r>
    </w:p>
    <w:p w14:paraId="3F76E035">
      <w:pPr>
        <w:keepNext/>
        <w:keepLines/>
        <w:spacing w:line="360" w:lineRule="auto"/>
        <w:rPr>
          <w:rFonts w:hint="default" w:ascii="仿宋" w:hAnsi="仿宋" w:eastAsia="仿宋" w:cs="仿宋"/>
          <w:b/>
          <w:color w:val="auto"/>
          <w:kern w:val="0"/>
          <w:sz w:val="28"/>
          <w:szCs w:val="28"/>
          <w:lang w:val="en-US" w:eastAsia="zh-CN"/>
        </w:rPr>
      </w:pPr>
      <w:r>
        <w:rPr>
          <w:rFonts w:ascii="仿宋" w:hAnsi="仿宋" w:eastAsia="仿宋" w:cs="仿宋"/>
          <w:b/>
          <w:color w:val="auto"/>
          <w:kern w:val="0"/>
          <w:sz w:val="28"/>
          <w:szCs w:val="28"/>
          <w:lang w:val="en-US" w:eastAsia="zh-CN"/>
        </w:rPr>
        <w:t>49.质疑的提出与接收</w:t>
      </w:r>
    </w:p>
    <w:p w14:paraId="37E5ED70">
      <w:pPr>
        <w:spacing w:line="360" w:lineRule="auto"/>
        <w:rPr>
          <w:rFonts w:hint="default" w:ascii="仿宋" w:hAnsi="仿宋" w:eastAsia="仿宋" w:cs="仿宋"/>
          <w:sz w:val="28"/>
          <w:szCs w:val="28"/>
          <w:lang w:val="en-US" w:eastAsia="zh-CN"/>
        </w:rPr>
      </w:pPr>
      <w:r>
        <w:rPr>
          <w:rFonts w:ascii="仿宋" w:hAnsi="仿宋" w:eastAsia="仿宋" w:cs="仿宋"/>
          <w:sz w:val="28"/>
          <w:szCs w:val="28"/>
          <w:lang w:val="en-US" w:eastAsia="zh-CN"/>
        </w:rPr>
        <w:t>49.1投标人认为招标文件、招标过程和中标结果使自己的权益受到损害的，可以根据《中华人民共和国政府采购法》《中华人民共和国政府采购法实施条例》《政府采购质疑和投诉办法》的有关规定，依法向采购人或其委托的</w:t>
      </w:r>
      <w:r>
        <w:rPr>
          <w:rFonts w:ascii="仿宋" w:hAnsi="仿宋" w:eastAsia="仿宋" w:cs="仿宋"/>
          <w:sz w:val="28"/>
          <w:szCs w:val="28"/>
          <w:lang w:eastAsia="zh-CN"/>
        </w:rPr>
        <w:t>集中采购机构</w:t>
      </w:r>
      <w:r>
        <w:rPr>
          <w:rFonts w:ascii="仿宋" w:hAnsi="仿宋" w:eastAsia="仿宋" w:cs="仿宋"/>
          <w:sz w:val="28"/>
          <w:szCs w:val="28"/>
          <w:lang w:val="en-US" w:eastAsia="zh-CN"/>
        </w:rPr>
        <w:t>提出书面质疑。</w:t>
      </w:r>
    </w:p>
    <w:p w14:paraId="2B955C09">
      <w:pPr>
        <w:spacing w:line="360" w:lineRule="auto"/>
        <w:rPr>
          <w:rFonts w:hint="default" w:ascii="仿宋" w:hAnsi="仿宋" w:eastAsia="仿宋" w:cs="仿宋"/>
          <w:sz w:val="28"/>
          <w:szCs w:val="28"/>
          <w:lang w:val="en-US" w:eastAsia="zh-CN"/>
        </w:rPr>
      </w:pPr>
      <w:r>
        <w:rPr>
          <w:rFonts w:ascii="仿宋" w:hAnsi="仿宋" w:eastAsia="仿宋" w:cs="仿宋"/>
          <w:sz w:val="28"/>
          <w:szCs w:val="28"/>
          <w:lang w:val="en-US" w:eastAsia="zh-CN"/>
        </w:rPr>
        <w:t>49.2质疑投标人应按照《政府采购质疑和投诉办法》的要求，在法定质疑期内以书面形式提出质疑，针对同一采购程序环节的质疑次数应符合投标人须知前附表的规定。</w:t>
      </w:r>
    </w:p>
    <w:p w14:paraId="65072823">
      <w:pPr>
        <w:spacing w:line="500" w:lineRule="exact"/>
        <w:rPr>
          <w:rFonts w:hint="default" w:ascii="仿宋" w:hAnsi="仿宋" w:eastAsia="仿宋" w:cs="仿宋"/>
          <w:sz w:val="28"/>
          <w:szCs w:val="28"/>
          <w:lang w:val="en-US" w:eastAsia="zh-CN"/>
        </w:rPr>
      </w:pPr>
      <w:r>
        <w:rPr>
          <w:rFonts w:ascii="仿宋" w:hAnsi="仿宋" w:eastAsia="仿宋" w:cs="仿宋"/>
          <w:sz w:val="28"/>
          <w:szCs w:val="28"/>
          <w:lang w:val="en-US" w:eastAsia="zh-CN"/>
        </w:rPr>
        <w:t>49.3  质疑供应商对采购人、采购代理机构的答复不满意，或者采购人、采购代理机构未在规定时间内作出答复的，可以在答复期满后15个工作日内向省级财政部门提起投诉。投诉人投诉时，请按照《政府采购质疑和投诉办法》（财政部第94号令）的要求提交相关内容及材料。</w:t>
      </w:r>
    </w:p>
    <w:p w14:paraId="4FDB9C81">
      <w:pPr>
        <w:pStyle w:val="12"/>
        <w:ind w:left="0" w:leftChars="0"/>
        <w:rPr>
          <w:rFonts w:hint="default" w:ascii="仿宋" w:hAnsi="仿宋" w:eastAsia="仿宋" w:cs="仿宋"/>
          <w:lang w:val="en-US" w:eastAsia="zh-CN"/>
        </w:rPr>
      </w:pPr>
    </w:p>
    <w:p w14:paraId="6684F697">
      <w:pPr>
        <w:spacing w:line="360" w:lineRule="auto"/>
        <w:rPr>
          <w:rFonts w:hint="default" w:ascii="仿宋" w:hAnsi="仿宋" w:eastAsia="仿宋" w:cs="仿宋"/>
          <w:sz w:val="28"/>
          <w:szCs w:val="28"/>
          <w:lang w:eastAsia="zh-CN"/>
        </w:rPr>
      </w:pPr>
    </w:p>
    <w:p w14:paraId="09F11926">
      <w:pPr>
        <w:keepNext/>
        <w:keepLines/>
        <w:widowControl w:val="0"/>
        <w:autoSpaceDE w:val="0"/>
        <w:autoSpaceDN w:val="0"/>
        <w:adjustRightInd w:val="0"/>
        <w:spacing w:line="360" w:lineRule="auto"/>
        <w:jc w:val="center"/>
        <w:outlineLvl w:val="1"/>
        <w:rPr>
          <w:rFonts w:hint="default" w:ascii="方正小标宋_GBK" w:hAnsi="方正小标宋_GBK" w:eastAsia="方正小标宋_GBK" w:cs="方正小标宋_GBK"/>
          <w:bCs/>
          <w:color w:val="auto"/>
          <w:kern w:val="0"/>
          <w:sz w:val="30"/>
          <w:szCs w:val="30"/>
          <w:lang w:val="en-US" w:eastAsia="zh-CN"/>
        </w:rPr>
      </w:pPr>
      <w:bookmarkStart w:id="280" w:name="_Toc449097168_WPSOffice_Level2"/>
      <w:bookmarkStart w:id="281" w:name="_Toc1108985532"/>
      <w:bookmarkStart w:id="282" w:name="_Toc2106161628_WPSOffice_Level2"/>
      <w:bookmarkStart w:id="283" w:name="_Toc2050602757_WPSOffice_Level2"/>
      <w:bookmarkStart w:id="284" w:name="_Toc2042622906"/>
      <w:bookmarkStart w:id="285" w:name="_Toc65811364"/>
      <w:bookmarkStart w:id="286" w:name="_Toc512476358"/>
      <w:bookmarkStart w:id="287" w:name="_Toc1014127690"/>
      <w:bookmarkStart w:id="288" w:name="_Toc1615377744"/>
      <w:bookmarkStart w:id="289" w:name="_Toc1226187921"/>
      <w:bookmarkStart w:id="290" w:name="_Toc1719815385"/>
      <w:bookmarkStart w:id="291" w:name="_Toc691566780"/>
      <w:bookmarkStart w:id="292" w:name="_Toc1786314322"/>
      <w:bookmarkStart w:id="293" w:name="_Toc1766978063_WPSOffice_Level2"/>
      <w:bookmarkStart w:id="294" w:name="_Toc1294126331"/>
      <w:r>
        <w:rPr>
          <w:rFonts w:ascii="方正小标宋_GBK" w:hAnsi="方正小标宋_GBK" w:eastAsia="方正小标宋_GBK" w:cs="方正小标宋_GBK"/>
          <w:bCs/>
          <w:color w:val="auto"/>
          <w:kern w:val="0"/>
          <w:sz w:val="30"/>
          <w:szCs w:val="30"/>
          <w:lang w:val="en-US" w:eastAsia="zh-CN"/>
        </w:rPr>
        <w:t>八、需要补充的其他内容</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777E80B4">
      <w:pPr>
        <w:spacing w:line="360" w:lineRule="auto"/>
        <w:rPr>
          <w:rFonts w:ascii="仿宋" w:hAnsi="仿宋" w:eastAsia="仿宋" w:cs="仿宋"/>
          <w:sz w:val="28"/>
          <w:szCs w:val="28"/>
          <w:lang w:eastAsia="zh-CN"/>
        </w:rPr>
      </w:pPr>
      <w:r>
        <w:rPr>
          <w:rFonts w:ascii="仿宋" w:hAnsi="仿宋" w:eastAsia="仿宋" w:cs="仿宋"/>
          <w:b/>
          <w:bCs/>
          <w:sz w:val="28"/>
          <w:szCs w:val="28"/>
          <w:lang w:val="en-US" w:eastAsia="zh-CN"/>
        </w:rPr>
        <w:t>50</w:t>
      </w:r>
      <w:r>
        <w:rPr>
          <w:rFonts w:ascii="仿宋" w:hAnsi="仿宋" w:eastAsia="仿宋" w:cs="仿宋"/>
          <w:b/>
          <w:bCs/>
          <w:sz w:val="28"/>
          <w:szCs w:val="28"/>
          <w:lang w:eastAsia="zh-CN"/>
        </w:rPr>
        <w:t>.</w:t>
      </w:r>
      <w:r>
        <w:rPr>
          <w:rFonts w:ascii="仿宋" w:hAnsi="仿宋" w:eastAsia="仿宋" w:cs="仿宋"/>
          <w:sz w:val="28"/>
          <w:szCs w:val="28"/>
          <w:lang w:eastAsia="zh-CN"/>
        </w:rPr>
        <w:t>需要补充的其他内容：见“投标人须知前附表”。</w:t>
      </w:r>
    </w:p>
    <w:p w14:paraId="1D80CD61">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lang w:val="en-US" w:eastAsia="zh-CN"/>
        </w:rPr>
        <w:t>51.</w:t>
      </w:r>
      <w:r>
        <w:rPr>
          <w:rFonts w:hint="default" w:ascii="Times New Roman" w:hAnsi="Times New Roman" w:eastAsia="仿宋_GB2312" w:cs="Times New Roman"/>
          <w:sz w:val="28"/>
          <w:szCs w:val="28"/>
          <w:lang w:eastAsia="zh-CN"/>
        </w:rPr>
        <w:t>本文件中的“以上”、“以下”、“以内”、“届满”，包括本数；所称的“不满”“不足”、“超过”、“以外”，不包括本数。</w:t>
      </w:r>
    </w:p>
    <w:p w14:paraId="0C2AA75F">
      <w:pPr>
        <w:spacing w:line="360" w:lineRule="auto"/>
        <w:rPr>
          <w:rFonts w:hint="default" w:ascii="仿宋" w:hAnsi="仿宋" w:eastAsia="仿宋" w:cs="仿宋"/>
          <w:sz w:val="28"/>
          <w:szCs w:val="28"/>
          <w:lang w:eastAsia="zh-CN"/>
        </w:rPr>
      </w:pPr>
    </w:p>
    <w:p w14:paraId="7327784B">
      <w:pPr>
        <w:pStyle w:val="2"/>
        <w:jc w:val="center"/>
        <w:rPr>
          <w:rFonts w:ascii="仿宋" w:hAnsi="仿宋" w:eastAsia="仿宋" w:cs="仿宋"/>
          <w:color w:val="auto"/>
          <w:sz w:val="72"/>
          <w:szCs w:val="72"/>
          <w:lang w:val="en-US" w:eastAsia="zh-CN"/>
        </w:rPr>
      </w:pPr>
      <w:r>
        <w:rPr>
          <w:rFonts w:hint="eastAsia" w:ascii="仿宋" w:hAnsi="仿宋" w:eastAsia="仿宋" w:cs="仿宋"/>
          <w:lang w:eastAsia="zh-CN"/>
        </w:rPr>
        <w:br w:type="page"/>
      </w:r>
      <w:bookmarkEnd w:id="148"/>
      <w:bookmarkEnd w:id="149"/>
      <w:bookmarkEnd w:id="150"/>
      <w:bookmarkStart w:id="295" w:name="_Toc1034668100"/>
      <w:bookmarkStart w:id="296" w:name="_Toc1266214712"/>
      <w:bookmarkStart w:id="297" w:name="_Toc21022630"/>
      <w:bookmarkStart w:id="298" w:name="_Toc839610870"/>
      <w:bookmarkStart w:id="299" w:name="_Toc237350522_WPSOffice_Level1"/>
      <w:bookmarkStart w:id="300" w:name="_Toc63558279_WPSOffice_Level1"/>
      <w:bookmarkStart w:id="301" w:name="_Toc1839196008_WPSOffice_Level1"/>
      <w:bookmarkStart w:id="302" w:name="_Toc1589952972_WPSOffice_Level1"/>
      <w:bookmarkStart w:id="303" w:name="_Toc308141697"/>
      <w:bookmarkStart w:id="304" w:name="_Toc1644299675"/>
      <w:bookmarkStart w:id="305" w:name="_Toc1340807913"/>
      <w:bookmarkStart w:id="306" w:name="_Toc152586293"/>
      <w:bookmarkStart w:id="307" w:name="_Toc2024009066"/>
      <w:bookmarkStart w:id="308" w:name="_Toc140667688"/>
      <w:bookmarkStart w:id="309" w:name="_Toc476316221"/>
      <w:bookmarkStart w:id="310" w:name="_Toc300363790"/>
      <w:bookmarkStart w:id="311" w:name="_Toc981831182"/>
      <w:bookmarkStart w:id="312" w:name="_Toc335147862_WPSOffice_Level1"/>
      <w:bookmarkStart w:id="313" w:name="_Toc904602471"/>
      <w:bookmarkStart w:id="314" w:name="_Toc764191523_WPSOffice_Level1"/>
      <w:bookmarkStart w:id="315" w:name="_Toc1415346380_WPSOffice_Level1"/>
      <w:bookmarkStart w:id="316" w:name="_Toc310774132_WPSOffice_Level1"/>
      <w:bookmarkStart w:id="317" w:name="_Toc2100027940"/>
      <w:r>
        <w:rPr>
          <w:rFonts w:hint="eastAsia" w:ascii="仿宋" w:hAnsi="仿宋" w:eastAsia="仿宋" w:cs="仿宋"/>
          <w:color w:val="auto"/>
          <w:sz w:val="36"/>
          <w:szCs w:val="36"/>
          <w:lang w:val="en-US" w:eastAsia="zh-CN"/>
        </w:rPr>
        <w:t xml:space="preserve">第四章 </w:t>
      </w:r>
      <w:r>
        <w:rPr>
          <w:rFonts w:hint="eastAsia" w:ascii="仿宋" w:hAnsi="仿宋" w:eastAsia="仿宋" w:cs="仿宋"/>
          <w:color w:val="auto"/>
          <w:sz w:val="36"/>
          <w:szCs w:val="36"/>
          <w:lang w:eastAsia="zh-CN"/>
        </w:rPr>
        <w:t>资格证明文件格式</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54518931">
      <w:pPr>
        <w:tabs>
          <w:tab w:val="left" w:pos="1950"/>
        </w:tabs>
        <w:jc w:val="center"/>
        <w:rPr>
          <w:rFonts w:hint="default" w:ascii="宋体" w:hAnsi="宋体" w:eastAsia="宋体" w:cs="宋体"/>
          <w:b/>
          <w:bCs/>
          <w:color w:val="auto"/>
          <w:sz w:val="52"/>
          <w:szCs w:val="52"/>
          <w:lang w:val="en" w:eastAsia="zh-CN"/>
        </w:rPr>
      </w:pPr>
      <w:r>
        <w:rPr>
          <w:rFonts w:hint="eastAsia" w:ascii="宋体" w:hAnsi="宋体" w:eastAsia="宋体" w:cs="宋体"/>
          <w:b/>
          <w:bCs/>
          <w:color w:val="auto"/>
          <w:sz w:val="52"/>
          <w:szCs w:val="52"/>
          <w:lang w:val="en" w:eastAsia="zh-CN"/>
        </w:rPr>
        <w:t>河南应用技术职业学院三校区2025-2027年物业服务项目</w:t>
      </w:r>
    </w:p>
    <w:p w14:paraId="6A8D6C62">
      <w:pPr>
        <w:tabs>
          <w:tab w:val="left" w:pos="1950"/>
        </w:tabs>
        <w:jc w:val="center"/>
        <w:rPr>
          <w:rFonts w:hint="default" w:ascii="宋体" w:hAnsi="宋体" w:eastAsia="宋体" w:cs="宋体"/>
          <w:b/>
          <w:bCs/>
          <w:color w:val="auto"/>
          <w:sz w:val="52"/>
          <w:szCs w:val="52"/>
          <w:u w:val="single"/>
          <w:lang w:val="en-US" w:eastAsia="zh-CN"/>
        </w:rPr>
      </w:pPr>
      <w:r>
        <w:rPr>
          <w:rFonts w:ascii="宋体" w:hAnsi="宋体" w:eastAsia="宋体" w:cs="宋体"/>
          <w:b/>
          <w:bCs/>
          <w:color w:val="auto"/>
          <w:sz w:val="52"/>
          <w:szCs w:val="52"/>
          <w:lang w:val="en" w:eastAsia="zh-CN"/>
        </w:rPr>
        <w:t>（</w:t>
      </w:r>
      <w:r>
        <w:rPr>
          <w:rFonts w:hint="eastAsia" w:ascii="宋体" w:hAnsi="宋体" w:eastAsia="宋体" w:cs="宋体"/>
          <w:b/>
          <w:bCs/>
          <w:color w:val="auto"/>
          <w:sz w:val="52"/>
          <w:szCs w:val="52"/>
          <w:lang w:val="en" w:eastAsia="zh-CN"/>
        </w:rPr>
        <w:t>包号:</w:t>
      </w:r>
      <w:r>
        <w:rPr>
          <w:rFonts w:ascii="宋体" w:hAnsi="宋体" w:eastAsia="宋体" w:cs="宋体"/>
          <w:b/>
          <w:bCs/>
          <w:color w:val="auto"/>
          <w:sz w:val="52"/>
          <w:szCs w:val="52"/>
          <w:u w:val="single"/>
          <w:lang w:val="en-US" w:eastAsia="zh-CN"/>
        </w:rPr>
        <w:t xml:space="preserve">   </w:t>
      </w:r>
      <w:r>
        <w:rPr>
          <w:rFonts w:ascii="宋体" w:hAnsi="宋体" w:eastAsia="宋体" w:cs="宋体"/>
          <w:b/>
          <w:bCs/>
          <w:color w:val="auto"/>
          <w:sz w:val="52"/>
          <w:szCs w:val="52"/>
          <w:lang w:val="en" w:eastAsia="zh-CN"/>
        </w:rPr>
        <w:t>）</w:t>
      </w:r>
    </w:p>
    <w:p w14:paraId="1DF83A96">
      <w:pPr>
        <w:tabs>
          <w:tab w:val="left" w:pos="1950"/>
        </w:tabs>
        <w:jc w:val="center"/>
        <w:rPr>
          <w:rFonts w:hint="default" w:ascii="宋体" w:hAnsi="宋体" w:eastAsia="宋体" w:cs="宋体"/>
          <w:b/>
          <w:bCs/>
          <w:color w:val="auto"/>
          <w:sz w:val="52"/>
          <w:szCs w:val="52"/>
          <w:lang w:val="en-US" w:eastAsia="zh-CN"/>
        </w:rPr>
      </w:pPr>
    </w:p>
    <w:p w14:paraId="2CEBDB4D">
      <w:pPr>
        <w:tabs>
          <w:tab w:val="left" w:pos="1950"/>
        </w:tabs>
        <w:jc w:val="left"/>
        <w:rPr>
          <w:rFonts w:hint="default" w:ascii="宋体" w:hAnsi="宋体" w:eastAsia="宋体" w:cs="宋体"/>
          <w:b/>
          <w:bCs/>
          <w:color w:val="auto"/>
          <w:lang w:val="en-US" w:eastAsia="zh-CN"/>
        </w:rPr>
      </w:pPr>
    </w:p>
    <w:p w14:paraId="2C7A7B4A">
      <w:pPr>
        <w:tabs>
          <w:tab w:val="left" w:pos="1950"/>
        </w:tabs>
        <w:jc w:val="left"/>
        <w:rPr>
          <w:rFonts w:hint="default" w:ascii="宋体" w:hAnsi="宋体" w:eastAsia="宋体" w:cs="宋体"/>
          <w:b/>
          <w:bCs/>
          <w:color w:val="auto"/>
          <w:lang w:val="en-US" w:eastAsia="zh-CN"/>
        </w:rPr>
      </w:pPr>
    </w:p>
    <w:p w14:paraId="22E089AD">
      <w:pPr>
        <w:tabs>
          <w:tab w:val="left" w:pos="1950"/>
        </w:tabs>
        <w:jc w:val="left"/>
        <w:rPr>
          <w:rFonts w:hint="default" w:ascii="宋体" w:hAnsi="宋体" w:eastAsia="宋体" w:cs="宋体"/>
          <w:b/>
          <w:bCs/>
          <w:color w:val="auto"/>
          <w:lang w:val="en-US" w:eastAsia="zh-CN"/>
        </w:rPr>
      </w:pPr>
    </w:p>
    <w:p w14:paraId="2A2704E4">
      <w:pPr>
        <w:tabs>
          <w:tab w:val="left" w:pos="1950"/>
        </w:tabs>
        <w:jc w:val="left"/>
        <w:rPr>
          <w:rFonts w:hint="default" w:ascii="宋体" w:hAnsi="宋体" w:eastAsia="宋体" w:cs="宋体"/>
          <w:b/>
          <w:bCs/>
          <w:color w:val="auto"/>
          <w:lang w:val="en-US" w:eastAsia="zh-CN"/>
        </w:rPr>
      </w:pPr>
    </w:p>
    <w:p w14:paraId="5039B521">
      <w:pPr>
        <w:tabs>
          <w:tab w:val="left" w:pos="1950"/>
        </w:tabs>
        <w:jc w:val="left"/>
        <w:rPr>
          <w:rFonts w:hint="default" w:ascii="宋体" w:hAnsi="宋体" w:eastAsia="宋体" w:cs="宋体"/>
          <w:b/>
          <w:bCs/>
          <w:color w:val="auto"/>
          <w:lang w:val="en-US" w:eastAsia="zh-CN"/>
        </w:rPr>
      </w:pPr>
    </w:p>
    <w:p w14:paraId="10AC8EF8">
      <w:pPr>
        <w:tabs>
          <w:tab w:val="left" w:pos="1950"/>
        </w:tabs>
        <w:jc w:val="left"/>
        <w:rPr>
          <w:rFonts w:hint="default" w:ascii="宋体" w:hAnsi="宋体" w:eastAsia="宋体" w:cs="宋体"/>
          <w:b/>
          <w:bCs/>
          <w:color w:val="auto"/>
          <w:lang w:val="en-US" w:eastAsia="zh-CN"/>
        </w:rPr>
      </w:pPr>
    </w:p>
    <w:p w14:paraId="710A7674">
      <w:pPr>
        <w:jc w:val="center"/>
        <w:rPr>
          <w:rFonts w:hint="default" w:ascii="宋体" w:hAnsi="宋体" w:eastAsia="宋体" w:cs="宋体"/>
          <w:b/>
          <w:bCs/>
          <w:color w:val="auto"/>
          <w:sz w:val="96"/>
          <w:szCs w:val="96"/>
          <w:lang w:eastAsia="zh-CN"/>
        </w:rPr>
      </w:pPr>
      <w:bookmarkStart w:id="318" w:name="_Toc338411508_WPSOffice_Level3"/>
      <w:r>
        <w:rPr>
          <w:rFonts w:ascii="宋体" w:hAnsi="宋体" w:eastAsia="宋体" w:cs="宋体"/>
          <w:b/>
          <w:color w:val="auto"/>
          <w:sz w:val="96"/>
          <w:szCs w:val="96"/>
          <w:lang w:eastAsia="zh-CN"/>
        </w:rPr>
        <w:t>资格证明文件</w:t>
      </w:r>
      <w:bookmarkEnd w:id="318"/>
    </w:p>
    <w:p w14:paraId="6FBE470C">
      <w:pPr>
        <w:widowControl w:val="0"/>
        <w:tabs>
          <w:tab w:val="left" w:pos="1950"/>
        </w:tabs>
        <w:jc w:val="center"/>
        <w:rPr>
          <w:rFonts w:hint="default" w:ascii="宋体" w:hAnsi="宋体" w:eastAsia="宋体" w:cs="宋体"/>
          <w:b/>
          <w:color w:val="auto"/>
          <w:sz w:val="36"/>
          <w:szCs w:val="36"/>
          <w:lang w:eastAsia="zh-CN"/>
        </w:rPr>
      </w:pPr>
    </w:p>
    <w:p w14:paraId="33C7AA2D">
      <w:pPr>
        <w:widowControl w:val="0"/>
        <w:tabs>
          <w:tab w:val="left" w:pos="1950"/>
        </w:tabs>
        <w:jc w:val="center"/>
        <w:rPr>
          <w:rFonts w:hint="default" w:ascii="宋体" w:hAnsi="宋体" w:eastAsia="宋体" w:cs="宋体"/>
          <w:b/>
          <w:color w:val="auto"/>
          <w:sz w:val="36"/>
          <w:szCs w:val="36"/>
          <w:lang w:val="en" w:eastAsia="zh-CN"/>
        </w:rPr>
      </w:pPr>
      <w:r>
        <w:rPr>
          <w:rFonts w:ascii="宋体" w:hAnsi="宋体" w:eastAsia="宋体" w:cs="宋体"/>
          <w:b/>
          <w:color w:val="auto"/>
          <w:sz w:val="36"/>
          <w:szCs w:val="36"/>
          <w:lang w:eastAsia="zh-CN"/>
        </w:rPr>
        <w:t>采购编号：</w:t>
      </w:r>
      <w:r>
        <w:rPr>
          <w:rFonts w:hint="eastAsia" w:ascii="宋体" w:hAnsi="宋体" w:eastAsia="宋体" w:cs="宋体"/>
          <w:b/>
          <w:color w:val="auto"/>
          <w:sz w:val="36"/>
          <w:szCs w:val="36"/>
          <w:lang w:val="en" w:eastAsia="zh-CN"/>
        </w:rPr>
        <w:t>豫财招标采购-2025-1091</w:t>
      </w:r>
      <w:r>
        <w:rPr>
          <w:rFonts w:hint="default" w:ascii="宋体" w:hAnsi="宋体" w:eastAsia="宋体" w:cs="宋体"/>
          <w:b/>
          <w:color w:val="auto"/>
          <w:sz w:val="36"/>
          <w:szCs w:val="36"/>
          <w:lang w:val="en" w:eastAsia="zh-CN"/>
        </w:rPr>
        <w:t xml:space="preserve"> </w:t>
      </w:r>
    </w:p>
    <w:p w14:paraId="0FE5A7F2">
      <w:pPr>
        <w:widowControl w:val="0"/>
        <w:spacing w:line="360" w:lineRule="auto"/>
        <w:ind w:left="1080" w:leftChars="257" w:hanging="540"/>
        <w:rPr>
          <w:rFonts w:hint="default" w:ascii="宋体" w:hAnsi="宋体" w:eastAsia="宋体" w:cs="宋体"/>
          <w:b/>
          <w:color w:val="auto"/>
          <w:sz w:val="28"/>
          <w:szCs w:val="24"/>
          <w:lang w:val="en-US" w:eastAsia="zh-CN"/>
        </w:rPr>
      </w:pPr>
    </w:p>
    <w:p w14:paraId="5F290385">
      <w:pPr>
        <w:widowControl w:val="0"/>
        <w:spacing w:line="360" w:lineRule="auto"/>
        <w:ind w:left="1080" w:leftChars="257" w:hanging="540"/>
        <w:rPr>
          <w:rFonts w:hint="default" w:ascii="宋体" w:hAnsi="宋体" w:eastAsia="宋体" w:cs="宋体"/>
          <w:b/>
          <w:color w:val="auto"/>
          <w:sz w:val="28"/>
          <w:szCs w:val="24"/>
          <w:lang w:val="en-US" w:eastAsia="zh-CN"/>
        </w:rPr>
      </w:pPr>
    </w:p>
    <w:p w14:paraId="456BE0AE">
      <w:pPr>
        <w:widowControl w:val="0"/>
        <w:spacing w:line="360" w:lineRule="auto"/>
        <w:rPr>
          <w:rFonts w:hint="default" w:ascii="宋体" w:hAnsi="宋体" w:eastAsia="宋体" w:cs="宋体"/>
          <w:b/>
          <w:color w:val="auto"/>
          <w:sz w:val="52"/>
          <w:szCs w:val="24"/>
          <w:lang w:val="en-US" w:eastAsia="zh-CN"/>
        </w:rPr>
      </w:pPr>
    </w:p>
    <w:p w14:paraId="6F8E08AE">
      <w:pPr>
        <w:widowControl w:val="0"/>
        <w:autoSpaceDE w:val="0"/>
        <w:autoSpaceDN w:val="0"/>
        <w:adjustRightInd w:val="0"/>
        <w:ind w:firstLine="1446" w:firstLineChars="400"/>
        <w:rPr>
          <w:rFonts w:hint="default" w:ascii="宋体" w:hAnsi="宋体" w:eastAsia="宋体" w:cs="宋体"/>
          <w:b/>
          <w:color w:val="auto"/>
          <w:sz w:val="36"/>
          <w:szCs w:val="36"/>
          <w:lang w:val="en-US" w:eastAsia="zh-CN"/>
        </w:rPr>
      </w:pPr>
      <w:r>
        <w:rPr>
          <w:rFonts w:ascii="宋体" w:hAnsi="宋体" w:eastAsia="宋体" w:cs="宋体"/>
          <w:b/>
          <w:color w:val="auto"/>
          <w:sz w:val="36"/>
          <w:szCs w:val="36"/>
          <w:lang w:val="en-US" w:eastAsia="zh-CN"/>
        </w:rPr>
        <w:t>投标人（企业电子签章）：</w:t>
      </w:r>
    </w:p>
    <w:p w14:paraId="31DDC605">
      <w:pPr>
        <w:pStyle w:val="166"/>
        <w:ind w:firstLine="0"/>
        <w:rPr>
          <w:rFonts w:hint="default" w:ascii="宋体" w:hAnsi="宋体" w:eastAsia="宋体" w:cs="宋体"/>
          <w:color w:val="auto"/>
          <w:sz w:val="36"/>
          <w:szCs w:val="36"/>
          <w:lang w:val="en-US" w:eastAsia="zh-CN"/>
        </w:rPr>
      </w:pPr>
    </w:p>
    <w:p w14:paraId="4359F6BE">
      <w:pPr>
        <w:pStyle w:val="166"/>
        <w:ind w:firstLine="0"/>
        <w:rPr>
          <w:rFonts w:hint="default" w:ascii="宋体" w:hAnsi="宋体" w:eastAsia="宋体" w:cs="宋体"/>
          <w:color w:val="auto"/>
          <w:lang w:eastAsia="zh-CN"/>
        </w:rPr>
      </w:pPr>
    </w:p>
    <w:p w14:paraId="3622F2C3">
      <w:pPr>
        <w:tabs>
          <w:tab w:val="left" w:pos="5580"/>
        </w:tabs>
        <w:spacing w:line="360" w:lineRule="auto"/>
        <w:ind w:firstLine="480"/>
        <w:rPr>
          <w:rFonts w:hint="default" w:ascii="宋体" w:hAnsi="宋体" w:eastAsia="宋体" w:cs="宋体"/>
          <w:color w:val="auto"/>
          <w:sz w:val="28"/>
          <w:szCs w:val="28"/>
          <w:lang w:val="en-US" w:eastAsia="zh-CN"/>
        </w:rPr>
      </w:pPr>
      <w:bookmarkStart w:id="319" w:name="_Toc32436634_WPSOffice_Level3"/>
      <w:bookmarkStart w:id="320" w:name="_Toc1004915804_WPSOffice_Level3"/>
    </w:p>
    <w:p w14:paraId="6C1DA25D">
      <w:pPr>
        <w:jc w:val="center"/>
        <w:rPr>
          <w:rFonts w:hint="default" w:ascii="宋体" w:hAnsi="宋体" w:eastAsia="宋体" w:cs="宋体"/>
          <w:b/>
          <w:bCs/>
          <w:sz w:val="36"/>
          <w:szCs w:val="36"/>
          <w:lang w:val="en-US" w:eastAsia="zh-CN"/>
        </w:rPr>
      </w:pPr>
      <w:r>
        <w:rPr>
          <w:rFonts w:ascii="宋体" w:hAnsi="宋体" w:eastAsia="宋体" w:cs="宋体"/>
          <w:b/>
          <w:bCs/>
          <w:sz w:val="36"/>
          <w:szCs w:val="36"/>
          <w:lang w:val="en-US" w:eastAsia="zh-CN"/>
        </w:rPr>
        <w:br w:type="page"/>
      </w:r>
      <w:r>
        <w:rPr>
          <w:rFonts w:ascii="宋体" w:hAnsi="宋体" w:eastAsia="宋体" w:cs="宋体"/>
          <w:b/>
          <w:bCs/>
          <w:sz w:val="36"/>
          <w:szCs w:val="36"/>
          <w:lang w:val="en-US" w:eastAsia="zh-CN"/>
        </w:rPr>
        <w:t>目 录</w:t>
      </w:r>
    </w:p>
    <w:p w14:paraId="73A09864">
      <w:pPr>
        <w:tabs>
          <w:tab w:val="left" w:pos="5580"/>
        </w:tabs>
        <w:spacing w:line="360" w:lineRule="auto"/>
        <w:ind w:firstLine="480"/>
        <w:rPr>
          <w:rFonts w:hint="default" w:ascii="宋体" w:hAnsi="宋体" w:eastAsia="宋体" w:cs="宋体"/>
          <w:color w:val="auto"/>
          <w:sz w:val="28"/>
          <w:szCs w:val="28"/>
          <w:lang w:val="en-US" w:eastAsia="zh-CN"/>
        </w:rPr>
      </w:pPr>
    </w:p>
    <w:bookmarkEnd w:id="319"/>
    <w:bookmarkEnd w:id="320"/>
    <w:p w14:paraId="57C84B1E">
      <w:pPr>
        <w:tabs>
          <w:tab w:val="left" w:pos="5580"/>
        </w:tabs>
        <w:spacing w:line="360" w:lineRule="auto"/>
        <w:ind w:firstLine="480"/>
        <w:rPr>
          <w:rFonts w:hint="default" w:ascii="Times New Roman" w:hAnsi="Times New Roman" w:eastAsia="仿宋_GB2312" w:cs="Times New Roman"/>
          <w:color w:val="auto"/>
          <w:sz w:val="28"/>
          <w:szCs w:val="28"/>
          <w:lang w:val="en-US" w:eastAsia="zh-CN"/>
        </w:rPr>
      </w:pPr>
    </w:p>
    <w:p w14:paraId="3B590E39">
      <w:pPr>
        <w:tabs>
          <w:tab w:val="left" w:pos="5580"/>
        </w:tabs>
        <w:spacing w:line="360" w:lineRule="auto"/>
        <w:ind w:firstLine="480"/>
        <w:rPr>
          <w:rFonts w:hint="default" w:ascii="Times New Roman" w:hAnsi="Times New Roman" w:eastAsia="仿宋_GB2312" w:cs="Times New Roman"/>
          <w:color w:val="auto"/>
          <w:kern w:val="0"/>
          <w:sz w:val="28"/>
          <w:szCs w:val="28"/>
          <w:lang w:eastAsia="zh-CN"/>
        </w:rPr>
      </w:pPr>
      <w:bookmarkStart w:id="321" w:name="_Toc561764264_WPSOffice_Level2"/>
      <w:r>
        <w:rPr>
          <w:rFonts w:hint="default" w:ascii="Times New Roman" w:hAnsi="Times New Roman" w:eastAsia="仿宋_GB2312" w:cs="Times New Roman"/>
          <w:color w:val="auto"/>
          <w:kern w:val="0"/>
          <w:sz w:val="28"/>
          <w:szCs w:val="28"/>
          <w:lang w:val="en-US" w:eastAsia="zh-CN"/>
        </w:rPr>
        <w:t>一、</w:t>
      </w:r>
      <w:r>
        <w:rPr>
          <w:rFonts w:hint="default" w:ascii="Times New Roman" w:hAnsi="Times New Roman" w:eastAsia="仿宋_GB2312" w:cs="Times New Roman"/>
          <w:color w:val="auto"/>
          <w:kern w:val="0"/>
          <w:sz w:val="28"/>
          <w:szCs w:val="28"/>
          <w:lang w:eastAsia="zh-CN"/>
        </w:rPr>
        <w:t>法人或者其他组织的营业执照等证明文件或自然人的身份证明</w:t>
      </w:r>
      <w:bookmarkEnd w:id="321"/>
    </w:p>
    <w:p w14:paraId="49A16823">
      <w:pPr>
        <w:tabs>
          <w:tab w:val="left" w:pos="5580"/>
        </w:tabs>
        <w:spacing w:line="360" w:lineRule="auto"/>
        <w:ind w:firstLine="480"/>
        <w:rPr>
          <w:rFonts w:hint="default" w:ascii="Times New Roman" w:hAnsi="Times New Roman" w:eastAsia="仿宋_GB2312" w:cs="Times New Roman"/>
          <w:color w:val="auto"/>
          <w:kern w:val="0"/>
          <w:sz w:val="28"/>
          <w:szCs w:val="28"/>
          <w:lang w:eastAsia="zh-CN"/>
        </w:rPr>
      </w:pPr>
      <w:bookmarkStart w:id="322" w:name="_Toc317745705_WPSOffice_Level2"/>
      <w:bookmarkStart w:id="323" w:name="_Toc371659587_WPSOffice_Level3"/>
      <w:bookmarkStart w:id="324" w:name="_Toc835682095_WPSOffice_Level3"/>
      <w:r>
        <w:rPr>
          <w:rFonts w:hint="default" w:ascii="Times New Roman" w:hAnsi="Times New Roman" w:eastAsia="仿宋_GB2312" w:cs="Times New Roman"/>
          <w:color w:val="auto"/>
          <w:kern w:val="0"/>
          <w:sz w:val="28"/>
          <w:szCs w:val="28"/>
          <w:lang w:val="en-US" w:eastAsia="zh-CN"/>
        </w:rPr>
        <w:t>二、</w:t>
      </w:r>
      <w:r>
        <w:rPr>
          <w:rFonts w:hint="default" w:ascii="Times New Roman" w:hAnsi="Times New Roman" w:eastAsia="仿宋_GB2312" w:cs="Times New Roman"/>
          <w:color w:val="auto"/>
          <w:kern w:val="0"/>
          <w:sz w:val="28"/>
          <w:szCs w:val="28"/>
          <w:lang w:eastAsia="zh-CN"/>
        </w:rPr>
        <w:t>具有良好的商业信誉和健全的财务会计制度</w:t>
      </w:r>
      <w:bookmarkEnd w:id="322"/>
      <w:bookmarkEnd w:id="323"/>
      <w:bookmarkEnd w:id="324"/>
    </w:p>
    <w:p w14:paraId="688C3659">
      <w:pPr>
        <w:tabs>
          <w:tab w:val="left" w:pos="5580"/>
        </w:tabs>
        <w:spacing w:line="360" w:lineRule="auto"/>
        <w:ind w:firstLine="480"/>
        <w:rPr>
          <w:rFonts w:hint="default" w:ascii="Times New Roman" w:hAnsi="Times New Roman" w:eastAsia="仿宋_GB2312" w:cs="Times New Roman"/>
          <w:color w:val="auto"/>
          <w:kern w:val="0"/>
          <w:sz w:val="28"/>
          <w:szCs w:val="28"/>
          <w:lang w:eastAsia="zh-CN"/>
        </w:rPr>
      </w:pPr>
      <w:bookmarkStart w:id="325" w:name="_Toc1104501183_WPSOffice_Level3"/>
      <w:bookmarkStart w:id="326" w:name="_Toc294801548_WPSOffice_Level2"/>
      <w:bookmarkStart w:id="327" w:name="_Toc1150235750_WPSOffice_Level3"/>
      <w:r>
        <w:rPr>
          <w:rFonts w:hint="default" w:ascii="Times New Roman" w:hAnsi="Times New Roman" w:eastAsia="仿宋_GB2312" w:cs="Times New Roman"/>
          <w:color w:val="auto"/>
          <w:kern w:val="0"/>
          <w:sz w:val="28"/>
          <w:szCs w:val="28"/>
          <w:lang w:val="en-US" w:eastAsia="zh-CN"/>
        </w:rPr>
        <w:t>三、</w:t>
      </w:r>
      <w:r>
        <w:rPr>
          <w:rFonts w:hint="default" w:ascii="Times New Roman" w:hAnsi="Times New Roman" w:eastAsia="仿宋_GB2312" w:cs="Times New Roman"/>
          <w:color w:val="auto"/>
          <w:kern w:val="0"/>
          <w:sz w:val="28"/>
          <w:szCs w:val="28"/>
          <w:lang w:eastAsia="zh-CN"/>
        </w:rPr>
        <w:t>依法缴纳税收和社会保障资金的良好记录</w:t>
      </w:r>
      <w:bookmarkEnd w:id="325"/>
      <w:bookmarkEnd w:id="326"/>
      <w:bookmarkEnd w:id="327"/>
    </w:p>
    <w:p w14:paraId="5A3CCB2D">
      <w:pPr>
        <w:tabs>
          <w:tab w:val="left" w:pos="5580"/>
        </w:tabs>
        <w:spacing w:line="360" w:lineRule="auto"/>
        <w:ind w:firstLine="480"/>
        <w:rPr>
          <w:rFonts w:hint="default" w:ascii="Times New Roman" w:hAnsi="Times New Roman" w:eastAsia="仿宋_GB2312" w:cs="Times New Roman"/>
          <w:color w:val="auto"/>
          <w:kern w:val="0"/>
          <w:sz w:val="28"/>
          <w:szCs w:val="28"/>
          <w:lang w:eastAsia="zh-CN"/>
        </w:rPr>
      </w:pPr>
      <w:bookmarkStart w:id="328" w:name="_Toc568308316_WPSOffice_Level3"/>
      <w:bookmarkStart w:id="329" w:name="_Toc749118665_WPSOffice_Level2"/>
      <w:bookmarkStart w:id="330" w:name="_Toc765241243_WPSOffice_Level3"/>
      <w:bookmarkStart w:id="331" w:name="_Toc281235268_WPSOffice_Level3"/>
      <w:bookmarkStart w:id="332" w:name="_Toc2065680076_WPSOffice_Level3"/>
      <w:r>
        <w:rPr>
          <w:rFonts w:hint="default" w:ascii="Times New Roman" w:hAnsi="Times New Roman" w:eastAsia="仿宋_GB2312" w:cs="Times New Roman"/>
          <w:color w:val="auto"/>
          <w:kern w:val="0"/>
          <w:sz w:val="28"/>
          <w:szCs w:val="28"/>
          <w:lang w:val="en-US" w:eastAsia="zh-CN"/>
        </w:rPr>
        <w:t>四、</w:t>
      </w:r>
      <w:r>
        <w:rPr>
          <w:rFonts w:hint="default" w:ascii="Times New Roman" w:hAnsi="Times New Roman" w:eastAsia="仿宋_GB2312" w:cs="Times New Roman"/>
          <w:color w:val="auto"/>
          <w:kern w:val="0"/>
          <w:sz w:val="28"/>
          <w:szCs w:val="28"/>
          <w:lang w:eastAsia="zh-CN"/>
        </w:rPr>
        <w:t>具有履行合同所必需的设备和专业技术能力</w:t>
      </w:r>
      <w:bookmarkEnd w:id="328"/>
      <w:bookmarkEnd w:id="329"/>
      <w:bookmarkEnd w:id="330"/>
    </w:p>
    <w:p w14:paraId="01F1CF8F">
      <w:pPr>
        <w:tabs>
          <w:tab w:val="left" w:pos="5580"/>
        </w:tabs>
        <w:spacing w:line="360" w:lineRule="auto"/>
        <w:ind w:firstLine="480"/>
        <w:rPr>
          <w:rFonts w:hint="default" w:ascii="Times New Roman" w:hAnsi="Times New Roman" w:eastAsia="仿宋_GB2312" w:cs="Times New Roman"/>
          <w:color w:val="auto"/>
          <w:kern w:val="0"/>
          <w:sz w:val="28"/>
          <w:szCs w:val="28"/>
          <w:lang w:eastAsia="zh-CN"/>
        </w:rPr>
      </w:pPr>
      <w:bookmarkStart w:id="333" w:name="_Toc865995009_WPSOffice_Level2"/>
      <w:r>
        <w:rPr>
          <w:rFonts w:hint="default" w:ascii="Times New Roman" w:hAnsi="Times New Roman" w:eastAsia="仿宋_GB2312" w:cs="Times New Roman"/>
          <w:color w:val="auto"/>
          <w:kern w:val="0"/>
          <w:sz w:val="28"/>
          <w:szCs w:val="28"/>
          <w:lang w:val="en-US" w:eastAsia="zh-CN"/>
        </w:rPr>
        <w:t>五、</w:t>
      </w:r>
      <w:r>
        <w:rPr>
          <w:rFonts w:hint="default" w:ascii="Times New Roman" w:hAnsi="Times New Roman" w:eastAsia="仿宋_GB2312" w:cs="Times New Roman"/>
          <w:color w:val="auto"/>
          <w:kern w:val="0"/>
          <w:sz w:val="28"/>
          <w:szCs w:val="28"/>
          <w:lang w:eastAsia="zh-CN"/>
        </w:rPr>
        <w:t>参加政府采购活动前</w:t>
      </w:r>
      <w:r>
        <w:rPr>
          <w:rFonts w:hint="default" w:ascii="Times New Roman" w:hAnsi="Times New Roman" w:eastAsia="仿宋_GB2312" w:cs="Times New Roman"/>
          <w:color w:val="auto"/>
          <w:kern w:val="0"/>
          <w:sz w:val="28"/>
          <w:szCs w:val="28"/>
          <w:lang w:val="en-US" w:eastAsia="zh-CN"/>
        </w:rPr>
        <w:t>3</w:t>
      </w:r>
      <w:r>
        <w:rPr>
          <w:rFonts w:hint="default" w:ascii="Times New Roman" w:hAnsi="Times New Roman" w:eastAsia="仿宋_GB2312" w:cs="Times New Roman"/>
          <w:color w:val="auto"/>
          <w:kern w:val="0"/>
          <w:sz w:val="28"/>
          <w:szCs w:val="28"/>
          <w:lang w:eastAsia="zh-CN"/>
        </w:rPr>
        <w:t>年内在经营活动中没有重大违法记录的</w:t>
      </w:r>
      <w:bookmarkEnd w:id="331"/>
      <w:bookmarkEnd w:id="332"/>
      <w:r>
        <w:rPr>
          <w:rFonts w:hint="default" w:ascii="Times New Roman" w:hAnsi="Times New Roman" w:eastAsia="仿宋_GB2312" w:cs="Times New Roman"/>
          <w:color w:val="auto"/>
          <w:kern w:val="0"/>
          <w:sz w:val="28"/>
          <w:szCs w:val="28"/>
          <w:lang w:eastAsia="zh-CN"/>
        </w:rPr>
        <w:t>声明</w:t>
      </w:r>
      <w:bookmarkEnd w:id="333"/>
    </w:p>
    <w:p w14:paraId="575A725F">
      <w:pPr>
        <w:tabs>
          <w:tab w:val="left" w:pos="5580"/>
        </w:tabs>
        <w:spacing w:line="360" w:lineRule="auto"/>
        <w:ind w:firstLine="480"/>
        <w:rPr>
          <w:rFonts w:hint="default" w:ascii="Times New Roman" w:hAnsi="Times New Roman" w:eastAsia="仿宋_GB2312" w:cs="Times New Roman"/>
          <w:color w:val="auto"/>
          <w:kern w:val="0"/>
          <w:sz w:val="28"/>
          <w:szCs w:val="28"/>
          <w:lang w:val="en-US" w:eastAsia="zh-CN"/>
        </w:rPr>
      </w:pPr>
      <w:bookmarkStart w:id="334" w:name="_Toc141596040_WPSOffice_Level3"/>
      <w:bookmarkStart w:id="335" w:name="_Toc1395634740_WPSOffice_Level2"/>
      <w:bookmarkStart w:id="336" w:name="_Toc2005223374_WPSOffice_Level3"/>
      <w:r>
        <w:rPr>
          <w:rFonts w:hint="default" w:ascii="Times New Roman" w:hAnsi="Times New Roman" w:eastAsia="仿宋_GB2312" w:cs="Times New Roman"/>
          <w:color w:val="auto"/>
          <w:kern w:val="0"/>
          <w:sz w:val="28"/>
          <w:szCs w:val="28"/>
          <w:lang w:val="en-US" w:eastAsia="zh-CN"/>
        </w:rPr>
        <w:t>六、投标人关联单位的说明</w:t>
      </w:r>
    </w:p>
    <w:p w14:paraId="465E4ED7">
      <w:pPr>
        <w:tabs>
          <w:tab w:val="left" w:pos="5580"/>
        </w:tabs>
        <w:spacing w:line="360" w:lineRule="auto"/>
        <w:ind w:firstLine="480"/>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val="en-US" w:eastAsia="zh-CN"/>
        </w:rPr>
        <w:t>七、</w:t>
      </w:r>
      <w:r>
        <w:rPr>
          <w:rFonts w:hint="default" w:ascii="Times New Roman" w:hAnsi="Times New Roman" w:eastAsia="仿宋_GB2312" w:cs="Times New Roman"/>
          <w:color w:val="auto"/>
          <w:kern w:val="0"/>
          <w:sz w:val="28"/>
          <w:szCs w:val="28"/>
          <w:lang w:eastAsia="zh-CN"/>
        </w:rPr>
        <w:t>其他资格证明文件</w:t>
      </w:r>
      <w:bookmarkEnd w:id="334"/>
      <w:bookmarkEnd w:id="335"/>
      <w:bookmarkEnd w:id="336"/>
    </w:p>
    <w:p w14:paraId="74A59146">
      <w:pPr>
        <w:tabs>
          <w:tab w:val="left" w:pos="5580"/>
        </w:tabs>
        <w:spacing w:line="360" w:lineRule="auto"/>
        <w:ind w:left="1" w:firstLine="564"/>
        <w:rPr>
          <w:rFonts w:hint="default" w:ascii="宋体" w:hAnsi="宋体" w:eastAsia="宋体" w:cs="宋体"/>
          <w:color w:val="auto"/>
          <w:sz w:val="28"/>
          <w:szCs w:val="28"/>
          <w:lang w:val="en-US" w:eastAsia="zh-CN"/>
        </w:rPr>
      </w:pPr>
    </w:p>
    <w:p w14:paraId="01F453FD">
      <w:pPr>
        <w:tabs>
          <w:tab w:val="left" w:pos="5580"/>
        </w:tabs>
        <w:spacing w:line="360" w:lineRule="auto"/>
        <w:ind w:left="1" w:firstLine="564"/>
        <w:rPr>
          <w:rFonts w:hint="default" w:ascii="宋体" w:hAnsi="宋体" w:eastAsia="宋体" w:cs="宋体"/>
          <w:color w:val="auto"/>
          <w:sz w:val="24"/>
          <w:szCs w:val="24"/>
          <w:lang w:val="en-US" w:eastAsia="zh-CN"/>
        </w:rPr>
      </w:pPr>
    </w:p>
    <w:p w14:paraId="3EAF7BDC">
      <w:pPr>
        <w:tabs>
          <w:tab w:val="left" w:pos="5580"/>
        </w:tabs>
        <w:spacing w:line="360" w:lineRule="auto"/>
        <w:ind w:left="1" w:firstLine="564"/>
        <w:rPr>
          <w:rFonts w:hint="default" w:ascii="宋体" w:hAnsi="宋体" w:eastAsia="宋体" w:cs="宋体"/>
          <w:color w:val="auto"/>
          <w:sz w:val="24"/>
          <w:szCs w:val="24"/>
          <w:lang w:val="en-US" w:eastAsia="zh-CN"/>
        </w:rPr>
      </w:pPr>
    </w:p>
    <w:p w14:paraId="24A7DC34">
      <w:pPr>
        <w:tabs>
          <w:tab w:val="left" w:pos="5580"/>
        </w:tabs>
        <w:spacing w:line="360" w:lineRule="auto"/>
        <w:ind w:left="1" w:firstLine="658"/>
        <w:rPr>
          <w:rFonts w:hint="default" w:ascii="宋体" w:hAnsi="宋体" w:eastAsia="宋体" w:cs="宋体"/>
          <w:color w:val="auto"/>
          <w:sz w:val="28"/>
          <w:szCs w:val="28"/>
          <w:lang w:val="en-US" w:eastAsia="zh-CN"/>
        </w:rPr>
      </w:pPr>
    </w:p>
    <w:p w14:paraId="73F8BFBB">
      <w:pPr>
        <w:tabs>
          <w:tab w:val="left" w:pos="5580"/>
        </w:tabs>
        <w:spacing w:line="360" w:lineRule="auto"/>
        <w:ind w:left="1" w:firstLine="658"/>
        <w:rPr>
          <w:rFonts w:hint="default" w:ascii="宋体" w:hAnsi="宋体" w:eastAsia="宋体" w:cs="宋体"/>
          <w:color w:val="auto"/>
          <w:sz w:val="28"/>
          <w:szCs w:val="28"/>
          <w:lang w:val="en-US" w:eastAsia="zh-CN"/>
        </w:rPr>
      </w:pPr>
    </w:p>
    <w:p w14:paraId="43B427EE">
      <w:pPr>
        <w:tabs>
          <w:tab w:val="left" w:pos="5580"/>
        </w:tabs>
        <w:spacing w:line="360" w:lineRule="auto"/>
        <w:ind w:left="1" w:firstLine="658"/>
        <w:rPr>
          <w:rFonts w:hint="default" w:ascii="宋体" w:hAnsi="宋体" w:eastAsia="宋体" w:cs="宋体"/>
          <w:color w:val="auto"/>
          <w:sz w:val="28"/>
          <w:szCs w:val="28"/>
          <w:lang w:val="en-US" w:eastAsia="zh-CN"/>
        </w:rPr>
      </w:pPr>
    </w:p>
    <w:p w14:paraId="5F29FD68">
      <w:pPr>
        <w:jc w:val="left"/>
        <w:rPr>
          <w:rFonts w:hint="default" w:ascii="宋体" w:hAnsi="宋体" w:eastAsia="宋体" w:cs="宋体"/>
          <w:color w:val="auto"/>
          <w:sz w:val="28"/>
          <w:szCs w:val="28"/>
          <w:lang w:eastAsia="zh-CN"/>
        </w:rPr>
      </w:pPr>
      <w:bookmarkStart w:id="337" w:name="_Toc442868323"/>
      <w:bookmarkStart w:id="338" w:name="_Toc1892257381_WPSOffice_Level3"/>
      <w:bookmarkStart w:id="339" w:name="_Toc740001715"/>
      <w:bookmarkStart w:id="340" w:name="_Toc1666758381"/>
      <w:r>
        <w:rPr>
          <w:rFonts w:ascii="宋体" w:hAnsi="宋体" w:eastAsia="宋体" w:cs="宋体"/>
          <w:b/>
          <w:bCs/>
          <w:color w:val="auto"/>
          <w:sz w:val="28"/>
          <w:szCs w:val="28"/>
          <w:lang w:eastAsia="zh-CN"/>
        </w:rPr>
        <w:br w:type="page"/>
      </w:r>
      <w:bookmarkEnd w:id="337"/>
      <w:bookmarkEnd w:id="338"/>
      <w:bookmarkEnd w:id="339"/>
      <w:bookmarkEnd w:id="340"/>
    </w:p>
    <w:p w14:paraId="5977E7CF">
      <w:pPr>
        <w:keepNext/>
        <w:keepLines/>
        <w:widowControl w:val="0"/>
        <w:autoSpaceDE w:val="0"/>
        <w:autoSpaceDN w:val="0"/>
        <w:adjustRightInd w:val="0"/>
        <w:spacing w:line="360" w:lineRule="auto"/>
        <w:ind w:left="420" w:leftChars="200" w:right="420" w:rightChars="200"/>
        <w:jc w:val="center"/>
        <w:outlineLvl w:val="1"/>
        <w:rPr>
          <w:rFonts w:hint="default" w:ascii="Times New Roman" w:hAnsi="Times New Roman" w:eastAsia="方正小标宋_GBK" w:cs="Times New Roman"/>
          <w:bCs/>
          <w:color w:val="auto"/>
          <w:kern w:val="0"/>
          <w:sz w:val="30"/>
          <w:szCs w:val="30"/>
          <w:lang w:val="en-US" w:eastAsia="zh-CN"/>
        </w:rPr>
      </w:pPr>
      <w:bookmarkStart w:id="341" w:name="_Toc1480748811"/>
      <w:bookmarkStart w:id="342" w:name="_Toc1793820901_WPSOffice_Level3"/>
      <w:bookmarkStart w:id="343" w:name="_Toc730361247"/>
      <w:bookmarkStart w:id="344" w:name="_Toc831756679"/>
      <w:bookmarkStart w:id="345" w:name="_Toc1950934252"/>
      <w:bookmarkStart w:id="346" w:name="_Toc1876865389"/>
      <w:bookmarkStart w:id="347" w:name="_Toc540046896"/>
      <w:bookmarkStart w:id="348" w:name="_Toc1399186289"/>
      <w:bookmarkStart w:id="349" w:name="_Toc717704405"/>
      <w:bookmarkStart w:id="350" w:name="_Toc262140077"/>
      <w:bookmarkStart w:id="351" w:name="_Toc1274130635"/>
      <w:bookmarkStart w:id="352" w:name="_Toc1541909372_WPSOffice_Level3"/>
      <w:bookmarkStart w:id="353" w:name="_Toc1728315286_WPSOffice_Level2"/>
      <w:bookmarkStart w:id="354" w:name="_Toc1881529819"/>
      <w:r>
        <w:rPr>
          <w:rFonts w:hint="default" w:ascii="Times New Roman" w:hAnsi="Times New Roman" w:eastAsia="方正小标宋_GBK" w:cs="Times New Roman"/>
          <w:bCs/>
          <w:color w:val="auto"/>
          <w:kern w:val="0"/>
          <w:sz w:val="30"/>
          <w:szCs w:val="30"/>
          <w:lang w:val="en-US" w:eastAsia="zh-CN"/>
        </w:rPr>
        <w:t>一、</w:t>
      </w:r>
      <w:bookmarkEnd w:id="341"/>
      <w:bookmarkEnd w:id="342"/>
      <w:bookmarkEnd w:id="343"/>
      <w:bookmarkEnd w:id="344"/>
      <w:bookmarkEnd w:id="345"/>
      <w:bookmarkEnd w:id="346"/>
      <w:bookmarkEnd w:id="347"/>
      <w:bookmarkEnd w:id="348"/>
      <w:bookmarkEnd w:id="349"/>
      <w:bookmarkEnd w:id="350"/>
      <w:bookmarkEnd w:id="351"/>
      <w:bookmarkEnd w:id="352"/>
      <w:r>
        <w:rPr>
          <w:rFonts w:hint="default" w:ascii="Times New Roman" w:hAnsi="Times New Roman" w:eastAsia="方正小标宋_GBK" w:cs="Times New Roman"/>
          <w:bCs/>
          <w:color w:val="auto"/>
          <w:kern w:val="0"/>
          <w:sz w:val="30"/>
          <w:szCs w:val="30"/>
          <w:lang w:val="en-US" w:eastAsia="zh-CN"/>
        </w:rPr>
        <w:t>法人或者其他组织的营业执照等证明文件或自然人的身份证明</w:t>
      </w:r>
      <w:bookmarkEnd w:id="353"/>
      <w:bookmarkEnd w:id="354"/>
    </w:p>
    <w:p w14:paraId="6CB0567D">
      <w:pPr>
        <w:rPr>
          <w:rFonts w:hint="default" w:ascii="Times New Roman" w:hAnsi="Times New Roman" w:cs="Times New Roman"/>
          <w:color w:val="auto"/>
          <w:lang w:eastAsia="zh-CN"/>
        </w:rPr>
      </w:pPr>
    </w:p>
    <w:p w14:paraId="722D6C6A">
      <w:pPr>
        <w:pStyle w:val="197"/>
        <w:tabs>
          <w:tab w:val="left" w:pos="5580"/>
        </w:tabs>
        <w:spacing w:line="360" w:lineRule="auto"/>
        <w:ind w:left="540" w:firstLine="480"/>
        <w:jc w:val="center"/>
        <w:rPr>
          <w:rFonts w:ascii="Times New Roman" w:hAnsi="Times New Roman" w:cs="Times New Roman"/>
          <w:b/>
          <w:bCs/>
          <w:color w:val="auto"/>
          <w:sz w:val="24"/>
          <w:szCs w:val="24"/>
        </w:rPr>
      </w:pPr>
    </w:p>
    <w:p w14:paraId="6C3EB698">
      <w:pPr>
        <w:pStyle w:val="197"/>
        <w:tabs>
          <w:tab w:val="left" w:pos="5580"/>
        </w:tabs>
        <w:spacing w:line="360" w:lineRule="auto"/>
        <w:ind w:left="540" w:firstLine="480"/>
        <w:rPr>
          <w:rFonts w:ascii="Times New Roman" w:hAnsi="Times New Roman" w:cs="Times New Roman"/>
          <w:b/>
          <w:bCs/>
          <w:color w:val="auto"/>
          <w:sz w:val="24"/>
          <w:szCs w:val="24"/>
        </w:rPr>
      </w:pPr>
    </w:p>
    <w:p w14:paraId="663B31DF">
      <w:pPr>
        <w:pStyle w:val="197"/>
        <w:tabs>
          <w:tab w:val="left" w:pos="5580"/>
        </w:tabs>
        <w:spacing w:line="360" w:lineRule="auto"/>
        <w:ind w:left="540" w:firstLine="480"/>
        <w:rPr>
          <w:rFonts w:ascii="Times New Roman" w:hAnsi="Times New Roman" w:cs="Times New Roman"/>
          <w:b/>
          <w:bCs/>
          <w:color w:val="auto"/>
          <w:sz w:val="24"/>
          <w:szCs w:val="24"/>
        </w:rPr>
      </w:pPr>
    </w:p>
    <w:p w14:paraId="0682B73A">
      <w:pPr>
        <w:pStyle w:val="197"/>
        <w:tabs>
          <w:tab w:val="left" w:pos="5580"/>
        </w:tabs>
        <w:spacing w:line="360" w:lineRule="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TW"/>
        </w:rPr>
        <w:t>说明：</w:t>
      </w:r>
      <w:r>
        <w:rPr>
          <w:rFonts w:ascii="Times New Roman" w:hAnsi="Times New Roman" w:eastAsia="仿宋_GB2312" w:cs="Times New Roman"/>
          <w:color w:val="auto"/>
          <w:sz w:val="28"/>
          <w:szCs w:val="28"/>
        </w:rPr>
        <w:t>1.</w:t>
      </w:r>
      <w:r>
        <w:rPr>
          <w:rFonts w:ascii="Times New Roman" w:hAnsi="Times New Roman" w:eastAsia="仿宋_GB2312" w:cs="Times New Roman"/>
          <w:color w:val="auto"/>
          <w:sz w:val="28"/>
          <w:szCs w:val="28"/>
          <w:lang w:val="zh-TW"/>
        </w:rPr>
        <w:t>提供有效的营业执照等证明文件原件或复印件的扫描件。</w:t>
      </w:r>
    </w:p>
    <w:p w14:paraId="1A0C2E7B">
      <w:pPr>
        <w:pStyle w:val="197"/>
        <w:tabs>
          <w:tab w:val="left" w:pos="5580"/>
        </w:tabs>
        <w:spacing w:line="360" w:lineRule="auto"/>
        <w:rPr>
          <w:rFonts w:ascii="Times New Roman" w:hAnsi="Times New Roman" w:eastAsia="仿宋_GB2312" w:cs="Times New Roman"/>
          <w:color w:val="auto"/>
          <w:sz w:val="28"/>
          <w:szCs w:val="28"/>
        </w:rPr>
      </w:pPr>
      <w:bookmarkStart w:id="355" w:name="_Toc2081420463_WPSOffice_Level3"/>
      <w:bookmarkStart w:id="356" w:name="_Toc67715126_WPSOffice_Level3"/>
      <w:r>
        <w:rPr>
          <w:rFonts w:ascii="Times New Roman" w:hAnsi="Times New Roman" w:eastAsia="仿宋_GB2312" w:cs="Times New Roman"/>
          <w:color w:val="auto"/>
          <w:sz w:val="28"/>
          <w:szCs w:val="28"/>
        </w:rPr>
        <w:t>2.</w:t>
      </w:r>
      <w:r>
        <w:rPr>
          <w:rFonts w:ascii="Times New Roman" w:hAnsi="Times New Roman" w:eastAsia="仿宋_GB2312" w:cs="Times New Roman"/>
          <w:color w:val="auto"/>
          <w:sz w:val="28"/>
          <w:szCs w:val="28"/>
          <w:lang w:val="zh-TW"/>
        </w:rPr>
        <w:t>投标人为自然人的，应提供身份证明的</w:t>
      </w:r>
      <w:bookmarkEnd w:id="355"/>
      <w:bookmarkEnd w:id="356"/>
      <w:r>
        <w:rPr>
          <w:rFonts w:ascii="Times New Roman" w:hAnsi="Times New Roman" w:eastAsia="仿宋_GB2312" w:cs="Times New Roman"/>
          <w:color w:val="auto"/>
          <w:sz w:val="28"/>
          <w:szCs w:val="28"/>
          <w:lang w:val="zh-TW"/>
        </w:rPr>
        <w:t>原件或复印件的扫描件。</w:t>
      </w:r>
    </w:p>
    <w:p w14:paraId="5A8D4C64">
      <w:pPr>
        <w:pStyle w:val="197"/>
        <w:tabs>
          <w:tab w:val="left" w:pos="5580"/>
        </w:tabs>
        <w:spacing w:line="360" w:lineRule="auto"/>
        <w:rPr>
          <w:rFonts w:ascii="Times New Roman" w:hAnsi="Times New Roman" w:eastAsia="仿宋_GB2312" w:cs="Times New Roman"/>
          <w:color w:val="auto"/>
          <w:sz w:val="28"/>
          <w:szCs w:val="28"/>
        </w:rPr>
      </w:pPr>
      <w:bookmarkStart w:id="357" w:name="_Toc781251951_WPSOffice_Level3"/>
      <w:bookmarkStart w:id="358" w:name="_Toc1215272460_WPSOffice_Level3"/>
      <w:r>
        <w:rPr>
          <w:rFonts w:ascii="Times New Roman" w:hAnsi="Times New Roman" w:eastAsia="仿宋_GB2312" w:cs="Times New Roman"/>
          <w:color w:val="auto"/>
          <w:sz w:val="28"/>
          <w:szCs w:val="28"/>
        </w:rPr>
        <w:t>3.</w:t>
      </w:r>
      <w:r>
        <w:rPr>
          <w:rFonts w:ascii="Times New Roman" w:hAnsi="Times New Roman" w:eastAsia="仿宋_GB2312" w:cs="Times New Roman"/>
          <w:color w:val="auto"/>
          <w:sz w:val="28"/>
          <w:szCs w:val="28"/>
          <w:lang w:val="zh-TW"/>
        </w:rPr>
        <w:t>联合体投标应提供联合体各方满足以上要求的证明文件。</w:t>
      </w:r>
      <w:bookmarkEnd w:id="357"/>
      <w:bookmarkEnd w:id="358"/>
    </w:p>
    <w:p w14:paraId="535F8B14">
      <w:pPr>
        <w:jc w:val="left"/>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lang w:eastAsia="zh-CN"/>
        </w:rPr>
        <w:br w:type="page"/>
      </w:r>
      <w:bookmarkStart w:id="359" w:name="_Toc1319467764"/>
      <w:bookmarkStart w:id="360" w:name="_Toc456633459_WPSOffice_Level3"/>
      <w:bookmarkStart w:id="361" w:name="_Toc1557063548"/>
      <w:bookmarkStart w:id="362" w:name="_Toc868984799"/>
      <w:bookmarkStart w:id="363" w:name="_Toc1215314597"/>
    </w:p>
    <w:p w14:paraId="089EDA81">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364" w:name="_Toc370312851"/>
      <w:bookmarkStart w:id="365" w:name="_Toc507196550"/>
      <w:bookmarkStart w:id="366" w:name="_Toc937091873"/>
      <w:bookmarkStart w:id="367" w:name="_Toc600305591"/>
      <w:bookmarkStart w:id="368" w:name="_Toc1494493586"/>
      <w:bookmarkStart w:id="369" w:name="_Toc130649492"/>
      <w:bookmarkStart w:id="370" w:name="_Toc574791252"/>
      <w:bookmarkStart w:id="371" w:name="_Toc1369942731_WPSOffice_Level2"/>
      <w:r>
        <w:rPr>
          <w:rFonts w:hint="default" w:ascii="Times New Roman" w:hAnsi="Times New Roman" w:eastAsia="方正小标宋_GBK" w:cs="Times New Roman"/>
          <w:bCs/>
          <w:color w:val="auto"/>
          <w:kern w:val="0"/>
          <w:sz w:val="30"/>
          <w:szCs w:val="30"/>
          <w:lang w:val="en-US" w:eastAsia="zh-CN"/>
        </w:rPr>
        <w:t>二、具有良好的商业信誉和健全的财务会计制度</w:t>
      </w:r>
      <w:bookmarkEnd w:id="359"/>
      <w:bookmarkEnd w:id="360"/>
      <w:bookmarkEnd w:id="361"/>
      <w:bookmarkEnd w:id="362"/>
      <w:bookmarkEnd w:id="363"/>
      <w:bookmarkEnd w:id="364"/>
      <w:bookmarkEnd w:id="365"/>
      <w:bookmarkEnd w:id="366"/>
      <w:bookmarkEnd w:id="367"/>
      <w:bookmarkEnd w:id="368"/>
      <w:bookmarkEnd w:id="369"/>
      <w:bookmarkEnd w:id="370"/>
      <w:bookmarkEnd w:id="371"/>
    </w:p>
    <w:p w14:paraId="3848A185">
      <w:pPr>
        <w:spacing w:line="360" w:lineRule="auto"/>
        <w:jc w:val="center"/>
        <w:rPr>
          <w:rFonts w:hint="default" w:ascii="Times New Roman" w:hAnsi="Times New Roman" w:eastAsia="宋体" w:cs="Times New Roman"/>
          <w:color w:val="auto"/>
          <w:sz w:val="28"/>
          <w:szCs w:val="28"/>
          <w:lang w:eastAsia="zh-CN"/>
        </w:rPr>
      </w:pPr>
    </w:p>
    <w:p w14:paraId="21BDAE7F">
      <w:pPr>
        <w:rPr>
          <w:rFonts w:hint="default" w:ascii="Times New Roman" w:hAnsi="Times New Roman" w:cs="Times New Roman"/>
          <w:color w:val="auto"/>
          <w:lang w:eastAsia="zh-CN"/>
        </w:rPr>
      </w:pPr>
    </w:p>
    <w:p w14:paraId="0C57F45A">
      <w:pPr>
        <w:tabs>
          <w:tab w:val="left" w:pos="5580"/>
        </w:tabs>
        <w:spacing w:line="360" w:lineRule="auto"/>
        <w:ind w:left="1080" w:hanging="540"/>
        <w:jc w:val="center"/>
        <w:rPr>
          <w:rFonts w:hint="default" w:ascii="Times New Roman" w:hAnsi="Times New Roman" w:eastAsia="宋体" w:cs="Times New Roman"/>
          <w:b/>
          <w:bCs/>
          <w:color w:val="auto"/>
          <w:sz w:val="24"/>
          <w:szCs w:val="24"/>
          <w:lang w:val="en-US" w:eastAsia="zh-CN"/>
        </w:rPr>
      </w:pPr>
    </w:p>
    <w:p w14:paraId="368BAB88">
      <w:pPr>
        <w:tabs>
          <w:tab w:val="left" w:pos="3060"/>
          <w:tab w:val="left" w:pos="5580"/>
        </w:tabs>
        <w:spacing w:line="360" w:lineRule="auto"/>
        <w:ind w:left="1080" w:hanging="540"/>
        <w:rPr>
          <w:rFonts w:hint="default" w:ascii="Times New Roman" w:hAnsi="Times New Roman" w:eastAsia="宋体" w:cs="Times New Roman"/>
          <w:b/>
          <w:bCs/>
          <w:color w:val="auto"/>
          <w:sz w:val="24"/>
          <w:szCs w:val="24"/>
          <w:lang w:val="en-US" w:eastAsia="zh-CN"/>
        </w:rPr>
      </w:pPr>
    </w:p>
    <w:p w14:paraId="651C71D3">
      <w:pPr>
        <w:tabs>
          <w:tab w:val="left" w:pos="5580"/>
        </w:tabs>
        <w:spacing w:line="360" w:lineRule="auto"/>
        <w:ind w:left="1080" w:hanging="540"/>
        <w:jc w:val="center"/>
        <w:rPr>
          <w:rFonts w:hint="default" w:ascii="Times New Roman" w:hAnsi="Times New Roman" w:eastAsia="宋体" w:cs="Times New Roman"/>
          <w:b/>
          <w:bCs/>
          <w:color w:val="auto"/>
          <w:sz w:val="24"/>
          <w:szCs w:val="24"/>
          <w:lang w:val="en-US" w:eastAsia="zh-CN"/>
        </w:rPr>
      </w:pPr>
    </w:p>
    <w:p w14:paraId="59ADD195">
      <w:pPr>
        <w:tabs>
          <w:tab w:val="left" w:pos="5580"/>
        </w:tabs>
        <w:spacing w:line="360" w:lineRule="auto"/>
        <w:ind w:left="1080" w:hanging="54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说明：</w:t>
      </w:r>
    </w:p>
    <w:p w14:paraId="39CECF95">
      <w:p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提供投标人2024</w:t>
      </w:r>
      <w:r>
        <w:rPr>
          <w:rFonts w:hint="default" w:ascii="Times New Roman" w:hAnsi="Times New Roman" w:eastAsia="仿宋_GB2312" w:cs="Times New Roman"/>
          <w:color w:val="auto"/>
          <w:sz w:val="28"/>
          <w:szCs w:val="28"/>
          <w:lang w:val="en" w:eastAsia="zh-CN"/>
        </w:rPr>
        <w:t>年</w:t>
      </w:r>
      <w:r>
        <w:rPr>
          <w:rFonts w:hint="default" w:ascii="Times New Roman" w:hAnsi="Times New Roman" w:eastAsia="仿宋_GB2312" w:cs="Times New Roman"/>
          <w:color w:val="auto"/>
          <w:sz w:val="28"/>
          <w:szCs w:val="28"/>
          <w:lang w:val="en-US" w:eastAsia="zh-CN"/>
        </w:rPr>
        <w:t>度经审计的财务报告，要求注册会计师签字并加盖会计师印章；如截止到投标截止时间，投标人成立时间不足要求时限的，可提供银行资信证明材料。</w:t>
      </w:r>
    </w:p>
    <w:p w14:paraId="6B1B1891">
      <w:pPr>
        <w:pStyle w:val="3"/>
        <w:jc w:val="center"/>
        <w:rPr>
          <w:rFonts w:ascii="Times New Roman" w:hAnsi="Times New Roman" w:eastAsia="方正小标宋_GBK"/>
          <w:b w:val="0"/>
          <w:color w:val="auto"/>
          <w:sz w:val="30"/>
          <w:szCs w:val="30"/>
          <w:lang w:val="en-US" w:eastAsia="zh-CN"/>
        </w:rPr>
      </w:pPr>
      <w:r>
        <w:rPr>
          <w:rFonts w:ascii="Times New Roman" w:hAnsi="Times New Roman"/>
          <w:color w:val="auto"/>
          <w:sz w:val="24"/>
          <w:szCs w:val="24"/>
          <w:lang w:eastAsia="zh-CN"/>
        </w:rPr>
        <w:br w:type="page"/>
      </w:r>
      <w:bookmarkStart w:id="372" w:name="_Toc1968479748"/>
      <w:bookmarkStart w:id="373" w:name="_Toc968053340"/>
      <w:bookmarkStart w:id="374" w:name="_Toc1998858666"/>
      <w:bookmarkStart w:id="375" w:name="_Toc1125237527"/>
      <w:bookmarkStart w:id="376" w:name="_Toc1289659840_WPSOffice_Level2"/>
      <w:bookmarkStart w:id="377" w:name="_Toc281075866"/>
      <w:bookmarkStart w:id="378" w:name="_Toc2082821673"/>
      <w:bookmarkStart w:id="379" w:name="_Toc1656782056"/>
      <w:bookmarkStart w:id="380" w:name="_Toc436443482"/>
      <w:bookmarkStart w:id="381" w:name="_Toc1030212309"/>
      <w:bookmarkStart w:id="382" w:name="_Toc942688044_WPSOffice_Level3"/>
      <w:bookmarkStart w:id="383" w:name="_Toc509419906"/>
      <w:bookmarkStart w:id="384" w:name="_Toc1033381818"/>
      <w:bookmarkStart w:id="385" w:name="_Toc1079740645"/>
      <w:r>
        <w:rPr>
          <w:rFonts w:ascii="Times New Roman" w:hAnsi="Times New Roman" w:eastAsia="方正小标宋_GBK"/>
          <w:b w:val="0"/>
          <w:color w:val="auto"/>
          <w:sz w:val="30"/>
          <w:szCs w:val="30"/>
          <w:lang w:val="en-US" w:eastAsia="zh-CN"/>
        </w:rPr>
        <w:t>三、依法</w:t>
      </w:r>
      <w:bookmarkEnd w:id="372"/>
      <w:r>
        <w:rPr>
          <w:rFonts w:ascii="Times New Roman" w:hAnsi="Times New Roman" w:eastAsia="方正小标宋_GBK"/>
          <w:b w:val="0"/>
          <w:color w:val="auto"/>
          <w:sz w:val="30"/>
          <w:szCs w:val="30"/>
          <w:lang w:val="en-US" w:eastAsia="zh-CN"/>
        </w:rPr>
        <w:t>缴纳税收和社会保障资金的良好记录</w:t>
      </w:r>
      <w:bookmarkEnd w:id="373"/>
      <w:bookmarkEnd w:id="374"/>
      <w:bookmarkEnd w:id="375"/>
      <w:bookmarkEnd w:id="376"/>
      <w:bookmarkEnd w:id="377"/>
      <w:bookmarkEnd w:id="378"/>
      <w:bookmarkEnd w:id="379"/>
      <w:bookmarkEnd w:id="380"/>
      <w:bookmarkEnd w:id="381"/>
      <w:bookmarkEnd w:id="382"/>
      <w:bookmarkEnd w:id="383"/>
      <w:bookmarkEnd w:id="384"/>
      <w:bookmarkEnd w:id="385"/>
    </w:p>
    <w:p w14:paraId="342A999D">
      <w:pPr>
        <w:pStyle w:val="197"/>
        <w:tabs>
          <w:tab w:val="left" w:pos="5580"/>
        </w:tabs>
        <w:spacing w:line="360" w:lineRule="auto"/>
        <w:ind w:left="1080" w:hanging="540"/>
        <w:jc w:val="center"/>
        <w:rPr>
          <w:rFonts w:ascii="Times New Roman" w:hAnsi="Times New Roman" w:cs="Times New Roman"/>
          <w:b/>
          <w:bCs/>
          <w:color w:val="auto"/>
          <w:sz w:val="24"/>
          <w:szCs w:val="24"/>
        </w:rPr>
      </w:pPr>
    </w:p>
    <w:p w14:paraId="7E2E4C4E">
      <w:pPr>
        <w:pStyle w:val="197"/>
        <w:tabs>
          <w:tab w:val="left" w:pos="5580"/>
        </w:tabs>
        <w:spacing w:line="360" w:lineRule="auto"/>
        <w:ind w:left="840"/>
        <w:rPr>
          <w:rFonts w:ascii="Times New Roman" w:hAnsi="Times New Roman" w:cs="Times New Roman"/>
          <w:b/>
          <w:bCs/>
          <w:color w:val="auto"/>
          <w:sz w:val="24"/>
          <w:szCs w:val="24"/>
        </w:rPr>
      </w:pPr>
    </w:p>
    <w:p w14:paraId="3B7DA043">
      <w:pPr>
        <w:pStyle w:val="197"/>
        <w:tabs>
          <w:tab w:val="left" w:pos="5580"/>
        </w:tabs>
        <w:spacing w:line="360" w:lineRule="auto"/>
        <w:ind w:firstLine="560" w:firstLineChars="200"/>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说明：</w:t>
      </w:r>
    </w:p>
    <w:p w14:paraId="1CFF3F62">
      <w:pPr>
        <w:pStyle w:val="197"/>
        <w:tabs>
          <w:tab w:val="left" w:pos="5580"/>
        </w:tabs>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1.具有依法缴纳税收和社会保障资金的相关材料（提供自2025年1月1日以来至少一个月的纳税证明和社保缴纳证明，依法免税或不需要缴纳社会保障资金的，应提供相应文件证明其依法免税或不需要缴纳）。</w:t>
      </w:r>
    </w:p>
    <w:p w14:paraId="15CA9B93">
      <w:pPr>
        <w:pStyle w:val="197"/>
        <w:tabs>
          <w:tab w:val="left" w:pos="5580"/>
        </w:tabs>
        <w:spacing w:line="360" w:lineRule="auto"/>
        <w:ind w:firstLine="560" w:firstLineChars="200"/>
        <w:rPr>
          <w:color w:val="auto"/>
          <w:sz w:val="28"/>
          <w:szCs w:val="28"/>
        </w:rPr>
      </w:pPr>
      <w:r>
        <w:rPr>
          <w:rFonts w:ascii="Times New Roman" w:hAnsi="Times New Roman" w:eastAsia="仿宋_GB2312" w:cs="Times New Roman"/>
          <w:color w:val="auto"/>
          <w:sz w:val="28"/>
          <w:szCs w:val="28"/>
        </w:rPr>
        <w:t>2.如果是联合体投标，联合体各方均需提供相关材料。</w:t>
      </w:r>
    </w:p>
    <w:p w14:paraId="6B09B5BF">
      <w:pPr>
        <w:tabs>
          <w:tab w:val="left" w:pos="5580"/>
        </w:tabs>
        <w:spacing w:line="360" w:lineRule="auto"/>
        <w:rPr>
          <w:rFonts w:hint="default" w:ascii="宋体" w:hAnsi="宋体" w:eastAsia="宋体" w:cs="宋体"/>
          <w:color w:val="auto"/>
          <w:sz w:val="28"/>
          <w:szCs w:val="28"/>
          <w:lang w:val="en-US" w:eastAsia="zh-CN"/>
        </w:rPr>
      </w:pPr>
    </w:p>
    <w:p w14:paraId="505E5F78">
      <w:pPr>
        <w:pStyle w:val="197"/>
        <w:tabs>
          <w:tab w:val="left" w:pos="5580"/>
        </w:tabs>
        <w:spacing w:line="360" w:lineRule="auto"/>
        <w:ind w:left="840"/>
        <w:rPr>
          <w:color w:val="auto"/>
          <w:sz w:val="24"/>
          <w:szCs w:val="24"/>
        </w:rPr>
      </w:pPr>
    </w:p>
    <w:p w14:paraId="7B386FBF">
      <w:pPr>
        <w:pStyle w:val="3"/>
        <w:jc w:val="center"/>
        <w:rPr>
          <w:rFonts w:ascii="宋体" w:hAnsi="宋体" w:cs="宋体"/>
          <w:b w:val="0"/>
          <w:color w:val="auto"/>
          <w:sz w:val="30"/>
          <w:szCs w:val="30"/>
          <w:lang w:val="en-US" w:eastAsia="zh-CN"/>
        </w:rPr>
      </w:pPr>
      <w:r>
        <w:rPr>
          <w:rFonts w:hint="eastAsia" w:ascii="宋体" w:hAnsi="宋体" w:cs="宋体"/>
          <w:color w:val="auto"/>
          <w:sz w:val="24"/>
          <w:szCs w:val="24"/>
          <w:lang w:eastAsia="zh-CN"/>
        </w:rPr>
        <w:br w:type="page"/>
      </w:r>
      <w:bookmarkStart w:id="386" w:name="_Toc148345819_WPSOffice_Level3"/>
      <w:bookmarkStart w:id="387" w:name="_Toc1387518291"/>
      <w:bookmarkStart w:id="388" w:name="_Toc1555857921"/>
      <w:bookmarkStart w:id="389" w:name="_Toc29306536"/>
      <w:bookmarkStart w:id="390" w:name="_Toc937672964"/>
      <w:bookmarkStart w:id="391" w:name="_Toc173874035"/>
      <w:bookmarkStart w:id="392" w:name="_Toc62113572_WPSOffice_Level2"/>
      <w:bookmarkStart w:id="393" w:name="_Toc231434114"/>
      <w:bookmarkStart w:id="394" w:name="_Toc1191619766"/>
      <w:bookmarkStart w:id="395" w:name="_Toc642483276"/>
      <w:bookmarkStart w:id="396" w:name="_Toc933477298"/>
      <w:bookmarkStart w:id="397" w:name="_Toc634123008"/>
      <w:bookmarkStart w:id="398" w:name="_Toc883013156"/>
      <w:bookmarkStart w:id="399" w:name="_Toc1152943509"/>
      <w:r>
        <w:rPr>
          <w:rFonts w:hint="eastAsia" w:ascii="Times New Roman" w:hAnsi="Times New Roman" w:eastAsia="方正小标宋_GBK"/>
          <w:b w:val="0"/>
          <w:color w:val="auto"/>
          <w:sz w:val="30"/>
          <w:szCs w:val="30"/>
          <w:lang w:val="en-US" w:eastAsia="zh-CN"/>
        </w:rPr>
        <w:t>四、具有履行合同所必需的设备和专业技术能力</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00973699">
      <w:pPr>
        <w:spacing w:line="360" w:lineRule="auto"/>
        <w:jc w:val="left"/>
        <w:rPr>
          <w:rFonts w:hint="default" w:ascii="Times New Roman" w:hAnsi="Times New Roman" w:eastAsia="仿宋_GB2312" w:cs="Times New Roman"/>
          <w:color w:val="auto"/>
          <w:kern w:val="2"/>
          <w:sz w:val="28"/>
          <w:szCs w:val="28"/>
          <w:lang w:val="en" w:eastAsia="zh-CN" w:bidi="ar-SA"/>
        </w:rPr>
      </w:pPr>
      <w:r>
        <w:rPr>
          <w:rFonts w:hint="default" w:ascii="Times New Roman" w:hAnsi="Times New Roman" w:eastAsia="仿宋_GB2312" w:cs="Times New Roman"/>
          <w:color w:val="auto"/>
          <w:kern w:val="2"/>
          <w:sz w:val="28"/>
          <w:szCs w:val="28"/>
          <w:lang w:val="en-US" w:eastAsia="zh-CN" w:bidi="ar-SA"/>
        </w:rPr>
        <w:t>致：</w:t>
      </w:r>
      <w:r>
        <w:rPr>
          <w:rFonts w:hint="default" w:ascii="Times New Roman" w:hAnsi="Times New Roman" w:eastAsia="仿宋_GB2312" w:cs="Times New Roman"/>
          <w:color w:val="auto"/>
          <w:kern w:val="2"/>
          <w:sz w:val="28"/>
          <w:szCs w:val="28"/>
          <w:u w:val="single"/>
          <w:lang w:val="en" w:eastAsia="zh-CN" w:bidi="ar-SA"/>
        </w:rPr>
        <w:t>河南应用技术职业学院</w:t>
      </w:r>
    </w:p>
    <w:p w14:paraId="11617EED">
      <w:pPr>
        <w:spacing w:line="360" w:lineRule="auto"/>
        <w:ind w:firstLine="560" w:firstLineChars="200"/>
        <w:jc w:val="left"/>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我（单位/本人，以下统称我单位）自愿参加采购项目编号为</w:t>
      </w:r>
      <w:r>
        <w:rPr>
          <w:rFonts w:hint="eastAsia" w:ascii="Times New Roman" w:hAnsi="Times New Roman" w:eastAsia="仿宋_GB2312" w:cs="Times New Roman"/>
          <w:color w:val="auto"/>
          <w:kern w:val="2"/>
          <w:sz w:val="28"/>
          <w:szCs w:val="28"/>
          <w:u w:val="single"/>
          <w:lang w:val="en" w:eastAsia="zh-CN" w:bidi="ar-SA"/>
        </w:rPr>
        <w:t>豫财招标采购-2025-1091</w:t>
      </w:r>
      <w:r>
        <w:rPr>
          <w:rFonts w:hint="eastAsia" w:ascii="Times New Roman" w:hAnsi="Times New Roman" w:eastAsia="仿宋_GB2312" w:cs="Times New Roman"/>
          <w:color w:val="auto"/>
          <w:kern w:val="2"/>
          <w:sz w:val="28"/>
          <w:szCs w:val="28"/>
          <w:u w:val="single"/>
          <w:lang w:val="en-US" w:eastAsia="zh-CN" w:bidi="ar-SA"/>
        </w:rPr>
        <w:t>的</w:t>
      </w:r>
      <w:r>
        <w:rPr>
          <w:rFonts w:hint="eastAsia" w:ascii="Times New Roman" w:hAnsi="Times New Roman" w:eastAsia="仿宋_GB2312" w:cs="Times New Roman"/>
          <w:color w:val="auto"/>
          <w:kern w:val="2"/>
          <w:sz w:val="28"/>
          <w:szCs w:val="28"/>
          <w:u w:val="single"/>
          <w:lang w:val="en" w:eastAsia="zh-CN" w:bidi="ar-SA"/>
        </w:rPr>
        <w:t>河南应用技术职业学院三校区2025-2027年物业服务项目</w:t>
      </w:r>
      <w:r>
        <w:rPr>
          <w:rFonts w:hint="default" w:ascii="Times New Roman" w:hAnsi="Times New Roman" w:eastAsia="仿宋_GB2312" w:cs="Times New Roman"/>
          <w:color w:val="auto"/>
          <w:kern w:val="2"/>
          <w:sz w:val="28"/>
          <w:szCs w:val="28"/>
          <w:lang w:val="en-US" w:eastAsia="zh-CN" w:bidi="ar-SA"/>
        </w:rPr>
        <w:t>（</w:t>
      </w:r>
      <w:r>
        <w:rPr>
          <w:rFonts w:hint="eastAsia" w:ascii="Times New Roman" w:hAnsi="Times New Roman" w:eastAsia="仿宋_GB2312" w:cs="Times New Roman"/>
          <w:color w:val="auto"/>
          <w:kern w:val="2"/>
          <w:sz w:val="28"/>
          <w:szCs w:val="28"/>
          <w:lang w:val="en-US" w:eastAsia="zh-CN" w:bidi="ar-SA"/>
        </w:rPr>
        <w:t>包号:</w:t>
      </w:r>
      <w:r>
        <w:rPr>
          <w:rFonts w:hint="default" w:ascii="Times New Roman" w:hAnsi="Times New Roman" w:eastAsia="仿宋_GB2312" w:cs="Times New Roman"/>
          <w:color w:val="auto"/>
          <w:kern w:val="2"/>
          <w:sz w:val="28"/>
          <w:szCs w:val="28"/>
          <w:lang w:val="en-US" w:eastAsia="zh-CN" w:bidi="ar-SA"/>
        </w:rPr>
        <w:t xml:space="preserve"> </w:t>
      </w:r>
      <w:r>
        <w:rPr>
          <w:rFonts w:hint="eastAsia" w:ascii="Times New Roman" w:hAnsi="Times New Roman" w:eastAsia="仿宋_GB2312" w:cs="Times New Roman"/>
          <w:color w:val="auto"/>
          <w:kern w:val="2"/>
          <w:sz w:val="28"/>
          <w:szCs w:val="28"/>
          <w:u w:val="single"/>
          <w:lang w:val="en-US" w:eastAsia="zh-CN" w:bidi="ar-SA"/>
        </w:rPr>
        <w:t xml:space="preserve">          </w:t>
      </w:r>
      <w:r>
        <w:rPr>
          <w:rFonts w:hint="default" w:ascii="Times New Roman" w:hAnsi="Times New Roman" w:eastAsia="仿宋_GB2312" w:cs="Times New Roman"/>
          <w:color w:val="auto"/>
          <w:kern w:val="2"/>
          <w:sz w:val="28"/>
          <w:szCs w:val="28"/>
          <w:lang w:val="en-US" w:eastAsia="zh-CN" w:bidi="ar-SA"/>
        </w:rPr>
        <w:t>）的投标,并做出如下承诺：</w:t>
      </w:r>
    </w:p>
    <w:p w14:paraId="660F6034">
      <w:pPr>
        <w:spacing w:line="360" w:lineRule="auto"/>
        <w:ind w:firstLine="560" w:firstLineChars="200"/>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我方具有履行合同所必需的设备和专业技术能力。</w:t>
      </w:r>
    </w:p>
    <w:p w14:paraId="3AB133BA">
      <w:pPr>
        <w:spacing w:line="360" w:lineRule="auto"/>
        <w:ind w:firstLine="560" w:firstLineChars="200"/>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我方保证上述信息的真实和准确，并愿意承担因我方就此弄虚作假所引起的一切法律后果。</w:t>
      </w:r>
    </w:p>
    <w:p w14:paraId="22503078">
      <w:pPr>
        <w:spacing w:line="360" w:lineRule="auto"/>
        <w:ind w:firstLine="560" w:firstLineChars="200"/>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特此声明！</w:t>
      </w:r>
    </w:p>
    <w:p w14:paraId="740770CF">
      <w:pPr>
        <w:tabs>
          <w:tab w:val="left" w:pos="6300"/>
        </w:tabs>
        <w:snapToGrid w:val="0"/>
        <w:spacing w:line="360" w:lineRule="auto"/>
        <w:ind w:firstLine="277" w:firstLineChars="99"/>
        <w:rPr>
          <w:rFonts w:hint="default" w:ascii="Times New Roman" w:hAnsi="Times New Roman" w:eastAsia="仿宋_GB2312" w:cs="Times New Roman"/>
          <w:color w:val="auto"/>
          <w:kern w:val="2"/>
          <w:sz w:val="28"/>
          <w:szCs w:val="28"/>
          <w:lang w:val="en-US" w:eastAsia="zh-CN" w:bidi="ar-SA"/>
        </w:rPr>
      </w:pPr>
    </w:p>
    <w:p w14:paraId="52FA9763">
      <w:pPr>
        <w:spacing w:line="360" w:lineRule="exact"/>
        <w:ind w:firstLine="3640" w:firstLineChars="1300"/>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投标人（企业电子签章）：</w:t>
      </w:r>
    </w:p>
    <w:p w14:paraId="6F7E52E8">
      <w:pPr>
        <w:spacing w:line="360" w:lineRule="exact"/>
        <w:ind w:firstLine="420"/>
        <w:jc w:val="right"/>
        <w:rPr>
          <w:rFonts w:hint="default" w:ascii="宋体" w:hAnsi="宋体" w:eastAsia="宋体" w:cs="宋体"/>
          <w:color w:val="auto"/>
          <w:sz w:val="28"/>
          <w:szCs w:val="28"/>
          <w:lang w:eastAsia="zh-CN"/>
        </w:rPr>
      </w:pPr>
    </w:p>
    <w:p w14:paraId="17BA0994">
      <w:pPr>
        <w:spacing w:line="360" w:lineRule="auto"/>
        <w:ind w:firstLine="556"/>
        <w:jc w:val="right"/>
        <w:rPr>
          <w:rFonts w:hint="default" w:ascii="宋体" w:hAnsi="宋体" w:eastAsia="宋体" w:cs="宋体"/>
          <w:color w:val="auto"/>
          <w:sz w:val="28"/>
          <w:szCs w:val="28"/>
          <w:lang w:eastAsia="zh-CN"/>
        </w:rPr>
      </w:pPr>
    </w:p>
    <w:p w14:paraId="36F4BC0F">
      <w:pPr>
        <w:tabs>
          <w:tab w:val="left" w:pos="6300"/>
        </w:tabs>
        <w:snapToGrid w:val="0"/>
        <w:spacing w:line="360" w:lineRule="auto"/>
        <w:ind w:firstLine="277" w:firstLineChars="99"/>
        <w:jc w:val="center"/>
        <w:rPr>
          <w:rFonts w:hint="default" w:ascii="Times New Roman" w:hAnsi="Times New Roman" w:eastAsia="仿宋_GB2312" w:cs="Times New Roman"/>
          <w:color w:val="auto"/>
          <w:kern w:val="2"/>
          <w:sz w:val="28"/>
          <w:szCs w:val="28"/>
          <w:lang w:val="en-US" w:eastAsia="zh-CN" w:bidi="ar-SA"/>
        </w:rPr>
      </w:pPr>
      <w:r>
        <w:rPr>
          <w:rFonts w:ascii="宋体" w:hAnsi="宋体" w:eastAsia="宋体" w:cs="宋体"/>
          <w:color w:val="auto"/>
          <w:sz w:val="28"/>
          <w:szCs w:val="28"/>
          <w:lang w:val="en-US" w:eastAsia="zh-CN"/>
        </w:rPr>
        <w:t xml:space="preserve">              </w:t>
      </w:r>
      <w:r>
        <w:rPr>
          <w:rFonts w:hint="default" w:ascii="Times New Roman" w:hAnsi="Times New Roman" w:eastAsia="仿宋_GB2312" w:cs="Times New Roman"/>
          <w:color w:val="auto"/>
          <w:kern w:val="2"/>
          <w:sz w:val="28"/>
          <w:szCs w:val="28"/>
          <w:lang w:val="en-US" w:eastAsia="zh-CN" w:bidi="ar-SA"/>
        </w:rPr>
        <w:t>日期：</w:t>
      </w:r>
      <w:r>
        <w:rPr>
          <w:rFonts w:hint="default" w:ascii="Times New Roman" w:hAnsi="Times New Roman" w:eastAsia="仿宋_GB2312" w:cs="Times New Roman"/>
          <w:color w:val="auto"/>
          <w:kern w:val="2"/>
          <w:sz w:val="28"/>
          <w:szCs w:val="28"/>
          <w:u w:val="single"/>
          <w:lang w:val="en" w:eastAsia="zh-CN" w:bidi="ar-SA"/>
        </w:rPr>
        <w:t xml:space="preserve">      </w:t>
      </w:r>
      <w:r>
        <w:rPr>
          <w:rFonts w:hint="default" w:ascii="Times New Roman" w:hAnsi="Times New Roman" w:eastAsia="仿宋_GB2312" w:cs="Times New Roman"/>
          <w:color w:val="auto"/>
          <w:kern w:val="2"/>
          <w:sz w:val="28"/>
          <w:szCs w:val="28"/>
          <w:lang w:val="en-US" w:eastAsia="zh-CN" w:bidi="ar-SA"/>
        </w:rPr>
        <w:t>年</w:t>
      </w:r>
      <w:r>
        <w:rPr>
          <w:rFonts w:hint="default" w:ascii="Times New Roman" w:hAnsi="Times New Roman" w:eastAsia="仿宋_GB2312" w:cs="Times New Roman"/>
          <w:color w:val="auto"/>
          <w:kern w:val="2"/>
          <w:sz w:val="28"/>
          <w:szCs w:val="28"/>
          <w:u w:val="single"/>
          <w:lang w:val="en" w:eastAsia="zh-CN" w:bidi="ar-SA"/>
        </w:rPr>
        <w:t xml:space="preserve">   </w:t>
      </w:r>
      <w:r>
        <w:rPr>
          <w:rFonts w:hint="default" w:ascii="Times New Roman" w:hAnsi="Times New Roman" w:eastAsia="仿宋_GB2312" w:cs="Times New Roman"/>
          <w:color w:val="auto"/>
          <w:kern w:val="2"/>
          <w:sz w:val="28"/>
          <w:szCs w:val="28"/>
          <w:lang w:val="en-US" w:eastAsia="zh-CN" w:bidi="ar-SA"/>
        </w:rPr>
        <w:t>月</w:t>
      </w:r>
      <w:r>
        <w:rPr>
          <w:rFonts w:hint="default" w:ascii="Times New Roman" w:hAnsi="Times New Roman" w:eastAsia="仿宋_GB2312" w:cs="Times New Roman"/>
          <w:color w:val="auto"/>
          <w:kern w:val="2"/>
          <w:sz w:val="28"/>
          <w:szCs w:val="28"/>
          <w:u w:val="single"/>
          <w:lang w:val="en" w:eastAsia="zh-CN" w:bidi="ar-SA"/>
        </w:rPr>
        <w:t xml:space="preserve">   </w:t>
      </w:r>
      <w:r>
        <w:rPr>
          <w:rFonts w:hint="default" w:ascii="Times New Roman" w:hAnsi="Times New Roman" w:eastAsia="仿宋_GB2312" w:cs="Times New Roman"/>
          <w:color w:val="auto"/>
          <w:kern w:val="2"/>
          <w:sz w:val="28"/>
          <w:szCs w:val="28"/>
          <w:lang w:val="en-US" w:eastAsia="zh-CN" w:bidi="ar-SA"/>
        </w:rPr>
        <w:t>日</w:t>
      </w:r>
    </w:p>
    <w:p w14:paraId="451575A6">
      <w:pPr>
        <w:pStyle w:val="197"/>
        <w:tabs>
          <w:tab w:val="left" w:pos="5580"/>
        </w:tabs>
        <w:spacing w:line="360" w:lineRule="auto"/>
        <w:ind w:left="1080" w:hanging="540"/>
        <w:jc w:val="center"/>
        <w:rPr>
          <w:b/>
          <w:bCs/>
          <w:color w:val="auto"/>
          <w:sz w:val="24"/>
          <w:szCs w:val="24"/>
        </w:rPr>
      </w:pPr>
    </w:p>
    <w:p w14:paraId="23B45394">
      <w:pPr>
        <w:pStyle w:val="3"/>
        <w:jc w:val="center"/>
        <w:rPr>
          <w:rFonts w:ascii="宋体" w:hAnsi="宋体" w:cs="宋体"/>
          <w:b w:val="0"/>
          <w:color w:val="auto"/>
          <w:sz w:val="30"/>
          <w:szCs w:val="30"/>
          <w:lang w:val="en-US" w:eastAsia="zh-CN"/>
        </w:rPr>
      </w:pPr>
      <w:bookmarkStart w:id="400" w:name="_Toc897167010_WPSOffice_Level3"/>
      <w:bookmarkStart w:id="401" w:name="_Toc2058865505"/>
      <w:bookmarkStart w:id="402" w:name="_Toc1625950936"/>
      <w:bookmarkStart w:id="403" w:name="_Toc1835514155"/>
      <w:bookmarkStart w:id="404" w:name="_Toc1989881438"/>
      <w:bookmarkStart w:id="405" w:name="_Toc2139213640"/>
      <w:bookmarkStart w:id="406" w:name="_Toc438911815_WPSOffice_Level2"/>
      <w:bookmarkStart w:id="407" w:name="_Toc242026376"/>
      <w:bookmarkStart w:id="408" w:name="_Toc1596637222"/>
      <w:bookmarkStart w:id="409" w:name="_Toc288533216"/>
      <w:bookmarkStart w:id="410" w:name="_Toc683069219"/>
      <w:bookmarkStart w:id="411" w:name="_Toc15280674"/>
      <w:bookmarkStart w:id="412" w:name="_Toc1206650936"/>
      <w:bookmarkStart w:id="413" w:name="_Toc933578141"/>
      <w:r>
        <w:rPr>
          <w:rFonts w:hint="eastAsia" w:ascii="宋体" w:hAnsi="宋体" w:cs="宋体"/>
          <w:b w:val="0"/>
          <w:color w:val="auto"/>
          <w:sz w:val="30"/>
          <w:szCs w:val="30"/>
          <w:lang w:val="en-US" w:eastAsia="zh-CN"/>
        </w:rPr>
        <w:br w:type="page"/>
      </w:r>
      <w:r>
        <w:rPr>
          <w:rFonts w:hint="eastAsia" w:ascii="Times New Roman" w:hAnsi="Times New Roman" w:eastAsia="方正小标宋_GBK"/>
          <w:b w:val="0"/>
          <w:color w:val="auto"/>
          <w:sz w:val="30"/>
          <w:szCs w:val="30"/>
          <w:lang w:val="en-US" w:eastAsia="zh-CN"/>
        </w:rPr>
        <w:t>五、参加政府采购活动前3年内在经营活动中没有重大违法记录的</w:t>
      </w:r>
      <w:bookmarkEnd w:id="400"/>
      <w:bookmarkEnd w:id="401"/>
      <w:bookmarkEnd w:id="402"/>
      <w:bookmarkEnd w:id="403"/>
      <w:bookmarkEnd w:id="404"/>
      <w:bookmarkEnd w:id="405"/>
      <w:r>
        <w:rPr>
          <w:rFonts w:hint="eastAsia" w:ascii="Times New Roman" w:hAnsi="Times New Roman" w:eastAsia="方正小标宋_GBK"/>
          <w:b w:val="0"/>
          <w:color w:val="auto"/>
          <w:sz w:val="30"/>
          <w:szCs w:val="30"/>
          <w:lang w:val="en-US" w:eastAsia="zh-CN"/>
        </w:rPr>
        <w:t>声明</w:t>
      </w:r>
      <w:bookmarkEnd w:id="406"/>
      <w:bookmarkEnd w:id="407"/>
      <w:bookmarkEnd w:id="408"/>
      <w:bookmarkEnd w:id="409"/>
      <w:bookmarkEnd w:id="410"/>
      <w:bookmarkEnd w:id="411"/>
      <w:bookmarkEnd w:id="412"/>
      <w:bookmarkEnd w:id="413"/>
    </w:p>
    <w:p w14:paraId="1F7F98DA">
      <w:pPr>
        <w:spacing w:line="360" w:lineRule="auto"/>
        <w:jc w:val="left"/>
        <w:rPr>
          <w:rFonts w:hint="default" w:ascii="Times New Roman" w:hAnsi="Times New Roman" w:eastAsia="仿宋_GB2312" w:cs="Times New Roman"/>
          <w:color w:val="auto"/>
          <w:kern w:val="2"/>
          <w:sz w:val="28"/>
          <w:szCs w:val="28"/>
          <w:lang w:val="en" w:eastAsia="zh-CN" w:bidi="ar-SA"/>
        </w:rPr>
      </w:pPr>
      <w:r>
        <w:rPr>
          <w:rFonts w:hint="default" w:ascii="Times New Roman" w:hAnsi="Times New Roman" w:eastAsia="仿宋_GB2312" w:cs="Times New Roman"/>
          <w:color w:val="auto"/>
          <w:kern w:val="2"/>
          <w:sz w:val="28"/>
          <w:szCs w:val="28"/>
          <w:lang w:val="en-US" w:eastAsia="zh-CN" w:bidi="ar-SA"/>
        </w:rPr>
        <w:t>致：</w:t>
      </w:r>
      <w:r>
        <w:rPr>
          <w:rFonts w:hint="default" w:ascii="Times New Roman" w:hAnsi="Times New Roman" w:eastAsia="仿宋_GB2312" w:cs="Times New Roman"/>
          <w:color w:val="auto"/>
          <w:kern w:val="2"/>
          <w:sz w:val="28"/>
          <w:szCs w:val="28"/>
          <w:u w:val="single"/>
          <w:lang w:val="en" w:eastAsia="zh-CN" w:bidi="ar-SA"/>
        </w:rPr>
        <w:t>河南应用技术职业学院</w:t>
      </w:r>
    </w:p>
    <w:p w14:paraId="4BFF9564">
      <w:pPr>
        <w:spacing w:line="360" w:lineRule="auto"/>
        <w:ind w:firstLine="560" w:firstLineChars="200"/>
        <w:jc w:val="left"/>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我（单位/本人，以下统称我单位）自愿参加采购项目编号为</w:t>
      </w:r>
      <w:r>
        <w:rPr>
          <w:rFonts w:hint="eastAsia" w:ascii="Times New Roman" w:hAnsi="Times New Roman" w:eastAsia="仿宋_GB2312" w:cs="Times New Roman"/>
          <w:color w:val="auto"/>
          <w:kern w:val="2"/>
          <w:sz w:val="28"/>
          <w:szCs w:val="28"/>
          <w:u w:val="single"/>
          <w:lang w:val="en" w:eastAsia="zh-CN" w:bidi="ar-SA"/>
        </w:rPr>
        <w:t>豫财招标采购-2025-1091</w:t>
      </w:r>
      <w:r>
        <w:rPr>
          <w:rFonts w:hint="eastAsia" w:ascii="Times New Roman" w:hAnsi="Times New Roman" w:eastAsia="仿宋_GB2312" w:cs="Times New Roman"/>
          <w:color w:val="auto"/>
          <w:kern w:val="2"/>
          <w:sz w:val="28"/>
          <w:szCs w:val="28"/>
          <w:u w:val="single"/>
          <w:lang w:val="en-US" w:eastAsia="zh-CN" w:bidi="ar-SA"/>
        </w:rPr>
        <w:t>的</w:t>
      </w:r>
      <w:r>
        <w:rPr>
          <w:rFonts w:hint="eastAsia" w:ascii="Times New Roman" w:hAnsi="Times New Roman" w:eastAsia="仿宋_GB2312" w:cs="Times New Roman"/>
          <w:color w:val="auto"/>
          <w:kern w:val="2"/>
          <w:sz w:val="28"/>
          <w:szCs w:val="28"/>
          <w:u w:val="single"/>
          <w:lang w:val="en" w:eastAsia="zh-CN" w:bidi="ar-SA"/>
        </w:rPr>
        <w:t>河南应用技术职业学院三校区2025-2027年物业服务项目</w:t>
      </w:r>
      <w:r>
        <w:rPr>
          <w:rFonts w:hint="default" w:ascii="Times New Roman" w:hAnsi="Times New Roman" w:eastAsia="仿宋_GB2312" w:cs="Times New Roman"/>
          <w:color w:val="auto"/>
          <w:kern w:val="2"/>
          <w:sz w:val="28"/>
          <w:szCs w:val="28"/>
          <w:lang w:val="en-US" w:eastAsia="zh-CN" w:bidi="ar-SA"/>
        </w:rPr>
        <w:t>（</w:t>
      </w:r>
      <w:r>
        <w:rPr>
          <w:rFonts w:hint="eastAsia" w:ascii="Times New Roman" w:hAnsi="Times New Roman" w:eastAsia="仿宋_GB2312" w:cs="Times New Roman"/>
          <w:color w:val="auto"/>
          <w:kern w:val="2"/>
          <w:sz w:val="28"/>
          <w:szCs w:val="28"/>
          <w:lang w:val="en-US" w:eastAsia="zh-CN" w:bidi="ar-SA"/>
        </w:rPr>
        <w:t>包号:</w:t>
      </w:r>
      <w:r>
        <w:rPr>
          <w:rFonts w:hint="default" w:ascii="Times New Roman" w:hAnsi="Times New Roman" w:eastAsia="仿宋_GB2312" w:cs="Times New Roman"/>
          <w:color w:val="auto"/>
          <w:kern w:val="2"/>
          <w:sz w:val="28"/>
          <w:szCs w:val="28"/>
          <w:lang w:val="en-US" w:eastAsia="zh-CN" w:bidi="ar-SA"/>
        </w:rPr>
        <w:t xml:space="preserve"> </w:t>
      </w:r>
      <w:r>
        <w:rPr>
          <w:rFonts w:hint="eastAsia" w:ascii="Times New Roman" w:hAnsi="Times New Roman" w:eastAsia="仿宋_GB2312" w:cs="Times New Roman"/>
          <w:color w:val="auto"/>
          <w:kern w:val="2"/>
          <w:sz w:val="28"/>
          <w:szCs w:val="28"/>
          <w:u w:val="single"/>
          <w:lang w:val="en-US" w:eastAsia="zh-CN" w:bidi="ar-SA"/>
        </w:rPr>
        <w:t xml:space="preserve">          </w:t>
      </w:r>
      <w:r>
        <w:rPr>
          <w:rFonts w:hint="default" w:ascii="Times New Roman" w:hAnsi="Times New Roman" w:eastAsia="仿宋_GB2312" w:cs="Times New Roman"/>
          <w:color w:val="auto"/>
          <w:kern w:val="2"/>
          <w:sz w:val="28"/>
          <w:szCs w:val="28"/>
          <w:lang w:val="en-US" w:eastAsia="zh-CN" w:bidi="ar-SA"/>
        </w:rPr>
        <w:t>）的投标,并做出如下承诺：</w:t>
      </w:r>
    </w:p>
    <w:p w14:paraId="4910F4F7">
      <w:pPr>
        <w:spacing w:line="360" w:lineRule="auto"/>
        <w:ind w:firstLine="560" w:firstLineChars="200"/>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我公司信誉良好，参加政府采购活动前三年内，在经营活动中没有重大违法记录。在“信用中国”网站（www.creditchina.gov.cn）未被列入失信被执行人、重大税收违法案件当事人名单；在 “中国政府采购网” （www.ccgp.gov.cn）未被列入政府采购严重违法失信行为记录名单。</w:t>
      </w:r>
    </w:p>
    <w:p w14:paraId="6038F7CA">
      <w:pPr>
        <w:spacing w:line="360" w:lineRule="auto"/>
        <w:ind w:firstLine="560" w:firstLineChars="200"/>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我方保证上述信息的真实和准确，并愿意承担因我方就此弄虚作假所引起的一切法律后果。</w:t>
      </w:r>
    </w:p>
    <w:p w14:paraId="61D74754">
      <w:pPr>
        <w:spacing w:line="360" w:lineRule="auto"/>
        <w:ind w:firstLine="560" w:firstLineChars="200"/>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特此声明！</w:t>
      </w:r>
    </w:p>
    <w:p w14:paraId="1BEC6A55">
      <w:pPr>
        <w:spacing w:line="360" w:lineRule="auto"/>
        <w:ind w:firstLine="560" w:firstLineChars="200"/>
        <w:rPr>
          <w:rFonts w:hint="default" w:ascii="宋体" w:hAnsi="宋体" w:eastAsia="宋体" w:cs="宋体"/>
          <w:sz w:val="28"/>
          <w:szCs w:val="28"/>
          <w:lang w:eastAsia="zh-CN"/>
        </w:rPr>
      </w:pPr>
    </w:p>
    <w:p w14:paraId="485B99D4">
      <w:pPr>
        <w:spacing w:line="360" w:lineRule="exact"/>
        <w:ind w:firstLine="3640" w:firstLineChars="1300"/>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投标人（企业电子签章）：</w:t>
      </w:r>
    </w:p>
    <w:p w14:paraId="7EE0B840">
      <w:pPr>
        <w:spacing w:line="360" w:lineRule="exact"/>
        <w:ind w:firstLine="420"/>
        <w:jc w:val="right"/>
        <w:rPr>
          <w:rFonts w:hint="default" w:ascii="宋体" w:hAnsi="宋体" w:eastAsia="宋体" w:cs="宋体"/>
          <w:color w:val="auto"/>
          <w:sz w:val="28"/>
          <w:szCs w:val="28"/>
          <w:lang w:eastAsia="zh-CN"/>
        </w:rPr>
      </w:pPr>
    </w:p>
    <w:p w14:paraId="364264AF">
      <w:pPr>
        <w:spacing w:line="360" w:lineRule="auto"/>
        <w:ind w:firstLine="556"/>
        <w:jc w:val="right"/>
        <w:rPr>
          <w:rFonts w:hint="default" w:ascii="宋体" w:hAnsi="宋体" w:eastAsia="宋体" w:cs="宋体"/>
          <w:color w:val="auto"/>
          <w:sz w:val="28"/>
          <w:szCs w:val="28"/>
          <w:lang w:eastAsia="zh-CN"/>
        </w:rPr>
      </w:pPr>
    </w:p>
    <w:p w14:paraId="27D08F10">
      <w:pPr>
        <w:tabs>
          <w:tab w:val="left" w:pos="6300"/>
        </w:tabs>
        <w:snapToGrid w:val="0"/>
        <w:spacing w:line="360" w:lineRule="auto"/>
        <w:ind w:firstLine="277" w:firstLineChars="99"/>
        <w:jc w:val="center"/>
        <w:rPr>
          <w:rFonts w:hint="default" w:ascii="Times New Roman" w:hAnsi="Times New Roman" w:eastAsia="仿宋_GB2312" w:cs="Times New Roman"/>
          <w:color w:val="auto"/>
          <w:kern w:val="2"/>
          <w:sz w:val="28"/>
          <w:szCs w:val="28"/>
          <w:lang w:val="en-US" w:eastAsia="zh-CN" w:bidi="ar-SA"/>
        </w:rPr>
      </w:pPr>
      <w:r>
        <w:rPr>
          <w:rFonts w:ascii="宋体" w:hAnsi="宋体" w:eastAsia="宋体" w:cs="宋体"/>
          <w:color w:val="auto"/>
          <w:sz w:val="28"/>
          <w:szCs w:val="28"/>
          <w:lang w:val="en-US" w:eastAsia="zh-CN"/>
        </w:rPr>
        <w:t xml:space="preserve">              </w:t>
      </w:r>
      <w:r>
        <w:rPr>
          <w:rFonts w:hint="default" w:ascii="Times New Roman" w:hAnsi="Times New Roman" w:eastAsia="仿宋_GB2312" w:cs="Times New Roman"/>
          <w:color w:val="auto"/>
          <w:kern w:val="2"/>
          <w:sz w:val="28"/>
          <w:szCs w:val="28"/>
          <w:lang w:val="en-US" w:eastAsia="zh-CN" w:bidi="ar-SA"/>
        </w:rPr>
        <w:t>日期：</w:t>
      </w:r>
      <w:r>
        <w:rPr>
          <w:rFonts w:hint="default" w:ascii="Times New Roman" w:hAnsi="Times New Roman" w:eastAsia="仿宋_GB2312" w:cs="Times New Roman"/>
          <w:color w:val="auto"/>
          <w:kern w:val="2"/>
          <w:sz w:val="28"/>
          <w:szCs w:val="28"/>
          <w:u w:val="single"/>
          <w:lang w:val="en" w:eastAsia="zh-CN" w:bidi="ar-SA"/>
        </w:rPr>
        <w:t xml:space="preserve">      </w:t>
      </w:r>
      <w:r>
        <w:rPr>
          <w:rFonts w:hint="default" w:ascii="Times New Roman" w:hAnsi="Times New Roman" w:eastAsia="仿宋_GB2312" w:cs="Times New Roman"/>
          <w:color w:val="auto"/>
          <w:kern w:val="2"/>
          <w:sz w:val="28"/>
          <w:szCs w:val="28"/>
          <w:lang w:val="en-US" w:eastAsia="zh-CN" w:bidi="ar-SA"/>
        </w:rPr>
        <w:t>年</w:t>
      </w:r>
      <w:r>
        <w:rPr>
          <w:rFonts w:hint="default" w:ascii="Times New Roman" w:hAnsi="Times New Roman" w:eastAsia="仿宋_GB2312" w:cs="Times New Roman"/>
          <w:color w:val="auto"/>
          <w:kern w:val="2"/>
          <w:sz w:val="28"/>
          <w:szCs w:val="28"/>
          <w:u w:val="single"/>
          <w:lang w:val="en" w:eastAsia="zh-CN" w:bidi="ar-SA"/>
        </w:rPr>
        <w:t xml:space="preserve">   </w:t>
      </w:r>
      <w:r>
        <w:rPr>
          <w:rFonts w:hint="default" w:ascii="Times New Roman" w:hAnsi="Times New Roman" w:eastAsia="仿宋_GB2312" w:cs="Times New Roman"/>
          <w:color w:val="auto"/>
          <w:kern w:val="2"/>
          <w:sz w:val="28"/>
          <w:szCs w:val="28"/>
          <w:lang w:val="en-US" w:eastAsia="zh-CN" w:bidi="ar-SA"/>
        </w:rPr>
        <w:t>月</w:t>
      </w:r>
      <w:r>
        <w:rPr>
          <w:rFonts w:hint="default" w:ascii="Times New Roman" w:hAnsi="Times New Roman" w:eastAsia="仿宋_GB2312" w:cs="Times New Roman"/>
          <w:color w:val="auto"/>
          <w:kern w:val="2"/>
          <w:sz w:val="28"/>
          <w:szCs w:val="28"/>
          <w:u w:val="single"/>
          <w:lang w:val="en" w:eastAsia="zh-CN" w:bidi="ar-SA"/>
        </w:rPr>
        <w:t xml:space="preserve">   </w:t>
      </w:r>
      <w:r>
        <w:rPr>
          <w:rFonts w:hint="default" w:ascii="Times New Roman" w:hAnsi="Times New Roman" w:eastAsia="仿宋_GB2312" w:cs="Times New Roman"/>
          <w:color w:val="auto"/>
          <w:kern w:val="2"/>
          <w:sz w:val="28"/>
          <w:szCs w:val="28"/>
          <w:lang w:val="en-US" w:eastAsia="zh-CN" w:bidi="ar-SA"/>
        </w:rPr>
        <w:t>日</w:t>
      </w:r>
    </w:p>
    <w:p w14:paraId="2EDF7816">
      <w:pPr>
        <w:spacing w:line="360" w:lineRule="auto"/>
        <w:rPr>
          <w:rFonts w:hint="default" w:ascii="Times New Roman" w:hAnsi="Times New Roman" w:eastAsia="仿宋_GB2312" w:cs="Times New Roman"/>
          <w:color w:val="auto"/>
          <w:kern w:val="2"/>
          <w:sz w:val="28"/>
          <w:szCs w:val="28"/>
          <w:lang w:val="zh-TW" w:eastAsia="zh-CN" w:bidi="ar-SA"/>
        </w:rPr>
      </w:pPr>
      <w:r>
        <w:rPr>
          <w:rFonts w:hint="eastAsia" w:ascii="Times New Roman" w:hAnsi="Times New Roman" w:eastAsia="仿宋_GB2312" w:cs="Times New Roman"/>
          <w:color w:val="auto"/>
          <w:kern w:val="2"/>
          <w:sz w:val="28"/>
          <w:szCs w:val="28"/>
          <w:lang w:val="zh-TW" w:eastAsia="zh-CN" w:bidi="ar-SA"/>
        </w:rPr>
        <w:t>说明：</w:t>
      </w:r>
    </w:p>
    <w:p w14:paraId="30CC6D11">
      <w:pPr>
        <w:spacing w:line="360" w:lineRule="auto"/>
        <w:ind w:firstLine="560" w:firstLineChars="200"/>
        <w:rPr>
          <w:rFonts w:hint="default"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kern w:val="2"/>
          <w:sz w:val="28"/>
          <w:szCs w:val="28"/>
          <w:lang w:val="en-US" w:eastAsia="zh-CN" w:bidi="ar-SA"/>
        </w:rPr>
        <w:t>1.</w:t>
      </w:r>
      <w:r>
        <w:rPr>
          <w:rFonts w:hint="eastAsia" w:ascii="Times New Roman" w:hAnsi="Times New Roman" w:eastAsia="仿宋_GB2312" w:cs="Times New Roman"/>
          <w:color w:val="auto"/>
          <w:kern w:val="2"/>
          <w:sz w:val="28"/>
          <w:szCs w:val="28"/>
          <w:lang w:val="zh-TW" w:eastAsia="zh-CN" w:bidi="ar-SA"/>
        </w:rPr>
        <w:t>投标人应按照相关法规规定如实做出说明。</w:t>
      </w:r>
    </w:p>
    <w:p w14:paraId="2FBEF20B">
      <w:pPr>
        <w:spacing w:line="360" w:lineRule="auto"/>
        <w:ind w:firstLine="560" w:firstLineChars="200"/>
        <w:rPr>
          <w:rFonts w:hint="default"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kern w:val="2"/>
          <w:sz w:val="28"/>
          <w:szCs w:val="28"/>
          <w:lang w:val="en-US" w:eastAsia="zh-CN" w:bidi="ar-SA"/>
        </w:rPr>
        <w:t>2</w:t>
      </w:r>
      <w:r>
        <w:rPr>
          <w:rFonts w:hint="eastAsia" w:ascii="Times New Roman" w:hAnsi="Times New Roman" w:eastAsia="仿宋_GB2312" w:cs="Times New Roman"/>
          <w:color w:val="auto"/>
          <w:kern w:val="2"/>
          <w:sz w:val="28"/>
          <w:szCs w:val="28"/>
          <w:lang w:val="zh-TW" w:eastAsia="zh-CN" w:bidi="ar-SA"/>
        </w:rPr>
        <w:t>．按照招标文件的规定加盖企业电子签章（自然人投标的无需盖章，需要签字）。</w:t>
      </w:r>
    </w:p>
    <w:p w14:paraId="156932B5">
      <w:pPr>
        <w:spacing w:line="360" w:lineRule="auto"/>
        <w:ind w:firstLine="560" w:firstLineChars="200"/>
        <w:rPr>
          <w:rFonts w:hint="default" w:ascii="Times New Roman" w:hAnsi="Times New Roman" w:eastAsia="仿宋_GB2312" w:cs="Times New Roman"/>
          <w:color w:val="auto"/>
          <w:kern w:val="2"/>
          <w:sz w:val="28"/>
          <w:szCs w:val="28"/>
          <w:lang w:val="zh-TW" w:eastAsia="zh-CN" w:bidi="ar-SA"/>
        </w:rPr>
      </w:pPr>
      <w:r>
        <w:rPr>
          <w:rFonts w:hint="eastAsia" w:ascii="Times New Roman" w:hAnsi="Times New Roman" w:eastAsia="仿宋_GB2312" w:cs="Times New Roman"/>
          <w:color w:val="auto"/>
          <w:kern w:val="2"/>
          <w:sz w:val="28"/>
          <w:szCs w:val="28"/>
          <w:lang w:val="en-US" w:eastAsia="zh-CN" w:bidi="ar-SA"/>
        </w:rPr>
        <w:t>3.</w:t>
      </w:r>
      <w:r>
        <w:rPr>
          <w:rFonts w:hint="eastAsia" w:ascii="Times New Roman" w:hAnsi="Times New Roman" w:eastAsia="仿宋_GB2312" w:cs="Times New Roman"/>
          <w:color w:val="auto"/>
          <w:kern w:val="2"/>
          <w:sz w:val="28"/>
          <w:szCs w:val="28"/>
          <w:lang w:val="zh-TW" w:eastAsia="zh-CN" w:bidi="ar-SA"/>
        </w:rPr>
        <w:t>如果是联合体投标，联合体各方均需提供上述证明。</w:t>
      </w:r>
    </w:p>
    <w:p w14:paraId="7006E102">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414" w:name="_Toc1184533414"/>
      <w:bookmarkStart w:id="415" w:name="_Toc98955996"/>
      <w:bookmarkStart w:id="416" w:name="_Toc2024909766"/>
      <w:bookmarkStart w:id="417" w:name="_Toc1999724387"/>
      <w:bookmarkStart w:id="418" w:name="_Toc1846317276"/>
      <w:bookmarkStart w:id="419" w:name="_Toc1192645811_WPSOffice_Level2"/>
      <w:bookmarkStart w:id="420" w:name="_Toc1497172548"/>
      <w:bookmarkStart w:id="421" w:name="_Toc1323492610"/>
      <w:bookmarkStart w:id="422" w:name="_Toc1528107318"/>
      <w:bookmarkStart w:id="423" w:name="_Toc2114111239"/>
      <w:bookmarkStart w:id="424" w:name="_Toc2035786603"/>
      <w:bookmarkStart w:id="425" w:name="_Toc1439922488"/>
      <w:bookmarkStart w:id="426" w:name="_Toc1412570441"/>
      <w:bookmarkStart w:id="427" w:name="_Toc497708290_WPSOffice_Level2"/>
      <w:bookmarkStart w:id="428" w:name="_Toc1310640400"/>
      <w:bookmarkStart w:id="429" w:name="_Toc1938095027"/>
      <w:bookmarkStart w:id="430" w:name="_Toc474620139"/>
      <w:bookmarkStart w:id="431" w:name="_Toc1614236527"/>
      <w:bookmarkStart w:id="432" w:name="_Toc658606622"/>
      <w:bookmarkStart w:id="433" w:name="_Toc934702901"/>
      <w:bookmarkStart w:id="434" w:name="_Toc1237822054"/>
      <w:bookmarkStart w:id="435" w:name="_Toc2073666225_WPSOffice_Level3"/>
      <w:bookmarkStart w:id="436" w:name="_Toc1462517689"/>
      <w:bookmarkStart w:id="437" w:name="_Toc996756161"/>
      <w:bookmarkStart w:id="438" w:name="_Toc320661673"/>
      <w:bookmarkStart w:id="439" w:name="_Toc1267967234"/>
      <w:r>
        <w:rPr>
          <w:rFonts w:hint="default" w:ascii="Times New Roman" w:hAnsi="Times New Roman" w:eastAsia="方正小标宋_GBK" w:cs="Times New Roman"/>
          <w:bCs/>
          <w:color w:val="auto"/>
          <w:kern w:val="0"/>
          <w:sz w:val="30"/>
          <w:szCs w:val="30"/>
          <w:lang w:val="en-US" w:eastAsia="zh-CN"/>
        </w:rPr>
        <w:t>六、</w:t>
      </w:r>
      <w:r>
        <w:rPr>
          <w:rFonts w:hint="default" w:ascii="Times New Roman" w:hAnsi="Times New Roman" w:eastAsia="方正小标宋_GBK" w:cs="Times New Roman"/>
          <w:bCs/>
          <w:color w:val="auto"/>
          <w:kern w:val="0"/>
          <w:sz w:val="30"/>
          <w:szCs w:val="30"/>
          <w:lang w:eastAsia="zh-CN"/>
        </w:rPr>
        <w:t>投标人关联单位的说明</w:t>
      </w:r>
    </w:p>
    <w:p w14:paraId="121B5793">
      <w:pPr>
        <w:spacing w:before="100" w:after="100" w:line="360" w:lineRule="auto"/>
        <w:ind w:firstLine="420"/>
        <w:jc w:val="left"/>
        <w:rPr>
          <w:rFonts w:hint="default" w:ascii="Times New Roman" w:hAnsi="Times New Roman" w:eastAsia="仿宋_GB2312" w:cs="Times New Roman"/>
          <w:color w:val="auto"/>
          <w:kern w:val="0"/>
          <w:sz w:val="28"/>
          <w:szCs w:val="28"/>
          <w:lang w:eastAsia="zh-CN"/>
        </w:rPr>
      </w:pPr>
    </w:p>
    <w:p w14:paraId="53AF51DE">
      <w:pPr>
        <w:spacing w:line="360" w:lineRule="auto"/>
        <w:ind w:firstLine="48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我单位作为本次采购项目的投标人，根据招标文件要求，现郑重承诺如下：</w:t>
      </w:r>
    </w:p>
    <w:p w14:paraId="6A874738">
      <w:pPr>
        <w:pStyle w:val="99"/>
        <w:spacing w:line="360" w:lineRule="auto"/>
        <w:rPr>
          <w:rFonts w:hint="default" w:ascii="Times New Roman" w:hAnsi="Times New Roman" w:eastAsia="仿宋_GB2312" w:cs="Times New Roman"/>
          <w:color w:val="auto"/>
          <w:kern w:val="2"/>
          <w:sz w:val="28"/>
          <w:szCs w:val="28"/>
          <w:lang w:val="en-US" w:eastAsia="zh-CN"/>
        </w:rPr>
      </w:pPr>
      <w:r>
        <w:rPr>
          <w:rFonts w:hint="default" w:ascii="Times New Roman" w:hAnsi="Times New Roman" w:eastAsia="仿宋_GB2312" w:cs="Times New Roman"/>
          <w:color w:val="auto"/>
          <w:kern w:val="2"/>
          <w:sz w:val="28"/>
          <w:szCs w:val="28"/>
          <w:lang w:val="en-US" w:eastAsia="zh-CN"/>
        </w:rPr>
        <w:t xml:space="preserve">   我单位参加本次招标采购活动，</w:t>
      </w:r>
      <w:r>
        <w:rPr>
          <w:rFonts w:hint="default" w:ascii="Times New Roman" w:hAnsi="Times New Roman" w:eastAsia="仿宋_GB2312" w:cs="Times New Roman"/>
          <w:color w:val="auto"/>
          <w:kern w:val="2"/>
          <w:sz w:val="28"/>
          <w:szCs w:val="28"/>
          <w:u w:val="single"/>
          <w:lang w:val="en-US" w:eastAsia="zh-CN"/>
        </w:rPr>
        <w:t xml:space="preserve">       </w:t>
      </w:r>
      <w:r>
        <w:rPr>
          <w:rFonts w:hint="default" w:ascii="Times New Roman" w:hAnsi="Times New Roman" w:eastAsia="仿宋_GB2312" w:cs="Times New Roman"/>
          <w:color w:val="auto"/>
          <w:kern w:val="2"/>
          <w:sz w:val="28"/>
          <w:szCs w:val="28"/>
          <w:lang w:val="en-US" w:eastAsia="zh-CN"/>
        </w:rPr>
        <w:t>（填写“存在”或“不存在”）与单位负责人为同一人或者存在直接控股、管理关系的其他投标人参与同一合同项下的投标活动行为。</w:t>
      </w:r>
    </w:p>
    <w:p w14:paraId="1C61652E">
      <w:pPr>
        <w:pStyle w:val="99"/>
        <w:rPr>
          <w:rFonts w:hint="default" w:ascii="Times New Roman" w:hAnsi="Times New Roman" w:eastAsia="仿宋_GB2312" w:cs="Times New Roman"/>
          <w:color w:val="auto"/>
          <w:kern w:val="2"/>
          <w:sz w:val="30"/>
          <w:szCs w:val="30"/>
          <w:lang w:val="en-US" w:eastAsia="zh-CN"/>
        </w:rPr>
      </w:pPr>
    </w:p>
    <w:p w14:paraId="6EDEBCBF">
      <w:pPr>
        <w:pStyle w:val="99"/>
        <w:rPr>
          <w:rFonts w:hint="default" w:ascii="Times New Roman" w:hAnsi="Times New Roman" w:cs="Times New Roman"/>
          <w:color w:val="auto"/>
          <w:lang w:eastAsia="zh-CN"/>
        </w:rPr>
      </w:pPr>
    </w:p>
    <w:p w14:paraId="2FC1F6D5">
      <w:pPr>
        <w:pStyle w:val="99"/>
        <w:rPr>
          <w:rFonts w:hint="default" w:ascii="Times New Roman" w:hAnsi="Times New Roman" w:cs="Times New Roman"/>
          <w:color w:val="auto"/>
          <w:lang w:eastAsia="zh-CN"/>
        </w:rPr>
      </w:pPr>
    </w:p>
    <w:p w14:paraId="7294EEA9">
      <w:pPr>
        <w:pStyle w:val="99"/>
        <w:rPr>
          <w:rFonts w:hint="default" w:ascii="Times New Roman" w:hAnsi="Times New Roman" w:cs="Times New Roman"/>
          <w:color w:val="auto"/>
          <w:lang w:eastAsia="zh-CN"/>
        </w:rPr>
      </w:pPr>
    </w:p>
    <w:p w14:paraId="179D4D64">
      <w:pPr>
        <w:spacing w:before="100" w:after="100" w:line="360" w:lineRule="auto"/>
        <w:jc w:val="left"/>
        <w:rPr>
          <w:rFonts w:hint="default" w:ascii="Times New Roman" w:hAnsi="Times New Roman" w:eastAsia="仿宋_GB2312" w:cs="Times New Roman"/>
          <w:color w:val="auto"/>
          <w:kern w:val="0"/>
          <w:sz w:val="28"/>
          <w:szCs w:val="28"/>
          <w:lang w:eastAsia="zh-CN"/>
        </w:rPr>
      </w:pPr>
    </w:p>
    <w:p w14:paraId="14C8F2EF">
      <w:pPr>
        <w:spacing w:before="100" w:after="100" w:line="360" w:lineRule="auto"/>
        <w:jc w:val="left"/>
        <w:rPr>
          <w:rFonts w:hint="default" w:ascii="Times New Roman" w:hAnsi="Times New Roman" w:eastAsia="仿宋_GB2312" w:cs="Times New Roman"/>
          <w:color w:val="auto"/>
          <w:kern w:val="0"/>
          <w:sz w:val="28"/>
          <w:szCs w:val="28"/>
          <w:lang w:eastAsia="zh-CN"/>
        </w:rPr>
      </w:pPr>
    </w:p>
    <w:p w14:paraId="4A91F8EA">
      <w:pPr>
        <w:spacing w:before="100" w:after="100" w:line="360" w:lineRule="auto"/>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 xml:space="preserve">  </w:t>
      </w:r>
    </w:p>
    <w:p w14:paraId="1299E946">
      <w:pPr>
        <w:pStyle w:val="17"/>
        <w:rPr>
          <w:rFonts w:ascii="Times New Roman" w:hAnsi="Times New Roman"/>
          <w:lang w:eastAsia="zh-CN"/>
        </w:rPr>
      </w:pPr>
    </w:p>
    <w:p w14:paraId="523AE464">
      <w:pPr>
        <w:spacing w:before="100" w:after="100" w:line="360" w:lineRule="auto"/>
        <w:ind w:firstLine="420"/>
        <w:jc w:val="left"/>
        <w:rPr>
          <w:rFonts w:hint="default" w:ascii="Times New Roman" w:hAnsi="Times New Roman" w:eastAsia="宋体" w:cs="Times New Roman"/>
          <w:color w:val="auto"/>
          <w:kern w:val="0"/>
          <w:sz w:val="24"/>
          <w:szCs w:val="24"/>
          <w:lang w:eastAsia="zh-CN"/>
        </w:rPr>
      </w:pPr>
    </w:p>
    <w:p w14:paraId="1F6DE0AB">
      <w:pPr>
        <w:spacing w:line="360" w:lineRule="auto"/>
        <w:ind w:firstLine="560" w:firstLineChars="200"/>
        <w:rPr>
          <w:rFonts w:hint="default" w:ascii="宋体" w:hAnsi="宋体" w:eastAsia="宋体" w:cs="宋体"/>
          <w:sz w:val="28"/>
          <w:szCs w:val="28"/>
          <w:lang w:eastAsia="zh-CN"/>
        </w:rPr>
      </w:pPr>
    </w:p>
    <w:p w14:paraId="48891EBC">
      <w:pPr>
        <w:spacing w:line="360" w:lineRule="exact"/>
        <w:ind w:firstLine="3640" w:firstLineChars="1300"/>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投标人（企业电子签章）：</w:t>
      </w:r>
    </w:p>
    <w:p w14:paraId="1A65AD44">
      <w:pPr>
        <w:spacing w:line="360" w:lineRule="exact"/>
        <w:ind w:firstLine="420"/>
        <w:jc w:val="right"/>
        <w:rPr>
          <w:rFonts w:hint="default" w:ascii="宋体" w:hAnsi="宋体" w:eastAsia="宋体" w:cs="宋体"/>
          <w:color w:val="auto"/>
          <w:sz w:val="28"/>
          <w:szCs w:val="28"/>
          <w:lang w:eastAsia="zh-CN"/>
        </w:rPr>
      </w:pPr>
    </w:p>
    <w:p w14:paraId="1C3B8774">
      <w:pPr>
        <w:spacing w:line="360" w:lineRule="auto"/>
        <w:ind w:firstLine="556"/>
        <w:jc w:val="right"/>
        <w:rPr>
          <w:rFonts w:hint="default" w:ascii="宋体" w:hAnsi="宋体" w:eastAsia="宋体" w:cs="宋体"/>
          <w:color w:val="auto"/>
          <w:sz w:val="28"/>
          <w:szCs w:val="28"/>
          <w:lang w:eastAsia="zh-CN"/>
        </w:rPr>
      </w:pPr>
    </w:p>
    <w:p w14:paraId="242D84FD">
      <w:pPr>
        <w:tabs>
          <w:tab w:val="left" w:pos="6300"/>
        </w:tabs>
        <w:snapToGrid w:val="0"/>
        <w:spacing w:line="360" w:lineRule="auto"/>
        <w:ind w:firstLine="277" w:firstLineChars="99"/>
        <w:jc w:val="center"/>
        <w:rPr>
          <w:rFonts w:hint="default" w:ascii="Times New Roman" w:hAnsi="Times New Roman" w:eastAsia="仿宋_GB2312" w:cs="Times New Roman"/>
          <w:color w:val="auto"/>
          <w:kern w:val="2"/>
          <w:sz w:val="28"/>
          <w:szCs w:val="28"/>
          <w:lang w:val="en-US" w:eastAsia="zh-CN" w:bidi="ar-SA"/>
        </w:rPr>
      </w:pPr>
      <w:r>
        <w:rPr>
          <w:rFonts w:ascii="宋体" w:hAnsi="宋体" w:eastAsia="宋体" w:cs="宋体"/>
          <w:color w:val="auto"/>
          <w:sz w:val="28"/>
          <w:szCs w:val="28"/>
          <w:lang w:val="en-US" w:eastAsia="zh-CN"/>
        </w:rPr>
        <w:t xml:space="preserve">              </w:t>
      </w:r>
      <w:r>
        <w:rPr>
          <w:rFonts w:hint="default" w:ascii="Times New Roman" w:hAnsi="Times New Roman" w:eastAsia="仿宋_GB2312" w:cs="Times New Roman"/>
          <w:color w:val="auto"/>
          <w:kern w:val="2"/>
          <w:sz w:val="28"/>
          <w:szCs w:val="28"/>
          <w:lang w:val="en-US" w:eastAsia="zh-CN" w:bidi="ar-SA"/>
        </w:rPr>
        <w:t>日期：</w:t>
      </w:r>
      <w:r>
        <w:rPr>
          <w:rFonts w:hint="default" w:ascii="Times New Roman" w:hAnsi="Times New Roman" w:eastAsia="仿宋_GB2312" w:cs="Times New Roman"/>
          <w:color w:val="auto"/>
          <w:kern w:val="2"/>
          <w:sz w:val="28"/>
          <w:szCs w:val="28"/>
          <w:u w:val="single"/>
          <w:lang w:val="en" w:eastAsia="zh-CN" w:bidi="ar-SA"/>
        </w:rPr>
        <w:t xml:space="preserve">      </w:t>
      </w:r>
      <w:r>
        <w:rPr>
          <w:rFonts w:hint="default" w:ascii="Times New Roman" w:hAnsi="Times New Roman" w:eastAsia="仿宋_GB2312" w:cs="Times New Roman"/>
          <w:color w:val="auto"/>
          <w:kern w:val="2"/>
          <w:sz w:val="28"/>
          <w:szCs w:val="28"/>
          <w:lang w:val="en-US" w:eastAsia="zh-CN" w:bidi="ar-SA"/>
        </w:rPr>
        <w:t>年</w:t>
      </w:r>
      <w:r>
        <w:rPr>
          <w:rFonts w:hint="default" w:ascii="Times New Roman" w:hAnsi="Times New Roman" w:eastAsia="仿宋_GB2312" w:cs="Times New Roman"/>
          <w:color w:val="auto"/>
          <w:kern w:val="2"/>
          <w:sz w:val="28"/>
          <w:szCs w:val="28"/>
          <w:u w:val="single"/>
          <w:lang w:val="en" w:eastAsia="zh-CN" w:bidi="ar-SA"/>
        </w:rPr>
        <w:t xml:space="preserve">   </w:t>
      </w:r>
      <w:r>
        <w:rPr>
          <w:rFonts w:hint="default" w:ascii="Times New Roman" w:hAnsi="Times New Roman" w:eastAsia="仿宋_GB2312" w:cs="Times New Roman"/>
          <w:color w:val="auto"/>
          <w:kern w:val="2"/>
          <w:sz w:val="28"/>
          <w:szCs w:val="28"/>
          <w:lang w:val="en-US" w:eastAsia="zh-CN" w:bidi="ar-SA"/>
        </w:rPr>
        <w:t>月</w:t>
      </w:r>
      <w:r>
        <w:rPr>
          <w:rFonts w:hint="default" w:ascii="Times New Roman" w:hAnsi="Times New Roman" w:eastAsia="仿宋_GB2312" w:cs="Times New Roman"/>
          <w:color w:val="auto"/>
          <w:kern w:val="2"/>
          <w:sz w:val="28"/>
          <w:szCs w:val="28"/>
          <w:u w:val="single"/>
          <w:lang w:val="en" w:eastAsia="zh-CN" w:bidi="ar-SA"/>
        </w:rPr>
        <w:t xml:space="preserve">   </w:t>
      </w:r>
      <w:r>
        <w:rPr>
          <w:rFonts w:hint="default" w:ascii="Times New Roman" w:hAnsi="Times New Roman" w:eastAsia="仿宋_GB2312" w:cs="Times New Roman"/>
          <w:color w:val="auto"/>
          <w:kern w:val="2"/>
          <w:sz w:val="28"/>
          <w:szCs w:val="28"/>
          <w:lang w:val="en-US" w:eastAsia="zh-CN" w:bidi="ar-SA"/>
        </w:rPr>
        <w:t>日</w:t>
      </w:r>
    </w:p>
    <w:p w14:paraId="090F57E6">
      <w:pPr>
        <w:keepNext/>
        <w:keepLines/>
        <w:widowControl w:val="0"/>
        <w:autoSpaceDE w:val="0"/>
        <w:autoSpaceDN w:val="0"/>
        <w:adjustRightInd w:val="0"/>
        <w:spacing w:line="360" w:lineRule="auto"/>
        <w:jc w:val="center"/>
        <w:outlineLvl w:val="9"/>
        <w:rPr>
          <w:rFonts w:hint="default" w:ascii="Times New Roman" w:hAnsi="Times New Roman" w:eastAsia="仿宋_GB2312" w:cs="Times New Roman"/>
          <w:color w:val="auto"/>
          <w:kern w:val="0"/>
          <w:sz w:val="28"/>
          <w:szCs w:val="28"/>
          <w:u w:val="single"/>
          <w:lang w:val="en-US" w:eastAsia="zh-CN"/>
        </w:rPr>
      </w:pPr>
      <w:r>
        <w:rPr>
          <w:rFonts w:hint="default" w:ascii="Times New Roman" w:hAnsi="Times New Roman" w:eastAsia="仿宋_GB2312" w:cs="Times New Roman"/>
          <w:color w:val="auto"/>
          <w:kern w:val="0"/>
          <w:sz w:val="28"/>
          <w:szCs w:val="28"/>
          <w:u w:val="single"/>
          <w:lang w:val="en-US" w:eastAsia="zh-CN"/>
        </w:rPr>
        <w:t xml:space="preserve">       </w:t>
      </w:r>
    </w:p>
    <w:p w14:paraId="37DE4D33">
      <w:pPr>
        <w:rPr>
          <w:rFonts w:hint="default" w:ascii="Times New Roman" w:hAnsi="Times New Roman" w:eastAsia="仿宋_GB2312" w:cs="Times New Roman"/>
          <w:color w:val="auto"/>
          <w:kern w:val="0"/>
          <w:sz w:val="28"/>
          <w:szCs w:val="28"/>
          <w:u w:val="single"/>
          <w:lang w:val="en-US" w:eastAsia="zh-CN"/>
        </w:rPr>
      </w:pPr>
      <w:r>
        <w:rPr>
          <w:rFonts w:hint="default" w:ascii="Times New Roman" w:hAnsi="Times New Roman" w:eastAsia="仿宋_GB2312" w:cs="Times New Roman"/>
          <w:color w:val="auto"/>
          <w:kern w:val="0"/>
          <w:sz w:val="28"/>
          <w:szCs w:val="28"/>
          <w:u w:val="single"/>
          <w:lang w:val="en-US" w:eastAsia="zh-CN"/>
        </w:rPr>
        <w:br w:type="page"/>
      </w:r>
    </w:p>
    <w:p w14:paraId="136646E1">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 w:val="0"/>
          <w:bCs/>
          <w:color w:val="auto"/>
          <w:kern w:val="0"/>
          <w:sz w:val="30"/>
          <w:szCs w:val="30"/>
          <w:lang w:val="en-US" w:eastAsia="zh-CN" w:bidi="ar-SA"/>
        </w:rPr>
      </w:pPr>
      <w:r>
        <w:rPr>
          <w:rFonts w:hint="eastAsia" w:ascii="Times New Roman" w:hAnsi="Times New Roman" w:eastAsia="方正小标宋_GBK" w:cs="Times New Roman"/>
          <w:b w:val="0"/>
          <w:bCs/>
          <w:color w:val="auto"/>
          <w:kern w:val="0"/>
          <w:sz w:val="30"/>
          <w:szCs w:val="30"/>
          <w:lang w:val="en-US" w:eastAsia="zh-CN" w:bidi="ar-SA"/>
        </w:rPr>
        <w:t>七</w:t>
      </w:r>
      <w:r>
        <w:rPr>
          <w:rFonts w:hint="default" w:ascii="Times New Roman" w:hAnsi="Times New Roman" w:eastAsia="方正小标宋_GBK" w:cs="Times New Roman"/>
          <w:b w:val="0"/>
          <w:bCs/>
          <w:color w:val="auto"/>
          <w:kern w:val="0"/>
          <w:sz w:val="30"/>
          <w:szCs w:val="30"/>
          <w:lang w:val="en-US" w:eastAsia="zh-CN" w:bidi="ar-SA"/>
        </w:rPr>
        <w:t>、</w:t>
      </w:r>
      <w:bookmarkEnd w:id="414"/>
      <w:bookmarkEnd w:id="415"/>
      <w:bookmarkEnd w:id="416"/>
      <w:bookmarkEnd w:id="417"/>
      <w:bookmarkEnd w:id="418"/>
      <w:bookmarkEnd w:id="419"/>
      <w:bookmarkEnd w:id="420"/>
      <w:bookmarkEnd w:id="421"/>
      <w:bookmarkEnd w:id="422"/>
      <w:bookmarkEnd w:id="423"/>
      <w:bookmarkEnd w:id="424"/>
      <w:bookmarkEnd w:id="425"/>
      <w:r>
        <w:rPr>
          <w:rFonts w:hint="default" w:ascii="Times New Roman" w:hAnsi="Times New Roman" w:eastAsia="方正小标宋_GBK" w:cs="Times New Roman"/>
          <w:b w:val="0"/>
          <w:bCs/>
          <w:color w:val="auto"/>
          <w:kern w:val="0"/>
          <w:sz w:val="30"/>
          <w:szCs w:val="30"/>
          <w:lang w:val="en-US" w:eastAsia="zh-CN" w:bidi="ar-SA"/>
        </w:rPr>
        <w:t>其他资格证明文件</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18CAE37C">
      <w:pPr>
        <w:spacing w:line="360" w:lineRule="auto"/>
        <w:ind w:left="1080" w:hanging="540"/>
        <w:jc w:val="center"/>
        <w:rPr>
          <w:rFonts w:hint="default" w:ascii="宋体" w:hAnsi="宋体" w:eastAsia="宋体" w:cs="宋体"/>
          <w:b/>
          <w:bCs/>
          <w:color w:val="auto"/>
          <w:sz w:val="24"/>
          <w:szCs w:val="24"/>
          <w:lang w:val="en-US" w:eastAsia="zh-CN"/>
        </w:rPr>
      </w:pPr>
    </w:p>
    <w:p w14:paraId="4A75832D">
      <w:pPr>
        <w:spacing w:line="360" w:lineRule="auto"/>
        <w:ind w:left="1080" w:hanging="540"/>
        <w:jc w:val="center"/>
        <w:rPr>
          <w:rFonts w:hint="default" w:ascii="宋体" w:hAnsi="宋体" w:eastAsia="宋体" w:cs="宋体"/>
          <w:b/>
          <w:bCs/>
          <w:color w:val="auto"/>
          <w:sz w:val="24"/>
          <w:szCs w:val="24"/>
          <w:lang w:val="en-US" w:eastAsia="zh-CN"/>
        </w:rPr>
      </w:pPr>
    </w:p>
    <w:p w14:paraId="7014CBFF">
      <w:pPr>
        <w:spacing w:line="360" w:lineRule="auto"/>
        <w:rPr>
          <w:rFonts w:hint="default" w:ascii="Times New Roman" w:hAnsi="Times New Roman" w:eastAsia="仿宋_GB2312" w:cs="Times New Roman"/>
          <w:color w:val="auto"/>
          <w:kern w:val="2"/>
          <w:sz w:val="28"/>
          <w:szCs w:val="28"/>
          <w:lang w:val="zh-TW" w:eastAsia="zh-CN" w:bidi="ar-SA"/>
        </w:rPr>
      </w:pPr>
      <w:r>
        <w:rPr>
          <w:rFonts w:hint="eastAsia" w:ascii="Times New Roman" w:hAnsi="Times New Roman" w:eastAsia="仿宋_GB2312" w:cs="Times New Roman"/>
          <w:color w:val="auto"/>
          <w:kern w:val="2"/>
          <w:sz w:val="28"/>
          <w:szCs w:val="28"/>
          <w:lang w:val="zh-TW" w:eastAsia="zh-CN" w:bidi="ar-SA"/>
        </w:rPr>
        <w:t>说明：1.应提供的其他资格证明文件。</w:t>
      </w:r>
    </w:p>
    <w:p w14:paraId="1BF278DD">
      <w:pPr>
        <w:spacing w:line="360" w:lineRule="auto"/>
        <w:ind w:firstLine="560" w:firstLineChars="200"/>
        <w:rPr>
          <w:rFonts w:hint="default" w:ascii="Times New Roman" w:hAnsi="Times New Roman" w:eastAsia="仿宋_GB2312" w:cs="Times New Roman"/>
          <w:color w:val="auto"/>
          <w:kern w:val="2"/>
          <w:sz w:val="28"/>
          <w:szCs w:val="28"/>
          <w:lang w:val="zh-TW" w:eastAsia="zh-CN" w:bidi="ar-SA"/>
        </w:rPr>
      </w:pPr>
      <w:r>
        <w:rPr>
          <w:rFonts w:hint="eastAsia" w:ascii="Times New Roman" w:hAnsi="Times New Roman" w:eastAsia="仿宋_GB2312" w:cs="Times New Roman"/>
          <w:color w:val="auto"/>
          <w:kern w:val="2"/>
          <w:sz w:val="28"/>
          <w:szCs w:val="28"/>
          <w:lang w:val="zh-TW" w:eastAsia="zh-CN" w:bidi="ar-SA"/>
        </w:rPr>
        <w:t>2.原件或复印件的扫描件上应加盖企业电子签章（自然人投标的无需盖章，需要签字）。</w:t>
      </w:r>
    </w:p>
    <w:p w14:paraId="6F6BBBD0">
      <w:pPr>
        <w:spacing w:line="360" w:lineRule="auto"/>
        <w:ind w:firstLine="560" w:firstLineChars="200"/>
        <w:rPr>
          <w:rFonts w:hint="default" w:ascii="Times New Roman" w:hAnsi="Times New Roman" w:eastAsia="仿宋_GB2312" w:cs="Times New Roman"/>
          <w:color w:val="auto"/>
          <w:kern w:val="2"/>
          <w:sz w:val="28"/>
          <w:szCs w:val="28"/>
          <w:lang w:val="zh-TW" w:eastAsia="zh-CN" w:bidi="ar-SA"/>
        </w:rPr>
      </w:pPr>
      <w:r>
        <w:rPr>
          <w:rFonts w:hint="eastAsia" w:ascii="Times New Roman" w:hAnsi="Times New Roman" w:eastAsia="仿宋_GB2312" w:cs="Times New Roman"/>
          <w:color w:val="auto"/>
          <w:kern w:val="2"/>
          <w:sz w:val="28"/>
          <w:szCs w:val="28"/>
          <w:lang w:val="zh-TW" w:eastAsia="zh-CN" w:bidi="ar-SA"/>
        </w:rPr>
        <w:t>3.如果是联合体投标，联合体各方需提供的满足招标文件要求的其他资格证明文件。</w:t>
      </w:r>
    </w:p>
    <w:p w14:paraId="21540842">
      <w:pPr>
        <w:pStyle w:val="2"/>
        <w:jc w:val="center"/>
        <w:rPr>
          <w:rFonts w:ascii="宋体" w:hAnsi="宋体" w:eastAsia="宋体" w:cs="宋体"/>
          <w:color w:val="auto"/>
          <w:sz w:val="36"/>
          <w:szCs w:val="36"/>
          <w:lang w:eastAsia="zh-CN"/>
        </w:rPr>
      </w:pPr>
      <w:r>
        <w:rPr>
          <w:rFonts w:hint="eastAsia" w:ascii="宋体" w:hAnsi="宋体" w:eastAsia="宋体" w:cs="宋体"/>
          <w:color w:val="auto"/>
          <w:sz w:val="24"/>
          <w:szCs w:val="24"/>
          <w:lang w:val="en-US" w:eastAsia="zh-CN"/>
        </w:rPr>
        <w:br w:type="page"/>
      </w:r>
      <w:bookmarkStart w:id="440" w:name="_Toc973283021"/>
      <w:bookmarkStart w:id="441" w:name="_Toc6422905"/>
      <w:bookmarkStart w:id="442" w:name="_Toc897589225"/>
      <w:bookmarkStart w:id="443" w:name="_Toc1264393349_WPSOffice_Level2"/>
      <w:bookmarkStart w:id="444" w:name="_Toc1580344845_WPSOffice_Level2"/>
      <w:bookmarkStart w:id="445" w:name="_Toc136706314"/>
      <w:bookmarkStart w:id="446" w:name="_Toc1368632420_WPSOffice_Level2"/>
      <w:bookmarkStart w:id="447" w:name="_Toc744081619"/>
      <w:bookmarkStart w:id="448" w:name="_Toc1093923690_WPSOffice_Level2"/>
      <w:bookmarkStart w:id="449" w:name="_Toc288862645"/>
      <w:bookmarkStart w:id="450" w:name="_Toc377236415"/>
      <w:bookmarkStart w:id="451" w:name="_Toc797524663"/>
      <w:bookmarkStart w:id="452" w:name="_Toc1017563642"/>
      <w:bookmarkStart w:id="453" w:name="_Toc1731438942"/>
      <w:bookmarkStart w:id="454" w:name="_Toc1893653595_WPSOffice_Level1"/>
      <w:bookmarkStart w:id="455" w:name="_Toc1378165390"/>
      <w:bookmarkStart w:id="456" w:name="_Toc943266062"/>
      <w:bookmarkStart w:id="457" w:name="_Toc1360926389"/>
      <w:bookmarkStart w:id="458" w:name="_Toc465615493"/>
      <w:bookmarkStart w:id="459" w:name="_Toc152586294"/>
      <w:r>
        <w:rPr>
          <w:rFonts w:hint="eastAsia" w:ascii="宋体" w:hAnsi="宋体" w:eastAsia="宋体" w:cs="宋体"/>
          <w:color w:val="auto"/>
          <w:sz w:val="36"/>
          <w:szCs w:val="36"/>
          <w:lang w:eastAsia="zh-CN"/>
        </w:rPr>
        <w:t>第五章 投标文件</w:t>
      </w:r>
      <w:bookmarkEnd w:id="440"/>
      <w:bookmarkEnd w:id="441"/>
      <w:bookmarkEnd w:id="442"/>
      <w:bookmarkEnd w:id="443"/>
      <w:bookmarkEnd w:id="444"/>
      <w:bookmarkEnd w:id="445"/>
      <w:bookmarkEnd w:id="446"/>
      <w:bookmarkEnd w:id="447"/>
      <w:bookmarkEnd w:id="448"/>
      <w:r>
        <w:rPr>
          <w:rFonts w:hint="eastAsia" w:ascii="宋体" w:hAnsi="宋体" w:eastAsia="宋体" w:cs="宋体"/>
          <w:color w:val="auto"/>
          <w:sz w:val="36"/>
          <w:szCs w:val="36"/>
          <w:lang w:eastAsia="zh-CN"/>
        </w:rPr>
        <w:t>格式</w:t>
      </w:r>
      <w:bookmarkEnd w:id="449"/>
      <w:bookmarkEnd w:id="450"/>
      <w:bookmarkEnd w:id="451"/>
      <w:bookmarkEnd w:id="452"/>
      <w:bookmarkEnd w:id="453"/>
      <w:bookmarkEnd w:id="454"/>
      <w:bookmarkEnd w:id="455"/>
      <w:bookmarkEnd w:id="456"/>
      <w:bookmarkEnd w:id="457"/>
      <w:bookmarkEnd w:id="458"/>
      <w:bookmarkEnd w:id="459"/>
    </w:p>
    <w:p w14:paraId="2B81BD8B">
      <w:pPr>
        <w:spacing w:line="360" w:lineRule="auto"/>
        <w:ind w:left="1080" w:hanging="540"/>
        <w:jc w:val="center"/>
        <w:rPr>
          <w:rFonts w:hint="default" w:ascii="宋体" w:hAnsi="宋体" w:eastAsia="宋体" w:cs="宋体"/>
          <w:color w:val="auto"/>
          <w:sz w:val="24"/>
          <w:szCs w:val="24"/>
          <w:lang w:val="en-US" w:eastAsia="zh-CN"/>
        </w:rPr>
      </w:pPr>
    </w:p>
    <w:p w14:paraId="2A39A1BE">
      <w:pPr>
        <w:tabs>
          <w:tab w:val="left" w:pos="1950"/>
        </w:tabs>
        <w:jc w:val="center"/>
        <w:rPr>
          <w:rFonts w:hint="default" w:ascii="宋体" w:hAnsi="宋体" w:eastAsia="宋体" w:cs="宋体"/>
          <w:b/>
          <w:bCs/>
          <w:color w:val="auto"/>
          <w:sz w:val="72"/>
          <w:szCs w:val="72"/>
          <w:u w:val="single"/>
          <w:lang w:val="en-US" w:eastAsia="zh-CN"/>
        </w:rPr>
      </w:pPr>
      <w:r>
        <w:rPr>
          <w:rFonts w:hint="eastAsia" w:ascii="宋体" w:hAnsi="宋体" w:eastAsia="宋体" w:cs="宋体"/>
          <w:b/>
          <w:bCs/>
          <w:color w:val="auto"/>
          <w:sz w:val="52"/>
          <w:szCs w:val="52"/>
          <w:lang w:val="en" w:eastAsia="zh-CN"/>
        </w:rPr>
        <w:t>河南应用技术职业学院三校区2025-2027年物业服务项目</w:t>
      </w:r>
      <w:r>
        <w:rPr>
          <w:rFonts w:ascii="宋体" w:hAnsi="宋体" w:eastAsia="宋体" w:cs="宋体"/>
          <w:b/>
          <w:bCs/>
          <w:color w:val="auto"/>
          <w:sz w:val="56"/>
          <w:szCs w:val="56"/>
          <w:u w:val="single"/>
          <w:lang w:val="en-US" w:eastAsia="zh-CN"/>
        </w:rPr>
        <w:t xml:space="preserve"> </w:t>
      </w:r>
    </w:p>
    <w:p w14:paraId="5BDF01CC">
      <w:pPr>
        <w:tabs>
          <w:tab w:val="left" w:pos="1950"/>
        </w:tabs>
        <w:jc w:val="center"/>
        <w:rPr>
          <w:rFonts w:hint="default" w:ascii="宋体" w:hAnsi="宋体" w:eastAsia="宋体" w:cs="宋体"/>
          <w:b/>
          <w:bCs/>
          <w:color w:val="auto"/>
          <w:sz w:val="52"/>
          <w:szCs w:val="52"/>
          <w:u w:val="single"/>
          <w:lang w:val="en-US" w:eastAsia="zh-CN"/>
        </w:rPr>
      </w:pPr>
      <w:r>
        <w:rPr>
          <w:rFonts w:ascii="宋体" w:hAnsi="宋体" w:eastAsia="宋体" w:cs="宋体"/>
          <w:b/>
          <w:bCs/>
          <w:color w:val="auto"/>
          <w:sz w:val="52"/>
          <w:szCs w:val="52"/>
          <w:lang w:val="en" w:eastAsia="zh-CN"/>
        </w:rPr>
        <w:t>（</w:t>
      </w:r>
      <w:r>
        <w:rPr>
          <w:rFonts w:hint="eastAsia" w:ascii="宋体" w:hAnsi="宋体" w:eastAsia="宋体" w:cs="宋体"/>
          <w:b/>
          <w:bCs/>
          <w:color w:val="auto"/>
          <w:sz w:val="52"/>
          <w:szCs w:val="52"/>
          <w:lang w:val="en" w:eastAsia="zh-CN"/>
        </w:rPr>
        <w:t>包号:</w:t>
      </w:r>
      <w:r>
        <w:rPr>
          <w:rFonts w:ascii="宋体" w:hAnsi="宋体" w:eastAsia="宋体" w:cs="宋体"/>
          <w:b/>
          <w:bCs/>
          <w:color w:val="auto"/>
          <w:sz w:val="52"/>
          <w:szCs w:val="52"/>
          <w:u w:val="single"/>
          <w:lang w:val="en-US" w:eastAsia="zh-CN"/>
        </w:rPr>
        <w:t xml:space="preserve"> </w:t>
      </w:r>
      <w:r>
        <w:rPr>
          <w:rFonts w:hint="eastAsia" w:ascii="宋体" w:hAnsi="宋体" w:eastAsia="宋体" w:cs="宋体"/>
          <w:b/>
          <w:bCs/>
          <w:color w:val="auto"/>
          <w:sz w:val="52"/>
          <w:szCs w:val="52"/>
          <w:u w:val="single"/>
          <w:lang w:val="en-US" w:eastAsia="zh-CN"/>
        </w:rPr>
        <w:t xml:space="preserve"> </w:t>
      </w:r>
      <w:r>
        <w:rPr>
          <w:rFonts w:ascii="宋体" w:hAnsi="宋体" w:eastAsia="宋体" w:cs="宋体"/>
          <w:b/>
          <w:bCs/>
          <w:color w:val="auto"/>
          <w:sz w:val="52"/>
          <w:szCs w:val="52"/>
          <w:u w:val="single"/>
          <w:lang w:val="en-US" w:eastAsia="zh-CN"/>
        </w:rPr>
        <w:t xml:space="preserve">  </w:t>
      </w:r>
      <w:r>
        <w:rPr>
          <w:rFonts w:ascii="宋体" w:hAnsi="宋体" w:eastAsia="宋体" w:cs="宋体"/>
          <w:b/>
          <w:bCs/>
          <w:color w:val="auto"/>
          <w:sz w:val="52"/>
          <w:szCs w:val="52"/>
          <w:lang w:val="en" w:eastAsia="zh-CN"/>
        </w:rPr>
        <w:t>）</w:t>
      </w:r>
    </w:p>
    <w:p w14:paraId="2368BA7D">
      <w:pPr>
        <w:tabs>
          <w:tab w:val="left" w:pos="1950"/>
        </w:tabs>
        <w:jc w:val="left"/>
        <w:rPr>
          <w:rFonts w:hint="default" w:ascii="宋体" w:hAnsi="宋体" w:eastAsia="宋体" w:cs="宋体"/>
          <w:b/>
          <w:bCs/>
          <w:color w:val="auto"/>
          <w:lang w:val="en-US" w:eastAsia="zh-CN"/>
        </w:rPr>
      </w:pPr>
    </w:p>
    <w:p w14:paraId="4602DBFB">
      <w:pPr>
        <w:tabs>
          <w:tab w:val="left" w:pos="1950"/>
        </w:tabs>
        <w:jc w:val="left"/>
        <w:rPr>
          <w:rFonts w:hint="default" w:ascii="宋体" w:hAnsi="宋体" w:eastAsia="宋体" w:cs="宋体"/>
          <w:b/>
          <w:bCs/>
          <w:color w:val="auto"/>
          <w:lang w:val="en-US" w:eastAsia="zh-CN"/>
        </w:rPr>
      </w:pPr>
    </w:p>
    <w:p w14:paraId="0A57B7CA">
      <w:pPr>
        <w:tabs>
          <w:tab w:val="left" w:pos="1950"/>
        </w:tabs>
        <w:jc w:val="left"/>
        <w:rPr>
          <w:rFonts w:hint="default" w:ascii="宋体" w:hAnsi="宋体" w:eastAsia="宋体" w:cs="宋体"/>
          <w:b/>
          <w:bCs/>
          <w:color w:val="auto"/>
          <w:lang w:val="en-US" w:eastAsia="zh-CN"/>
        </w:rPr>
      </w:pPr>
    </w:p>
    <w:p w14:paraId="4D56B358">
      <w:pPr>
        <w:tabs>
          <w:tab w:val="left" w:pos="1950"/>
        </w:tabs>
        <w:jc w:val="left"/>
        <w:rPr>
          <w:rFonts w:hint="default" w:ascii="宋体" w:hAnsi="宋体" w:eastAsia="宋体" w:cs="宋体"/>
          <w:b/>
          <w:bCs/>
          <w:color w:val="auto"/>
          <w:lang w:val="en-US" w:eastAsia="zh-CN"/>
        </w:rPr>
      </w:pPr>
    </w:p>
    <w:p w14:paraId="2588D5A8">
      <w:pPr>
        <w:tabs>
          <w:tab w:val="left" w:pos="1950"/>
        </w:tabs>
        <w:jc w:val="left"/>
        <w:rPr>
          <w:rFonts w:hint="default" w:ascii="宋体" w:hAnsi="宋体" w:eastAsia="宋体" w:cs="宋体"/>
          <w:b/>
          <w:bCs/>
          <w:color w:val="auto"/>
          <w:lang w:val="en-US" w:eastAsia="zh-CN"/>
        </w:rPr>
      </w:pPr>
    </w:p>
    <w:p w14:paraId="7E340D8B">
      <w:pPr>
        <w:tabs>
          <w:tab w:val="left" w:pos="1950"/>
        </w:tabs>
        <w:jc w:val="left"/>
        <w:rPr>
          <w:rFonts w:hint="default" w:ascii="宋体" w:hAnsi="宋体" w:eastAsia="宋体" w:cs="宋体"/>
          <w:b/>
          <w:bCs/>
          <w:color w:val="auto"/>
          <w:lang w:val="en-US" w:eastAsia="zh-CN"/>
        </w:rPr>
      </w:pPr>
    </w:p>
    <w:p w14:paraId="0A7B0D3F">
      <w:pPr>
        <w:jc w:val="center"/>
        <w:rPr>
          <w:rFonts w:hint="default" w:ascii="宋体" w:hAnsi="宋体" w:eastAsia="宋体" w:cs="宋体"/>
          <w:b/>
          <w:bCs/>
          <w:color w:val="auto"/>
          <w:sz w:val="96"/>
          <w:szCs w:val="96"/>
          <w:lang w:eastAsia="zh-CN"/>
        </w:rPr>
      </w:pPr>
      <w:bookmarkStart w:id="460" w:name="_Toc1256968457_WPSOffice_Level3"/>
      <w:r>
        <w:rPr>
          <w:rFonts w:ascii="宋体" w:hAnsi="宋体" w:eastAsia="宋体" w:cs="宋体"/>
          <w:b/>
          <w:color w:val="auto"/>
          <w:sz w:val="96"/>
          <w:szCs w:val="96"/>
          <w:lang w:eastAsia="zh-CN"/>
        </w:rPr>
        <w:t>投标文件</w:t>
      </w:r>
      <w:bookmarkEnd w:id="460"/>
    </w:p>
    <w:p w14:paraId="7F469AA0">
      <w:pPr>
        <w:widowControl w:val="0"/>
        <w:tabs>
          <w:tab w:val="left" w:pos="1950"/>
        </w:tabs>
        <w:jc w:val="center"/>
        <w:rPr>
          <w:rFonts w:hint="default" w:ascii="宋体" w:hAnsi="宋体" w:eastAsia="宋体" w:cs="宋体"/>
          <w:b/>
          <w:color w:val="auto"/>
          <w:sz w:val="36"/>
          <w:szCs w:val="36"/>
          <w:lang w:eastAsia="zh-CN"/>
        </w:rPr>
      </w:pPr>
    </w:p>
    <w:p w14:paraId="16B0AA49">
      <w:pPr>
        <w:widowControl w:val="0"/>
        <w:tabs>
          <w:tab w:val="left" w:pos="1950"/>
        </w:tabs>
        <w:jc w:val="center"/>
        <w:rPr>
          <w:rFonts w:hint="default" w:ascii="宋体" w:hAnsi="宋体" w:eastAsia="宋体" w:cs="宋体"/>
          <w:b/>
          <w:color w:val="auto"/>
          <w:sz w:val="36"/>
          <w:szCs w:val="36"/>
          <w:lang w:val="en" w:eastAsia="zh-CN"/>
        </w:rPr>
      </w:pPr>
      <w:r>
        <w:rPr>
          <w:rFonts w:ascii="宋体" w:hAnsi="宋体" w:eastAsia="宋体" w:cs="宋体"/>
          <w:b/>
          <w:color w:val="auto"/>
          <w:sz w:val="36"/>
          <w:szCs w:val="36"/>
          <w:lang w:eastAsia="zh-CN"/>
        </w:rPr>
        <w:t>采购编号：</w:t>
      </w:r>
      <w:r>
        <w:rPr>
          <w:rFonts w:hint="eastAsia" w:ascii="宋体" w:hAnsi="宋体" w:eastAsia="宋体" w:cs="宋体"/>
          <w:b/>
          <w:color w:val="auto"/>
          <w:sz w:val="36"/>
          <w:szCs w:val="36"/>
          <w:lang w:val="en" w:eastAsia="zh-CN"/>
        </w:rPr>
        <w:t>豫财招标采购-2025-1091</w:t>
      </w:r>
      <w:r>
        <w:rPr>
          <w:rFonts w:hint="default" w:ascii="宋体" w:hAnsi="宋体" w:eastAsia="宋体" w:cs="宋体"/>
          <w:b/>
          <w:color w:val="auto"/>
          <w:sz w:val="36"/>
          <w:szCs w:val="36"/>
          <w:lang w:val="en" w:eastAsia="zh-CN"/>
        </w:rPr>
        <w:t xml:space="preserve"> </w:t>
      </w:r>
    </w:p>
    <w:p w14:paraId="031D8340">
      <w:pPr>
        <w:widowControl w:val="0"/>
        <w:spacing w:line="360" w:lineRule="auto"/>
        <w:ind w:left="1080" w:leftChars="257" w:hanging="540"/>
        <w:rPr>
          <w:rFonts w:hint="default" w:ascii="宋体" w:hAnsi="宋体" w:eastAsia="宋体" w:cs="宋体"/>
          <w:b/>
          <w:color w:val="auto"/>
          <w:sz w:val="28"/>
          <w:szCs w:val="24"/>
          <w:lang w:val="en-US" w:eastAsia="zh-CN"/>
        </w:rPr>
      </w:pPr>
    </w:p>
    <w:p w14:paraId="72E2282B">
      <w:pPr>
        <w:widowControl w:val="0"/>
        <w:spacing w:line="360" w:lineRule="auto"/>
        <w:ind w:left="1080" w:leftChars="257" w:hanging="540"/>
        <w:rPr>
          <w:rFonts w:hint="default" w:ascii="宋体" w:hAnsi="宋体" w:eastAsia="宋体" w:cs="宋体"/>
          <w:b/>
          <w:color w:val="auto"/>
          <w:sz w:val="28"/>
          <w:szCs w:val="24"/>
          <w:lang w:val="en-US" w:eastAsia="zh-CN"/>
        </w:rPr>
      </w:pPr>
    </w:p>
    <w:p w14:paraId="67401B83">
      <w:pPr>
        <w:widowControl w:val="0"/>
        <w:spacing w:line="360" w:lineRule="auto"/>
        <w:ind w:left="1080" w:leftChars="257" w:hanging="540"/>
        <w:rPr>
          <w:rFonts w:hint="default" w:ascii="宋体" w:hAnsi="宋体" w:eastAsia="宋体" w:cs="宋体"/>
          <w:b/>
          <w:color w:val="auto"/>
          <w:sz w:val="28"/>
          <w:szCs w:val="24"/>
          <w:lang w:val="en-US" w:eastAsia="zh-CN"/>
        </w:rPr>
      </w:pPr>
    </w:p>
    <w:p w14:paraId="61002EFA">
      <w:pPr>
        <w:widowControl w:val="0"/>
        <w:spacing w:line="360" w:lineRule="auto"/>
        <w:rPr>
          <w:rFonts w:hint="default" w:ascii="宋体" w:hAnsi="宋体" w:eastAsia="宋体" w:cs="宋体"/>
          <w:b/>
          <w:color w:val="auto"/>
          <w:sz w:val="52"/>
          <w:szCs w:val="24"/>
          <w:lang w:val="en-US" w:eastAsia="zh-CN"/>
        </w:rPr>
      </w:pPr>
    </w:p>
    <w:p w14:paraId="24096EE2">
      <w:pPr>
        <w:pStyle w:val="18"/>
        <w:rPr>
          <w:rFonts w:ascii="宋体" w:hAnsi="宋体" w:cs="宋体"/>
        </w:rPr>
      </w:pPr>
    </w:p>
    <w:p w14:paraId="75122668">
      <w:pPr>
        <w:widowControl w:val="0"/>
        <w:autoSpaceDE w:val="0"/>
        <w:autoSpaceDN w:val="0"/>
        <w:adjustRightInd w:val="0"/>
        <w:ind w:firstLine="1084" w:firstLineChars="300"/>
        <w:rPr>
          <w:rFonts w:hint="default" w:ascii="宋体" w:hAnsi="宋体" w:eastAsia="宋体" w:cs="宋体"/>
          <w:color w:val="auto"/>
          <w:sz w:val="36"/>
          <w:szCs w:val="36"/>
          <w:lang w:val="en-US" w:eastAsia="zh-CN"/>
        </w:rPr>
      </w:pPr>
      <w:r>
        <w:rPr>
          <w:rFonts w:ascii="宋体" w:hAnsi="宋体" w:eastAsia="宋体" w:cs="宋体"/>
          <w:b/>
          <w:color w:val="auto"/>
          <w:sz w:val="36"/>
          <w:szCs w:val="36"/>
          <w:lang w:val="en-US" w:eastAsia="zh-CN"/>
        </w:rPr>
        <w:t>投标人（企业电子签章）：</w:t>
      </w:r>
    </w:p>
    <w:p w14:paraId="590A40D8">
      <w:pPr>
        <w:pStyle w:val="166"/>
        <w:ind w:firstLine="0"/>
        <w:rPr>
          <w:rFonts w:hint="default" w:ascii="宋体" w:hAnsi="宋体" w:eastAsia="宋体" w:cs="宋体"/>
          <w:color w:val="auto"/>
          <w:lang w:eastAsia="zh-CN"/>
        </w:rPr>
      </w:pPr>
    </w:p>
    <w:p w14:paraId="66918751">
      <w:pPr>
        <w:pStyle w:val="197"/>
        <w:spacing w:line="360" w:lineRule="auto"/>
        <w:jc w:val="center"/>
        <w:rPr>
          <w:b/>
          <w:bCs/>
          <w:color w:val="auto"/>
          <w:sz w:val="32"/>
          <w:szCs w:val="32"/>
        </w:rPr>
      </w:pPr>
      <w:bookmarkStart w:id="461" w:name="_Toc1363473509_WPSOffice_Level2"/>
      <w:r>
        <w:rPr>
          <w:rFonts w:hint="eastAsia"/>
          <w:b/>
          <w:bCs/>
          <w:color w:val="auto"/>
          <w:sz w:val="32"/>
          <w:szCs w:val="32"/>
        </w:rPr>
        <w:br w:type="page"/>
      </w:r>
      <w:r>
        <w:rPr>
          <w:rFonts w:hint="eastAsia"/>
          <w:b/>
          <w:bCs/>
          <w:color w:val="auto"/>
          <w:sz w:val="32"/>
          <w:szCs w:val="32"/>
        </w:rPr>
        <w:t>目  录</w:t>
      </w:r>
      <w:bookmarkEnd w:id="461"/>
    </w:p>
    <w:p w14:paraId="1552FDC5">
      <w:pPr>
        <w:pStyle w:val="197"/>
        <w:spacing w:line="360" w:lineRule="auto"/>
        <w:rPr>
          <w:color w:val="auto"/>
          <w:sz w:val="28"/>
          <w:szCs w:val="28"/>
          <w:lang w:val="zh-TW"/>
        </w:rPr>
      </w:pPr>
    </w:p>
    <w:p w14:paraId="11B0ACF6">
      <w:pPr>
        <w:pStyle w:val="197"/>
        <w:spacing w:line="360" w:lineRule="auto"/>
        <w:rPr>
          <w:rFonts w:hint="default" w:ascii="Times New Roman" w:hAnsi="Times New Roman" w:eastAsia="仿宋_GB2312" w:cs="Times New Roman"/>
          <w:color w:val="auto"/>
          <w:sz w:val="28"/>
          <w:szCs w:val="28"/>
          <w:lang w:val="zh-TW"/>
        </w:rPr>
      </w:pPr>
      <w:r>
        <w:rPr>
          <w:rFonts w:hint="default" w:ascii="Times New Roman" w:hAnsi="Times New Roman" w:eastAsia="仿宋_GB2312" w:cs="Times New Roman"/>
          <w:color w:val="auto"/>
          <w:sz w:val="28"/>
          <w:szCs w:val="28"/>
          <w:lang w:val="zh-TW"/>
        </w:rPr>
        <w:t>一、投标函</w:t>
      </w:r>
    </w:p>
    <w:p w14:paraId="4C08C262">
      <w:pPr>
        <w:pStyle w:val="197"/>
        <w:spacing w:line="360" w:lineRule="auto"/>
        <w:rPr>
          <w:rFonts w:hint="default" w:ascii="Times New Roman" w:hAnsi="Times New Roman" w:eastAsia="仿宋_GB2312" w:cs="Times New Roman"/>
          <w:color w:val="auto"/>
          <w:sz w:val="28"/>
          <w:szCs w:val="28"/>
          <w:lang w:val="zh-TW"/>
        </w:rPr>
      </w:pPr>
      <w:r>
        <w:rPr>
          <w:rFonts w:hint="default" w:ascii="Times New Roman" w:hAnsi="Times New Roman" w:eastAsia="仿宋_GB2312" w:cs="Times New Roman"/>
          <w:color w:val="auto"/>
          <w:sz w:val="28"/>
          <w:szCs w:val="28"/>
          <w:lang w:val="zh-TW"/>
        </w:rPr>
        <w:t>二、法定代表人身份证明书</w:t>
      </w:r>
    </w:p>
    <w:p w14:paraId="20C2C2D3">
      <w:pPr>
        <w:pStyle w:val="197"/>
        <w:spacing w:line="360" w:lineRule="auto"/>
        <w:rPr>
          <w:rFonts w:hint="default" w:ascii="Times New Roman" w:hAnsi="Times New Roman" w:eastAsia="仿宋_GB2312" w:cs="Times New Roman"/>
          <w:color w:val="auto"/>
          <w:sz w:val="28"/>
          <w:szCs w:val="28"/>
          <w:lang w:val="zh-TW"/>
        </w:rPr>
      </w:pPr>
      <w:r>
        <w:rPr>
          <w:rFonts w:hint="default" w:ascii="Times New Roman" w:hAnsi="Times New Roman" w:eastAsia="仿宋_GB2312" w:cs="Times New Roman"/>
          <w:color w:val="auto"/>
          <w:sz w:val="28"/>
          <w:szCs w:val="28"/>
          <w:lang w:val="zh-TW"/>
        </w:rPr>
        <w:t>三、投标报价表格</w:t>
      </w:r>
    </w:p>
    <w:p w14:paraId="66088BAC">
      <w:pPr>
        <w:pStyle w:val="197"/>
        <w:spacing w:line="360" w:lineRule="auto"/>
        <w:rPr>
          <w:rFonts w:hint="default" w:ascii="Times New Roman" w:hAnsi="Times New Roman" w:eastAsia="仿宋_GB2312" w:cs="Times New Roman"/>
          <w:color w:val="auto"/>
          <w:sz w:val="28"/>
          <w:szCs w:val="28"/>
          <w:lang w:val="zh-TW"/>
        </w:rPr>
      </w:pPr>
      <w:r>
        <w:rPr>
          <w:rFonts w:hint="default" w:ascii="Times New Roman" w:hAnsi="Times New Roman" w:eastAsia="仿宋_GB2312" w:cs="Times New Roman"/>
          <w:color w:val="auto"/>
          <w:sz w:val="28"/>
          <w:szCs w:val="28"/>
          <w:lang w:val="zh-TW" w:eastAsia="zh-CN"/>
        </w:rPr>
        <w:t>四</w:t>
      </w:r>
      <w:r>
        <w:rPr>
          <w:rFonts w:hint="default" w:ascii="Times New Roman" w:hAnsi="Times New Roman" w:eastAsia="仿宋_GB2312" w:cs="Times New Roman"/>
          <w:color w:val="auto"/>
          <w:sz w:val="28"/>
          <w:szCs w:val="28"/>
          <w:lang w:val="zh-TW"/>
        </w:rPr>
        <w:t>、企业声明函</w:t>
      </w:r>
    </w:p>
    <w:p w14:paraId="28FD3F55">
      <w:pPr>
        <w:pStyle w:val="197"/>
        <w:spacing w:line="360" w:lineRule="auto"/>
        <w:rPr>
          <w:rFonts w:hint="default" w:ascii="Times New Roman" w:hAnsi="Times New Roman" w:eastAsia="仿宋_GB2312" w:cs="Times New Roman"/>
          <w:color w:val="auto"/>
          <w:sz w:val="28"/>
          <w:szCs w:val="28"/>
          <w:lang w:val="zh-TW"/>
        </w:rPr>
      </w:pPr>
      <w:r>
        <w:rPr>
          <w:rFonts w:hint="default" w:ascii="Times New Roman" w:hAnsi="Times New Roman" w:eastAsia="仿宋_GB2312" w:cs="Times New Roman"/>
          <w:color w:val="auto"/>
          <w:sz w:val="28"/>
          <w:szCs w:val="28"/>
          <w:lang w:val="zh-TW" w:eastAsia="zh-CN"/>
        </w:rPr>
        <w:t>五</w:t>
      </w:r>
      <w:r>
        <w:rPr>
          <w:rFonts w:hint="default" w:ascii="Times New Roman" w:hAnsi="Times New Roman" w:eastAsia="仿宋_GB2312" w:cs="Times New Roman"/>
          <w:color w:val="auto"/>
          <w:sz w:val="28"/>
          <w:szCs w:val="28"/>
          <w:lang w:val="zh-TW"/>
        </w:rPr>
        <w:t>、综合证明文件</w:t>
      </w:r>
    </w:p>
    <w:p w14:paraId="05F290B0">
      <w:pPr>
        <w:pStyle w:val="197"/>
        <w:spacing w:line="360" w:lineRule="auto"/>
        <w:rPr>
          <w:rFonts w:hint="default" w:ascii="Times New Roman" w:hAnsi="Times New Roman" w:eastAsia="仿宋_GB2312" w:cs="Times New Roman"/>
          <w:color w:val="auto"/>
          <w:sz w:val="28"/>
          <w:szCs w:val="28"/>
          <w:lang w:val="zh-TW"/>
        </w:rPr>
      </w:pPr>
      <w:r>
        <w:rPr>
          <w:rFonts w:hint="default" w:ascii="Times New Roman" w:hAnsi="Times New Roman" w:eastAsia="仿宋_GB2312" w:cs="Times New Roman"/>
          <w:color w:val="auto"/>
          <w:sz w:val="28"/>
          <w:szCs w:val="28"/>
          <w:lang w:val="zh-TW" w:eastAsia="zh-CN"/>
        </w:rPr>
        <w:t>六</w:t>
      </w:r>
      <w:r>
        <w:rPr>
          <w:rFonts w:hint="default" w:ascii="Times New Roman" w:hAnsi="Times New Roman" w:eastAsia="仿宋_GB2312" w:cs="Times New Roman"/>
          <w:color w:val="auto"/>
          <w:sz w:val="28"/>
          <w:szCs w:val="28"/>
          <w:lang w:val="zh-TW"/>
        </w:rPr>
        <w:t>、服务方案</w:t>
      </w:r>
    </w:p>
    <w:p w14:paraId="51074B94">
      <w:pPr>
        <w:pStyle w:val="197"/>
        <w:spacing w:line="360" w:lineRule="auto"/>
        <w:rPr>
          <w:rFonts w:hint="default" w:ascii="Times New Roman" w:hAnsi="Times New Roman" w:eastAsia="仿宋_GB2312" w:cs="Times New Roman"/>
          <w:color w:val="auto"/>
          <w:sz w:val="28"/>
          <w:szCs w:val="28"/>
          <w:lang w:val="zh-TW"/>
        </w:rPr>
      </w:pPr>
      <w:r>
        <w:rPr>
          <w:rFonts w:hint="default" w:ascii="Times New Roman" w:hAnsi="Times New Roman" w:eastAsia="仿宋_GB2312" w:cs="Times New Roman"/>
          <w:color w:val="auto"/>
          <w:sz w:val="28"/>
          <w:szCs w:val="28"/>
          <w:lang w:val="zh-TW" w:eastAsia="zh-CN"/>
        </w:rPr>
        <w:t>七</w:t>
      </w:r>
      <w:r>
        <w:rPr>
          <w:rFonts w:hint="default" w:ascii="Times New Roman" w:hAnsi="Times New Roman" w:eastAsia="仿宋_GB2312" w:cs="Times New Roman"/>
          <w:color w:val="auto"/>
          <w:sz w:val="28"/>
          <w:szCs w:val="28"/>
          <w:lang w:val="zh-TW"/>
        </w:rPr>
        <w:t>、其他文件</w:t>
      </w:r>
    </w:p>
    <w:p w14:paraId="6D40D325">
      <w:pPr>
        <w:pStyle w:val="197"/>
        <w:spacing w:line="360" w:lineRule="auto"/>
        <w:rPr>
          <w:color w:val="auto"/>
          <w:sz w:val="28"/>
          <w:szCs w:val="28"/>
          <w:lang w:val="zh-TW"/>
        </w:rPr>
      </w:pPr>
    </w:p>
    <w:p w14:paraId="1EE448E4">
      <w:pPr>
        <w:pStyle w:val="197"/>
        <w:spacing w:line="360" w:lineRule="auto"/>
        <w:rPr>
          <w:color w:val="auto"/>
          <w:sz w:val="28"/>
          <w:szCs w:val="28"/>
          <w:lang w:val="zh-TW"/>
        </w:rPr>
      </w:pPr>
    </w:p>
    <w:p w14:paraId="714E4E7C">
      <w:pPr>
        <w:pStyle w:val="197"/>
        <w:spacing w:line="360" w:lineRule="auto"/>
        <w:jc w:val="center"/>
        <w:rPr>
          <w:rFonts w:hint="default" w:ascii="Times New Roman" w:hAnsi="Times New Roman" w:eastAsia="仿宋_GB2312" w:cs="Times New Roman"/>
          <w:color w:val="auto"/>
          <w:sz w:val="28"/>
          <w:szCs w:val="28"/>
          <w:lang w:val="zh-TW"/>
        </w:rPr>
      </w:pPr>
      <w:r>
        <w:rPr>
          <w:rFonts w:hint="eastAsia" w:ascii="宋体" w:hAnsi="宋体" w:cs="宋体"/>
          <w:lang w:eastAsia="zh-CN"/>
        </w:rPr>
        <w:br w:type="page"/>
      </w:r>
      <w:r>
        <w:rPr>
          <w:rFonts w:hint="default" w:ascii="Times New Roman" w:hAnsi="Times New Roman" w:eastAsia="方正小标宋_GBK" w:cs="Times New Roman"/>
          <w:b w:val="0"/>
          <w:bCs/>
          <w:color w:val="auto"/>
          <w:kern w:val="0"/>
          <w:sz w:val="30"/>
          <w:szCs w:val="30"/>
          <w:lang w:val="zh-TW" w:eastAsia="zh-CN" w:bidi="ar-SA"/>
        </w:rPr>
        <w:t>一、投标函</w:t>
      </w:r>
    </w:p>
    <w:p w14:paraId="7F88695E">
      <w:pPr>
        <w:spacing w:line="360" w:lineRule="auto"/>
        <w:rPr>
          <w:rFonts w:hint="default" w:ascii="Times New Roman" w:hAnsi="Times New Roman" w:eastAsia="仿宋_GB2312" w:cs="Times New Roman"/>
          <w:color w:val="auto"/>
          <w:sz w:val="28"/>
          <w:szCs w:val="28"/>
          <w:u w:val="single"/>
          <w:lang w:eastAsia="zh-CN"/>
        </w:rPr>
      </w:pPr>
      <w:r>
        <w:rPr>
          <w:rFonts w:hint="default" w:ascii="Times New Roman" w:hAnsi="Times New Roman" w:eastAsia="仿宋_GB2312" w:cs="Times New Roman"/>
          <w:color w:val="auto"/>
          <w:sz w:val="28"/>
          <w:szCs w:val="28"/>
          <w:lang w:eastAsia="zh-CN"/>
        </w:rPr>
        <w:t>致：</w:t>
      </w:r>
      <w:r>
        <w:rPr>
          <w:rFonts w:hint="default"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single"/>
          <w:lang w:val="en-US" w:eastAsia="zh-CN"/>
        </w:rPr>
        <w:t>河南应用技术职业学院</w:t>
      </w:r>
      <w:r>
        <w:rPr>
          <w:rFonts w:hint="default" w:ascii="Times New Roman" w:hAnsi="Times New Roman" w:eastAsia="仿宋_GB2312" w:cs="Times New Roman"/>
          <w:color w:val="auto"/>
          <w:sz w:val="28"/>
          <w:szCs w:val="28"/>
          <w:u w:val="single"/>
          <w:lang w:eastAsia="zh-CN"/>
        </w:rPr>
        <w:t xml:space="preserve"> </w:t>
      </w:r>
    </w:p>
    <w:p w14:paraId="622D836A">
      <w:pPr>
        <w:spacing w:line="360" w:lineRule="auto"/>
        <w:ind w:firstLine="48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lang w:eastAsia="zh-CN"/>
        </w:rPr>
        <w:t>我们收到了采购编号为</w:t>
      </w:r>
      <w:r>
        <w:rPr>
          <w:rFonts w:hint="default" w:ascii="Times New Roman" w:hAnsi="Times New Roman" w:eastAsia="仿宋_GB2312" w:cs="Times New Roman"/>
          <w:color w:val="auto"/>
          <w:sz w:val="28"/>
          <w:szCs w:val="28"/>
          <w:u w:val="single"/>
          <w:lang w:eastAsia="zh-CN"/>
        </w:rPr>
        <w:t xml:space="preserve"> </w:t>
      </w:r>
      <w:r>
        <w:rPr>
          <w:rFonts w:hint="eastAsia" w:ascii="Times New Roman" w:hAnsi="Times New Roman" w:eastAsia="仿宋_GB2312" w:cs="Times New Roman"/>
          <w:color w:val="auto"/>
          <w:sz w:val="28"/>
          <w:szCs w:val="28"/>
          <w:u w:val="single"/>
          <w:lang w:val="en" w:eastAsia="zh-CN"/>
        </w:rPr>
        <w:t>豫财招标采购-2025-1091</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的</w:t>
      </w:r>
      <w:r>
        <w:rPr>
          <w:rFonts w:hint="default" w:ascii="Times New Roman" w:hAnsi="Times New Roman" w:eastAsia="仿宋_GB2312" w:cs="Times New Roman"/>
          <w:color w:val="auto"/>
          <w:sz w:val="28"/>
          <w:szCs w:val="28"/>
          <w:u w:val="single"/>
          <w:lang w:eastAsia="zh-CN"/>
        </w:rPr>
        <w:t xml:space="preserve"> </w:t>
      </w:r>
      <w:r>
        <w:rPr>
          <w:rFonts w:hint="eastAsia" w:ascii="Times New Roman" w:hAnsi="Times New Roman" w:eastAsia="仿宋_GB2312" w:cs="Times New Roman"/>
          <w:color w:val="auto"/>
          <w:sz w:val="28"/>
          <w:szCs w:val="28"/>
          <w:u w:val="single"/>
          <w:lang w:val="en" w:eastAsia="zh-CN"/>
        </w:rPr>
        <w:t>河南应用技术职业学院三校区2025-2027年物业服务项目（</w:t>
      </w:r>
      <w:r>
        <w:rPr>
          <w:rFonts w:hint="eastAsia" w:ascii="Times New Roman" w:hAnsi="Times New Roman" w:eastAsia="仿宋_GB2312" w:cs="Times New Roman"/>
          <w:color w:val="auto"/>
          <w:sz w:val="28"/>
          <w:szCs w:val="28"/>
          <w:u w:val="single"/>
          <w:lang w:val="en-US" w:eastAsia="zh-CN"/>
        </w:rPr>
        <w:t xml:space="preserve">包号：   </w:t>
      </w:r>
      <w:bookmarkStart w:id="625" w:name="_GoBack"/>
      <w:bookmarkEnd w:id="625"/>
      <w:r>
        <w:rPr>
          <w:rFonts w:hint="eastAsia" w:ascii="Times New Roman" w:hAnsi="Times New Roman" w:eastAsia="仿宋_GB2312" w:cs="Times New Roman"/>
          <w:color w:val="auto"/>
          <w:sz w:val="28"/>
          <w:szCs w:val="28"/>
          <w:u w:val="single"/>
          <w:lang w:val="en" w:eastAsia="zh-CN"/>
        </w:rPr>
        <w:t>）</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采购文件，经详细研究，我们决定参加该项目的投标活动并按要求提交投标文件。我们</w:t>
      </w:r>
      <w:r>
        <w:rPr>
          <w:rFonts w:hint="default" w:ascii="Times New Roman" w:hAnsi="Times New Roman" w:eastAsia="仿宋_GB2312" w:cs="Times New Roman"/>
          <w:color w:val="auto"/>
          <w:sz w:val="28"/>
          <w:szCs w:val="28"/>
          <w:highlight w:val="none"/>
          <w:lang w:eastAsia="zh-CN"/>
        </w:rPr>
        <w:t>郑重声明以下诸点并负法律责任</w:t>
      </w:r>
      <w:r>
        <w:rPr>
          <w:rFonts w:hint="default" w:ascii="Times New Roman" w:hAnsi="Times New Roman" w:eastAsia="仿宋_GB2312" w:cs="Times New Roman"/>
          <w:color w:val="auto"/>
          <w:sz w:val="28"/>
          <w:szCs w:val="28"/>
          <w:highlight w:val="none"/>
          <w:lang w:val="en-US" w:eastAsia="zh-CN"/>
        </w:rPr>
        <w:t>:</w:t>
      </w:r>
    </w:p>
    <w:p w14:paraId="28A3EEA6">
      <w:pPr>
        <w:spacing w:line="360" w:lineRule="auto"/>
        <w:ind w:firstLine="48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 xml:space="preserve">(1) </w:t>
      </w:r>
      <w:r>
        <w:rPr>
          <w:rFonts w:hint="default" w:ascii="Times New Roman" w:hAnsi="Times New Roman" w:eastAsia="仿宋_GB2312" w:cs="Times New Roman"/>
          <w:color w:val="auto"/>
          <w:sz w:val="28"/>
          <w:szCs w:val="28"/>
          <w:highlight w:val="none"/>
          <w:lang w:eastAsia="zh-CN"/>
        </w:rPr>
        <w:t>愿按照采购文件中规定的条款和要求，提供完成采购文件规定的全部工作，投标总报价为（大写）</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lang w:eastAsia="zh-CN"/>
        </w:rPr>
        <w:t>元人民币，（小写）￥：</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lang w:eastAsia="zh-CN"/>
        </w:rPr>
        <w:t>元），服务期限为</w:t>
      </w:r>
      <w:r>
        <w:rPr>
          <w:rFonts w:hint="default" w:ascii="Times New Roman" w:hAnsi="Times New Roman" w:eastAsia="仿宋_GB2312" w:cs="Times New Roman"/>
          <w:color w:val="auto"/>
          <w:sz w:val="28"/>
          <w:szCs w:val="28"/>
          <w:highlight w:val="none"/>
          <w:u w:val="single"/>
          <w:lang w:val="en-US" w:eastAsia="zh-CN"/>
        </w:rPr>
        <w:t xml:space="preserve"> </w:t>
      </w:r>
      <w:r>
        <w:rPr>
          <w:rFonts w:hint="eastAsia" w:ascii="Times New Roman" w:hAnsi="Times New Roman" w:eastAsia="仿宋_GB2312" w:cs="Times New Roman"/>
          <w:color w:val="auto"/>
          <w:sz w:val="28"/>
          <w:szCs w:val="28"/>
          <w:highlight w:val="none"/>
          <w:u w:val="single"/>
          <w:lang w:val="en-US" w:eastAsia="zh-CN"/>
        </w:rPr>
        <w:t xml:space="preserve">22 </w:t>
      </w:r>
      <w:r>
        <w:rPr>
          <w:rFonts w:hint="eastAsia" w:ascii="Times New Roman" w:hAnsi="Times New Roman" w:eastAsia="仿宋_GB2312" w:cs="Times New Roman"/>
          <w:color w:val="auto"/>
          <w:sz w:val="28"/>
          <w:szCs w:val="28"/>
          <w:highlight w:val="none"/>
          <w:u w:val="none"/>
          <w:lang w:val="en-US" w:eastAsia="zh-CN"/>
        </w:rPr>
        <w:t>个月</w:t>
      </w:r>
      <w:r>
        <w:rPr>
          <w:rFonts w:hint="default" w:ascii="Times New Roman" w:hAnsi="Times New Roman" w:eastAsia="仿宋_GB2312" w:cs="Times New Roman"/>
          <w:color w:val="auto"/>
          <w:sz w:val="28"/>
          <w:szCs w:val="28"/>
          <w:highlight w:val="none"/>
          <w:lang w:eastAsia="zh-CN"/>
        </w:rPr>
        <w:t>，投标有效期</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u w:val="single"/>
          <w:lang w:eastAsia="zh-CN"/>
        </w:rPr>
        <w:t>60</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lang w:val="en-US" w:eastAsia="zh-CN"/>
        </w:rPr>
        <w:t>天</w:t>
      </w:r>
      <w:r>
        <w:rPr>
          <w:rFonts w:hint="default" w:ascii="Times New Roman" w:hAnsi="Times New Roman" w:eastAsia="仿宋_GB2312" w:cs="Times New Roman"/>
          <w:color w:val="auto"/>
          <w:sz w:val="28"/>
          <w:szCs w:val="28"/>
          <w:highlight w:val="none"/>
          <w:lang w:eastAsia="zh-CN"/>
        </w:rPr>
        <w:t>。</w:t>
      </w:r>
    </w:p>
    <w:p w14:paraId="035934D2">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eastAsia="zh-CN"/>
        </w:rPr>
        <w:t>如果我们的投标文件被接受，我们将履行招标文件中规定的各项要求。</w:t>
      </w:r>
    </w:p>
    <w:p w14:paraId="4A8F69E3">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eastAsia="zh-CN"/>
        </w:rPr>
        <w:t>我们同意本招标文件中有关投标有效期的规定。如果中标，有效期延长至合同终止日止。</w:t>
      </w:r>
    </w:p>
    <w:p w14:paraId="78656C60">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eastAsia="zh-CN"/>
        </w:rPr>
        <w:t>我们愿提供招标文件中要求的所有文件资料。</w:t>
      </w:r>
    </w:p>
    <w:p w14:paraId="2D9D11A9">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我们已经详细审核了全部采购文件，如有需要澄清的问题，我们同意按采购文件规定的时间向采购人提出。逾期不提，我公司同意放弃对这方面有不明及误解的权利。</w:t>
      </w:r>
    </w:p>
    <w:p w14:paraId="05F136F3">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lang w:eastAsia="zh-CN"/>
        </w:rPr>
        <w:t>我们承诺，与采购人聘请的为此项目提供咨询服务及任何附属机构均无关联，非采购人的附属机构。</w:t>
      </w:r>
    </w:p>
    <w:p w14:paraId="536C5469">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lang w:eastAsia="zh-CN"/>
        </w:rPr>
        <w:t>我公司同意提供按照采购人可能要求的与其投标有关的一切数据或资料，完全理解采购人不一定接受最低价的投标或收到的任何投标。</w:t>
      </w:r>
    </w:p>
    <w:p w14:paraId="1840E694">
      <w:pPr>
        <w:spacing w:line="360" w:lineRule="auto"/>
        <w:ind w:firstLine="48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lang w:eastAsia="zh-CN"/>
        </w:rPr>
        <w:t>如果我们的投标文件被接受，我们将按招标文件的规定签订并严格履行合同中的责任和义务。</w:t>
      </w:r>
    </w:p>
    <w:p w14:paraId="565ADE10">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9</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我公司公平竞争参加本次招标活动。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2E3B067C">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lang w:eastAsia="zh-CN"/>
        </w:rPr>
        <w:t>我公司独立参加投标，未组成联合体参加投标。</w:t>
      </w:r>
    </w:p>
    <w:p w14:paraId="5D2B0C9F">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1</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eastAsia="zh-CN"/>
        </w:rPr>
        <w:t>除不可抗力外，我公司如果发生以下行为，将在行为发生的10个工作日内，向贵方支付本招标文件公布的最高限价的2%作为违约赔偿金。</w:t>
      </w:r>
    </w:p>
    <w:p w14:paraId="58953516">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lang w:eastAsia="zh-CN"/>
        </w:rPr>
        <w:instrText xml:space="preserve"> = 1 \* GB3 \* MERGEFORMAT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lang w:eastAsia="zh-CN"/>
        </w:rPr>
        <w:t>①</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lang w:eastAsia="zh-CN"/>
        </w:rPr>
        <w:t>在招标文件规定的投标有效期内实质上修改或撤回投标；</w:t>
      </w:r>
    </w:p>
    <w:p w14:paraId="272F99D1">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lang w:eastAsia="zh-CN"/>
        </w:rPr>
        <w:instrText xml:space="preserve"> = 2 \* GB3 \* MERGEFORMAT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lang w:eastAsia="zh-CN"/>
        </w:rPr>
        <w:t>②</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lang w:eastAsia="zh-CN"/>
        </w:rPr>
        <w:t>中标后不依法与采购人签订合同；</w:t>
      </w:r>
    </w:p>
    <w:p w14:paraId="69B56AF0">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lang w:eastAsia="zh-CN"/>
        </w:rPr>
        <w:instrText xml:space="preserve"> = 3 \* GB3 \* MERGEFORMAT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lang w:eastAsia="zh-CN"/>
        </w:rPr>
        <w:t>③</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lang w:eastAsia="zh-CN"/>
        </w:rPr>
        <w:t>在投标文件中提供虚假材料。</w:t>
      </w:r>
    </w:p>
    <w:p w14:paraId="688B7771">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1</w:t>
      </w:r>
      <w:r>
        <w:rPr>
          <w:rFonts w:hint="default" w:ascii="Times New Roman" w:hAnsi="Times New Roman" w:eastAsia="仿宋_GB2312" w:cs="Times New Roman"/>
          <w:color w:val="auto"/>
          <w:sz w:val="28"/>
          <w:szCs w:val="28"/>
          <w:lang w:val="en-US" w:eastAsia="zh-CN"/>
        </w:rPr>
        <w:t xml:space="preserve">2)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（其他补充说明）。</w:t>
      </w:r>
    </w:p>
    <w:p w14:paraId="7908A351">
      <w:pPr>
        <w:spacing w:line="360" w:lineRule="auto"/>
        <w:ind w:firstLine="560"/>
        <w:rPr>
          <w:rFonts w:hint="default" w:ascii="Times New Roman" w:hAnsi="Times New Roman" w:eastAsia="仿宋_GB2312" w:cs="Times New Roman"/>
          <w:color w:val="auto"/>
          <w:sz w:val="28"/>
          <w:szCs w:val="28"/>
          <w:lang w:eastAsia="zh-CN"/>
        </w:rPr>
      </w:pPr>
    </w:p>
    <w:p w14:paraId="46E2C60F">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与本投标有关的正式通讯地址：</w:t>
      </w:r>
    </w:p>
    <w:p w14:paraId="568A4C9A">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地  址：                             邮  编：</w:t>
      </w:r>
    </w:p>
    <w:p w14:paraId="4BA52424">
      <w:pPr>
        <w:spacing w:line="360" w:lineRule="auto"/>
        <w:ind w:firstLine="465"/>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电  话：                             传  真：</w:t>
      </w:r>
    </w:p>
    <w:p w14:paraId="1CF382B8">
      <w:pPr>
        <w:spacing w:line="360" w:lineRule="auto"/>
        <w:ind w:firstLine="465"/>
        <w:rPr>
          <w:rFonts w:hint="default" w:ascii="Times New Roman" w:hAnsi="Times New Roman" w:eastAsia="仿宋_GB2312" w:cs="Times New Roman"/>
          <w:color w:val="auto"/>
          <w:sz w:val="28"/>
          <w:szCs w:val="28"/>
          <w:lang w:eastAsia="zh-CN"/>
        </w:rPr>
      </w:pPr>
    </w:p>
    <w:p w14:paraId="17341197">
      <w:pPr>
        <w:spacing w:line="360" w:lineRule="auto"/>
        <w:ind w:firstLine="465"/>
        <w:rPr>
          <w:rFonts w:hint="default" w:ascii="Times New Roman" w:hAnsi="Times New Roman" w:eastAsia="仿宋_GB2312" w:cs="Times New Roman"/>
          <w:color w:val="auto"/>
          <w:sz w:val="28"/>
          <w:szCs w:val="28"/>
          <w:lang w:eastAsia="zh-CN"/>
        </w:rPr>
      </w:pPr>
    </w:p>
    <w:p w14:paraId="28979056">
      <w:pPr>
        <w:spacing w:line="480" w:lineRule="auto"/>
        <w:ind w:firstLine="465"/>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投标人（企业电子签章）：</w:t>
      </w:r>
    </w:p>
    <w:p w14:paraId="516C7B2E">
      <w:pPr>
        <w:spacing w:line="400" w:lineRule="exact"/>
        <w:ind w:firstLine="465"/>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 xml:space="preserve">法定代表人（个人电子签章）：       </w:t>
      </w:r>
    </w:p>
    <w:p w14:paraId="26995EC8">
      <w:pPr>
        <w:pStyle w:val="228"/>
        <w:rPr>
          <w:rFonts w:hint="default" w:ascii="Times New Roman" w:hAnsi="Times New Roman" w:cs="Times New Roman"/>
          <w:color w:val="auto"/>
        </w:rPr>
      </w:pPr>
    </w:p>
    <w:p w14:paraId="487456B5">
      <w:pPr>
        <w:pStyle w:val="228"/>
        <w:rPr>
          <w:rFonts w:hint="default" w:ascii="Times New Roman" w:hAnsi="Times New Roman" w:cs="Times New Roman"/>
          <w:color w:val="auto"/>
        </w:rPr>
      </w:pPr>
    </w:p>
    <w:p w14:paraId="7CB6FB5A">
      <w:pPr>
        <w:spacing w:line="400" w:lineRule="exact"/>
        <w:ind w:firstLine="465"/>
        <w:jc w:val="righ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日期：    年  月  日</w:t>
      </w:r>
    </w:p>
    <w:p w14:paraId="4A13F90B">
      <w:pPr>
        <w:pStyle w:val="3"/>
        <w:spacing w:before="0" w:after="0" w:line="360" w:lineRule="auto"/>
        <w:jc w:val="center"/>
        <w:rPr>
          <w:rFonts w:hint="default" w:ascii="Times New Roman" w:hAnsi="Times New Roman" w:eastAsia="方正小标宋_GBK" w:cs="Times New Roman"/>
          <w:b w:val="0"/>
          <w:color w:val="auto"/>
          <w:sz w:val="30"/>
          <w:szCs w:val="30"/>
          <w:lang w:val="en-US" w:eastAsia="zh-CN"/>
        </w:rPr>
      </w:pPr>
      <w:bookmarkStart w:id="462" w:name="_Toc532473507"/>
      <w:bookmarkStart w:id="463" w:name="_Toc74240237"/>
      <w:bookmarkStart w:id="464" w:name="_Toc20897"/>
      <w:bookmarkStart w:id="465" w:name="_Toc2582321"/>
      <w:bookmarkStart w:id="466" w:name="_Toc1881"/>
      <w:bookmarkStart w:id="467" w:name="_Toc515647818"/>
      <w:r>
        <w:rPr>
          <w:rFonts w:hint="default" w:ascii="Times New Roman" w:hAnsi="Times New Roman" w:eastAsia="黑体" w:cs="Times New Roman"/>
          <w:color w:val="auto"/>
          <w:sz w:val="28"/>
          <w:szCs w:val="28"/>
          <w:highlight w:val="green"/>
          <w:lang w:val="en-US" w:eastAsia="zh-CN"/>
        </w:rPr>
        <w:br w:type="page"/>
      </w:r>
      <w:bookmarkStart w:id="468" w:name="_Toc1194597873"/>
      <w:bookmarkStart w:id="469" w:name="_Toc942115178"/>
      <w:bookmarkStart w:id="470" w:name="_Toc1472753336"/>
      <w:bookmarkStart w:id="471" w:name="_Toc1552610899"/>
      <w:bookmarkStart w:id="472" w:name="_Toc1320028818_WPSOffice_Level2"/>
      <w:bookmarkStart w:id="473" w:name="_Toc1454903178"/>
      <w:bookmarkStart w:id="474" w:name="_Toc953796897"/>
      <w:bookmarkStart w:id="475" w:name="_Toc1601753856"/>
      <w:r>
        <w:rPr>
          <w:rFonts w:hint="default" w:ascii="Times New Roman" w:hAnsi="Times New Roman" w:eastAsia="方正小标宋_GBK" w:cs="Times New Roman"/>
          <w:b w:val="0"/>
          <w:color w:val="auto"/>
          <w:sz w:val="30"/>
          <w:szCs w:val="30"/>
          <w:lang w:val="en-US" w:eastAsia="zh-CN"/>
        </w:rPr>
        <w:t>二、</w:t>
      </w:r>
      <w:r>
        <w:rPr>
          <w:rFonts w:hint="default" w:ascii="Times New Roman" w:hAnsi="Times New Roman" w:eastAsia="方正小标宋_GBK" w:cs="Times New Roman"/>
          <w:b w:val="0"/>
          <w:color w:val="auto"/>
          <w:sz w:val="30"/>
          <w:szCs w:val="30"/>
          <w:lang w:eastAsia="zh-CN"/>
        </w:rPr>
        <w:t>法定代表人身份证明书</w:t>
      </w:r>
      <w:bookmarkEnd w:id="468"/>
      <w:bookmarkEnd w:id="469"/>
      <w:bookmarkEnd w:id="470"/>
      <w:bookmarkEnd w:id="471"/>
      <w:bookmarkEnd w:id="472"/>
      <w:bookmarkEnd w:id="473"/>
      <w:bookmarkEnd w:id="474"/>
      <w:bookmarkEnd w:id="475"/>
    </w:p>
    <w:p w14:paraId="31B0F5D0">
      <w:pPr>
        <w:spacing w:line="360" w:lineRule="auto"/>
        <w:rPr>
          <w:rFonts w:hint="default" w:ascii="Times New Roman" w:hAnsi="Times New Roman" w:eastAsia="宋体" w:cs="Times New Roman"/>
          <w:color w:val="auto"/>
          <w:sz w:val="28"/>
          <w:szCs w:val="28"/>
          <w:lang w:val="en-US" w:eastAsia="zh-CN"/>
        </w:rPr>
      </w:pPr>
    </w:p>
    <w:p w14:paraId="4B74436B">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致</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u w:val="single"/>
          <w:lang w:eastAsia="zh-CN"/>
        </w:rPr>
        <w:t xml:space="preserve"> </w:t>
      </w:r>
      <w:r>
        <w:rPr>
          <w:rFonts w:hint="eastAsia" w:ascii="Times New Roman" w:hAnsi="Times New Roman" w:eastAsia="仿宋_GB2312" w:cs="Times New Roman"/>
          <w:color w:val="auto"/>
          <w:sz w:val="28"/>
          <w:szCs w:val="28"/>
          <w:u w:val="single"/>
          <w:lang w:val="en-US" w:eastAsia="zh-CN"/>
        </w:rPr>
        <w:t>河南应用技术职业学院</w:t>
      </w:r>
      <w:r>
        <w:rPr>
          <w:rFonts w:hint="default" w:ascii="Times New Roman" w:hAnsi="Times New Roman" w:eastAsia="仿宋_GB2312" w:cs="Times New Roman"/>
          <w:color w:val="auto"/>
          <w:sz w:val="28"/>
          <w:szCs w:val="28"/>
          <w:u w:val="single"/>
          <w:lang w:eastAsia="zh-CN"/>
        </w:rPr>
        <w:t xml:space="preserve"> </w:t>
      </w:r>
    </w:p>
    <w:p w14:paraId="7684FA81">
      <w:pPr>
        <w:spacing w:line="360" w:lineRule="auto"/>
        <w:ind w:firstLine="6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（姓名、性别、年龄、身份证号码）在我单位任</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（董事长、总经理等）职务，是我单位的法定代表人。</w:t>
      </w:r>
    </w:p>
    <w:p w14:paraId="64ED550D">
      <w:pPr>
        <w:spacing w:line="360" w:lineRule="auto"/>
        <w:ind w:firstLine="480"/>
        <w:rPr>
          <w:rFonts w:hint="default" w:ascii="Times New Roman" w:hAnsi="Times New Roman" w:eastAsia="仿宋_GB2312" w:cs="Times New Roman"/>
          <w:color w:val="auto"/>
          <w:sz w:val="28"/>
          <w:szCs w:val="28"/>
          <w:lang w:val="en-US" w:eastAsia="zh-CN"/>
        </w:rPr>
      </w:pPr>
    </w:p>
    <w:p w14:paraId="36E5DFF3">
      <w:pPr>
        <w:spacing w:line="360" w:lineRule="auto"/>
        <w:ind w:firstLine="480"/>
        <w:rPr>
          <w:rFonts w:hint="default" w:ascii="Times New Roman" w:hAnsi="Times New Roman" w:eastAsia="仿宋_GB2312" w:cs="Times New Roman"/>
          <w:color w:val="auto"/>
          <w:sz w:val="28"/>
          <w:szCs w:val="28"/>
          <w:lang w:val="en-US" w:eastAsia="zh-CN"/>
        </w:rPr>
      </w:pPr>
    </w:p>
    <w:p w14:paraId="6E92A1BD">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特此证明。</w:t>
      </w:r>
    </w:p>
    <w:p w14:paraId="3BCBCF27">
      <w:pPr>
        <w:spacing w:line="360" w:lineRule="auto"/>
        <w:ind w:firstLine="480"/>
        <w:rPr>
          <w:rFonts w:hint="default" w:ascii="Times New Roman" w:hAnsi="Times New Roman" w:eastAsia="仿宋_GB2312" w:cs="Times New Roman"/>
          <w:color w:val="auto"/>
          <w:sz w:val="28"/>
          <w:szCs w:val="28"/>
          <w:lang w:val="en-US" w:eastAsia="zh-CN"/>
        </w:rPr>
      </w:pPr>
    </w:p>
    <w:p w14:paraId="1D854DD8">
      <w:pPr>
        <w:spacing w:line="360" w:lineRule="auto"/>
        <w:ind w:firstLine="480"/>
        <w:rPr>
          <w:rFonts w:hint="default" w:ascii="Times New Roman" w:hAnsi="Times New Roman" w:eastAsia="仿宋_GB2312" w:cs="Times New Roman"/>
          <w:color w:val="auto"/>
          <w:sz w:val="28"/>
          <w:szCs w:val="28"/>
          <w:lang w:val="en-US" w:eastAsia="zh-CN"/>
        </w:rPr>
      </w:pPr>
    </w:p>
    <w:p w14:paraId="24E8E82A">
      <w:pPr>
        <w:pStyle w:val="197"/>
        <w:tabs>
          <w:tab w:val="left" w:pos="5580"/>
        </w:tabs>
        <w:spacing w:line="360" w:lineRule="auto"/>
        <w:ind w:firstLine="36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zh-TW"/>
        </w:rPr>
        <w:t>投标人（企业电子签章）：</w:t>
      </w:r>
      <w:r>
        <w:rPr>
          <w:rFonts w:hint="default" w:ascii="Times New Roman" w:hAnsi="Times New Roman" w:eastAsia="仿宋_GB2312" w:cs="Times New Roman"/>
          <w:color w:val="auto"/>
          <w:sz w:val="28"/>
          <w:szCs w:val="28"/>
          <w:u w:val="single"/>
        </w:rPr>
        <w:t xml:space="preserve">                             </w:t>
      </w:r>
    </w:p>
    <w:p w14:paraId="4D182C42">
      <w:pPr>
        <w:pStyle w:val="197"/>
        <w:tabs>
          <w:tab w:val="left" w:pos="5580"/>
        </w:tabs>
        <w:spacing w:line="360" w:lineRule="auto"/>
        <w:ind w:left="269" w:firstLine="12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zh-TW"/>
        </w:rPr>
        <w:t>详细通讯地址：</w:t>
      </w:r>
      <w:r>
        <w:rPr>
          <w:rFonts w:hint="default" w:ascii="Times New Roman" w:hAnsi="Times New Roman" w:eastAsia="仿宋_GB2312" w:cs="Times New Roman"/>
          <w:color w:val="auto"/>
          <w:sz w:val="28"/>
          <w:szCs w:val="28"/>
          <w:u w:val="single"/>
        </w:rPr>
        <w:t xml:space="preserve">                                </w:t>
      </w:r>
    </w:p>
    <w:p w14:paraId="6FF5844A">
      <w:pPr>
        <w:pStyle w:val="197"/>
        <w:tabs>
          <w:tab w:val="left" w:pos="5580"/>
        </w:tabs>
        <w:spacing w:line="360" w:lineRule="auto"/>
        <w:ind w:firstLine="36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zh-TW"/>
        </w:rPr>
        <w:t>邮 政 编 码 ：</w:t>
      </w:r>
      <w:r>
        <w:rPr>
          <w:rFonts w:hint="default" w:ascii="Times New Roman" w:hAnsi="Times New Roman" w:eastAsia="仿宋_GB2312" w:cs="Times New Roman"/>
          <w:color w:val="auto"/>
          <w:sz w:val="28"/>
          <w:szCs w:val="28"/>
          <w:u w:val="single"/>
        </w:rPr>
        <w:t xml:space="preserve">                                </w:t>
      </w:r>
    </w:p>
    <w:p w14:paraId="53C2C4B9">
      <w:pPr>
        <w:pStyle w:val="197"/>
        <w:tabs>
          <w:tab w:val="left" w:pos="5580"/>
        </w:tabs>
        <w:spacing w:line="360" w:lineRule="auto"/>
        <w:ind w:firstLine="36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zh-TW"/>
        </w:rPr>
        <w:t>传　　　　真：</w:t>
      </w:r>
      <w:r>
        <w:rPr>
          <w:rFonts w:hint="default" w:ascii="Times New Roman" w:hAnsi="Times New Roman" w:eastAsia="仿宋_GB2312" w:cs="Times New Roman"/>
          <w:color w:val="auto"/>
          <w:sz w:val="28"/>
          <w:szCs w:val="28"/>
          <w:u w:val="single"/>
        </w:rPr>
        <w:t xml:space="preserve">                                </w:t>
      </w:r>
    </w:p>
    <w:p w14:paraId="17D5CD42">
      <w:pPr>
        <w:pStyle w:val="197"/>
        <w:tabs>
          <w:tab w:val="left" w:pos="5580"/>
        </w:tabs>
        <w:spacing w:line="360" w:lineRule="auto"/>
        <w:ind w:firstLine="360"/>
        <w:rPr>
          <w:rFonts w:hint="default" w:ascii="Times New Roman" w:hAnsi="Times New Roman" w:eastAsia="仿宋_GB2312" w:cs="Times New Roman"/>
          <w:color w:val="auto"/>
          <w:sz w:val="28"/>
          <w:szCs w:val="28"/>
          <w:u w:val="single"/>
        </w:rPr>
      </w:pPr>
      <w:r>
        <w:rPr>
          <w:rFonts w:hint="default" w:ascii="Times New Roman" w:hAnsi="Times New Roman" w:eastAsia="仿宋_GB2312" w:cs="Times New Roman"/>
          <w:color w:val="auto"/>
          <w:sz w:val="28"/>
          <w:szCs w:val="28"/>
          <w:lang w:val="zh-TW"/>
        </w:rPr>
        <w:t>电　　　　话：</w:t>
      </w:r>
      <w:r>
        <w:rPr>
          <w:rFonts w:hint="default" w:ascii="Times New Roman" w:hAnsi="Times New Roman" w:eastAsia="仿宋_GB2312" w:cs="Times New Roman"/>
          <w:color w:val="auto"/>
          <w:sz w:val="28"/>
          <w:szCs w:val="28"/>
          <w:u w:val="single"/>
        </w:rPr>
        <w:t xml:space="preserve">                                </w:t>
      </w:r>
    </w:p>
    <w:p w14:paraId="05865121">
      <w:pPr>
        <w:pStyle w:val="197"/>
        <w:tabs>
          <w:tab w:val="left" w:pos="5580"/>
        </w:tabs>
        <w:spacing w:line="360" w:lineRule="auto"/>
        <w:ind w:firstLine="360"/>
        <w:rPr>
          <w:rFonts w:hint="default" w:ascii="Times New Roman" w:hAnsi="Times New Roman" w:eastAsia="仿宋_GB2312" w:cs="Times New Roman"/>
          <w:color w:val="auto"/>
          <w:sz w:val="28"/>
          <w:szCs w:val="28"/>
          <w:u w:val="single"/>
        </w:rPr>
      </w:pPr>
    </w:p>
    <w:tbl>
      <w:tblPr>
        <w:tblStyle w:val="53"/>
        <w:tblW w:w="8969"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4484"/>
        <w:gridCol w:w="4485"/>
      </w:tblGrid>
      <w:tr w14:paraId="1B6B88D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486" w:hRule="atLeast"/>
          <w:jc w:val="center"/>
        </w:trPr>
        <w:tc>
          <w:tcPr>
            <w:tcW w:w="4484" w:type="dxa"/>
            <w:tcBorders>
              <w:top w:val="single" w:color="000000" w:sz="4" w:space="0"/>
              <w:left w:val="single" w:color="000000" w:sz="4" w:space="0"/>
              <w:bottom w:val="single" w:color="000000" w:sz="4" w:space="0"/>
              <w:right w:val="single" w:color="000000" w:sz="4" w:space="0"/>
            </w:tcBorders>
            <w:shd w:val="clear" w:color="auto" w:fill="CED7E7"/>
            <w:noWrap w:val="0"/>
            <w:tcMar>
              <w:top w:w="80" w:type="dxa"/>
              <w:left w:w="80" w:type="dxa"/>
              <w:bottom w:w="80" w:type="dxa"/>
              <w:right w:w="80" w:type="dxa"/>
            </w:tcMar>
            <w:vAlign w:val="center"/>
          </w:tcPr>
          <w:p w14:paraId="05727F6D">
            <w:pPr>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法定代表人身份证（人像面）</w:t>
            </w:r>
          </w:p>
        </w:tc>
        <w:tc>
          <w:tcPr>
            <w:tcW w:w="4485" w:type="dxa"/>
            <w:tcBorders>
              <w:top w:val="single" w:color="000000" w:sz="4" w:space="0"/>
              <w:left w:val="single" w:color="000000" w:sz="4" w:space="0"/>
              <w:bottom w:val="single" w:color="000000" w:sz="4" w:space="0"/>
              <w:right w:val="single" w:color="000000" w:sz="4" w:space="0"/>
            </w:tcBorders>
            <w:shd w:val="clear" w:color="auto" w:fill="CED7E7"/>
            <w:noWrap w:val="0"/>
            <w:tcMar>
              <w:top w:w="80" w:type="dxa"/>
              <w:left w:w="80" w:type="dxa"/>
              <w:bottom w:w="80" w:type="dxa"/>
              <w:right w:w="80" w:type="dxa"/>
            </w:tcMar>
            <w:vAlign w:val="center"/>
          </w:tcPr>
          <w:p w14:paraId="533FA571">
            <w:pPr>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法定代表人身份证（国徽面）</w:t>
            </w:r>
          </w:p>
        </w:tc>
      </w:tr>
    </w:tbl>
    <w:p w14:paraId="4251560F">
      <w:pPr>
        <w:spacing w:line="360" w:lineRule="auto"/>
        <w:ind w:firstLine="480"/>
        <w:rPr>
          <w:rFonts w:hint="default" w:ascii="Times New Roman" w:hAnsi="Times New Roman" w:eastAsia="仿宋_GB2312" w:cs="Times New Roman"/>
          <w:color w:val="auto"/>
          <w:sz w:val="28"/>
          <w:szCs w:val="28"/>
          <w:lang w:val="en-US" w:eastAsia="zh-CN"/>
        </w:rPr>
      </w:pPr>
    </w:p>
    <w:p w14:paraId="2C99DED7">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注：自然人投标的无需提供。</w:t>
      </w:r>
    </w:p>
    <w:p w14:paraId="1A8F7141">
      <w:pPr>
        <w:rPr>
          <w:rFonts w:hint="default" w:ascii="Times New Roman" w:hAnsi="Times New Roman" w:cs="Times New Roman"/>
          <w:color w:val="auto"/>
          <w:lang w:eastAsia="zh-CN"/>
        </w:rPr>
      </w:pPr>
    </w:p>
    <w:p w14:paraId="5EB52C5C">
      <w:pPr>
        <w:pStyle w:val="17"/>
        <w:rPr>
          <w:rFonts w:hint="default" w:ascii="Times New Roman" w:hAnsi="Times New Roman" w:cs="Times New Roman"/>
          <w:color w:val="auto"/>
          <w:lang w:eastAsia="zh-CN"/>
        </w:rPr>
      </w:pPr>
    </w:p>
    <w:p w14:paraId="5EE511B6">
      <w:pPr>
        <w:pStyle w:val="40"/>
        <w:ind w:left="840" w:hanging="420"/>
        <w:rPr>
          <w:rFonts w:hint="default" w:ascii="Times New Roman" w:hAnsi="Times New Roman" w:cs="Times New Roman"/>
          <w:color w:val="auto"/>
          <w:lang w:eastAsia="zh-CN"/>
        </w:rPr>
        <w:sectPr>
          <w:headerReference r:id="rId5" w:type="default"/>
          <w:pgSz w:w="11906" w:h="16838"/>
          <w:pgMar w:top="1440" w:right="1797" w:bottom="1440" w:left="1797" w:header="851" w:footer="992" w:gutter="0"/>
          <w:cols w:space="720" w:num="1"/>
          <w:docGrid w:linePitch="312" w:charSpace="0"/>
        </w:sectPr>
      </w:pPr>
    </w:p>
    <w:p w14:paraId="5E4D6733">
      <w:pPr>
        <w:pStyle w:val="3"/>
        <w:spacing w:before="0" w:after="0" w:line="360" w:lineRule="auto"/>
        <w:jc w:val="center"/>
        <w:rPr>
          <w:rFonts w:hint="default" w:ascii="Times New Roman" w:hAnsi="Times New Roman" w:eastAsia="方正小标宋_GBK" w:cs="Times New Roman"/>
          <w:b w:val="0"/>
          <w:color w:val="auto"/>
          <w:sz w:val="30"/>
          <w:szCs w:val="30"/>
          <w:lang w:eastAsia="zh-CN"/>
        </w:rPr>
      </w:pPr>
      <w:bookmarkStart w:id="476" w:name="_Toc1255393211"/>
      <w:bookmarkStart w:id="477" w:name="_Toc881536663"/>
      <w:bookmarkStart w:id="478" w:name="_Toc95209368"/>
      <w:bookmarkStart w:id="479" w:name="_Toc2129612794"/>
      <w:bookmarkStart w:id="480" w:name="_Toc1881793082_WPSOffice_Level2"/>
      <w:bookmarkStart w:id="481" w:name="_Toc320103337"/>
      <w:bookmarkStart w:id="482" w:name="_Toc860628901"/>
      <w:bookmarkStart w:id="483" w:name="_Toc1046173163"/>
      <w:r>
        <w:rPr>
          <w:rFonts w:hint="default" w:ascii="Times New Roman" w:hAnsi="Times New Roman" w:eastAsia="方正小标宋_GBK" w:cs="Times New Roman"/>
          <w:b w:val="0"/>
          <w:color w:val="auto"/>
          <w:sz w:val="30"/>
          <w:szCs w:val="30"/>
          <w:lang w:val="en-US" w:eastAsia="zh-CN"/>
        </w:rPr>
        <w:t>三</w:t>
      </w:r>
      <w:r>
        <w:rPr>
          <w:rFonts w:hint="default" w:ascii="Times New Roman" w:hAnsi="Times New Roman" w:eastAsia="方正小标宋_GBK" w:cs="Times New Roman"/>
          <w:b w:val="0"/>
          <w:color w:val="auto"/>
          <w:sz w:val="30"/>
          <w:szCs w:val="30"/>
          <w:lang w:eastAsia="zh-CN"/>
        </w:rPr>
        <w:t>、投标报价表格</w:t>
      </w:r>
      <w:bookmarkEnd w:id="476"/>
      <w:bookmarkEnd w:id="477"/>
      <w:bookmarkEnd w:id="478"/>
      <w:bookmarkEnd w:id="479"/>
      <w:bookmarkEnd w:id="480"/>
      <w:bookmarkEnd w:id="481"/>
      <w:bookmarkEnd w:id="482"/>
      <w:bookmarkEnd w:id="483"/>
    </w:p>
    <w:p w14:paraId="5EDE632E">
      <w:pPr>
        <w:spacing w:line="480" w:lineRule="auto"/>
        <w:jc w:val="center"/>
        <w:outlineLvl w:val="2"/>
        <w:rPr>
          <w:rFonts w:hint="default" w:ascii="Times New Roman" w:hAnsi="Times New Roman" w:eastAsia="黑体" w:cs="Times New Roman"/>
          <w:color w:val="auto"/>
          <w:sz w:val="28"/>
          <w:szCs w:val="28"/>
          <w:lang w:eastAsia="zh-CN"/>
        </w:rPr>
      </w:pPr>
      <w:bookmarkStart w:id="484" w:name="_Toc1289935819"/>
      <w:bookmarkStart w:id="485" w:name="_Toc55824951"/>
      <w:bookmarkStart w:id="486" w:name="_Toc326650802_WPSOffice_Level3"/>
      <w:bookmarkStart w:id="487" w:name="_Toc562840553"/>
      <w:r>
        <w:rPr>
          <w:rFonts w:hint="default" w:ascii="Times New Roman" w:hAnsi="Times New Roman" w:eastAsia="黑体" w:cs="Times New Roman"/>
          <w:color w:val="auto"/>
          <w:sz w:val="28"/>
          <w:szCs w:val="28"/>
          <w:lang w:eastAsia="zh-CN"/>
        </w:rPr>
        <w:t>1</w:t>
      </w:r>
      <w:r>
        <w:rPr>
          <w:rFonts w:hint="default" w:ascii="Times New Roman" w:hAnsi="Times New Roman" w:eastAsia="黑体" w:cs="Times New Roman"/>
          <w:color w:val="auto"/>
          <w:sz w:val="28"/>
          <w:szCs w:val="28"/>
          <w:lang w:val="en-US" w:eastAsia="zh-CN"/>
        </w:rPr>
        <w:t>.</w:t>
      </w:r>
      <w:r>
        <w:rPr>
          <w:rFonts w:hint="default" w:ascii="Times New Roman" w:hAnsi="Times New Roman" w:eastAsia="黑体" w:cs="Times New Roman"/>
          <w:color w:val="auto"/>
          <w:sz w:val="28"/>
          <w:szCs w:val="28"/>
          <w:lang w:eastAsia="zh-CN"/>
        </w:rPr>
        <w:t>投标主要内容汇总表</w:t>
      </w:r>
      <w:bookmarkEnd w:id="484"/>
      <w:bookmarkEnd w:id="485"/>
      <w:bookmarkEnd w:id="486"/>
      <w:bookmarkEnd w:id="487"/>
    </w:p>
    <w:p w14:paraId="7191E963">
      <w:pPr>
        <w:spacing w:line="44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采购编号：</w:t>
      </w:r>
      <w:r>
        <w:rPr>
          <w:rFonts w:hint="eastAsia" w:ascii="Times New Roman" w:hAnsi="Times New Roman" w:eastAsia="仿宋_GB2312" w:cs="Times New Roman"/>
          <w:color w:val="auto"/>
          <w:sz w:val="28"/>
          <w:szCs w:val="28"/>
          <w:lang w:val="en" w:eastAsia="zh-CN"/>
        </w:rPr>
        <w:t>豫财招标采购-2025-1091</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金额单位：元人民币</w:t>
      </w:r>
    </w:p>
    <w:p w14:paraId="23E0BFF4">
      <w:pPr>
        <w:spacing w:line="440" w:lineRule="exact"/>
        <w:rPr>
          <w:rFonts w:hint="default" w:ascii="Times New Roman" w:hAnsi="Times New Roman" w:eastAsia="仿宋_GB2312" w:cs="Times New Roman"/>
          <w:color w:val="auto"/>
          <w:sz w:val="28"/>
          <w:szCs w:val="28"/>
          <w:u w:val="none"/>
          <w:lang w:eastAsia="zh-CN"/>
        </w:rPr>
      </w:pPr>
      <w:r>
        <w:rPr>
          <w:rFonts w:ascii="Times New Roman" w:hAnsi="Times New Roman" w:eastAsia="仿宋_GB2312" w:cs="Times New Roman"/>
          <w:bCs/>
          <w:color w:val="auto"/>
          <w:sz w:val="28"/>
          <w:szCs w:val="28"/>
          <w:lang w:val="en-US" w:eastAsia="zh-CN"/>
        </w:rPr>
        <w:t>包号：</w:t>
      </w:r>
      <w:r>
        <w:rPr>
          <w:rFonts w:ascii="Times New Roman" w:hAnsi="Times New Roman" w:eastAsia="仿宋_GB2312" w:cs="Times New Roman"/>
          <w:bCs/>
          <w:color w:val="auto"/>
          <w:sz w:val="28"/>
          <w:szCs w:val="28"/>
          <w:u w:val="none"/>
          <w:lang w:val="en-US" w:eastAsia="zh-CN"/>
        </w:rPr>
        <w:t xml:space="preserve">        </w:t>
      </w:r>
    </w:p>
    <w:tbl>
      <w:tblPr>
        <w:tblStyle w:val="53"/>
        <w:tblW w:w="9137"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1940"/>
        <w:gridCol w:w="7197"/>
      </w:tblGrid>
      <w:tr w14:paraId="10BF45E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232F59A3">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采购项目</w:t>
            </w:r>
          </w:p>
        </w:tc>
        <w:tc>
          <w:tcPr>
            <w:tcW w:w="71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204701BA">
            <w:pPr>
              <w:ind w:left="105" w:leftChars="50"/>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 w:eastAsia="zh-CN"/>
              </w:rPr>
              <w:t>河南应用技术职业学院三校区2025-2027年物业服务项目</w:t>
            </w:r>
          </w:p>
        </w:tc>
      </w:tr>
      <w:tr w14:paraId="58061D8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645FB731">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投标人名称</w:t>
            </w:r>
          </w:p>
        </w:tc>
        <w:tc>
          <w:tcPr>
            <w:tcW w:w="71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3E7DF75">
            <w:pPr>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 </w:t>
            </w:r>
          </w:p>
        </w:tc>
      </w:tr>
      <w:tr w14:paraId="1AA7E7B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38F193A8">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投标总报价（大写）</w:t>
            </w:r>
          </w:p>
        </w:tc>
        <w:tc>
          <w:tcPr>
            <w:tcW w:w="71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27BE0F93">
            <w:pPr>
              <w:rPr>
                <w:rFonts w:hint="default" w:ascii="Times New Roman" w:hAnsi="Times New Roman" w:eastAsia="仿宋_GB2312" w:cs="Times New Roman"/>
                <w:color w:val="auto"/>
                <w:kern w:val="0"/>
                <w:sz w:val="28"/>
                <w:szCs w:val="28"/>
              </w:rPr>
            </w:pPr>
          </w:p>
        </w:tc>
      </w:tr>
      <w:tr w14:paraId="5F6FDD5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239FE5BE">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投标总报价（小写）</w:t>
            </w:r>
          </w:p>
        </w:tc>
        <w:tc>
          <w:tcPr>
            <w:tcW w:w="71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0B91DD1C">
            <w:pPr>
              <w:rPr>
                <w:rFonts w:hint="default" w:ascii="Times New Roman" w:hAnsi="Times New Roman" w:eastAsia="仿宋_GB2312" w:cs="Times New Roman"/>
                <w:color w:val="auto"/>
                <w:kern w:val="0"/>
                <w:sz w:val="28"/>
                <w:szCs w:val="28"/>
              </w:rPr>
            </w:pPr>
          </w:p>
        </w:tc>
      </w:tr>
      <w:tr w14:paraId="633EB16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3815EF9C">
            <w:pPr>
              <w:jc w:val="center"/>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服务期限</w:t>
            </w:r>
          </w:p>
        </w:tc>
        <w:tc>
          <w:tcPr>
            <w:tcW w:w="71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63C1AE0A">
            <w:pPr>
              <w:ind w:left="105" w:leftChars="50" w:firstLine="140" w:firstLineChars="50"/>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highlight w:val="none"/>
                <w:lang w:val="en-US" w:eastAsia="zh-CN"/>
              </w:rPr>
              <w:t>22个月</w:t>
            </w:r>
          </w:p>
        </w:tc>
      </w:tr>
      <w:tr w14:paraId="7B95C62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2940B0AE">
            <w:pPr>
              <w:jc w:val="center"/>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服务地点</w:t>
            </w:r>
          </w:p>
        </w:tc>
        <w:tc>
          <w:tcPr>
            <w:tcW w:w="71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E3618C5">
            <w:pPr>
              <w:ind w:left="105" w:leftChars="50"/>
              <w:rPr>
                <w:rFonts w:hint="default" w:ascii="Times New Roman" w:hAnsi="Times New Roman" w:eastAsia="Arial Unicode MS" w:cs="Times New Roman"/>
                <w:color w:val="auto"/>
                <w:kern w:val="0"/>
                <w:sz w:val="28"/>
                <w:szCs w:val="28"/>
                <w:lang w:val="en-US" w:eastAsia="zh-CN"/>
              </w:rPr>
            </w:pPr>
          </w:p>
        </w:tc>
      </w:tr>
      <w:tr w14:paraId="42FACEB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5B46FF19">
            <w:pPr>
              <w:jc w:val="center"/>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服务质量</w:t>
            </w:r>
          </w:p>
        </w:tc>
        <w:tc>
          <w:tcPr>
            <w:tcW w:w="71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1EBB56D6">
            <w:pPr>
              <w:ind w:left="105" w:leftChars="50"/>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满足采购人要求</w:t>
            </w:r>
          </w:p>
        </w:tc>
      </w:tr>
      <w:tr w14:paraId="76CC08A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5FD675BE">
            <w:pPr>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投标有效期</w:t>
            </w:r>
          </w:p>
        </w:tc>
        <w:tc>
          <w:tcPr>
            <w:tcW w:w="71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549A06E9">
            <w:pPr>
              <w:ind w:left="105" w:leftChars="50"/>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从投标截止之日起60</w:t>
            </w:r>
            <w:r>
              <w:rPr>
                <w:rFonts w:hint="default" w:ascii="Times New Roman" w:hAnsi="Times New Roman" w:eastAsia="仿宋_GB2312" w:cs="Times New Roman"/>
                <w:color w:val="auto"/>
                <w:kern w:val="0"/>
                <w:sz w:val="28"/>
                <w:szCs w:val="28"/>
                <w:highlight w:val="none"/>
                <w:lang w:val="en-US" w:eastAsia="zh-CN"/>
              </w:rPr>
              <w:t>天</w:t>
            </w:r>
          </w:p>
        </w:tc>
      </w:tr>
      <w:tr w14:paraId="1F3A844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5C7189E7">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付款方式</w:t>
            </w:r>
          </w:p>
        </w:tc>
        <w:tc>
          <w:tcPr>
            <w:tcW w:w="71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1D98AE03">
            <w:pPr>
              <w:ind w:left="105" w:leftChars="50"/>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满足招标文件需求</w:t>
            </w:r>
          </w:p>
        </w:tc>
      </w:tr>
      <w:tr w14:paraId="0FE7642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797BA2C3">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合同条款</w:t>
            </w:r>
          </w:p>
        </w:tc>
        <w:tc>
          <w:tcPr>
            <w:tcW w:w="71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694DA5BB">
            <w:pPr>
              <w:ind w:left="105" w:leftChars="50"/>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满足招标文件需求</w:t>
            </w:r>
          </w:p>
        </w:tc>
      </w:tr>
      <w:tr w14:paraId="0280046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21D1B15C">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其他声明</w:t>
            </w:r>
          </w:p>
        </w:tc>
        <w:tc>
          <w:tcPr>
            <w:tcW w:w="71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19B876BF">
            <w:pPr>
              <w:rPr>
                <w:rFonts w:hint="default" w:ascii="Times New Roman" w:hAnsi="Times New Roman" w:eastAsia="仿宋_GB2312" w:cs="Times New Roman"/>
                <w:color w:val="auto"/>
                <w:kern w:val="0"/>
                <w:sz w:val="28"/>
                <w:szCs w:val="28"/>
              </w:rPr>
            </w:pPr>
          </w:p>
        </w:tc>
      </w:tr>
    </w:tbl>
    <w:p w14:paraId="2E081289">
      <w:pPr>
        <w:widowControl w:val="0"/>
        <w:jc w:val="center"/>
        <w:rPr>
          <w:rFonts w:hint="default" w:ascii="Times New Roman" w:hAnsi="Times New Roman" w:eastAsia="仿宋_GB2312" w:cs="Times New Roman"/>
          <w:color w:val="auto"/>
          <w:sz w:val="28"/>
          <w:szCs w:val="28"/>
        </w:rPr>
      </w:pPr>
    </w:p>
    <w:p w14:paraId="7BA9A0C0">
      <w:pPr>
        <w:spacing w:line="440" w:lineRule="exac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投标人（企业电子签章）：</w:t>
      </w:r>
    </w:p>
    <w:p w14:paraId="312BEAF3">
      <w:pPr>
        <w:spacing w:line="44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法定代表人（个人电子签章）：</w:t>
      </w:r>
      <w:bookmarkEnd w:id="462"/>
      <w:bookmarkEnd w:id="463"/>
      <w:bookmarkEnd w:id="464"/>
      <w:bookmarkEnd w:id="465"/>
      <w:bookmarkEnd w:id="466"/>
      <w:bookmarkEnd w:id="467"/>
      <w:bookmarkStart w:id="488" w:name="_Toc1973880807"/>
      <w:bookmarkStart w:id="489" w:name="_Toc2582323"/>
      <w:bookmarkStart w:id="490" w:name="_Toc893708091"/>
      <w:bookmarkStart w:id="491" w:name="_Toc74240239"/>
      <w:bookmarkStart w:id="492" w:name="_Toc585133884"/>
      <w:bookmarkStart w:id="493" w:name="_Toc643738620"/>
      <w:bookmarkStart w:id="494" w:name="_Toc299604904"/>
    </w:p>
    <w:p w14:paraId="460A5E10">
      <w:pPr>
        <w:pStyle w:val="18"/>
        <w:rPr>
          <w:rFonts w:hint="default" w:ascii="Times New Roman" w:hAnsi="Times New Roman" w:eastAsia="仿宋_GB2312" w:cs="Times New Roman"/>
          <w:color w:val="auto"/>
          <w:sz w:val="28"/>
          <w:szCs w:val="28"/>
        </w:rPr>
      </w:pPr>
    </w:p>
    <w:p w14:paraId="3D710041">
      <w:pPr>
        <w:numPr>
          <w:ilvl w:val="0"/>
          <w:numId w:val="3"/>
        </w:numPr>
        <w:spacing w:line="480" w:lineRule="auto"/>
        <w:jc w:val="center"/>
        <w:outlineLvl w:val="2"/>
        <w:rPr>
          <w:rFonts w:hint="default" w:ascii="Times New Roman" w:hAnsi="Times New Roman" w:eastAsia="黑体" w:cs="Times New Roman"/>
          <w:b/>
          <w:bCs/>
          <w:color w:val="auto"/>
          <w:sz w:val="28"/>
          <w:szCs w:val="28"/>
          <w:lang w:val="en-US" w:eastAsia="zh-CN"/>
        </w:rPr>
      </w:pPr>
      <w:r>
        <w:rPr>
          <w:rFonts w:hint="default" w:ascii="Times New Roman" w:hAnsi="Times New Roman" w:eastAsia="黑体" w:cs="Times New Roman"/>
          <w:b/>
          <w:bCs/>
          <w:color w:val="auto"/>
          <w:sz w:val="28"/>
          <w:szCs w:val="28"/>
          <w:lang w:eastAsia="zh-CN"/>
        </w:rPr>
        <w:br w:type="page"/>
      </w:r>
      <w:bookmarkStart w:id="495" w:name="_Toc2051642436_WPSOffice_Level3"/>
      <w:r>
        <w:rPr>
          <w:rFonts w:hint="default" w:ascii="Times New Roman" w:hAnsi="Times New Roman" w:eastAsia="黑体" w:cs="Times New Roman"/>
          <w:b/>
          <w:bCs/>
          <w:color w:val="auto"/>
          <w:sz w:val="28"/>
          <w:szCs w:val="28"/>
          <w:lang w:val="en-US" w:eastAsia="zh-CN"/>
        </w:rPr>
        <w:t>分项报价一览表及有关说明</w:t>
      </w:r>
      <w:bookmarkEnd w:id="495"/>
    </w:p>
    <w:p w14:paraId="67DF16DD">
      <w:pPr>
        <w:spacing w:line="44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采购编号：</w:t>
      </w:r>
      <w:r>
        <w:rPr>
          <w:rFonts w:hint="eastAsia" w:ascii="Times New Roman" w:hAnsi="Times New Roman" w:eastAsia="仿宋_GB2312" w:cs="Times New Roman"/>
          <w:color w:val="auto"/>
          <w:sz w:val="28"/>
          <w:szCs w:val="28"/>
          <w:lang w:val="en" w:eastAsia="zh-CN"/>
        </w:rPr>
        <w:t>豫财招标采购-2025-1091</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金额单位：元人民币</w:t>
      </w:r>
    </w:p>
    <w:p w14:paraId="62502A46">
      <w:pPr>
        <w:spacing w:line="440" w:lineRule="exact"/>
        <w:rPr>
          <w:rFonts w:hint="default" w:ascii="Times New Roman" w:hAnsi="Times New Roman" w:eastAsia="仿宋_GB2312" w:cs="Times New Roman"/>
          <w:color w:val="auto"/>
          <w:sz w:val="28"/>
          <w:szCs w:val="28"/>
          <w:lang w:eastAsia="zh-CN"/>
        </w:rPr>
      </w:pPr>
      <w:r>
        <w:rPr>
          <w:rFonts w:hint="eastAsia" w:ascii="Times New Roman" w:hAnsi="Times New Roman" w:eastAsia="仿宋_GB2312"/>
          <w:bCs/>
          <w:sz w:val="28"/>
          <w:szCs w:val="28"/>
          <w:lang w:val="en-US" w:eastAsia="zh-CN"/>
        </w:rPr>
        <w:t>包号：</w:t>
      </w:r>
      <w:r>
        <w:rPr>
          <w:rFonts w:hint="eastAsia" w:ascii="Times New Roman" w:hAnsi="Times New Roman" w:eastAsia="仿宋_GB2312"/>
          <w:bCs/>
          <w:sz w:val="28"/>
          <w:szCs w:val="28"/>
          <w:u w:val="single"/>
          <w:lang w:val="en-US" w:eastAsia="zh-CN"/>
        </w:rPr>
        <w:t xml:space="preserve">            </w:t>
      </w:r>
    </w:p>
    <w:p w14:paraId="0E5A51BB">
      <w:pPr>
        <w:pStyle w:val="228"/>
        <w:rPr>
          <w:rFonts w:hint="default" w:ascii="Times New Roman" w:hAnsi="Times New Roman" w:eastAsia="仿宋_GB2312" w:cs="Times New Roman"/>
          <w:color w:val="auto"/>
          <w:sz w:val="2"/>
          <w:szCs w:val="2"/>
        </w:rPr>
      </w:pPr>
    </w:p>
    <w:tbl>
      <w:tblPr>
        <w:tblStyle w:val="53"/>
        <w:tblW w:w="8858" w:type="dxa"/>
        <w:tblInd w:w="-116"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2634"/>
        <w:gridCol w:w="1018"/>
        <w:gridCol w:w="1134"/>
        <w:gridCol w:w="1134"/>
        <w:gridCol w:w="1559"/>
        <w:gridCol w:w="1379"/>
      </w:tblGrid>
      <w:tr w14:paraId="5B81C45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BAE0B6">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color w:val="auto"/>
                <w:sz w:val="24"/>
                <w:szCs w:val="24"/>
              </w:rPr>
              <w:t>名称</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4D2B2F">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数量</w:t>
            </w: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944BF4">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月费用</w:t>
            </w: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5F5E39">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年费用</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11A17E">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服务期费用</w:t>
            </w: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6B3C8619">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备注说明</w:t>
            </w:r>
          </w:p>
        </w:tc>
      </w:tr>
      <w:tr w14:paraId="7C18B1B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BC7F0D">
            <w:pPr>
              <w:autoSpaceDN w:val="0"/>
              <w:spacing w:line="40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岗位人员工资</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B18CD7">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F6606B">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39C6B8">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D56E6B">
            <w:pPr>
              <w:autoSpaceDN w:val="0"/>
              <w:spacing w:line="400" w:lineRule="exact"/>
              <w:jc w:val="center"/>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4A140B83">
            <w:pPr>
              <w:autoSpaceDN w:val="0"/>
              <w:spacing w:line="400" w:lineRule="exact"/>
              <w:jc w:val="center"/>
              <w:rPr>
                <w:rFonts w:hint="default" w:ascii="Times New Roman" w:hAnsi="Times New Roman" w:eastAsia="仿宋_GB2312" w:cs="Times New Roman"/>
                <w:color w:val="auto"/>
                <w:sz w:val="24"/>
                <w:szCs w:val="24"/>
              </w:rPr>
            </w:pPr>
          </w:p>
        </w:tc>
      </w:tr>
      <w:tr w14:paraId="47C0950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AB514E">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8E203C">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4F8BB6">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C8C3E1">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D153DC">
            <w:pPr>
              <w:autoSpaceDN w:val="0"/>
              <w:spacing w:line="400" w:lineRule="exact"/>
              <w:jc w:val="center"/>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04839F7D">
            <w:pPr>
              <w:autoSpaceDN w:val="0"/>
              <w:spacing w:line="400" w:lineRule="exact"/>
              <w:jc w:val="center"/>
              <w:rPr>
                <w:rFonts w:hint="default" w:ascii="Times New Roman" w:hAnsi="Times New Roman" w:eastAsia="仿宋_GB2312" w:cs="Times New Roman"/>
                <w:color w:val="auto"/>
                <w:sz w:val="24"/>
                <w:szCs w:val="24"/>
              </w:rPr>
            </w:pPr>
          </w:p>
        </w:tc>
      </w:tr>
      <w:tr w14:paraId="77FCF20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020BEE">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5D09C1">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6983DC">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0B5436">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E6C04D">
            <w:pPr>
              <w:autoSpaceDN w:val="0"/>
              <w:spacing w:line="400" w:lineRule="exact"/>
              <w:jc w:val="center"/>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4C4A3795">
            <w:pPr>
              <w:autoSpaceDN w:val="0"/>
              <w:spacing w:line="400" w:lineRule="exact"/>
              <w:jc w:val="center"/>
              <w:rPr>
                <w:rFonts w:hint="default" w:ascii="Times New Roman" w:hAnsi="Times New Roman" w:eastAsia="仿宋_GB2312" w:cs="Times New Roman"/>
                <w:color w:val="auto"/>
                <w:sz w:val="24"/>
                <w:szCs w:val="24"/>
              </w:rPr>
            </w:pPr>
          </w:p>
        </w:tc>
      </w:tr>
      <w:tr w14:paraId="310F2BB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CFBDB2">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社会保险</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F85ED9">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22B7FE">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1F4EB7">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0A466E">
            <w:pPr>
              <w:autoSpaceDN w:val="0"/>
              <w:spacing w:line="400" w:lineRule="exact"/>
              <w:jc w:val="center"/>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7F4B3C1D">
            <w:pPr>
              <w:autoSpaceDN w:val="0"/>
              <w:spacing w:line="400" w:lineRule="exact"/>
              <w:jc w:val="center"/>
              <w:rPr>
                <w:rFonts w:hint="default" w:ascii="Times New Roman" w:hAnsi="Times New Roman" w:eastAsia="仿宋_GB2312" w:cs="Times New Roman"/>
                <w:color w:val="auto"/>
                <w:sz w:val="24"/>
                <w:szCs w:val="24"/>
              </w:rPr>
            </w:pPr>
          </w:p>
        </w:tc>
      </w:tr>
      <w:tr w14:paraId="2676D66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D127D7">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5805B5">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3DABB0">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2CFFCE">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01D817">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28D370D2">
            <w:pPr>
              <w:autoSpaceDN w:val="0"/>
              <w:spacing w:line="400" w:lineRule="exact"/>
              <w:jc w:val="center"/>
              <w:rPr>
                <w:rFonts w:hint="default" w:ascii="Times New Roman" w:hAnsi="Times New Roman" w:eastAsia="仿宋_GB2312" w:cs="Times New Roman"/>
                <w:color w:val="auto"/>
                <w:sz w:val="24"/>
                <w:szCs w:val="24"/>
              </w:rPr>
            </w:pPr>
          </w:p>
        </w:tc>
      </w:tr>
      <w:tr w14:paraId="7068FFD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CFFF39">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65B1D8">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5241C1">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B6B46F">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161D4F">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2ECF95AB">
            <w:pPr>
              <w:autoSpaceDN w:val="0"/>
              <w:spacing w:line="400" w:lineRule="exact"/>
              <w:jc w:val="center"/>
              <w:rPr>
                <w:rFonts w:hint="default" w:ascii="Times New Roman" w:hAnsi="Times New Roman" w:eastAsia="仿宋_GB2312" w:cs="Times New Roman"/>
                <w:color w:val="auto"/>
                <w:sz w:val="24"/>
                <w:szCs w:val="24"/>
              </w:rPr>
            </w:pPr>
          </w:p>
        </w:tc>
      </w:tr>
      <w:tr w14:paraId="2BC4E1D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0EE375">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4EAE2B">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9DD62B">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209FA5">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CAD147">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6E9C0963">
            <w:pPr>
              <w:autoSpaceDN w:val="0"/>
              <w:spacing w:line="400" w:lineRule="exact"/>
              <w:jc w:val="center"/>
              <w:rPr>
                <w:rFonts w:hint="default" w:ascii="Times New Roman" w:hAnsi="Times New Roman" w:eastAsia="仿宋_GB2312" w:cs="Times New Roman"/>
                <w:color w:val="auto"/>
                <w:sz w:val="24"/>
                <w:szCs w:val="24"/>
              </w:rPr>
            </w:pPr>
          </w:p>
        </w:tc>
      </w:tr>
      <w:tr w14:paraId="50133E4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8E39A3">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53076C">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A5F9F0">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D1EE3B">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821C73">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3480F705">
            <w:pPr>
              <w:autoSpaceDN w:val="0"/>
              <w:spacing w:line="400" w:lineRule="exact"/>
              <w:jc w:val="center"/>
              <w:rPr>
                <w:rFonts w:hint="default" w:ascii="Times New Roman" w:hAnsi="Times New Roman" w:eastAsia="仿宋_GB2312" w:cs="Times New Roman"/>
                <w:color w:val="auto"/>
                <w:sz w:val="24"/>
                <w:szCs w:val="24"/>
              </w:rPr>
            </w:pPr>
          </w:p>
        </w:tc>
      </w:tr>
      <w:tr w14:paraId="17C6EFB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50BA44">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911F14">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0FA983">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56E4EB">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A25811">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25553F77">
            <w:pPr>
              <w:autoSpaceDN w:val="0"/>
              <w:spacing w:line="400" w:lineRule="exact"/>
              <w:jc w:val="center"/>
              <w:rPr>
                <w:rFonts w:hint="default" w:ascii="Times New Roman" w:hAnsi="Times New Roman" w:eastAsia="仿宋_GB2312" w:cs="Times New Roman"/>
                <w:color w:val="auto"/>
                <w:sz w:val="24"/>
                <w:szCs w:val="24"/>
              </w:rPr>
            </w:pPr>
          </w:p>
        </w:tc>
      </w:tr>
      <w:tr w14:paraId="403EF7B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39163A">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税金</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B2194C">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4BB625">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F62B0E">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6A2818">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133164FE">
            <w:pPr>
              <w:autoSpaceDN w:val="0"/>
              <w:spacing w:line="400" w:lineRule="exact"/>
              <w:jc w:val="center"/>
              <w:rPr>
                <w:rFonts w:hint="default" w:ascii="Times New Roman" w:hAnsi="Times New Roman" w:eastAsia="仿宋_GB2312" w:cs="Times New Roman"/>
                <w:color w:val="auto"/>
                <w:sz w:val="24"/>
                <w:szCs w:val="24"/>
              </w:rPr>
            </w:pPr>
          </w:p>
        </w:tc>
      </w:tr>
      <w:tr w14:paraId="49744CC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705F4C">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FD34F4">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4ACD4B">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3BF7B1">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9A6F2B">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6C63FBB0">
            <w:pPr>
              <w:autoSpaceDN w:val="0"/>
              <w:spacing w:line="400" w:lineRule="exact"/>
              <w:jc w:val="center"/>
              <w:rPr>
                <w:rFonts w:hint="default" w:ascii="Times New Roman" w:hAnsi="Times New Roman" w:eastAsia="仿宋_GB2312" w:cs="Times New Roman"/>
                <w:color w:val="auto"/>
                <w:sz w:val="24"/>
                <w:szCs w:val="24"/>
              </w:rPr>
            </w:pPr>
          </w:p>
        </w:tc>
      </w:tr>
      <w:tr w14:paraId="4C40AA0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1310B1">
            <w:pPr>
              <w:autoSpaceDN w:val="0"/>
              <w:spacing w:line="400" w:lineRule="exact"/>
              <w:ind w:firstLine="938"/>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color w:val="auto"/>
                <w:sz w:val="24"/>
                <w:szCs w:val="24"/>
              </w:rPr>
              <w:t>总计</w:t>
            </w:r>
          </w:p>
        </w:tc>
        <w:tc>
          <w:tcPr>
            <w:tcW w:w="6224" w:type="dxa"/>
            <w:gridSpan w:val="5"/>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46F1F9EF">
            <w:pPr>
              <w:autoSpaceDN w:val="0"/>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r>
    </w:tbl>
    <w:p w14:paraId="53FEB9E1">
      <w:pPr>
        <w:pStyle w:val="18"/>
        <w:rPr>
          <w:rFonts w:hint="default" w:ascii="Times New Roman" w:hAnsi="Times New Roman" w:eastAsia="PMingLiU" w:cs="Times New Roman"/>
          <w:color w:val="auto"/>
          <w:lang w:val="zh-TW" w:eastAsia="zh-TW"/>
        </w:rPr>
      </w:pPr>
    </w:p>
    <w:p w14:paraId="3897DAFB">
      <w:pPr>
        <w:spacing w:line="360" w:lineRule="auto"/>
        <w:ind w:firstLine="240" w:firstLineChars="100"/>
        <w:rPr>
          <w:rFonts w:hint="default" w:ascii="Times New Roman" w:hAnsi="Times New Roman" w:eastAsia="仿宋_GB2312" w:cs="Times New Roman"/>
          <w:bCs/>
          <w:color w:val="auto"/>
          <w:sz w:val="24"/>
          <w:szCs w:val="24"/>
          <w:lang w:eastAsia="zh-CN"/>
        </w:rPr>
      </w:pPr>
      <w:r>
        <w:rPr>
          <w:rFonts w:hint="default" w:ascii="Times New Roman" w:hAnsi="Times New Roman" w:eastAsia="仿宋_GB2312" w:cs="Times New Roman"/>
          <w:color w:val="auto"/>
          <w:sz w:val="24"/>
          <w:szCs w:val="24"/>
          <w:lang w:eastAsia="zh-CN"/>
        </w:rPr>
        <w:t>投标人（企业电子签章）：</w:t>
      </w:r>
      <w:r>
        <w:rPr>
          <w:rFonts w:hint="default" w:ascii="Times New Roman" w:hAnsi="Times New Roman" w:eastAsia="仿宋_GB2312" w:cs="Times New Roman"/>
          <w:bCs/>
          <w:color w:val="auto"/>
          <w:sz w:val="24"/>
          <w:szCs w:val="24"/>
          <w:u w:val="single"/>
          <w:lang w:eastAsia="zh-CN"/>
        </w:rPr>
        <w:t xml:space="preserve">                </w:t>
      </w:r>
    </w:p>
    <w:p w14:paraId="54248F18">
      <w:pPr>
        <w:spacing w:line="360" w:lineRule="auto"/>
        <w:ind w:firstLine="240" w:firstLineChars="100"/>
        <w:rPr>
          <w:rFonts w:hint="default" w:ascii="Times New Roman" w:hAnsi="Times New Roman" w:eastAsia="仿宋_GB2312" w:cs="Times New Roman"/>
          <w:bCs/>
          <w:color w:val="auto"/>
          <w:sz w:val="24"/>
          <w:szCs w:val="24"/>
          <w:u w:val="single"/>
          <w:lang w:eastAsia="zh-CN"/>
        </w:rPr>
      </w:pPr>
      <w:r>
        <w:rPr>
          <w:rFonts w:hint="default" w:ascii="Times New Roman" w:hAnsi="Times New Roman" w:eastAsia="仿宋_GB2312" w:cs="Times New Roman"/>
          <w:color w:val="auto"/>
          <w:sz w:val="24"/>
          <w:szCs w:val="24"/>
          <w:lang w:eastAsia="zh-CN"/>
        </w:rPr>
        <w:t>法定代表人（个人电子签章）：</w:t>
      </w:r>
      <w:r>
        <w:rPr>
          <w:rFonts w:hint="default" w:ascii="Times New Roman" w:hAnsi="Times New Roman" w:eastAsia="仿宋_GB2312" w:cs="Times New Roman"/>
          <w:bCs/>
          <w:color w:val="auto"/>
          <w:sz w:val="24"/>
          <w:szCs w:val="24"/>
          <w:u w:val="single"/>
          <w:lang w:eastAsia="zh-CN"/>
        </w:rPr>
        <w:t xml:space="preserve">            </w:t>
      </w:r>
    </w:p>
    <w:p w14:paraId="6C130CA6">
      <w:pPr>
        <w:spacing w:line="360" w:lineRule="auto"/>
        <w:ind w:firstLine="240" w:firstLineChars="100"/>
        <w:rPr>
          <w:rFonts w:hint="default" w:ascii="Times New Roman" w:hAnsi="Times New Roman" w:eastAsia="仿宋_GB2312" w:cs="Times New Roman"/>
          <w:color w:val="auto"/>
          <w:sz w:val="24"/>
          <w:szCs w:val="24"/>
          <w:lang w:eastAsia="zh-CN"/>
        </w:rPr>
      </w:pPr>
    </w:p>
    <w:p w14:paraId="33713D49">
      <w:pPr>
        <w:spacing w:line="360" w:lineRule="auto"/>
        <w:ind w:firstLine="240" w:firstLineChars="100"/>
        <w:jc w:val="right"/>
        <w:rPr>
          <w:rFonts w:hint="default" w:ascii="Times New Roman" w:hAnsi="Times New Roman" w:eastAsia="仿宋_GB2312" w:cs="Times New Roman"/>
          <w:b/>
          <w:color w:val="auto"/>
          <w:sz w:val="24"/>
          <w:szCs w:val="24"/>
          <w:lang w:eastAsia="zh-CN"/>
        </w:rPr>
      </w:pPr>
      <w:r>
        <w:rPr>
          <w:rFonts w:hint="default" w:ascii="Times New Roman" w:hAnsi="Times New Roman" w:eastAsia="仿宋_GB2312" w:cs="Times New Roman"/>
          <w:bCs/>
          <w:color w:val="auto"/>
          <w:sz w:val="24"/>
          <w:szCs w:val="24"/>
          <w:lang w:eastAsia="zh-CN"/>
        </w:rPr>
        <w:t>日期：</w:t>
      </w:r>
      <w:r>
        <w:rPr>
          <w:rFonts w:hint="default" w:ascii="Times New Roman" w:hAnsi="Times New Roman" w:eastAsia="仿宋_GB2312" w:cs="Times New Roman"/>
          <w:bCs/>
          <w:color w:val="auto"/>
          <w:sz w:val="24"/>
          <w:szCs w:val="24"/>
          <w:u w:val="single"/>
          <w:lang w:eastAsia="zh-CN"/>
        </w:rPr>
        <w:t xml:space="preserve">      </w:t>
      </w:r>
      <w:r>
        <w:rPr>
          <w:rFonts w:hint="default" w:ascii="Times New Roman" w:hAnsi="Times New Roman" w:eastAsia="仿宋_GB2312" w:cs="Times New Roman"/>
          <w:bCs/>
          <w:color w:val="auto"/>
          <w:sz w:val="24"/>
          <w:szCs w:val="24"/>
          <w:lang w:eastAsia="zh-CN"/>
        </w:rPr>
        <w:t>年</w:t>
      </w:r>
      <w:r>
        <w:rPr>
          <w:rFonts w:hint="default" w:ascii="Times New Roman" w:hAnsi="Times New Roman" w:eastAsia="仿宋_GB2312" w:cs="Times New Roman"/>
          <w:bCs/>
          <w:color w:val="auto"/>
          <w:sz w:val="24"/>
          <w:szCs w:val="24"/>
          <w:u w:val="single"/>
          <w:lang w:eastAsia="zh-CN"/>
        </w:rPr>
        <w:t xml:space="preserve">   </w:t>
      </w:r>
      <w:r>
        <w:rPr>
          <w:rFonts w:hint="default" w:ascii="Times New Roman" w:hAnsi="Times New Roman" w:eastAsia="仿宋_GB2312" w:cs="Times New Roman"/>
          <w:bCs/>
          <w:color w:val="auto"/>
          <w:sz w:val="24"/>
          <w:szCs w:val="24"/>
          <w:lang w:eastAsia="zh-CN"/>
        </w:rPr>
        <w:t>月</w:t>
      </w:r>
      <w:r>
        <w:rPr>
          <w:rFonts w:hint="default" w:ascii="Times New Roman" w:hAnsi="Times New Roman" w:eastAsia="仿宋_GB2312" w:cs="Times New Roman"/>
          <w:bCs/>
          <w:color w:val="auto"/>
          <w:sz w:val="24"/>
          <w:szCs w:val="24"/>
          <w:u w:val="single"/>
          <w:lang w:eastAsia="zh-CN"/>
        </w:rPr>
        <w:t xml:space="preserve">   </w:t>
      </w:r>
      <w:r>
        <w:rPr>
          <w:rFonts w:hint="default" w:ascii="Times New Roman" w:hAnsi="Times New Roman" w:eastAsia="仿宋_GB2312" w:cs="Times New Roman"/>
          <w:bCs/>
          <w:color w:val="auto"/>
          <w:sz w:val="24"/>
          <w:szCs w:val="24"/>
          <w:lang w:eastAsia="zh-CN"/>
        </w:rPr>
        <w:t>日</w:t>
      </w:r>
    </w:p>
    <w:p w14:paraId="3149172F">
      <w:pPr>
        <w:pStyle w:val="17"/>
        <w:spacing w:line="240" w:lineRule="auto"/>
        <w:rPr>
          <w:rFonts w:hint="default" w:ascii="Times New Roman" w:hAnsi="Times New Roman" w:cs="Times New Roman"/>
          <w:b/>
          <w:color w:val="auto"/>
          <w:lang w:eastAsia="zh-CN"/>
        </w:rPr>
      </w:pPr>
      <w:bookmarkStart w:id="496" w:name="_Toc483428099_WPSOffice_Level3"/>
      <w:r>
        <w:rPr>
          <w:rFonts w:hint="default" w:ascii="Times New Roman" w:hAnsi="Times New Roman" w:cs="Times New Roman"/>
          <w:b/>
          <w:color w:val="auto"/>
          <w:lang w:eastAsia="zh-CN"/>
        </w:rPr>
        <w:t>备注：</w:t>
      </w:r>
      <w:bookmarkEnd w:id="496"/>
    </w:p>
    <w:p w14:paraId="3EB769C1">
      <w:pPr>
        <w:pStyle w:val="17"/>
        <w:spacing w:line="240" w:lineRule="auto"/>
        <w:rPr>
          <w:rFonts w:hint="default" w:ascii="Times New Roman" w:hAnsi="Times New Roman" w:cs="Times New Roman"/>
          <w:b/>
          <w:color w:val="auto"/>
          <w:lang w:eastAsia="zh-CN"/>
        </w:rPr>
      </w:pPr>
      <w:r>
        <w:rPr>
          <w:rFonts w:hint="default" w:ascii="Times New Roman" w:hAnsi="Times New Roman" w:cs="Times New Roman"/>
          <w:b/>
          <w:color w:val="auto"/>
          <w:lang w:eastAsia="zh-CN"/>
        </w:rPr>
        <w:t>1、最低工资标准按</w:t>
      </w:r>
      <w:r>
        <w:rPr>
          <w:rFonts w:hint="default" w:ascii="Times New Roman" w:hAnsi="Times New Roman" w:cs="Times New Roman"/>
          <w:b/>
          <w:color w:val="auto"/>
          <w:lang w:val="en-US" w:eastAsia="zh-CN"/>
        </w:rPr>
        <w:t>最新</w:t>
      </w:r>
      <w:r>
        <w:rPr>
          <w:rFonts w:hint="default" w:ascii="Times New Roman" w:hAnsi="Times New Roman" w:cs="Times New Roman"/>
          <w:b/>
          <w:color w:val="auto"/>
          <w:lang w:eastAsia="zh-CN"/>
        </w:rPr>
        <w:t>《河南省人民政府关于调整河南省最低工资标准的通知》执行。</w:t>
      </w:r>
    </w:p>
    <w:p w14:paraId="0A0FE436">
      <w:pPr>
        <w:pStyle w:val="17"/>
        <w:spacing w:line="240" w:lineRule="auto"/>
        <w:rPr>
          <w:rFonts w:hint="default" w:ascii="Times New Roman" w:hAnsi="Times New Roman" w:cs="Times New Roman"/>
          <w:b/>
          <w:color w:val="auto"/>
          <w:lang w:eastAsia="zh-CN"/>
        </w:rPr>
      </w:pPr>
      <w:r>
        <w:rPr>
          <w:rFonts w:hint="default" w:ascii="Times New Roman" w:hAnsi="Times New Roman" w:cs="Times New Roman"/>
          <w:b/>
          <w:color w:val="auto"/>
          <w:lang w:eastAsia="zh-CN"/>
        </w:rPr>
        <w:t>2、岗位人员工资、社会保险费、税金取费不得低于国家规定的最低标准。</w:t>
      </w:r>
    </w:p>
    <w:p w14:paraId="595E4063">
      <w:pPr>
        <w:pStyle w:val="17"/>
        <w:spacing w:line="240" w:lineRule="auto"/>
        <w:rPr>
          <w:rFonts w:hint="default" w:ascii="Times New Roman" w:hAnsi="Times New Roman" w:cs="Times New Roman"/>
          <w:b/>
          <w:color w:val="auto"/>
          <w:lang w:eastAsia="zh-CN"/>
        </w:rPr>
      </w:pPr>
      <w:r>
        <w:rPr>
          <w:rFonts w:hint="default" w:ascii="Times New Roman" w:hAnsi="Times New Roman" w:cs="Times New Roman"/>
          <w:b/>
          <w:color w:val="auto"/>
          <w:lang w:eastAsia="zh-CN"/>
        </w:rPr>
        <w:t>3、若有特殊情况，请予以备注说明并提供相关证明材料。</w:t>
      </w:r>
    </w:p>
    <w:p w14:paraId="255B3B9D">
      <w:pPr>
        <w:pStyle w:val="17"/>
        <w:spacing w:line="240" w:lineRule="auto"/>
        <w:rPr>
          <w:rFonts w:hint="default" w:ascii="Times New Roman" w:hAnsi="Times New Roman" w:eastAsia="仿宋_GB2312" w:cs="Times New Roman"/>
          <w:color w:val="auto"/>
          <w:sz w:val="28"/>
          <w:szCs w:val="28"/>
          <w:lang w:eastAsia="zh-CN"/>
        </w:rPr>
      </w:pPr>
      <w:r>
        <w:rPr>
          <w:rFonts w:hint="default" w:ascii="Times New Roman" w:hAnsi="Times New Roman" w:cs="Times New Roman"/>
          <w:b/>
          <w:color w:val="auto"/>
          <w:lang w:eastAsia="zh-CN"/>
        </w:rPr>
        <w:t>4、格式供参考，不做统一规定，可由投标人自行设计。</w:t>
      </w:r>
    </w:p>
    <w:p w14:paraId="64C98037">
      <w:pPr>
        <w:pStyle w:val="40"/>
        <w:ind w:left="840" w:hanging="420"/>
        <w:rPr>
          <w:rFonts w:hint="default" w:ascii="Times New Roman" w:hAnsi="Times New Roman" w:cs="Times New Roman"/>
          <w:color w:val="auto"/>
          <w:lang w:val="en-US" w:eastAsia="zh-CN"/>
        </w:rPr>
        <w:sectPr>
          <w:headerReference r:id="rId6" w:type="default"/>
          <w:footerReference r:id="rId7" w:type="default"/>
          <w:pgSz w:w="11900" w:h="16840"/>
          <w:pgMar w:top="1440" w:right="1800" w:bottom="1440" w:left="1800" w:header="851" w:footer="992" w:gutter="0"/>
          <w:cols w:space="720" w:num="1"/>
        </w:sectPr>
      </w:pPr>
    </w:p>
    <w:p w14:paraId="0536961D">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497" w:name="_Toc131578556"/>
      <w:bookmarkStart w:id="498" w:name="_Toc1251267079"/>
      <w:bookmarkStart w:id="499" w:name="_Toc821511257"/>
      <w:bookmarkStart w:id="500" w:name="_Toc441969721_WPSOffice_Level2"/>
      <w:bookmarkStart w:id="501" w:name="_Toc314692236"/>
      <w:bookmarkStart w:id="502" w:name="_Toc300470794"/>
      <w:r>
        <w:rPr>
          <w:rFonts w:hint="default" w:ascii="Times New Roman" w:hAnsi="Times New Roman" w:eastAsia="方正小标宋_GBK" w:cs="Times New Roman"/>
          <w:color w:val="auto"/>
          <w:sz w:val="30"/>
          <w:szCs w:val="30"/>
          <w:lang w:val="en-US" w:eastAsia="zh-CN"/>
        </w:rPr>
        <w:t>四、</w:t>
      </w:r>
      <w:bookmarkEnd w:id="488"/>
      <w:bookmarkEnd w:id="489"/>
      <w:bookmarkEnd w:id="490"/>
      <w:bookmarkEnd w:id="491"/>
      <w:bookmarkEnd w:id="492"/>
      <w:bookmarkEnd w:id="493"/>
      <w:bookmarkEnd w:id="497"/>
      <w:bookmarkEnd w:id="498"/>
      <w:bookmarkEnd w:id="499"/>
      <w:r>
        <w:rPr>
          <w:rFonts w:hint="default" w:ascii="Times New Roman" w:hAnsi="Times New Roman" w:eastAsia="方正小标宋_GBK" w:cs="Times New Roman"/>
          <w:bCs/>
          <w:color w:val="auto"/>
          <w:kern w:val="0"/>
          <w:sz w:val="30"/>
          <w:szCs w:val="30"/>
          <w:lang w:val="en-US" w:eastAsia="zh-CN"/>
        </w:rPr>
        <w:t>企业声明函</w:t>
      </w:r>
    </w:p>
    <w:p w14:paraId="639D1E77">
      <w:pPr>
        <w:jc w:val="center"/>
        <w:rPr>
          <w:rFonts w:hint="default" w:ascii="Times New Roman" w:hAnsi="Times New Roman" w:eastAsia="CESI楷体-GB2312" w:cs="Times New Roman"/>
          <w:b/>
          <w:bCs/>
          <w:color w:val="auto"/>
          <w:sz w:val="32"/>
          <w:szCs w:val="32"/>
          <w:lang w:val="en-US" w:eastAsia="zh-CN"/>
        </w:rPr>
      </w:pPr>
      <w:bookmarkStart w:id="503" w:name="_Toc1299793528_WPSOffice_Level2"/>
      <w:r>
        <w:rPr>
          <w:rFonts w:hint="default" w:ascii="Times New Roman" w:hAnsi="Times New Roman" w:eastAsia="CESI楷体-GB2312" w:cs="Times New Roman"/>
          <w:b/>
          <w:bCs/>
          <w:color w:val="auto"/>
          <w:sz w:val="32"/>
          <w:szCs w:val="32"/>
          <w:lang w:val="en-US" w:eastAsia="zh-CN"/>
        </w:rPr>
        <w:t>中小企业声明函（工程、服务）</w:t>
      </w:r>
      <w:bookmarkEnd w:id="503"/>
    </w:p>
    <w:p w14:paraId="65D0FF07">
      <w:pPr>
        <w:spacing w:line="360" w:lineRule="auto"/>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（投标人属于小型、微型企业的填写，不属于的无需填写或不提供此项内容）</w:t>
      </w:r>
    </w:p>
    <w:p w14:paraId="4DACC6A0">
      <w:pPr>
        <w:spacing w:line="460" w:lineRule="exact"/>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本公司（联合体）郑重声明，根据《政府采购促进中小企业发展管理办法》（财库﹝2020﹞46 号）的规定，本公司（联合体）参加</w:t>
      </w:r>
      <w:r>
        <w:rPr>
          <w:rFonts w:hint="eastAsia" w:ascii="Times New Roman" w:hAnsi="Times New Roman" w:eastAsia="仿宋_GB2312" w:cs="Times New Roman"/>
          <w:color w:val="auto"/>
          <w:sz w:val="28"/>
          <w:szCs w:val="28"/>
          <w:u w:val="single"/>
          <w:lang w:val="en-US" w:eastAsia="zh-CN"/>
        </w:rPr>
        <w:t>河南应用技术职业学院</w:t>
      </w:r>
      <w:r>
        <w:rPr>
          <w:rFonts w:hint="default" w:ascii="Times New Roman" w:hAnsi="Times New Roman" w:eastAsia="仿宋_GB2312" w:cs="Times New Roman"/>
          <w:color w:val="auto"/>
          <w:sz w:val="28"/>
          <w:szCs w:val="28"/>
          <w:lang w:eastAsia="zh-CN"/>
        </w:rPr>
        <w:t>的</w:t>
      </w:r>
      <w:r>
        <w:rPr>
          <w:rFonts w:hint="eastAsia" w:ascii="Times New Roman" w:hAnsi="Times New Roman" w:eastAsia="仿宋_GB2312" w:cs="Times New Roman"/>
          <w:color w:val="auto"/>
          <w:sz w:val="28"/>
          <w:szCs w:val="28"/>
          <w:u w:val="single"/>
          <w:lang w:val="en" w:eastAsia="zh-CN"/>
        </w:rPr>
        <w:t>河南应用技术职业学院三校区2025-2027年物业服务项目</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采购活动，服务全部由符合政策要求的中小企业承接（或者：工程的施工单位全部为符合政策要求的中小企业）。相关企业（含联合体中的中小企业、签订分包意向协议的中小企业）的具体情况如下：</w:t>
      </w:r>
    </w:p>
    <w:p w14:paraId="59FFA837">
      <w:pPr>
        <w:spacing w:line="460" w:lineRule="exact"/>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 xml:space="preserve">1. </w:t>
      </w:r>
      <w:r>
        <w:rPr>
          <w:rFonts w:hint="default" w:ascii="Times New Roman" w:hAnsi="Times New Roman" w:eastAsia="仿宋_GB2312" w:cs="Times New Roman"/>
          <w:i/>
          <w:iCs/>
          <w:color w:val="auto"/>
          <w:sz w:val="28"/>
          <w:szCs w:val="28"/>
          <w:u w:val="single"/>
          <w:lang w:eastAsia="zh-CN"/>
        </w:rPr>
        <w:t>（标的名称）</w:t>
      </w:r>
      <w:r>
        <w:rPr>
          <w:rFonts w:hint="default" w:ascii="Times New Roman" w:hAnsi="Times New Roman" w:eastAsia="仿宋_GB2312" w:cs="Times New Roman"/>
          <w:color w:val="auto"/>
          <w:sz w:val="28"/>
          <w:szCs w:val="28"/>
          <w:lang w:eastAsia="zh-CN"/>
        </w:rPr>
        <w:t>，属于</w:t>
      </w:r>
      <w:r>
        <w:rPr>
          <w:rFonts w:hint="default" w:ascii="Times New Roman" w:hAnsi="Times New Roman" w:eastAsia="仿宋_GB2312" w:cs="Times New Roman"/>
          <w:i/>
          <w:iCs/>
          <w:color w:val="auto"/>
          <w:sz w:val="28"/>
          <w:szCs w:val="28"/>
          <w:u w:val="single"/>
          <w:lang w:eastAsia="zh-CN"/>
        </w:rPr>
        <w:t>（采购文件中明确的所属行业）</w:t>
      </w:r>
      <w:r>
        <w:rPr>
          <w:rFonts w:hint="default" w:ascii="Times New Roman" w:hAnsi="Times New Roman" w:eastAsia="仿宋_GB2312" w:cs="Times New Roman"/>
          <w:color w:val="auto"/>
          <w:sz w:val="28"/>
          <w:szCs w:val="28"/>
          <w:lang w:eastAsia="zh-CN"/>
        </w:rPr>
        <w:t>； 承建（承接）企业为</w:t>
      </w:r>
      <w:r>
        <w:rPr>
          <w:rFonts w:hint="default" w:ascii="Times New Roman" w:hAnsi="Times New Roman" w:eastAsia="仿宋_GB2312" w:cs="Times New Roman"/>
          <w:i/>
          <w:iCs/>
          <w:color w:val="auto"/>
          <w:sz w:val="28"/>
          <w:szCs w:val="28"/>
          <w:u w:val="single"/>
          <w:lang w:eastAsia="zh-CN"/>
        </w:rPr>
        <w:t>（企业名称）</w:t>
      </w:r>
      <w:r>
        <w:rPr>
          <w:rFonts w:hint="default" w:ascii="Times New Roman" w:hAnsi="Times New Roman" w:eastAsia="仿宋_GB2312" w:cs="Times New Roman"/>
          <w:color w:val="auto"/>
          <w:sz w:val="28"/>
          <w:szCs w:val="28"/>
          <w:lang w:eastAsia="zh-CN"/>
        </w:rPr>
        <w:t>，从业人员</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lang w:eastAsia="zh-CN"/>
        </w:rPr>
        <w:t>人，营业收入为</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lang w:eastAsia="zh-CN"/>
        </w:rPr>
        <w:t>万元，资产总额为</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lang w:eastAsia="zh-CN"/>
        </w:rPr>
        <w:t>万元，属于</w:t>
      </w:r>
      <w:r>
        <w:rPr>
          <w:rFonts w:hint="default" w:ascii="Times New Roman" w:hAnsi="Times New Roman" w:eastAsia="仿宋_GB2312" w:cs="Times New Roman"/>
          <w:i/>
          <w:iCs/>
          <w:color w:val="auto"/>
          <w:sz w:val="28"/>
          <w:szCs w:val="28"/>
          <w:u w:val="single"/>
          <w:lang w:eastAsia="zh-CN"/>
        </w:rPr>
        <w:t>（中型企业、小型企业、微型企业）</w:t>
      </w:r>
      <w:r>
        <w:rPr>
          <w:rFonts w:hint="default" w:ascii="Times New Roman" w:hAnsi="Times New Roman" w:eastAsia="仿宋_GB2312" w:cs="Times New Roman"/>
          <w:color w:val="auto"/>
          <w:sz w:val="28"/>
          <w:szCs w:val="28"/>
          <w:lang w:eastAsia="zh-CN"/>
        </w:rPr>
        <w:t>；</w:t>
      </w:r>
    </w:p>
    <w:p w14:paraId="68C31CA7">
      <w:pPr>
        <w:spacing w:line="460" w:lineRule="exact"/>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 xml:space="preserve">2. </w:t>
      </w:r>
      <w:r>
        <w:rPr>
          <w:rFonts w:hint="default" w:ascii="Times New Roman" w:hAnsi="Times New Roman" w:eastAsia="仿宋_GB2312" w:cs="Times New Roman"/>
          <w:i/>
          <w:iCs/>
          <w:color w:val="auto"/>
          <w:sz w:val="28"/>
          <w:szCs w:val="28"/>
          <w:u w:val="single"/>
          <w:lang w:eastAsia="zh-CN"/>
        </w:rPr>
        <w:t>（标的名称）</w:t>
      </w:r>
      <w:r>
        <w:rPr>
          <w:rFonts w:hint="default" w:ascii="Times New Roman" w:hAnsi="Times New Roman" w:eastAsia="仿宋_GB2312" w:cs="Times New Roman"/>
          <w:color w:val="auto"/>
          <w:sz w:val="28"/>
          <w:szCs w:val="28"/>
          <w:lang w:eastAsia="zh-CN"/>
        </w:rPr>
        <w:t>，属于</w:t>
      </w:r>
      <w:r>
        <w:rPr>
          <w:rFonts w:hint="default" w:ascii="Times New Roman" w:hAnsi="Times New Roman" w:eastAsia="仿宋_GB2312" w:cs="Times New Roman"/>
          <w:i/>
          <w:iCs/>
          <w:color w:val="auto"/>
          <w:sz w:val="28"/>
          <w:szCs w:val="28"/>
          <w:u w:val="single"/>
          <w:lang w:eastAsia="zh-CN"/>
        </w:rPr>
        <w:t>（采购文件中明确的所属行业）</w:t>
      </w:r>
      <w:r>
        <w:rPr>
          <w:rFonts w:hint="default" w:ascii="Times New Roman" w:hAnsi="Times New Roman" w:eastAsia="仿宋_GB2312" w:cs="Times New Roman"/>
          <w:color w:val="auto"/>
          <w:sz w:val="28"/>
          <w:szCs w:val="28"/>
          <w:lang w:eastAsia="zh-CN"/>
        </w:rPr>
        <w:t>； 承建（承接）企业为</w:t>
      </w:r>
      <w:r>
        <w:rPr>
          <w:rFonts w:hint="default" w:ascii="Times New Roman" w:hAnsi="Times New Roman" w:eastAsia="仿宋_GB2312" w:cs="Times New Roman"/>
          <w:i/>
          <w:iCs/>
          <w:color w:val="auto"/>
          <w:sz w:val="28"/>
          <w:szCs w:val="28"/>
          <w:u w:val="single"/>
          <w:lang w:eastAsia="zh-CN"/>
        </w:rPr>
        <w:t>（企业名称）</w:t>
      </w:r>
      <w:r>
        <w:rPr>
          <w:rFonts w:hint="default" w:ascii="Times New Roman" w:hAnsi="Times New Roman" w:eastAsia="仿宋_GB2312" w:cs="Times New Roman"/>
          <w:color w:val="auto"/>
          <w:sz w:val="28"/>
          <w:szCs w:val="28"/>
          <w:lang w:eastAsia="zh-CN"/>
        </w:rPr>
        <w:t>，从业人员</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lang w:eastAsia="zh-CN"/>
        </w:rPr>
        <w:t>人，营业收入为</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lang w:eastAsia="zh-CN"/>
        </w:rPr>
        <w:t>万元，资产总额为</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lang w:eastAsia="zh-CN"/>
        </w:rPr>
        <w:t>万元，属于</w:t>
      </w:r>
      <w:r>
        <w:rPr>
          <w:rFonts w:hint="default" w:ascii="Times New Roman" w:hAnsi="Times New Roman" w:eastAsia="仿宋_GB2312" w:cs="Times New Roman"/>
          <w:i/>
          <w:iCs/>
          <w:color w:val="auto"/>
          <w:sz w:val="28"/>
          <w:szCs w:val="28"/>
          <w:u w:val="single"/>
          <w:lang w:eastAsia="zh-CN"/>
        </w:rPr>
        <w:t>（中型企业、 小型企业、微型企业）</w:t>
      </w:r>
      <w:r>
        <w:rPr>
          <w:rFonts w:hint="default" w:ascii="Times New Roman" w:hAnsi="Times New Roman" w:eastAsia="仿宋_GB2312" w:cs="Times New Roman"/>
          <w:color w:val="auto"/>
          <w:sz w:val="28"/>
          <w:szCs w:val="28"/>
          <w:lang w:eastAsia="zh-CN"/>
        </w:rPr>
        <w:t>；</w:t>
      </w:r>
    </w:p>
    <w:p w14:paraId="7E21C926">
      <w:pPr>
        <w:spacing w:line="460" w:lineRule="exact"/>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 xml:space="preserve">…… </w:t>
      </w:r>
    </w:p>
    <w:p w14:paraId="27D33110">
      <w:pPr>
        <w:spacing w:line="460" w:lineRule="exact"/>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以上企业，不属于大企业的分支机构，不存在控股股东为大企业的情形，也不存在与大企业的负责人为同一人的情形。</w:t>
      </w:r>
    </w:p>
    <w:p w14:paraId="7654D425">
      <w:pPr>
        <w:spacing w:line="460" w:lineRule="exact"/>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本企业对上述声明内容的真实性负责。如有虚假，将依法承担相应责任。</w:t>
      </w:r>
    </w:p>
    <w:p w14:paraId="21D281BB">
      <w:pPr>
        <w:spacing w:before="100" w:after="100" w:line="460" w:lineRule="exact"/>
        <w:ind w:firstLine="396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投标人（企业电子签章）：</w:t>
      </w:r>
      <w:r>
        <w:rPr>
          <w:rFonts w:hint="default" w:ascii="Times New Roman" w:hAnsi="Times New Roman" w:eastAsia="仿宋_GB2312" w:cs="Times New Roman"/>
          <w:color w:val="auto"/>
          <w:kern w:val="0"/>
          <w:sz w:val="28"/>
          <w:szCs w:val="28"/>
          <w:u w:val="single"/>
          <w:lang w:val="en-US" w:eastAsia="zh-CN"/>
        </w:rPr>
        <w:t xml:space="preserve">             </w:t>
      </w:r>
    </w:p>
    <w:p w14:paraId="79B47EE9">
      <w:pPr>
        <w:spacing w:before="100" w:after="100" w:line="460" w:lineRule="exact"/>
        <w:ind w:firstLine="3720"/>
        <w:jc w:val="left"/>
        <w:rPr>
          <w:rFonts w:hint="default" w:ascii="Times New Roman" w:hAnsi="Times New Roman" w:eastAsia="仿宋_GB2312" w:cs="Times New Roman"/>
          <w:color w:val="auto"/>
          <w:kern w:val="0"/>
          <w:sz w:val="28"/>
          <w:szCs w:val="28"/>
          <w:u w:val="single"/>
          <w:lang w:val="en-US" w:eastAsia="zh-CN"/>
        </w:rPr>
      </w:pPr>
      <w:r>
        <w:rPr>
          <w:rFonts w:hint="default" w:ascii="Times New Roman" w:hAnsi="Times New Roman" w:eastAsia="仿宋_GB2312" w:cs="Times New Roman"/>
          <w:color w:val="auto"/>
          <w:kern w:val="0"/>
          <w:sz w:val="28"/>
          <w:szCs w:val="28"/>
          <w:lang w:eastAsia="zh-CN"/>
        </w:rPr>
        <w:t>　日　期：</w:t>
      </w:r>
      <w:r>
        <w:rPr>
          <w:rFonts w:hint="default" w:ascii="Times New Roman" w:hAnsi="Times New Roman" w:eastAsia="仿宋_GB2312" w:cs="Times New Roman"/>
          <w:color w:val="auto"/>
          <w:kern w:val="0"/>
          <w:sz w:val="28"/>
          <w:szCs w:val="28"/>
          <w:u w:val="single"/>
          <w:lang w:val="en-US" w:eastAsia="zh-CN"/>
        </w:rPr>
        <w:t xml:space="preserve">             </w:t>
      </w:r>
    </w:p>
    <w:p w14:paraId="756A46EE">
      <w:pPr>
        <w:pStyle w:val="228"/>
        <w:pBdr>
          <w:bottom w:val="double" w:color="auto" w:sz="4" w:space="0"/>
        </w:pBdr>
        <w:rPr>
          <w:rFonts w:hint="default" w:ascii="Times New Roman" w:hAnsi="Times New Roman" w:eastAsia="仿宋_GB2312" w:cs="Times New Roman"/>
          <w:color w:val="auto"/>
          <w:kern w:val="0"/>
          <w:sz w:val="28"/>
          <w:szCs w:val="28"/>
          <w:u w:val="single"/>
        </w:rPr>
      </w:pPr>
    </w:p>
    <w:p w14:paraId="3E5D6E3C">
      <w:pPr>
        <w:widowControl w:val="0"/>
        <w:rPr>
          <w:rFonts w:hint="default" w:ascii="Times New Roman" w:hAnsi="Times New Roman" w:eastAsia="宋体" w:cs="Times New Roman"/>
          <w:color w:val="auto"/>
          <w:sz w:val="24"/>
          <w:szCs w:val="22"/>
          <w:lang w:val="en-US" w:eastAsia="zh-CN"/>
        </w:rPr>
      </w:pPr>
      <w:r>
        <w:rPr>
          <w:rFonts w:hint="default" w:ascii="Times New Roman" w:hAnsi="Times New Roman" w:eastAsia="宋体" w:cs="Times New Roman"/>
          <w:color w:val="auto"/>
          <w:sz w:val="24"/>
          <w:szCs w:val="22"/>
          <w:lang w:val="en-US" w:eastAsia="zh-CN"/>
        </w:rPr>
        <w:t>说明：</w:t>
      </w:r>
    </w:p>
    <w:p w14:paraId="7C9D488C">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（1）从业人员、营业收入、资产总额填报上一年度数据，无上一年度数据的新成立企业可不填报。</w:t>
      </w:r>
    </w:p>
    <w:p w14:paraId="2DBDF896">
      <w:pPr>
        <w:widowControl w:val="0"/>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2</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中小企业划型标准见文件末附件。</w:t>
      </w:r>
    </w:p>
    <w:p w14:paraId="06D243C3">
      <w:pPr>
        <w:pStyle w:val="4"/>
        <w:jc w:val="center"/>
        <w:rPr>
          <w:rFonts w:hint="default" w:ascii="Times New Roman" w:hAnsi="Times New Roman" w:cs="Times New Roman"/>
          <w:color w:val="auto"/>
          <w:lang w:eastAsia="zh-CN"/>
        </w:rPr>
      </w:pPr>
      <w:r>
        <w:rPr>
          <w:rFonts w:hint="default" w:ascii="Times New Roman" w:hAnsi="Times New Roman" w:cs="Times New Roman"/>
          <w:color w:val="auto"/>
          <w:lang w:eastAsia="zh-CN"/>
        </w:rPr>
        <w:br w:type="page"/>
      </w:r>
      <w:bookmarkStart w:id="504" w:name="_Toc430357775"/>
      <w:bookmarkStart w:id="505" w:name="_Toc64259737_WPSOffice_Level3"/>
      <w:bookmarkStart w:id="506" w:name="_Toc1376471950"/>
      <w:bookmarkStart w:id="507" w:name="_Toc71543331"/>
      <w:bookmarkStart w:id="508" w:name="_Toc1555514676"/>
      <w:bookmarkStart w:id="509" w:name="_Toc709139859_WPSOffice_Level2"/>
      <w:bookmarkStart w:id="510" w:name="_Toc596959550"/>
      <w:r>
        <w:rPr>
          <w:rFonts w:hint="default" w:ascii="Times New Roman" w:hAnsi="Times New Roman" w:eastAsia="宋体" w:cs="Times New Roman"/>
          <w:color w:val="auto"/>
          <w:sz w:val="28"/>
          <w:szCs w:val="28"/>
          <w:lang w:eastAsia="zh-CN"/>
        </w:rPr>
        <w:t>投标人监狱企业声明函</w:t>
      </w:r>
      <w:bookmarkEnd w:id="504"/>
      <w:bookmarkEnd w:id="505"/>
      <w:bookmarkEnd w:id="506"/>
      <w:bookmarkEnd w:id="507"/>
      <w:bookmarkEnd w:id="508"/>
      <w:bookmarkEnd w:id="509"/>
      <w:bookmarkEnd w:id="510"/>
    </w:p>
    <w:p w14:paraId="0835864A">
      <w:pPr>
        <w:spacing w:line="360" w:lineRule="auto"/>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（投标人属于监狱企业的填写，不属于的无需填写或不提供此项内容）</w:t>
      </w:r>
    </w:p>
    <w:p w14:paraId="77BBC142">
      <w:pPr>
        <w:pStyle w:val="18"/>
        <w:rPr>
          <w:rFonts w:hint="default" w:ascii="Times New Roman" w:hAnsi="Times New Roman" w:cs="Times New Roman"/>
          <w:color w:val="auto"/>
        </w:rPr>
      </w:pPr>
    </w:p>
    <w:p w14:paraId="5BD2CF3F">
      <w:pPr>
        <w:spacing w:before="100" w:after="100" w:line="360" w:lineRule="auto"/>
        <w:ind w:firstLine="48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本企业（单位）郑重声明下列事项（按照实际情况勾选或填空）：</w:t>
      </w:r>
    </w:p>
    <w:p w14:paraId="04104E4F">
      <w:pPr>
        <w:spacing w:before="100" w:after="100" w:line="360" w:lineRule="auto"/>
        <w:ind w:firstLine="48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本企业（单位）为直接投标人，提供本企业（单位）服务。本企业（单位）</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eastAsia="zh-CN"/>
        </w:rPr>
        <w:t>（请填写：是、不是）监狱企业。后附省级以上监狱管理局、戒毒管理局（含新疆生产建设兵团）出具的属于监狱企业的证明文件。</w:t>
      </w:r>
    </w:p>
    <w:p w14:paraId="45712E2C">
      <w:pPr>
        <w:spacing w:before="100" w:after="100" w:line="360" w:lineRule="auto"/>
        <w:ind w:firstLine="48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本企业（单位）对上述声明的真实性负责。如有虚假，将依法承担相应责任。</w:t>
      </w:r>
    </w:p>
    <w:p w14:paraId="55764DE1">
      <w:pPr>
        <w:spacing w:before="100" w:after="100" w:line="360" w:lineRule="auto"/>
        <w:jc w:val="left"/>
        <w:rPr>
          <w:rFonts w:hint="default" w:ascii="Times New Roman" w:hAnsi="Times New Roman" w:eastAsia="仿宋_GB2312" w:cs="Times New Roman"/>
          <w:color w:val="auto"/>
          <w:kern w:val="0"/>
          <w:sz w:val="28"/>
          <w:szCs w:val="28"/>
          <w:lang w:val="en-US" w:eastAsia="zh-CN"/>
        </w:rPr>
      </w:pPr>
    </w:p>
    <w:p w14:paraId="2A7FCAB0">
      <w:pPr>
        <w:spacing w:before="100" w:after="100" w:line="360" w:lineRule="auto"/>
        <w:jc w:val="left"/>
        <w:rPr>
          <w:rFonts w:hint="default" w:ascii="Times New Roman" w:hAnsi="Times New Roman" w:eastAsia="仿宋_GB2312" w:cs="Times New Roman"/>
          <w:color w:val="auto"/>
          <w:kern w:val="0"/>
          <w:sz w:val="28"/>
          <w:szCs w:val="28"/>
          <w:lang w:val="en-US" w:eastAsia="zh-CN"/>
        </w:rPr>
      </w:pPr>
    </w:p>
    <w:p w14:paraId="6812F385">
      <w:pPr>
        <w:spacing w:line="360" w:lineRule="auto"/>
        <w:rPr>
          <w:rFonts w:hint="default" w:ascii="Times New Roman" w:hAnsi="Times New Roman" w:eastAsia="仿宋_GB2312" w:cs="Times New Roman"/>
          <w:b/>
          <w:bCs/>
          <w:color w:val="auto"/>
          <w:sz w:val="28"/>
          <w:szCs w:val="28"/>
          <w:lang w:val="en-US" w:eastAsia="zh-CN"/>
        </w:rPr>
      </w:pPr>
    </w:p>
    <w:p w14:paraId="27BAF6BB">
      <w:pPr>
        <w:spacing w:before="100" w:after="100" w:line="360" w:lineRule="auto"/>
        <w:ind w:firstLine="396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投标人（企业电子签章）：</w:t>
      </w:r>
      <w:r>
        <w:rPr>
          <w:rFonts w:hint="default" w:ascii="Times New Roman" w:hAnsi="Times New Roman" w:eastAsia="仿宋_GB2312" w:cs="Times New Roman"/>
          <w:color w:val="auto"/>
          <w:kern w:val="0"/>
          <w:sz w:val="28"/>
          <w:szCs w:val="28"/>
          <w:u w:val="single"/>
          <w:lang w:val="en-US" w:eastAsia="zh-CN"/>
        </w:rPr>
        <w:t xml:space="preserve">             </w:t>
      </w:r>
    </w:p>
    <w:p w14:paraId="13DD11C1">
      <w:pPr>
        <w:spacing w:before="100" w:after="100" w:line="360" w:lineRule="auto"/>
        <w:ind w:firstLine="3720"/>
        <w:jc w:val="left"/>
        <w:rPr>
          <w:rFonts w:hint="default" w:ascii="Times New Roman" w:hAnsi="Times New Roman" w:eastAsia="仿宋_GB2312" w:cs="Times New Roman"/>
          <w:color w:val="auto"/>
          <w:kern w:val="0"/>
          <w:sz w:val="28"/>
          <w:szCs w:val="28"/>
          <w:u w:val="single"/>
          <w:lang w:eastAsia="zh-CN"/>
        </w:rPr>
      </w:pPr>
      <w:r>
        <w:rPr>
          <w:rFonts w:hint="default" w:ascii="Times New Roman" w:hAnsi="Times New Roman" w:eastAsia="仿宋_GB2312" w:cs="Times New Roman"/>
          <w:color w:val="auto"/>
          <w:kern w:val="0"/>
          <w:sz w:val="28"/>
          <w:szCs w:val="28"/>
          <w:lang w:eastAsia="zh-CN"/>
        </w:rPr>
        <w:t>　日　期：</w:t>
      </w:r>
      <w:r>
        <w:rPr>
          <w:rFonts w:hint="default" w:ascii="Times New Roman" w:hAnsi="Times New Roman" w:eastAsia="仿宋_GB2312" w:cs="Times New Roman"/>
          <w:color w:val="auto"/>
          <w:kern w:val="0"/>
          <w:sz w:val="28"/>
          <w:szCs w:val="28"/>
          <w:u w:val="single"/>
          <w:lang w:val="en-US" w:eastAsia="zh-CN"/>
        </w:rPr>
        <w:t xml:space="preserve">             </w:t>
      </w:r>
    </w:p>
    <w:p w14:paraId="4D3588B8">
      <w:pPr>
        <w:pStyle w:val="4"/>
        <w:jc w:val="center"/>
        <w:rPr>
          <w:rFonts w:hint="default" w:ascii="Times New Roman" w:hAnsi="Times New Roman" w:cs="Times New Roman"/>
          <w:color w:val="auto"/>
          <w:lang w:eastAsia="zh-CN"/>
        </w:rPr>
      </w:pPr>
      <w:r>
        <w:rPr>
          <w:rFonts w:hint="default" w:ascii="Times New Roman" w:hAnsi="Times New Roman" w:cs="Times New Roman"/>
          <w:color w:val="auto"/>
          <w:highlight w:val="green"/>
          <w:lang w:eastAsia="zh-CN"/>
        </w:rPr>
        <w:br w:type="page"/>
      </w:r>
      <w:bookmarkStart w:id="511" w:name="_Toc894210698_WPSOffice_Level2"/>
      <w:bookmarkStart w:id="512" w:name="_Toc364095986"/>
      <w:bookmarkStart w:id="513" w:name="_Toc415104894_WPSOffice_Level3"/>
      <w:bookmarkStart w:id="514" w:name="_Toc728679071"/>
      <w:bookmarkStart w:id="515" w:name="_Toc1632685049"/>
      <w:r>
        <w:rPr>
          <w:rFonts w:hint="default" w:ascii="Times New Roman" w:hAnsi="Times New Roman" w:eastAsia="宋体" w:cs="Times New Roman"/>
          <w:color w:val="auto"/>
          <w:sz w:val="28"/>
          <w:szCs w:val="28"/>
          <w:lang w:eastAsia="zh-CN"/>
        </w:rPr>
        <w:t>残疾人福利性单位声明函</w:t>
      </w:r>
      <w:bookmarkEnd w:id="511"/>
      <w:bookmarkEnd w:id="512"/>
      <w:bookmarkEnd w:id="513"/>
      <w:bookmarkEnd w:id="514"/>
      <w:bookmarkEnd w:id="515"/>
    </w:p>
    <w:p w14:paraId="1153291E">
      <w:pPr>
        <w:spacing w:line="360" w:lineRule="auto"/>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（投标人属于残疾人福利性单位的填写，不属于的无需填写或不提供此项内容）</w:t>
      </w:r>
    </w:p>
    <w:p w14:paraId="21B9CF3B">
      <w:pPr>
        <w:pStyle w:val="18"/>
        <w:rPr>
          <w:rFonts w:hint="default" w:ascii="Times New Roman" w:hAnsi="Times New Roman" w:cs="Times New Roman"/>
          <w:color w:val="auto"/>
        </w:rPr>
      </w:pPr>
    </w:p>
    <w:p w14:paraId="5E336AC0">
      <w:pPr>
        <w:spacing w:line="360" w:lineRule="auto"/>
        <w:ind w:firstLine="567"/>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本单位郑重声明，根据《财政部 民政部 中国残疾人联合会关于促进残疾人就业政府采购政策的通知》（财库〔</w:t>
      </w:r>
      <w:r>
        <w:rPr>
          <w:rFonts w:hint="default" w:ascii="Times New Roman" w:hAnsi="Times New Roman" w:eastAsia="仿宋_GB2312" w:cs="Times New Roman"/>
          <w:color w:val="auto"/>
          <w:kern w:val="0"/>
          <w:sz w:val="28"/>
          <w:szCs w:val="28"/>
          <w:lang w:val="en-US" w:eastAsia="zh-CN"/>
        </w:rPr>
        <w:t>2017</w:t>
      </w:r>
      <w:r>
        <w:rPr>
          <w:rFonts w:hint="default"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lang w:val="en-US" w:eastAsia="zh-CN"/>
        </w:rPr>
        <w:t>141</w:t>
      </w:r>
      <w:r>
        <w:rPr>
          <w:rFonts w:hint="default" w:ascii="Times New Roman" w:hAnsi="Times New Roman" w:eastAsia="仿宋_GB2312" w:cs="Times New Roman"/>
          <w:color w:val="auto"/>
          <w:kern w:val="0"/>
          <w:sz w:val="28"/>
          <w:szCs w:val="28"/>
          <w:lang w:eastAsia="zh-CN"/>
        </w:rPr>
        <w:t>号）的规定，本单位为符合条件的残疾人福利性单位，且本单位参加</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eastAsia="zh-CN"/>
        </w:rPr>
        <w:t>单位的</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eastAsia="zh-CN"/>
        </w:rPr>
        <w:t>项目采购活动提供本单位制造的货物（由本单位承担工程</w:t>
      </w:r>
      <w:r>
        <w:rPr>
          <w:rFonts w:hint="default" w:ascii="Times New Roman" w:hAnsi="Times New Roman" w:eastAsia="仿宋_GB2312" w:cs="Times New Roman"/>
          <w:color w:val="auto"/>
          <w:kern w:val="0"/>
          <w:sz w:val="28"/>
          <w:szCs w:val="28"/>
          <w:lang w:val="en-US" w:eastAsia="zh-CN"/>
        </w:rPr>
        <w:t>/</w:t>
      </w:r>
      <w:r>
        <w:rPr>
          <w:rFonts w:hint="default" w:ascii="Times New Roman" w:hAnsi="Times New Roman" w:eastAsia="仿宋_GB2312" w:cs="Times New Roman"/>
          <w:color w:val="auto"/>
          <w:kern w:val="0"/>
          <w:sz w:val="28"/>
          <w:szCs w:val="28"/>
          <w:lang w:eastAsia="zh-CN"/>
        </w:rPr>
        <w:t>提供服务），或者提供其他残疾人福利性单位制造的货物（不包括使用非残疾人福利性单位注册商标的货物）。</w:t>
      </w:r>
    </w:p>
    <w:p w14:paraId="3EB947F8">
      <w:pPr>
        <w:spacing w:line="360" w:lineRule="auto"/>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lang w:eastAsia="zh-CN"/>
        </w:rPr>
        <w:t>本单位对上述声明的真实性负责。如有虚假，将依法承担相应责任。</w:t>
      </w:r>
    </w:p>
    <w:p w14:paraId="55FC57B7">
      <w:pPr>
        <w:spacing w:line="360" w:lineRule="auto"/>
        <w:ind w:left="1080" w:hanging="540"/>
        <w:jc w:val="center"/>
        <w:rPr>
          <w:rFonts w:hint="default" w:ascii="Times New Roman" w:hAnsi="Times New Roman" w:eastAsia="宋体" w:cs="Times New Roman"/>
          <w:color w:val="auto"/>
          <w:kern w:val="0"/>
          <w:sz w:val="24"/>
          <w:szCs w:val="24"/>
          <w:lang w:val="en-US" w:eastAsia="zh-CN"/>
        </w:rPr>
      </w:pPr>
    </w:p>
    <w:p w14:paraId="7F8D989D">
      <w:pPr>
        <w:spacing w:line="360" w:lineRule="auto"/>
        <w:ind w:left="1080" w:hanging="540"/>
        <w:jc w:val="center"/>
        <w:rPr>
          <w:rFonts w:hint="default" w:ascii="Times New Roman" w:hAnsi="Times New Roman" w:eastAsia="宋体" w:cs="Times New Roman"/>
          <w:color w:val="auto"/>
          <w:kern w:val="0"/>
          <w:sz w:val="24"/>
          <w:szCs w:val="24"/>
          <w:lang w:val="en-US" w:eastAsia="zh-CN"/>
        </w:rPr>
      </w:pPr>
    </w:p>
    <w:p w14:paraId="38011439">
      <w:pPr>
        <w:spacing w:line="360" w:lineRule="auto"/>
        <w:ind w:left="645" w:firstLine="2640"/>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宋体" w:cs="Times New Roman"/>
          <w:color w:val="auto"/>
          <w:kern w:val="0"/>
          <w:sz w:val="24"/>
          <w:szCs w:val="24"/>
          <w:lang w:eastAsia="zh-CN"/>
        </w:rPr>
        <w:t xml:space="preserve">   </w:t>
      </w:r>
      <w:r>
        <w:rPr>
          <w:rFonts w:hint="default" w:ascii="Times New Roman" w:hAnsi="Times New Roman" w:eastAsia="仿宋_GB2312" w:cs="Times New Roman"/>
          <w:color w:val="auto"/>
          <w:kern w:val="0"/>
          <w:sz w:val="28"/>
          <w:szCs w:val="28"/>
          <w:lang w:val="en-US" w:eastAsia="zh-CN"/>
        </w:rPr>
        <w:t xml:space="preserve">投标人（企业电子签章）：             </w:t>
      </w:r>
    </w:p>
    <w:p w14:paraId="51F403C0">
      <w:pPr>
        <w:spacing w:line="360" w:lineRule="auto"/>
        <w:ind w:left="645" w:firstLine="2640"/>
        <w:rPr>
          <w:rFonts w:hint="default" w:ascii="Times New Roman" w:hAnsi="Times New Roman" w:eastAsia="仿宋_GB2312" w:cs="Times New Roman"/>
          <w:color w:val="auto"/>
          <w:kern w:val="0"/>
          <w:sz w:val="28"/>
          <w:szCs w:val="28"/>
          <w:u w:val="single"/>
          <w:lang w:val="en-US" w:eastAsia="zh-CN"/>
        </w:rPr>
      </w:pPr>
      <w:r>
        <w:rPr>
          <w:rFonts w:hint="default" w:ascii="Times New Roman" w:hAnsi="Times New Roman" w:eastAsia="仿宋_GB2312" w:cs="Times New Roman"/>
          <w:color w:val="auto"/>
          <w:kern w:val="0"/>
          <w:sz w:val="28"/>
          <w:szCs w:val="28"/>
          <w:lang w:val="en-US" w:eastAsia="zh-CN"/>
        </w:rPr>
        <w:t>　日　期：</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val="en-US" w:eastAsia="zh-CN"/>
        </w:rPr>
        <w:t xml:space="preserve">             </w:t>
      </w:r>
    </w:p>
    <w:p w14:paraId="41092373">
      <w:pPr>
        <w:pStyle w:val="3"/>
        <w:jc w:val="center"/>
        <w:rPr>
          <w:rFonts w:hint="default" w:ascii="Times New Roman" w:hAnsi="Times New Roman" w:eastAsia="方正小标宋_GBK" w:cs="Times New Roman"/>
          <w:b w:val="0"/>
          <w:color w:val="auto"/>
          <w:sz w:val="30"/>
          <w:szCs w:val="30"/>
          <w:lang w:eastAsia="zh-CN"/>
        </w:rPr>
      </w:pPr>
      <w:r>
        <w:rPr>
          <w:rFonts w:hint="default" w:ascii="Times New Roman" w:hAnsi="Times New Roman" w:eastAsia="黑体" w:cs="Times New Roman"/>
          <w:color w:val="auto"/>
          <w:kern w:val="2"/>
          <w:sz w:val="28"/>
          <w:szCs w:val="28"/>
          <w:lang w:val="en-US" w:eastAsia="zh-CN"/>
        </w:rPr>
        <w:br w:type="page"/>
      </w:r>
      <w:r>
        <w:rPr>
          <w:rFonts w:hint="default" w:ascii="Times New Roman" w:hAnsi="Times New Roman" w:eastAsia="黑体" w:cs="Times New Roman"/>
          <w:color w:val="auto"/>
          <w:kern w:val="2"/>
          <w:sz w:val="28"/>
          <w:szCs w:val="28"/>
          <w:lang w:val="en-US" w:eastAsia="zh-CN"/>
        </w:rPr>
        <w:t>五</w:t>
      </w:r>
      <w:r>
        <w:rPr>
          <w:rFonts w:hint="default" w:ascii="Times New Roman" w:hAnsi="Times New Roman" w:eastAsia="方正小标宋_GBK" w:cs="Times New Roman"/>
          <w:b w:val="0"/>
          <w:color w:val="auto"/>
          <w:sz w:val="30"/>
          <w:szCs w:val="30"/>
          <w:lang w:val="en-US" w:eastAsia="zh-CN"/>
        </w:rPr>
        <w:t>、</w:t>
      </w:r>
      <w:r>
        <w:rPr>
          <w:rFonts w:hint="default" w:ascii="Times New Roman" w:hAnsi="Times New Roman" w:eastAsia="方正小标宋_GBK" w:cs="Times New Roman"/>
          <w:b w:val="0"/>
          <w:color w:val="auto"/>
          <w:sz w:val="30"/>
          <w:szCs w:val="30"/>
          <w:lang w:eastAsia="zh-CN"/>
        </w:rPr>
        <w:t>综合证明文件</w:t>
      </w:r>
      <w:bookmarkEnd w:id="500"/>
      <w:bookmarkEnd w:id="501"/>
      <w:bookmarkEnd w:id="502"/>
    </w:p>
    <w:p w14:paraId="1023B9A1">
      <w:pPr>
        <w:pStyle w:val="5"/>
        <w:rPr>
          <w:rFonts w:hint="default" w:ascii="Times New Roman" w:hAnsi="Times New Roman" w:cs="Times New Roman"/>
          <w:b w:val="0"/>
          <w:color w:val="auto"/>
          <w:szCs w:val="28"/>
          <w:lang w:eastAsia="zh-CN"/>
        </w:rPr>
      </w:pPr>
      <w:bookmarkStart w:id="516" w:name="_Toc766822801"/>
      <w:bookmarkStart w:id="517" w:name="_Toc126373309_WPSOffice_Level3"/>
      <w:r>
        <w:rPr>
          <w:rFonts w:hint="default" w:ascii="Times New Roman" w:hAnsi="Times New Roman" w:cs="Times New Roman"/>
          <w:b w:val="0"/>
          <w:color w:val="auto"/>
          <w:szCs w:val="28"/>
          <w:lang w:val="en-US" w:eastAsia="zh-CN"/>
        </w:rPr>
        <w:t>1.</w:t>
      </w:r>
      <w:r>
        <w:rPr>
          <w:rFonts w:hint="default" w:ascii="Times New Roman" w:hAnsi="Times New Roman" w:cs="Times New Roman"/>
          <w:b w:val="0"/>
          <w:color w:val="auto"/>
          <w:szCs w:val="28"/>
          <w:lang w:eastAsia="zh-CN"/>
        </w:rPr>
        <w:t>综合实力及履约保障</w:t>
      </w:r>
      <w:bookmarkEnd w:id="516"/>
      <w:bookmarkEnd w:id="517"/>
    </w:p>
    <w:p w14:paraId="3A8B80FC">
      <w:pPr>
        <w:spacing w:line="360" w:lineRule="auto"/>
        <w:ind w:firstLine="48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根据招标文件要求，提供投标人认证等证书。（提供认证</w:t>
      </w:r>
      <w:r>
        <w:rPr>
          <w:rFonts w:hint="default" w:ascii="Times New Roman" w:hAnsi="Times New Roman" w:eastAsia="仿宋_GB2312" w:cs="Times New Roman"/>
          <w:color w:val="auto"/>
          <w:kern w:val="0"/>
          <w:sz w:val="28"/>
          <w:szCs w:val="28"/>
          <w:lang w:val="en-US" w:eastAsia="zh-CN"/>
        </w:rPr>
        <w:t>证书</w:t>
      </w:r>
      <w:r>
        <w:rPr>
          <w:rFonts w:hint="default" w:ascii="Times New Roman" w:hAnsi="Times New Roman" w:eastAsia="仿宋_GB2312" w:cs="Times New Roman"/>
          <w:color w:val="auto"/>
          <w:kern w:val="0"/>
          <w:sz w:val="28"/>
          <w:szCs w:val="28"/>
          <w:lang w:eastAsia="zh-CN"/>
        </w:rPr>
        <w:t>扫描件，扫描不清晰的不得分，招标文件未要求的不需要提供）</w:t>
      </w:r>
    </w:p>
    <w:p w14:paraId="6878BA52">
      <w:pPr>
        <w:spacing w:line="360" w:lineRule="auto"/>
        <w:ind w:firstLine="480"/>
        <w:jc w:val="left"/>
        <w:rPr>
          <w:rFonts w:hint="default" w:ascii="Times New Roman" w:hAnsi="Times New Roman" w:cs="Times New Roman"/>
          <w:color w:val="auto"/>
          <w:lang w:eastAsia="zh-CN"/>
        </w:rPr>
      </w:pPr>
    </w:p>
    <w:p w14:paraId="07FEFBB8">
      <w:pPr>
        <w:pStyle w:val="5"/>
        <w:rPr>
          <w:rFonts w:hint="default" w:ascii="Times New Roman" w:hAnsi="Times New Roman" w:cs="Times New Roman"/>
          <w:b w:val="0"/>
          <w:color w:val="auto"/>
          <w:lang w:eastAsia="zh-CN"/>
        </w:rPr>
      </w:pPr>
      <w:bookmarkStart w:id="518" w:name="_Toc854016709_WPSOffice_Level3"/>
      <w:bookmarkStart w:id="519" w:name="_Toc554354734"/>
      <w:r>
        <w:rPr>
          <w:rFonts w:hint="default" w:ascii="Times New Roman" w:hAnsi="Times New Roman" w:cs="Times New Roman"/>
          <w:b w:val="0"/>
          <w:color w:val="auto"/>
          <w:lang w:val="en-US" w:eastAsia="zh-CN"/>
        </w:rPr>
        <w:t>2.</w:t>
      </w:r>
      <w:r>
        <w:rPr>
          <w:rFonts w:hint="default" w:ascii="Times New Roman" w:hAnsi="Times New Roman" w:cs="Times New Roman"/>
          <w:b w:val="0"/>
          <w:color w:val="auto"/>
          <w:lang w:eastAsia="zh-CN"/>
        </w:rPr>
        <w:t>类似项目业绩</w:t>
      </w:r>
      <w:bookmarkEnd w:id="518"/>
      <w:bookmarkEnd w:id="519"/>
    </w:p>
    <w:p w14:paraId="03473DDF">
      <w:pPr>
        <w:spacing w:line="360" w:lineRule="auto"/>
        <w:jc w:val="center"/>
        <w:rPr>
          <w:rFonts w:hint="default" w:ascii="Times New Roman" w:hAnsi="Times New Roman" w:eastAsia="仿宋_GB2312" w:cs="Times New Roman"/>
          <w:color w:val="auto"/>
          <w:sz w:val="32"/>
          <w:szCs w:val="32"/>
          <w:lang w:eastAsia="zh-CN"/>
        </w:rPr>
      </w:pPr>
      <w:bookmarkStart w:id="520" w:name="_Toc939678011_WPSOffice_Level3"/>
      <w:r>
        <w:rPr>
          <w:rFonts w:hint="default" w:ascii="Times New Roman" w:hAnsi="Times New Roman" w:eastAsia="仿宋_GB2312" w:cs="Times New Roman"/>
          <w:color w:val="auto"/>
          <w:sz w:val="32"/>
          <w:szCs w:val="32"/>
          <w:lang w:eastAsia="zh-CN"/>
        </w:rPr>
        <w:t>类似业绩一览表</w:t>
      </w:r>
      <w:bookmarkEnd w:id="520"/>
    </w:p>
    <w:tbl>
      <w:tblPr>
        <w:tblStyle w:val="53"/>
        <w:tblW w:w="893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2206"/>
        <w:gridCol w:w="2104"/>
        <w:gridCol w:w="1590"/>
        <w:gridCol w:w="1494"/>
        <w:gridCol w:w="1537"/>
      </w:tblGrid>
      <w:tr w14:paraId="5180B24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93" w:hRule="atLeast"/>
          <w:jc w:val="center"/>
        </w:trPr>
        <w:tc>
          <w:tcPr>
            <w:tcW w:w="2206"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center"/>
          </w:tcPr>
          <w:p w14:paraId="1EC2A746">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项目名称</w:t>
            </w:r>
          </w:p>
        </w:tc>
        <w:tc>
          <w:tcPr>
            <w:tcW w:w="2104"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center"/>
          </w:tcPr>
          <w:p w14:paraId="0574DEDD">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简要描述</w:t>
            </w:r>
          </w:p>
        </w:tc>
        <w:tc>
          <w:tcPr>
            <w:tcW w:w="1590"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center"/>
          </w:tcPr>
          <w:p w14:paraId="70443E59">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项目金额</w:t>
            </w:r>
          </w:p>
          <w:p w14:paraId="28F77763">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（万元）</w:t>
            </w:r>
          </w:p>
        </w:tc>
        <w:tc>
          <w:tcPr>
            <w:tcW w:w="1494"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center"/>
          </w:tcPr>
          <w:p w14:paraId="5BA17EFC">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服务期限</w:t>
            </w:r>
          </w:p>
        </w:tc>
        <w:tc>
          <w:tcPr>
            <w:tcW w:w="1537"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center"/>
          </w:tcPr>
          <w:p w14:paraId="5D7AC4D1">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项目单位联系电话</w:t>
            </w:r>
          </w:p>
        </w:tc>
      </w:tr>
      <w:tr w14:paraId="3FEDB0D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6" w:hRule="atLeast"/>
          <w:jc w:val="center"/>
        </w:trPr>
        <w:tc>
          <w:tcPr>
            <w:tcW w:w="2206"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0E3E684C">
            <w:pPr>
              <w:rPr>
                <w:rFonts w:hint="default" w:ascii="Times New Roman" w:hAnsi="Times New Roman" w:eastAsia="仿宋_GB2312" w:cs="Times New Roman"/>
                <w:color w:val="auto"/>
                <w:kern w:val="0"/>
                <w:sz w:val="28"/>
                <w:szCs w:val="28"/>
              </w:rPr>
            </w:pPr>
          </w:p>
        </w:tc>
        <w:tc>
          <w:tcPr>
            <w:tcW w:w="2104"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376E12DA">
            <w:pPr>
              <w:rPr>
                <w:rFonts w:hint="default" w:ascii="Times New Roman" w:hAnsi="Times New Roman" w:eastAsia="仿宋_GB2312" w:cs="Times New Roman"/>
                <w:color w:val="auto"/>
                <w:kern w:val="0"/>
                <w:sz w:val="28"/>
                <w:szCs w:val="28"/>
              </w:rPr>
            </w:pPr>
          </w:p>
        </w:tc>
        <w:tc>
          <w:tcPr>
            <w:tcW w:w="1590"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218C4C14">
            <w:pPr>
              <w:rPr>
                <w:rFonts w:hint="default" w:ascii="Times New Roman" w:hAnsi="Times New Roman" w:eastAsia="仿宋_GB2312" w:cs="Times New Roman"/>
                <w:color w:val="auto"/>
                <w:kern w:val="0"/>
                <w:sz w:val="28"/>
                <w:szCs w:val="28"/>
              </w:rPr>
            </w:pPr>
          </w:p>
        </w:tc>
        <w:tc>
          <w:tcPr>
            <w:tcW w:w="1494"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693C1CEE">
            <w:pPr>
              <w:rPr>
                <w:rFonts w:hint="default" w:ascii="Times New Roman" w:hAnsi="Times New Roman" w:eastAsia="仿宋_GB2312" w:cs="Times New Roman"/>
                <w:color w:val="auto"/>
                <w:kern w:val="0"/>
                <w:sz w:val="28"/>
                <w:szCs w:val="28"/>
              </w:rPr>
            </w:pPr>
          </w:p>
        </w:tc>
        <w:tc>
          <w:tcPr>
            <w:tcW w:w="1537"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256F800B">
            <w:pPr>
              <w:rPr>
                <w:rFonts w:hint="default" w:ascii="Times New Roman" w:hAnsi="Times New Roman" w:eastAsia="仿宋_GB2312" w:cs="Times New Roman"/>
                <w:color w:val="auto"/>
                <w:kern w:val="0"/>
                <w:sz w:val="28"/>
                <w:szCs w:val="28"/>
              </w:rPr>
            </w:pPr>
          </w:p>
        </w:tc>
      </w:tr>
      <w:tr w14:paraId="24CD826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33" w:hRule="atLeast"/>
          <w:jc w:val="center"/>
        </w:trPr>
        <w:tc>
          <w:tcPr>
            <w:tcW w:w="2206"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2F3018A2">
            <w:pPr>
              <w:rPr>
                <w:rFonts w:hint="default" w:ascii="Times New Roman" w:hAnsi="Times New Roman" w:eastAsia="仿宋_GB2312" w:cs="Times New Roman"/>
                <w:color w:val="auto"/>
                <w:kern w:val="0"/>
                <w:sz w:val="28"/>
                <w:szCs w:val="28"/>
              </w:rPr>
            </w:pPr>
          </w:p>
        </w:tc>
        <w:tc>
          <w:tcPr>
            <w:tcW w:w="2104"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3279B79D">
            <w:pPr>
              <w:rPr>
                <w:rFonts w:hint="default" w:ascii="Times New Roman" w:hAnsi="Times New Roman" w:eastAsia="仿宋_GB2312" w:cs="Times New Roman"/>
                <w:color w:val="auto"/>
                <w:kern w:val="0"/>
                <w:sz w:val="28"/>
                <w:szCs w:val="28"/>
              </w:rPr>
            </w:pPr>
          </w:p>
        </w:tc>
        <w:tc>
          <w:tcPr>
            <w:tcW w:w="1590"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346B89E7">
            <w:pPr>
              <w:rPr>
                <w:rFonts w:hint="default" w:ascii="Times New Roman" w:hAnsi="Times New Roman" w:eastAsia="仿宋_GB2312" w:cs="Times New Roman"/>
                <w:color w:val="auto"/>
                <w:kern w:val="0"/>
                <w:sz w:val="28"/>
                <w:szCs w:val="28"/>
              </w:rPr>
            </w:pPr>
          </w:p>
        </w:tc>
        <w:tc>
          <w:tcPr>
            <w:tcW w:w="1494"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2EAD8E30">
            <w:pPr>
              <w:rPr>
                <w:rFonts w:hint="default" w:ascii="Times New Roman" w:hAnsi="Times New Roman" w:eastAsia="仿宋_GB2312" w:cs="Times New Roman"/>
                <w:color w:val="auto"/>
                <w:kern w:val="0"/>
                <w:sz w:val="28"/>
                <w:szCs w:val="28"/>
              </w:rPr>
            </w:pPr>
          </w:p>
        </w:tc>
        <w:tc>
          <w:tcPr>
            <w:tcW w:w="1537"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5239A7B1">
            <w:pPr>
              <w:rPr>
                <w:rFonts w:hint="default" w:ascii="Times New Roman" w:hAnsi="Times New Roman" w:eastAsia="仿宋_GB2312" w:cs="Times New Roman"/>
                <w:color w:val="auto"/>
                <w:kern w:val="0"/>
                <w:sz w:val="28"/>
                <w:szCs w:val="28"/>
              </w:rPr>
            </w:pPr>
          </w:p>
        </w:tc>
      </w:tr>
      <w:tr w14:paraId="6D886E0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1" w:hRule="atLeast"/>
          <w:jc w:val="center"/>
        </w:trPr>
        <w:tc>
          <w:tcPr>
            <w:tcW w:w="2206"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3213A99B">
            <w:pPr>
              <w:rPr>
                <w:rFonts w:hint="default" w:ascii="Times New Roman" w:hAnsi="Times New Roman" w:eastAsia="仿宋_GB2312" w:cs="Times New Roman"/>
                <w:color w:val="auto"/>
                <w:kern w:val="0"/>
                <w:sz w:val="28"/>
                <w:szCs w:val="28"/>
              </w:rPr>
            </w:pPr>
          </w:p>
        </w:tc>
        <w:tc>
          <w:tcPr>
            <w:tcW w:w="2104"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11F0B078">
            <w:pPr>
              <w:rPr>
                <w:rFonts w:hint="default" w:ascii="Times New Roman" w:hAnsi="Times New Roman" w:eastAsia="仿宋_GB2312" w:cs="Times New Roman"/>
                <w:color w:val="auto"/>
                <w:kern w:val="0"/>
                <w:sz w:val="28"/>
                <w:szCs w:val="28"/>
              </w:rPr>
            </w:pPr>
          </w:p>
        </w:tc>
        <w:tc>
          <w:tcPr>
            <w:tcW w:w="1590"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74CA9DAB">
            <w:pPr>
              <w:rPr>
                <w:rFonts w:hint="default" w:ascii="Times New Roman" w:hAnsi="Times New Roman" w:eastAsia="仿宋_GB2312" w:cs="Times New Roman"/>
                <w:color w:val="auto"/>
                <w:kern w:val="0"/>
                <w:sz w:val="28"/>
                <w:szCs w:val="28"/>
              </w:rPr>
            </w:pPr>
          </w:p>
        </w:tc>
        <w:tc>
          <w:tcPr>
            <w:tcW w:w="1494"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2AFC24AC">
            <w:pPr>
              <w:rPr>
                <w:rFonts w:hint="default" w:ascii="Times New Roman" w:hAnsi="Times New Roman" w:eastAsia="仿宋_GB2312" w:cs="Times New Roman"/>
                <w:color w:val="auto"/>
                <w:kern w:val="0"/>
                <w:sz w:val="28"/>
                <w:szCs w:val="28"/>
              </w:rPr>
            </w:pPr>
          </w:p>
        </w:tc>
        <w:tc>
          <w:tcPr>
            <w:tcW w:w="1537"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73B24DF9">
            <w:pPr>
              <w:rPr>
                <w:rFonts w:hint="default" w:ascii="Times New Roman" w:hAnsi="Times New Roman" w:eastAsia="仿宋_GB2312" w:cs="Times New Roman"/>
                <w:color w:val="auto"/>
                <w:kern w:val="0"/>
                <w:sz w:val="28"/>
                <w:szCs w:val="28"/>
              </w:rPr>
            </w:pPr>
          </w:p>
        </w:tc>
      </w:tr>
      <w:tr w14:paraId="513527B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1" w:hRule="atLeast"/>
          <w:jc w:val="center"/>
        </w:trPr>
        <w:tc>
          <w:tcPr>
            <w:tcW w:w="2206"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0057298F">
            <w:pPr>
              <w:rPr>
                <w:rFonts w:hint="default" w:ascii="Times New Roman" w:hAnsi="Times New Roman" w:eastAsia="仿宋_GB2312" w:cs="Times New Roman"/>
                <w:color w:val="auto"/>
                <w:kern w:val="0"/>
                <w:sz w:val="28"/>
                <w:szCs w:val="28"/>
              </w:rPr>
            </w:pPr>
          </w:p>
        </w:tc>
        <w:tc>
          <w:tcPr>
            <w:tcW w:w="2104"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6CC2EF5B">
            <w:pPr>
              <w:rPr>
                <w:rFonts w:hint="default" w:ascii="Times New Roman" w:hAnsi="Times New Roman" w:eastAsia="仿宋_GB2312" w:cs="Times New Roman"/>
                <w:color w:val="auto"/>
                <w:kern w:val="0"/>
                <w:sz w:val="28"/>
                <w:szCs w:val="28"/>
              </w:rPr>
            </w:pPr>
          </w:p>
        </w:tc>
        <w:tc>
          <w:tcPr>
            <w:tcW w:w="1590"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00384189">
            <w:pPr>
              <w:rPr>
                <w:rFonts w:hint="default" w:ascii="Times New Roman" w:hAnsi="Times New Roman" w:eastAsia="仿宋_GB2312" w:cs="Times New Roman"/>
                <w:color w:val="auto"/>
                <w:kern w:val="0"/>
                <w:sz w:val="28"/>
                <w:szCs w:val="28"/>
              </w:rPr>
            </w:pPr>
          </w:p>
        </w:tc>
        <w:tc>
          <w:tcPr>
            <w:tcW w:w="1494"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21C13ECA">
            <w:pPr>
              <w:rPr>
                <w:rFonts w:hint="default" w:ascii="Times New Roman" w:hAnsi="Times New Roman" w:eastAsia="仿宋_GB2312" w:cs="Times New Roman"/>
                <w:color w:val="auto"/>
                <w:kern w:val="0"/>
                <w:sz w:val="28"/>
                <w:szCs w:val="28"/>
              </w:rPr>
            </w:pPr>
          </w:p>
        </w:tc>
        <w:tc>
          <w:tcPr>
            <w:tcW w:w="1537"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20F5BA0E">
            <w:pPr>
              <w:rPr>
                <w:rFonts w:hint="default" w:ascii="Times New Roman" w:hAnsi="Times New Roman" w:eastAsia="仿宋_GB2312" w:cs="Times New Roman"/>
                <w:color w:val="auto"/>
                <w:kern w:val="0"/>
                <w:sz w:val="28"/>
                <w:szCs w:val="28"/>
              </w:rPr>
            </w:pPr>
          </w:p>
        </w:tc>
      </w:tr>
      <w:tr w14:paraId="25F1E9B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37" w:hRule="atLeast"/>
          <w:jc w:val="center"/>
        </w:trPr>
        <w:tc>
          <w:tcPr>
            <w:tcW w:w="2206"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2B3A2B86">
            <w:pPr>
              <w:rPr>
                <w:rFonts w:hint="default" w:ascii="Times New Roman" w:hAnsi="Times New Roman" w:eastAsia="仿宋_GB2312" w:cs="Times New Roman"/>
                <w:color w:val="auto"/>
                <w:kern w:val="0"/>
                <w:sz w:val="28"/>
                <w:szCs w:val="28"/>
              </w:rPr>
            </w:pPr>
          </w:p>
        </w:tc>
        <w:tc>
          <w:tcPr>
            <w:tcW w:w="2104"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536F3EEE">
            <w:pPr>
              <w:rPr>
                <w:rFonts w:hint="default" w:ascii="Times New Roman" w:hAnsi="Times New Roman" w:eastAsia="仿宋_GB2312" w:cs="Times New Roman"/>
                <w:color w:val="auto"/>
                <w:kern w:val="0"/>
                <w:sz w:val="28"/>
                <w:szCs w:val="28"/>
              </w:rPr>
            </w:pPr>
          </w:p>
        </w:tc>
        <w:tc>
          <w:tcPr>
            <w:tcW w:w="1590"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2034A520">
            <w:pPr>
              <w:rPr>
                <w:rFonts w:hint="default" w:ascii="Times New Roman" w:hAnsi="Times New Roman" w:eastAsia="仿宋_GB2312" w:cs="Times New Roman"/>
                <w:color w:val="auto"/>
                <w:kern w:val="0"/>
                <w:sz w:val="28"/>
                <w:szCs w:val="28"/>
              </w:rPr>
            </w:pPr>
          </w:p>
        </w:tc>
        <w:tc>
          <w:tcPr>
            <w:tcW w:w="1494"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3C7F7D81">
            <w:pPr>
              <w:rPr>
                <w:rFonts w:hint="default" w:ascii="Times New Roman" w:hAnsi="Times New Roman" w:eastAsia="仿宋_GB2312" w:cs="Times New Roman"/>
                <w:color w:val="auto"/>
                <w:kern w:val="0"/>
                <w:sz w:val="28"/>
                <w:szCs w:val="28"/>
              </w:rPr>
            </w:pPr>
          </w:p>
        </w:tc>
        <w:tc>
          <w:tcPr>
            <w:tcW w:w="1537"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480ED46A">
            <w:pPr>
              <w:rPr>
                <w:rFonts w:hint="default" w:ascii="Times New Roman" w:hAnsi="Times New Roman" w:eastAsia="仿宋_GB2312" w:cs="Times New Roman"/>
                <w:color w:val="auto"/>
                <w:kern w:val="0"/>
                <w:sz w:val="28"/>
                <w:szCs w:val="28"/>
              </w:rPr>
            </w:pPr>
          </w:p>
        </w:tc>
      </w:tr>
    </w:tbl>
    <w:p w14:paraId="2F3F9CC0">
      <w:pPr>
        <w:spacing w:line="360" w:lineRule="auto"/>
        <w:rPr>
          <w:rFonts w:hint="default" w:ascii="Times New Roman" w:hAnsi="Times New Roman" w:eastAsia="仿宋_GB2312" w:cs="Times New Roman"/>
          <w:color w:val="auto"/>
          <w:sz w:val="28"/>
          <w:szCs w:val="28"/>
        </w:rPr>
      </w:pPr>
    </w:p>
    <w:p w14:paraId="08EE5119">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注：（</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eastAsia="zh-CN"/>
        </w:rPr>
        <w:t>）投标人可按上述的格式自行编制，后附扫描件。</w:t>
      </w:r>
    </w:p>
    <w:p w14:paraId="3B59A04B">
      <w:pPr>
        <w:numPr>
          <w:ilvl w:val="0"/>
          <w:numId w:val="4"/>
        </w:numPr>
        <w:spacing w:line="360" w:lineRule="auto"/>
        <w:ind w:left="560" w:leftChars="0" w:firstLine="0" w:firstLineChars="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业绩扫描不清楚或合同总金额不明确的不予认可，虚假业绩将自行承担相关责任。</w:t>
      </w:r>
    </w:p>
    <w:p w14:paraId="59B74A89">
      <w:pPr>
        <w:numPr>
          <w:ilvl w:val="0"/>
          <w:numId w:val="0"/>
        </w:numPr>
        <w:spacing w:line="360" w:lineRule="auto"/>
        <w:ind w:left="560" w:leftChars="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eastAsia="zh-CN"/>
        </w:rPr>
        <w:t>）招标文件未要求提供业绩证明文件的，投标人可不提供。</w:t>
      </w:r>
    </w:p>
    <w:p w14:paraId="23D8810B">
      <w:pPr>
        <w:spacing w:line="360" w:lineRule="auto"/>
        <w:rPr>
          <w:rFonts w:hint="default" w:ascii="Times New Roman" w:hAnsi="Times New Roman" w:eastAsia="仿宋_GB2312" w:cs="Times New Roman"/>
          <w:color w:val="auto"/>
          <w:sz w:val="28"/>
          <w:szCs w:val="28"/>
          <w:lang w:eastAsia="zh-CN"/>
        </w:rPr>
      </w:pPr>
    </w:p>
    <w:p w14:paraId="36C10BC2">
      <w:pPr>
        <w:pStyle w:val="3"/>
        <w:jc w:val="center"/>
        <w:rPr>
          <w:rFonts w:hint="default" w:ascii="Times New Roman" w:hAnsi="Times New Roman" w:eastAsia="方正小标宋_GBK" w:cs="Times New Roman"/>
          <w:b w:val="0"/>
          <w:color w:val="auto"/>
          <w:sz w:val="28"/>
          <w:szCs w:val="28"/>
          <w:lang w:val="en-US" w:eastAsia="zh-CN"/>
        </w:rPr>
      </w:pPr>
      <w:r>
        <w:rPr>
          <w:rFonts w:hint="default" w:ascii="Times New Roman" w:hAnsi="Times New Roman" w:cs="Times New Roman"/>
          <w:color w:val="auto"/>
          <w:lang w:eastAsia="zh-CN"/>
        </w:rPr>
        <w:br w:type="page"/>
      </w:r>
      <w:bookmarkStart w:id="521" w:name="_Toc671407240"/>
      <w:bookmarkStart w:id="522" w:name="_Toc71543328"/>
      <w:bookmarkStart w:id="523" w:name="_Toc2020026904_WPSOffice_Level2"/>
      <w:r>
        <w:rPr>
          <w:rFonts w:hint="default" w:ascii="Times New Roman" w:hAnsi="Times New Roman" w:eastAsia="方正小标宋_GBK" w:cs="Times New Roman"/>
          <w:b w:val="0"/>
          <w:bCs/>
          <w:color w:val="auto"/>
          <w:kern w:val="0"/>
          <w:sz w:val="28"/>
          <w:szCs w:val="28"/>
          <w:lang w:val="en-US" w:eastAsia="zh-CN" w:bidi="ar-SA"/>
        </w:rPr>
        <w:t>六、服务方案</w:t>
      </w:r>
      <w:bookmarkEnd w:id="521"/>
      <w:bookmarkEnd w:id="522"/>
      <w:bookmarkEnd w:id="523"/>
    </w:p>
    <w:p w14:paraId="12AB3698">
      <w:pPr>
        <w:pStyle w:val="166"/>
        <w:ind w:firstLine="0"/>
        <w:rPr>
          <w:rFonts w:hint="default" w:ascii="Times New Roman" w:hAnsi="Times New Roman" w:eastAsia="仿宋_GB2312" w:cs="Times New Roman"/>
          <w:color w:val="auto"/>
          <w:kern w:val="0"/>
          <w:sz w:val="28"/>
          <w:szCs w:val="28"/>
          <w:lang w:val="en-US" w:eastAsia="zh-CN"/>
        </w:rPr>
      </w:pPr>
    </w:p>
    <w:p w14:paraId="68896FE0">
      <w:pPr>
        <w:pStyle w:val="166"/>
        <w:ind w:firstLine="0"/>
        <w:rPr>
          <w:rFonts w:hint="default" w:ascii="Times New Roman" w:hAnsi="Times New Roman" w:eastAsia="仿宋_GB2312" w:cs="Times New Roman"/>
          <w:color w:val="auto"/>
          <w:kern w:val="0"/>
          <w:sz w:val="28"/>
          <w:szCs w:val="28"/>
          <w:lang w:val="en-US" w:eastAsia="zh-CN"/>
        </w:rPr>
        <w:sectPr>
          <w:headerReference r:id="rId8" w:type="default"/>
          <w:footerReference r:id="rId9" w:type="default"/>
          <w:pgSz w:w="11900" w:h="16840"/>
          <w:pgMar w:top="1440" w:right="1800" w:bottom="1440" w:left="1800" w:header="851" w:footer="992" w:gutter="0"/>
          <w:cols w:space="720" w:num="1"/>
        </w:sectPr>
      </w:pPr>
    </w:p>
    <w:bookmarkEnd w:id="494"/>
    <w:p w14:paraId="5EAAE8DE">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28"/>
          <w:szCs w:val="28"/>
          <w:lang w:eastAsia="zh-CN"/>
        </w:rPr>
      </w:pPr>
      <w:bookmarkStart w:id="524" w:name="_Toc297277348"/>
      <w:bookmarkStart w:id="525" w:name="_Toc1642658699"/>
      <w:bookmarkStart w:id="526" w:name="_Toc364407768_WPSOffice_Level2"/>
      <w:bookmarkStart w:id="527" w:name="_Toc741327320"/>
      <w:bookmarkStart w:id="528" w:name="_Toc203536082"/>
      <w:bookmarkStart w:id="529" w:name="_Toc782655613"/>
      <w:bookmarkStart w:id="530" w:name="_Toc1342357120"/>
      <w:bookmarkStart w:id="531" w:name="_Toc71543334"/>
      <w:bookmarkStart w:id="532" w:name="_Toc1027952896"/>
      <w:bookmarkStart w:id="533" w:name="_Toc1405132080"/>
      <w:bookmarkStart w:id="534" w:name="_Toc1961816944"/>
      <w:bookmarkStart w:id="535" w:name="_Toc683097015"/>
      <w:bookmarkStart w:id="536" w:name="_Toc1893993795"/>
      <w:bookmarkStart w:id="537" w:name="_Toc2003764980"/>
      <w:r>
        <w:rPr>
          <w:rFonts w:hint="default" w:ascii="Times New Roman" w:hAnsi="Times New Roman" w:eastAsia="方正小标宋_GBK" w:cs="Times New Roman"/>
          <w:bCs/>
          <w:color w:val="auto"/>
          <w:kern w:val="0"/>
          <w:sz w:val="28"/>
          <w:szCs w:val="28"/>
          <w:lang w:val="en-US" w:eastAsia="zh-CN"/>
        </w:rPr>
        <w:t>七</w:t>
      </w:r>
      <w:r>
        <w:rPr>
          <w:rFonts w:hint="default" w:ascii="Times New Roman" w:hAnsi="Times New Roman" w:eastAsia="方正小标宋_GBK" w:cs="Times New Roman"/>
          <w:bCs/>
          <w:color w:val="auto"/>
          <w:kern w:val="0"/>
          <w:sz w:val="28"/>
          <w:szCs w:val="28"/>
          <w:lang w:eastAsia="zh-CN"/>
        </w:rPr>
        <w:t>、其他文件</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32214766">
      <w:pPr>
        <w:pStyle w:val="166"/>
        <w:rPr>
          <w:rFonts w:hint="default" w:ascii="宋体" w:hAnsi="宋体" w:eastAsia="宋体" w:cs="宋体"/>
          <w:color w:val="auto"/>
          <w:kern w:val="0"/>
          <w:lang w:eastAsia="zh-CN"/>
        </w:rPr>
      </w:pPr>
    </w:p>
    <w:p w14:paraId="00976737">
      <w:pPr>
        <w:spacing w:line="360" w:lineRule="auto"/>
        <w:ind w:left="1080" w:hanging="540"/>
        <w:jc w:val="center"/>
        <w:rPr>
          <w:rFonts w:hint="default" w:ascii="宋体" w:hAnsi="宋体" w:eastAsia="宋体" w:cs="宋体"/>
          <w:color w:val="auto"/>
          <w:lang w:eastAsia="zh-CN"/>
        </w:rPr>
        <w:sectPr>
          <w:headerReference r:id="rId10" w:type="default"/>
          <w:footerReference r:id="rId11" w:type="default"/>
          <w:pgSz w:w="11900" w:h="16840"/>
          <w:pgMar w:top="1440" w:right="1800" w:bottom="1440" w:left="1800" w:header="851" w:footer="992" w:gutter="0"/>
          <w:cols w:space="720" w:num="1"/>
        </w:sectPr>
      </w:pPr>
    </w:p>
    <w:p w14:paraId="4065070A">
      <w:pPr>
        <w:pStyle w:val="2"/>
        <w:numPr>
          <w:ilvl w:val="0"/>
          <w:numId w:val="5"/>
        </w:numPr>
        <w:spacing w:before="0" w:after="0" w:line="240" w:lineRule="auto"/>
        <w:jc w:val="center"/>
        <w:rPr>
          <w:rFonts w:ascii="宋体" w:hAnsi="宋体" w:eastAsia="宋体" w:cs="宋体"/>
          <w:color w:val="auto"/>
          <w:sz w:val="36"/>
          <w:szCs w:val="36"/>
          <w:lang w:eastAsia="zh-CN"/>
        </w:rPr>
      </w:pPr>
      <w:bookmarkStart w:id="538" w:name="_Toc1957633089"/>
      <w:bookmarkStart w:id="539" w:name="_Toc1188500584"/>
      <w:bookmarkStart w:id="540" w:name="_Toc152586295"/>
      <w:bookmarkStart w:id="541" w:name="_Toc1176089766_WPSOffice_Level1"/>
      <w:bookmarkStart w:id="542" w:name="_Toc1023053876"/>
      <w:r>
        <w:rPr>
          <w:rFonts w:hint="eastAsia" w:ascii="宋体" w:hAnsi="宋体" w:eastAsia="宋体" w:cs="宋体"/>
          <w:color w:val="auto"/>
          <w:sz w:val="36"/>
          <w:szCs w:val="36"/>
          <w:lang w:eastAsia="zh-CN"/>
        </w:rPr>
        <w:t>项目需求及有关要求</w:t>
      </w:r>
      <w:bookmarkEnd w:id="538"/>
      <w:bookmarkEnd w:id="539"/>
      <w:bookmarkEnd w:id="540"/>
      <w:bookmarkEnd w:id="541"/>
      <w:bookmarkEnd w:id="542"/>
      <w:bookmarkStart w:id="543" w:name="_Toc2103487907_WPSOffice_Level1"/>
      <w:bookmarkStart w:id="544" w:name="_Toc450869757"/>
      <w:bookmarkStart w:id="545" w:name="_Toc1658402222_WPSOffice_Level1"/>
      <w:bookmarkStart w:id="546" w:name="_Toc371028730"/>
      <w:bookmarkStart w:id="547" w:name="_Toc1220109555_WPSOffice_Level1"/>
      <w:bookmarkStart w:id="548" w:name="_Toc1228469917"/>
      <w:bookmarkStart w:id="549" w:name="_Toc1281126177_WPSOffice_Level1"/>
      <w:bookmarkStart w:id="550" w:name="_Toc1203796512"/>
      <w:bookmarkStart w:id="551" w:name="_Toc56690152"/>
      <w:bookmarkStart w:id="552" w:name="_Toc1278987015"/>
      <w:bookmarkStart w:id="553" w:name="_Toc1868605479"/>
      <w:bookmarkStart w:id="554" w:name="_Toc577545602"/>
      <w:bookmarkStart w:id="555" w:name="_Toc1812667107_WPSOffice_Level1"/>
      <w:bookmarkStart w:id="556" w:name="_Toc1364277335"/>
      <w:bookmarkStart w:id="557" w:name="_Toc375798951"/>
      <w:bookmarkStart w:id="558" w:name="_Toc1699044653"/>
      <w:bookmarkStart w:id="559" w:name="_Toc342626813"/>
      <w:bookmarkStart w:id="560" w:name="_Toc665075453"/>
    </w:p>
    <w:p w14:paraId="3E81CAB0">
      <w:pPr>
        <w:rPr>
          <w:highlight w:val="yellow"/>
          <w:lang w:val="en-US"/>
        </w:rPr>
      </w:pPr>
    </w:p>
    <w:p w14:paraId="521CB736">
      <w:pPr>
        <w:spacing w:line="240" w:lineRule="atLeast"/>
        <w:ind w:firstLine="643" w:firstLineChars="200"/>
        <w:jc w:val="left"/>
        <w:outlineLvl w:val="0"/>
        <w:rPr>
          <w:rFonts w:ascii="仿宋_GB2312" w:eastAsia="仿宋_GB2312"/>
          <w:b/>
          <w:bCs/>
          <w:sz w:val="32"/>
          <w:szCs w:val="40"/>
          <w:lang w:val="en-US" w:eastAsia="zh-CN"/>
        </w:rPr>
      </w:pPr>
      <w:r>
        <w:rPr>
          <w:rFonts w:hint="eastAsia" w:ascii="仿宋_GB2312" w:eastAsia="仿宋_GB2312"/>
          <w:b/>
          <w:bCs/>
          <w:sz w:val="32"/>
          <w:szCs w:val="40"/>
          <w:lang w:val="en-US" w:eastAsia="zh-CN"/>
        </w:rPr>
        <w:t>一、服务</w:t>
      </w:r>
      <w:r>
        <w:rPr>
          <w:rFonts w:ascii="仿宋_GB2312" w:eastAsia="仿宋_GB2312"/>
          <w:b/>
          <w:bCs/>
          <w:sz w:val="32"/>
          <w:szCs w:val="40"/>
          <w:lang w:val="en-US" w:eastAsia="zh-CN"/>
        </w:rPr>
        <w:t>范围</w:t>
      </w:r>
    </w:p>
    <w:p w14:paraId="51D7D511">
      <w:pPr>
        <w:spacing w:line="240" w:lineRule="atLeast"/>
        <w:ind w:firstLine="640" w:firstLineChars="200"/>
        <w:jc w:val="left"/>
        <w:rPr>
          <w:rFonts w:ascii="仿宋_GB2312" w:eastAsia="仿宋_GB2312"/>
          <w:sz w:val="32"/>
          <w:szCs w:val="40"/>
          <w:highlight w:val="none"/>
        </w:rPr>
      </w:pPr>
      <w:r>
        <w:rPr>
          <w:rFonts w:ascii="仿宋_GB2312" w:eastAsia="仿宋_GB2312"/>
          <w:sz w:val="32"/>
          <w:szCs w:val="40"/>
          <w:highlight w:val="none"/>
        </w:rPr>
        <w:t>包</w:t>
      </w:r>
      <w:r>
        <w:rPr>
          <w:rFonts w:hint="eastAsia" w:ascii="仿宋_GB2312" w:eastAsia="仿宋_GB2312"/>
          <w:sz w:val="32"/>
          <w:szCs w:val="40"/>
          <w:highlight w:val="none"/>
          <w:lang w:val="en-US" w:eastAsia="zh-CN"/>
        </w:rPr>
        <w:t>1</w:t>
      </w:r>
      <w:r>
        <w:rPr>
          <w:rFonts w:ascii="仿宋_GB2312" w:eastAsia="仿宋_GB2312"/>
          <w:sz w:val="32"/>
          <w:szCs w:val="40"/>
          <w:highlight w:val="none"/>
        </w:rPr>
        <w:t>：开封校区（北院）</w:t>
      </w:r>
    </w:p>
    <w:p w14:paraId="7E654F60">
      <w:pPr>
        <w:spacing w:line="240" w:lineRule="atLeast"/>
        <w:ind w:firstLine="640" w:firstLineChars="200"/>
        <w:jc w:val="left"/>
        <w:rPr>
          <w:rFonts w:hint="eastAsia" w:ascii="仿宋_GB2312" w:eastAsia="仿宋_GB2312"/>
          <w:sz w:val="32"/>
          <w:szCs w:val="40"/>
          <w:highlight w:val="none"/>
        </w:rPr>
      </w:pPr>
      <w:r>
        <w:rPr>
          <w:rFonts w:hint="eastAsia" w:ascii="仿宋_GB2312" w:eastAsia="仿宋_GB2312"/>
          <w:sz w:val="32"/>
          <w:szCs w:val="40"/>
          <w:highlight w:val="none"/>
          <w:lang w:val="en-US" w:eastAsia="zh-CN"/>
        </w:rPr>
        <w:t>1.</w:t>
      </w:r>
      <w:r>
        <w:rPr>
          <w:rFonts w:hint="eastAsia" w:ascii="仿宋_GB2312" w:eastAsia="仿宋_GB2312"/>
          <w:sz w:val="32"/>
          <w:szCs w:val="40"/>
          <w:highlight w:val="none"/>
        </w:rPr>
        <w:t>开封校区（北院）建筑面积约1</w:t>
      </w:r>
      <w:r>
        <w:rPr>
          <w:rFonts w:hint="eastAsia" w:ascii="仿宋_GB2312" w:eastAsia="仿宋_GB2312"/>
          <w:sz w:val="32"/>
          <w:szCs w:val="40"/>
          <w:highlight w:val="none"/>
          <w:lang w:val="en-US" w:eastAsia="zh-CN"/>
        </w:rPr>
        <w:t>2</w:t>
      </w:r>
      <w:r>
        <w:rPr>
          <w:rFonts w:hint="eastAsia" w:ascii="仿宋_GB2312" w:eastAsia="仿宋_GB2312"/>
          <w:sz w:val="32"/>
          <w:szCs w:val="40"/>
          <w:highlight w:val="none"/>
        </w:rPr>
        <w:t>.8万平方米，校园面积约500亩，在校生</w:t>
      </w:r>
      <w:r>
        <w:rPr>
          <w:rFonts w:hint="eastAsia" w:ascii="仿宋_GB2312" w:eastAsia="仿宋_GB2312"/>
          <w:sz w:val="32"/>
          <w:szCs w:val="40"/>
          <w:highlight w:val="none"/>
          <w:lang w:val="en-US" w:eastAsia="zh-CN"/>
        </w:rPr>
        <w:t>7000</w:t>
      </w:r>
      <w:r>
        <w:rPr>
          <w:rFonts w:hint="eastAsia" w:ascii="仿宋_GB2312" w:eastAsia="仿宋_GB2312"/>
          <w:sz w:val="32"/>
          <w:szCs w:val="40"/>
          <w:highlight w:val="none"/>
        </w:rPr>
        <w:t>人。本次物业招标拟设62个岗位，其中，保洁、综合维修、绿化养护等物业人员共61</w:t>
      </w:r>
      <w:r>
        <w:rPr>
          <w:rFonts w:hint="eastAsia" w:ascii="仿宋_GB2312" w:eastAsia="仿宋_GB2312"/>
          <w:sz w:val="32"/>
          <w:szCs w:val="40"/>
          <w:highlight w:val="none"/>
          <w:lang w:val="en-US" w:eastAsia="zh-CN"/>
        </w:rPr>
        <w:t>人</w:t>
      </w:r>
      <w:r>
        <w:rPr>
          <w:rFonts w:hint="eastAsia" w:ascii="仿宋_GB2312" w:eastAsia="仿宋_GB2312"/>
          <w:sz w:val="32"/>
          <w:szCs w:val="40"/>
          <w:highlight w:val="none"/>
        </w:rPr>
        <w:t>，包括开封市最低工资标准（人均2100元/月）、社保等。（第一年按10.5个月核算，第二年按9个月核算）。司机岗位1</w:t>
      </w:r>
      <w:r>
        <w:rPr>
          <w:rFonts w:hint="eastAsia" w:ascii="仿宋_GB2312" w:eastAsia="仿宋_GB2312"/>
          <w:sz w:val="32"/>
          <w:szCs w:val="40"/>
          <w:highlight w:val="none"/>
          <w:lang w:val="en-US" w:eastAsia="zh-CN"/>
        </w:rPr>
        <w:t>人</w:t>
      </w:r>
      <w:r>
        <w:rPr>
          <w:rFonts w:hint="eastAsia" w:ascii="仿宋_GB2312" w:eastAsia="仿宋_GB2312"/>
          <w:sz w:val="32"/>
          <w:szCs w:val="40"/>
          <w:highlight w:val="none"/>
        </w:rPr>
        <w:t>，费用按22个月工资结算并计入总预算。</w:t>
      </w:r>
    </w:p>
    <w:p w14:paraId="2B7910FC">
      <w:pPr>
        <w:spacing w:line="240" w:lineRule="atLeast"/>
        <w:ind w:firstLine="640" w:firstLineChars="200"/>
        <w:jc w:val="left"/>
        <w:rPr>
          <w:rFonts w:hint="eastAsia" w:ascii="仿宋_GB2312" w:eastAsia="仿宋_GB2312"/>
          <w:sz w:val="32"/>
          <w:szCs w:val="40"/>
          <w:highlight w:val="none"/>
        </w:rPr>
      </w:pPr>
      <w:r>
        <w:rPr>
          <w:rFonts w:ascii="仿宋_GB2312" w:eastAsia="仿宋_GB2312"/>
          <w:sz w:val="32"/>
          <w:szCs w:val="40"/>
          <w:highlight w:val="none"/>
          <w:lang w:val="en-US" w:eastAsia="zh-CN"/>
        </w:rPr>
        <w:t>范围</w:t>
      </w:r>
      <w:r>
        <w:rPr>
          <w:rFonts w:ascii="仿宋_GB2312" w:eastAsia="仿宋_GB2312"/>
          <w:sz w:val="32"/>
          <w:szCs w:val="40"/>
          <w:highlight w:val="none"/>
        </w:rPr>
        <w:t>包括</w:t>
      </w:r>
      <w:r>
        <w:rPr>
          <w:rFonts w:ascii="仿宋_GB2312" w:eastAsia="仿宋_GB2312"/>
          <w:sz w:val="32"/>
          <w:szCs w:val="40"/>
          <w:highlight w:val="none"/>
          <w:lang w:eastAsia="zh-CN"/>
        </w:rPr>
        <w:t>：</w:t>
      </w:r>
      <w:r>
        <w:rPr>
          <w:rFonts w:ascii="仿宋_GB2312" w:eastAsia="仿宋_GB2312"/>
          <w:sz w:val="32"/>
          <w:szCs w:val="40"/>
          <w:highlight w:val="none"/>
        </w:rPr>
        <w:t>开封校区北院学生宿舍楼（1-4号）、</w:t>
      </w:r>
      <w:r>
        <w:rPr>
          <w:rFonts w:hint="eastAsia" w:ascii="仿宋_GB2312" w:eastAsia="仿宋_GB2312"/>
          <w:sz w:val="32"/>
          <w:szCs w:val="40"/>
          <w:highlight w:val="none"/>
          <w:lang w:val="en-US" w:eastAsia="zh-CN"/>
        </w:rPr>
        <w:t>东西两栋</w:t>
      </w:r>
      <w:r>
        <w:rPr>
          <w:rFonts w:ascii="仿宋_GB2312" w:eastAsia="仿宋_GB2312"/>
          <w:sz w:val="32"/>
          <w:szCs w:val="40"/>
          <w:highlight w:val="none"/>
        </w:rPr>
        <w:t>教学楼、综合实训办公楼、四楼卫生间及公共区域、校园室外等公共区域卫生保洁；教师休息室保洁及烧开水工作；校内各楼宇及校园公共区域防疫消杀等工作。</w:t>
      </w:r>
    </w:p>
    <w:p w14:paraId="157E6064">
      <w:pPr>
        <w:spacing w:line="240" w:lineRule="atLeast"/>
        <w:ind w:firstLine="640" w:firstLineChars="200"/>
        <w:jc w:val="left"/>
        <w:rPr>
          <w:rFonts w:hint="eastAsia" w:ascii="仿宋_GB2312" w:eastAsia="仿宋_GB2312"/>
          <w:sz w:val="32"/>
          <w:szCs w:val="40"/>
          <w:highlight w:val="none"/>
        </w:rPr>
      </w:pPr>
      <w:r>
        <w:rPr>
          <w:rFonts w:hint="eastAsia" w:ascii="仿宋_GB2312" w:eastAsia="仿宋_GB2312"/>
          <w:sz w:val="32"/>
          <w:szCs w:val="40"/>
          <w:highlight w:val="none"/>
          <w:lang w:val="en-US" w:eastAsia="zh-CN"/>
        </w:rPr>
        <w:t>2.</w:t>
      </w:r>
      <w:r>
        <w:rPr>
          <w:rFonts w:hint="eastAsia" w:ascii="仿宋_GB2312" w:eastAsia="仿宋_GB2312"/>
          <w:sz w:val="32"/>
          <w:szCs w:val="40"/>
          <w:highlight w:val="none"/>
        </w:rPr>
        <w:t>开封校区北院教师公寓服务拟设前台、客房保洁岗位共4个。前台人员：2人</w:t>
      </w:r>
      <w:r>
        <w:rPr>
          <w:rFonts w:hint="eastAsia" w:ascii="仿宋_GB2312" w:eastAsia="仿宋_GB2312"/>
          <w:sz w:val="32"/>
          <w:szCs w:val="40"/>
          <w:highlight w:val="none"/>
          <w:lang w:eastAsia="zh-CN"/>
        </w:rPr>
        <w:t>、</w:t>
      </w:r>
      <w:r>
        <w:rPr>
          <w:rFonts w:hint="eastAsia" w:ascii="仿宋_GB2312" w:eastAsia="仿宋_GB2312"/>
          <w:sz w:val="32"/>
          <w:szCs w:val="40"/>
          <w:highlight w:val="none"/>
        </w:rPr>
        <w:t>客房保洁：2人</w:t>
      </w:r>
      <w:r>
        <w:rPr>
          <w:rFonts w:hint="eastAsia" w:ascii="仿宋_GB2312" w:eastAsia="仿宋_GB2312"/>
          <w:sz w:val="32"/>
          <w:szCs w:val="40"/>
          <w:highlight w:val="none"/>
          <w:lang w:eastAsia="zh-CN"/>
        </w:rPr>
        <w:t>。</w:t>
      </w:r>
      <w:r>
        <w:rPr>
          <w:rFonts w:hint="eastAsia" w:ascii="仿宋_GB2312" w:eastAsia="仿宋_GB2312"/>
          <w:sz w:val="32"/>
          <w:szCs w:val="40"/>
          <w:highlight w:val="none"/>
        </w:rPr>
        <w:t>管理服务费及物品费</w:t>
      </w:r>
      <w:r>
        <w:rPr>
          <w:rFonts w:hint="eastAsia" w:ascii="仿宋_GB2312" w:eastAsia="仿宋_GB2312"/>
          <w:sz w:val="32"/>
          <w:szCs w:val="40"/>
          <w:highlight w:val="none"/>
          <w:lang w:val="en-US" w:eastAsia="zh-CN"/>
        </w:rPr>
        <w:t>费用按照</w:t>
      </w:r>
      <w:r>
        <w:rPr>
          <w:rFonts w:hint="eastAsia" w:ascii="仿宋_GB2312" w:eastAsia="仿宋_GB2312"/>
          <w:sz w:val="32"/>
          <w:szCs w:val="40"/>
          <w:highlight w:val="none"/>
        </w:rPr>
        <w:t>22个月</w:t>
      </w:r>
      <w:r>
        <w:rPr>
          <w:rFonts w:hint="eastAsia" w:ascii="仿宋_GB2312" w:eastAsia="仿宋_GB2312"/>
          <w:sz w:val="32"/>
          <w:szCs w:val="40"/>
          <w:highlight w:val="none"/>
          <w:lang w:val="en-US" w:eastAsia="zh-CN"/>
        </w:rPr>
        <w:t>采购</w:t>
      </w:r>
      <w:r>
        <w:rPr>
          <w:rFonts w:hint="eastAsia" w:ascii="仿宋_GB2312" w:eastAsia="仿宋_GB2312"/>
          <w:sz w:val="32"/>
          <w:szCs w:val="40"/>
          <w:highlight w:val="none"/>
        </w:rPr>
        <w:t>并计入总预算。</w:t>
      </w:r>
    </w:p>
    <w:p w14:paraId="5BA8E0AF">
      <w:pPr>
        <w:spacing w:line="240" w:lineRule="atLeast"/>
        <w:ind w:firstLine="640" w:firstLineChars="200"/>
        <w:jc w:val="left"/>
        <w:rPr>
          <w:rFonts w:hint="eastAsia" w:ascii="仿宋_GB2312" w:eastAsia="仿宋_GB2312"/>
          <w:sz w:val="32"/>
          <w:szCs w:val="40"/>
          <w:highlight w:val="none"/>
          <w:lang w:eastAsia="zh-CN"/>
        </w:rPr>
        <w:sectPr>
          <w:footerReference r:id="rId12" w:type="default"/>
          <w:pgSz w:w="11906" w:h="16838"/>
          <w:pgMar w:top="1440" w:right="1276" w:bottom="1440" w:left="1800" w:header="851" w:footer="992" w:gutter="0"/>
          <w:cols w:space="720" w:num="1"/>
          <w:docGrid w:type="lines" w:linePitch="312" w:charSpace="0"/>
        </w:sectPr>
      </w:pPr>
      <w:r>
        <w:rPr>
          <w:rFonts w:ascii="仿宋_GB2312" w:eastAsia="仿宋_GB2312"/>
          <w:sz w:val="32"/>
          <w:szCs w:val="40"/>
          <w:highlight w:val="none"/>
          <w:lang w:val="en-US" w:eastAsia="zh-CN"/>
        </w:rPr>
        <w:t>范围</w:t>
      </w:r>
      <w:r>
        <w:rPr>
          <w:rFonts w:ascii="仿宋_GB2312" w:eastAsia="仿宋_GB2312"/>
          <w:sz w:val="32"/>
          <w:szCs w:val="40"/>
          <w:highlight w:val="none"/>
        </w:rPr>
        <w:t>包括</w:t>
      </w:r>
      <w:r>
        <w:rPr>
          <w:rFonts w:hint="eastAsia" w:ascii="仿宋_GB2312" w:eastAsia="仿宋_GB2312"/>
          <w:sz w:val="32"/>
          <w:szCs w:val="40"/>
          <w:highlight w:val="none"/>
          <w:lang w:eastAsia="zh-CN"/>
        </w:rPr>
        <w:t>：</w:t>
      </w:r>
      <w:r>
        <w:rPr>
          <w:rFonts w:hint="eastAsia" w:ascii="仿宋_GB2312" w:eastAsia="仿宋_GB2312"/>
          <w:sz w:val="32"/>
          <w:szCs w:val="40"/>
          <w:highlight w:val="none"/>
        </w:rPr>
        <w:t>开封校区北院3号学生公寓楼100间教师休息客房</w:t>
      </w:r>
      <w:r>
        <w:rPr>
          <w:rFonts w:hint="eastAsia" w:ascii="仿宋_GB2312" w:eastAsia="仿宋_GB2312"/>
          <w:sz w:val="32"/>
          <w:szCs w:val="40"/>
          <w:highlight w:val="none"/>
          <w:lang w:eastAsia="zh-CN"/>
        </w:rPr>
        <w:t>。</w:t>
      </w:r>
    </w:p>
    <w:p w14:paraId="499A3AD3">
      <w:pPr>
        <w:spacing w:line="240" w:lineRule="atLeast"/>
        <w:jc w:val="left"/>
        <w:rPr>
          <w:rFonts w:hint="default" w:ascii="仿宋_GB2312" w:eastAsia="仿宋_GB2312"/>
          <w:sz w:val="32"/>
          <w:szCs w:val="40"/>
        </w:rPr>
      </w:pPr>
      <w:r>
        <w:rPr>
          <w:rFonts w:ascii="仿宋_GB2312" w:eastAsia="仿宋_GB2312"/>
          <w:sz w:val="32"/>
          <w:szCs w:val="40"/>
        </w:rPr>
        <w:t>包</w:t>
      </w:r>
      <w:r>
        <w:rPr>
          <w:rFonts w:hint="eastAsia" w:ascii="仿宋_GB2312" w:eastAsia="仿宋_GB2312"/>
          <w:sz w:val="32"/>
          <w:szCs w:val="40"/>
          <w:lang w:val="en-US" w:eastAsia="zh-CN"/>
        </w:rPr>
        <w:t>2</w:t>
      </w:r>
      <w:r>
        <w:rPr>
          <w:rFonts w:ascii="仿宋_GB2312" w:eastAsia="仿宋_GB2312"/>
          <w:sz w:val="32"/>
          <w:szCs w:val="40"/>
        </w:rPr>
        <w:t>：郑州校区</w:t>
      </w:r>
    </w:p>
    <w:p w14:paraId="587EA9C7">
      <w:pPr>
        <w:spacing w:line="240" w:lineRule="atLeast"/>
        <w:ind w:firstLine="640" w:firstLineChars="200"/>
        <w:jc w:val="left"/>
        <w:rPr>
          <w:rFonts w:hint="default" w:ascii="仿宋_GB2312" w:eastAsia="仿宋_GB2312"/>
          <w:sz w:val="32"/>
          <w:szCs w:val="40"/>
          <w:highlight w:val="none"/>
        </w:rPr>
      </w:pPr>
      <w:r>
        <w:rPr>
          <w:rFonts w:ascii="仿宋_GB2312" w:eastAsia="仿宋_GB2312"/>
          <w:sz w:val="32"/>
          <w:szCs w:val="40"/>
          <w:highlight w:val="none"/>
        </w:rPr>
        <w:t>郑州校区建筑面积约12万平方米，在校生人数8098人。校园面积约136亩。拟设保洁、综合维修、绿化养护、司机等岗位数</w:t>
      </w:r>
      <w:r>
        <w:rPr>
          <w:rFonts w:ascii="仿宋_GB2312" w:eastAsia="仿宋_GB2312"/>
          <w:sz w:val="32"/>
          <w:szCs w:val="40"/>
          <w:highlight w:val="none"/>
          <w:lang w:val="en-US" w:eastAsia="zh-CN"/>
        </w:rPr>
        <w:t>6</w:t>
      </w:r>
      <w:r>
        <w:rPr>
          <w:rFonts w:hint="eastAsia" w:ascii="仿宋_GB2312" w:eastAsia="仿宋_GB2312"/>
          <w:sz w:val="32"/>
          <w:szCs w:val="40"/>
          <w:highlight w:val="none"/>
          <w:lang w:val="en-US" w:eastAsia="zh-CN"/>
        </w:rPr>
        <w:t>7</w:t>
      </w:r>
      <w:r>
        <w:rPr>
          <w:rFonts w:ascii="仿宋_GB2312" w:eastAsia="仿宋_GB2312"/>
          <w:sz w:val="32"/>
          <w:szCs w:val="40"/>
          <w:highlight w:val="none"/>
        </w:rPr>
        <w:t>个，包括郑州市最低工资标准（人均2100元/月）、社保等。</w:t>
      </w:r>
      <w:r>
        <w:rPr>
          <w:rFonts w:hint="eastAsia" w:ascii="仿宋_GB2312" w:eastAsia="仿宋_GB2312"/>
          <w:sz w:val="32"/>
          <w:szCs w:val="40"/>
          <w:highlight w:val="none"/>
        </w:rPr>
        <w:t>（</w:t>
      </w:r>
      <w:r>
        <w:rPr>
          <w:rFonts w:hint="eastAsia" w:ascii="仿宋_GB2312" w:eastAsia="仿宋_GB2312"/>
          <w:sz w:val="32"/>
          <w:szCs w:val="40"/>
          <w:highlight w:val="none"/>
          <w:lang w:val="en-US" w:eastAsia="zh-CN"/>
        </w:rPr>
        <w:t>费用</w:t>
      </w:r>
      <w:r>
        <w:rPr>
          <w:rFonts w:hint="eastAsia" w:ascii="仿宋_GB2312" w:eastAsia="仿宋_GB2312"/>
          <w:sz w:val="32"/>
          <w:szCs w:val="40"/>
          <w:highlight w:val="none"/>
        </w:rPr>
        <w:t>第一年按10.5个月核算，第二年按9个月核算）</w:t>
      </w:r>
    </w:p>
    <w:p w14:paraId="76D2432A">
      <w:pPr>
        <w:spacing w:line="240" w:lineRule="atLeast"/>
        <w:ind w:firstLine="640" w:firstLineChars="200"/>
        <w:jc w:val="left"/>
        <w:rPr>
          <w:rFonts w:hint="default" w:ascii="仿宋_GB2312" w:eastAsia="PMingLiU"/>
          <w:sz w:val="32"/>
          <w:szCs w:val="40"/>
          <w:highlight w:val="none"/>
        </w:rPr>
      </w:pPr>
      <w:r>
        <w:rPr>
          <w:rFonts w:ascii="仿宋_GB2312" w:eastAsia="仿宋_GB2312"/>
          <w:sz w:val="32"/>
          <w:szCs w:val="40"/>
          <w:highlight w:val="none"/>
          <w:lang w:val="en-US" w:eastAsia="zh-CN"/>
        </w:rPr>
        <w:t>范围</w:t>
      </w:r>
      <w:r>
        <w:rPr>
          <w:rFonts w:ascii="仿宋_GB2312" w:eastAsia="仿宋_GB2312"/>
          <w:sz w:val="32"/>
          <w:szCs w:val="40"/>
          <w:highlight w:val="none"/>
        </w:rPr>
        <w:t>包括</w:t>
      </w:r>
      <w:r>
        <w:rPr>
          <w:rFonts w:ascii="仿宋_GB2312" w:eastAsia="仿宋_GB2312"/>
          <w:sz w:val="32"/>
          <w:szCs w:val="40"/>
          <w:highlight w:val="none"/>
          <w:lang w:eastAsia="zh-CN"/>
        </w:rPr>
        <w:t>：</w:t>
      </w:r>
      <w:r>
        <w:rPr>
          <w:rFonts w:ascii="仿宋_GB2312" w:eastAsia="仿宋_GB2312"/>
          <w:sz w:val="32"/>
          <w:szCs w:val="40"/>
          <w:highlight w:val="none"/>
        </w:rPr>
        <w:t>郑州校区学生宿舍楼（1-8号）、</w:t>
      </w:r>
      <w:r>
        <w:rPr>
          <w:rFonts w:ascii="仿宋_GB2312" w:eastAsia="仿宋_GB2312"/>
          <w:sz w:val="32"/>
          <w:szCs w:val="40"/>
          <w:highlight w:val="none"/>
          <w:lang w:val="en-US" w:eastAsia="zh-CN"/>
        </w:rPr>
        <w:t>1</w:t>
      </w:r>
      <w:r>
        <w:rPr>
          <w:rFonts w:ascii="仿宋_GB2312" w:eastAsia="仿宋_GB2312"/>
          <w:sz w:val="32"/>
          <w:szCs w:val="40"/>
          <w:highlight w:val="none"/>
        </w:rPr>
        <w:t>号教学楼、</w:t>
      </w:r>
      <w:r>
        <w:rPr>
          <w:rFonts w:ascii="仿宋_GB2312" w:eastAsia="仿宋_GB2312"/>
          <w:sz w:val="32"/>
          <w:szCs w:val="40"/>
          <w:highlight w:val="none"/>
          <w:lang w:val="en-US" w:eastAsia="zh-CN"/>
        </w:rPr>
        <w:t>2</w:t>
      </w:r>
      <w:r>
        <w:rPr>
          <w:rFonts w:ascii="仿宋_GB2312" w:eastAsia="仿宋_GB2312"/>
          <w:sz w:val="32"/>
          <w:szCs w:val="40"/>
          <w:highlight w:val="none"/>
        </w:rPr>
        <w:t>号教学楼、</w:t>
      </w:r>
      <w:r>
        <w:rPr>
          <w:rFonts w:ascii="仿宋_GB2312" w:eastAsia="仿宋_GB2312"/>
          <w:sz w:val="32"/>
          <w:szCs w:val="40"/>
          <w:highlight w:val="none"/>
          <w:lang w:val="en-US" w:eastAsia="zh-CN"/>
        </w:rPr>
        <w:t>3</w:t>
      </w:r>
      <w:r>
        <w:rPr>
          <w:rFonts w:ascii="仿宋_GB2312" w:eastAsia="仿宋_GB2312"/>
          <w:sz w:val="32"/>
          <w:szCs w:val="40"/>
          <w:highlight w:val="none"/>
        </w:rPr>
        <w:t>号教学楼、</w:t>
      </w:r>
      <w:r>
        <w:rPr>
          <w:rFonts w:ascii="仿宋_GB2312" w:eastAsia="仿宋_GB2312"/>
          <w:sz w:val="32"/>
          <w:szCs w:val="40"/>
          <w:highlight w:val="none"/>
          <w:lang w:val="en-US" w:eastAsia="zh-CN"/>
        </w:rPr>
        <w:t>1</w:t>
      </w:r>
      <w:r>
        <w:rPr>
          <w:rFonts w:ascii="仿宋_GB2312" w:eastAsia="仿宋_GB2312"/>
          <w:sz w:val="32"/>
          <w:szCs w:val="40"/>
          <w:highlight w:val="none"/>
        </w:rPr>
        <w:t>号实训中心楼、</w:t>
      </w:r>
      <w:r>
        <w:rPr>
          <w:rFonts w:ascii="仿宋_GB2312" w:eastAsia="仿宋_GB2312"/>
          <w:sz w:val="32"/>
          <w:szCs w:val="40"/>
          <w:highlight w:val="none"/>
          <w:lang w:val="en-US" w:eastAsia="zh-CN"/>
        </w:rPr>
        <w:t>2</w:t>
      </w:r>
      <w:r>
        <w:rPr>
          <w:rFonts w:ascii="仿宋_GB2312" w:eastAsia="仿宋_GB2312"/>
          <w:sz w:val="32"/>
          <w:szCs w:val="40"/>
          <w:highlight w:val="none"/>
        </w:rPr>
        <w:t>号实训中心楼、</w:t>
      </w:r>
      <w:r>
        <w:rPr>
          <w:rFonts w:ascii="仿宋_GB2312" w:eastAsia="仿宋_GB2312"/>
          <w:sz w:val="32"/>
          <w:szCs w:val="40"/>
          <w:highlight w:val="none"/>
          <w:lang w:val="en-US" w:eastAsia="zh-CN"/>
        </w:rPr>
        <w:t>行政</w:t>
      </w:r>
      <w:r>
        <w:rPr>
          <w:rFonts w:ascii="仿宋_GB2312" w:eastAsia="仿宋_GB2312"/>
          <w:sz w:val="32"/>
          <w:szCs w:val="40"/>
          <w:highlight w:val="none"/>
        </w:rPr>
        <w:t>办公楼、停车场、校园室外公共区域、南门停车场等校园所属区域</w:t>
      </w:r>
      <w:r>
        <w:rPr>
          <w:rFonts w:ascii="仿宋_GB2312" w:eastAsia="仿宋_GB2312"/>
          <w:sz w:val="32"/>
          <w:szCs w:val="40"/>
          <w:highlight w:val="none"/>
          <w:lang w:eastAsia="zh-CN"/>
        </w:rPr>
        <w:t>，</w:t>
      </w:r>
      <w:r>
        <w:rPr>
          <w:rFonts w:ascii="仿宋_GB2312" w:eastAsia="仿宋_GB2312"/>
          <w:sz w:val="32"/>
          <w:szCs w:val="40"/>
          <w:highlight w:val="none"/>
        </w:rPr>
        <w:t>校内各楼宇及校园公共区域防疫消杀等工作。</w:t>
      </w:r>
    </w:p>
    <w:p w14:paraId="06263F8C">
      <w:pPr>
        <w:spacing w:line="240" w:lineRule="atLeast"/>
        <w:ind w:firstLine="640" w:firstLineChars="200"/>
        <w:jc w:val="left"/>
        <w:rPr>
          <w:rFonts w:hint="default" w:ascii="仿宋_GB2312" w:eastAsia="仿宋_GB2312"/>
          <w:sz w:val="32"/>
          <w:szCs w:val="40"/>
          <w:highlight w:val="none"/>
        </w:rPr>
      </w:pPr>
      <w:r>
        <w:rPr>
          <w:rFonts w:ascii="仿宋_GB2312" w:eastAsia="仿宋_GB2312"/>
          <w:sz w:val="32"/>
          <w:szCs w:val="40"/>
          <w:highlight w:val="none"/>
        </w:rPr>
        <w:t>包</w:t>
      </w:r>
      <w:r>
        <w:rPr>
          <w:rFonts w:ascii="仿宋_GB2312" w:eastAsia="PMingLiU"/>
          <w:sz w:val="32"/>
          <w:szCs w:val="40"/>
          <w:highlight w:val="none"/>
          <w:lang w:val="en-US" w:eastAsia="zh-CN"/>
        </w:rPr>
        <w:t>3</w:t>
      </w:r>
      <w:r>
        <w:rPr>
          <w:rFonts w:ascii="仿宋_GB2312" w:eastAsia="仿宋_GB2312"/>
          <w:sz w:val="32"/>
          <w:szCs w:val="40"/>
          <w:highlight w:val="none"/>
        </w:rPr>
        <w:t>：开封校区（南院）</w:t>
      </w:r>
    </w:p>
    <w:p w14:paraId="5B1F28CF">
      <w:pPr>
        <w:spacing w:line="240" w:lineRule="atLeast"/>
        <w:ind w:firstLine="640" w:firstLineChars="200"/>
        <w:jc w:val="left"/>
        <w:rPr>
          <w:rFonts w:hint="default" w:ascii="仿宋_GB2312" w:eastAsia="仿宋_GB2312"/>
          <w:sz w:val="32"/>
          <w:szCs w:val="40"/>
          <w:highlight w:val="none"/>
        </w:rPr>
      </w:pPr>
      <w:r>
        <w:rPr>
          <w:rFonts w:ascii="仿宋_GB2312" w:eastAsia="仿宋_GB2312"/>
          <w:sz w:val="32"/>
          <w:szCs w:val="40"/>
          <w:highlight w:val="none"/>
        </w:rPr>
        <w:t>开封校区（南院）建筑面积约5.3万平方米，在校生人数2973人。校园面积约240亩。拟设保洁、综合维修、绿化养护等岗位数3</w:t>
      </w:r>
      <w:r>
        <w:rPr>
          <w:rFonts w:hint="eastAsia" w:ascii="仿宋_GB2312" w:eastAsia="仿宋_GB2312"/>
          <w:sz w:val="32"/>
          <w:szCs w:val="40"/>
          <w:highlight w:val="none"/>
          <w:lang w:val="en-US" w:eastAsia="zh-CN"/>
        </w:rPr>
        <w:t>3</w:t>
      </w:r>
      <w:r>
        <w:rPr>
          <w:rFonts w:ascii="仿宋_GB2312" w:eastAsia="仿宋_GB2312"/>
          <w:sz w:val="32"/>
          <w:szCs w:val="40"/>
          <w:highlight w:val="none"/>
        </w:rPr>
        <w:t>个。包括开封市最低工资标准（人均2100元/月）、社保等。</w:t>
      </w:r>
      <w:r>
        <w:rPr>
          <w:rFonts w:hint="eastAsia" w:ascii="仿宋_GB2312" w:eastAsia="仿宋_GB2312"/>
          <w:sz w:val="32"/>
          <w:szCs w:val="40"/>
          <w:highlight w:val="none"/>
        </w:rPr>
        <w:t>（</w:t>
      </w:r>
      <w:r>
        <w:rPr>
          <w:rFonts w:hint="eastAsia" w:ascii="仿宋_GB2312" w:eastAsia="仿宋_GB2312"/>
          <w:sz w:val="32"/>
          <w:szCs w:val="40"/>
          <w:highlight w:val="none"/>
          <w:lang w:val="en-US" w:eastAsia="zh-CN"/>
        </w:rPr>
        <w:t>费用</w:t>
      </w:r>
      <w:r>
        <w:rPr>
          <w:rFonts w:hint="eastAsia" w:ascii="仿宋_GB2312" w:eastAsia="仿宋_GB2312"/>
          <w:sz w:val="32"/>
          <w:szCs w:val="40"/>
          <w:highlight w:val="none"/>
        </w:rPr>
        <w:t>第一年按10.5个月核算，第二年按9个月核算）</w:t>
      </w:r>
    </w:p>
    <w:p w14:paraId="07C1AF80">
      <w:pPr>
        <w:spacing w:line="240" w:lineRule="atLeast"/>
        <w:ind w:firstLine="640" w:firstLineChars="200"/>
        <w:jc w:val="left"/>
        <w:rPr>
          <w:rFonts w:hint="default" w:ascii="仿宋_GB2312" w:eastAsia="PMingLiU"/>
          <w:sz w:val="32"/>
          <w:szCs w:val="40"/>
        </w:rPr>
      </w:pPr>
      <w:r>
        <w:rPr>
          <w:rFonts w:ascii="仿宋_GB2312" w:eastAsia="仿宋_GB2312"/>
          <w:sz w:val="32"/>
          <w:szCs w:val="40"/>
          <w:lang w:val="en-US" w:eastAsia="zh-CN"/>
        </w:rPr>
        <w:t>范围</w:t>
      </w:r>
      <w:r>
        <w:rPr>
          <w:rFonts w:ascii="仿宋_GB2312" w:eastAsia="仿宋_GB2312"/>
          <w:sz w:val="32"/>
          <w:szCs w:val="40"/>
        </w:rPr>
        <w:t>包括：开封校区南院学生宿舍楼（1-3）号、教学楼、图书馆楼、实训中心楼、汽车实训楼、办公楼、餐厅三楼室内运动场卫生间及公共区域、校园北区空地、校园室外等公共区域卫生保洁；教师休息室保洁及烧开水工作；校内各楼宇及校园公共区域防疫消杀等工作。</w:t>
      </w:r>
    </w:p>
    <w:p w14:paraId="76F64ECF">
      <w:pPr>
        <w:spacing w:line="240" w:lineRule="atLeast"/>
        <w:jc w:val="left"/>
        <w:outlineLvl w:val="0"/>
        <w:rPr>
          <w:rFonts w:hint="default" w:ascii="仿宋_GB2312" w:eastAsia="仿宋_GB2312"/>
          <w:b/>
          <w:bCs/>
          <w:sz w:val="32"/>
          <w:szCs w:val="40"/>
          <w:lang w:val="en-US" w:eastAsia="zh-CN"/>
        </w:rPr>
      </w:pPr>
      <w:r>
        <w:rPr>
          <w:rFonts w:hint="eastAsia" w:ascii="仿宋_GB2312" w:eastAsia="仿宋_GB2312"/>
          <w:b/>
          <w:bCs/>
          <w:sz w:val="32"/>
          <w:szCs w:val="40"/>
          <w:lang w:val="en-US" w:eastAsia="zh-CN"/>
        </w:rPr>
        <w:t>二、物业服务要求</w:t>
      </w:r>
    </w:p>
    <w:p w14:paraId="42ECD3A3">
      <w:pPr>
        <w:spacing w:line="240" w:lineRule="atLeast"/>
        <w:ind w:firstLine="643" w:firstLineChars="200"/>
        <w:jc w:val="left"/>
        <w:outlineLvl w:val="2"/>
        <w:rPr>
          <w:rFonts w:hint="default" w:ascii="仿宋_GB2312" w:eastAsia="仿宋_GB2312"/>
          <w:b/>
          <w:bCs/>
          <w:sz w:val="32"/>
          <w:szCs w:val="40"/>
        </w:rPr>
      </w:pPr>
      <w:r>
        <w:rPr>
          <w:rFonts w:hint="eastAsia" w:ascii="仿宋_GB2312" w:eastAsia="仿宋_GB2312"/>
          <w:b/>
          <w:bCs/>
          <w:sz w:val="32"/>
          <w:szCs w:val="40"/>
          <w:lang w:val="en-US" w:eastAsia="zh-CN"/>
        </w:rPr>
        <w:t>1</w:t>
      </w:r>
      <w:r>
        <w:rPr>
          <w:rFonts w:ascii="仿宋_GB2312" w:eastAsia="仿宋_GB2312"/>
          <w:b/>
          <w:bCs/>
          <w:sz w:val="32"/>
          <w:szCs w:val="40"/>
          <w:lang w:eastAsia="zh-CN"/>
        </w:rPr>
        <w:t>、</w:t>
      </w:r>
      <w:r>
        <w:rPr>
          <w:rFonts w:ascii="仿宋_GB2312" w:eastAsia="仿宋_GB2312"/>
          <w:b/>
          <w:bCs/>
          <w:sz w:val="32"/>
          <w:szCs w:val="40"/>
          <w:lang w:val="en-US" w:eastAsia="zh-CN"/>
        </w:rPr>
        <w:t>服务</w:t>
      </w:r>
      <w:r>
        <w:rPr>
          <w:rFonts w:ascii="仿宋_GB2312" w:eastAsia="仿宋_GB2312"/>
          <w:b/>
          <w:bCs/>
          <w:sz w:val="32"/>
          <w:szCs w:val="40"/>
        </w:rPr>
        <w:t>人员配备：</w:t>
      </w:r>
    </w:p>
    <w:p w14:paraId="72E8477B">
      <w:pPr>
        <w:spacing w:before="128" w:line="360" w:lineRule="auto"/>
        <w:ind w:left="420" w:leftChars="200"/>
        <w:jc w:val="center"/>
        <w:outlineLvl w:val="2"/>
        <w:rPr>
          <w:rFonts w:ascii="宋体" w:hAnsi="宋体" w:eastAsia="宋体" w:cs="宋体"/>
          <w:b/>
          <w:bCs/>
          <w:kern w:val="0"/>
          <w:sz w:val="40"/>
          <w:szCs w:val="40"/>
          <w:lang w:val="en-US" w:eastAsia="zh-CN"/>
        </w:rPr>
      </w:pPr>
      <w:r>
        <w:rPr>
          <w:rFonts w:hint="eastAsia" w:ascii="宋体" w:hAnsi="宋体" w:eastAsia="宋体" w:cs="宋体"/>
          <w:b/>
          <w:bCs/>
          <w:kern w:val="0"/>
          <w:sz w:val="40"/>
          <w:szCs w:val="40"/>
          <w:lang w:val="en-US" w:eastAsia="zh-CN"/>
        </w:rPr>
        <w:t>包1：</w:t>
      </w:r>
      <w:r>
        <w:rPr>
          <w:rFonts w:ascii="宋体" w:hAnsi="宋体" w:eastAsia="宋体" w:cs="宋体"/>
          <w:b/>
          <w:bCs/>
          <w:kern w:val="0"/>
          <w:sz w:val="40"/>
          <w:szCs w:val="40"/>
          <w:lang w:val="en-US" w:eastAsia="zh-CN"/>
        </w:rPr>
        <w:t>开封校区北院物业服务人员配备</w:t>
      </w:r>
    </w:p>
    <w:tbl>
      <w:tblPr>
        <w:tblStyle w:val="53"/>
        <w:tblW w:w="9866" w:type="dxa"/>
        <w:tblInd w:w="-1026" w:type="dxa"/>
        <w:tblLayout w:type="fixed"/>
        <w:tblCellMar>
          <w:top w:w="0" w:type="dxa"/>
          <w:left w:w="108" w:type="dxa"/>
          <w:bottom w:w="0" w:type="dxa"/>
          <w:right w:w="108" w:type="dxa"/>
        </w:tblCellMar>
      </w:tblPr>
      <w:tblGrid>
        <w:gridCol w:w="708"/>
        <w:gridCol w:w="1474"/>
        <w:gridCol w:w="1500"/>
        <w:gridCol w:w="1185"/>
        <w:gridCol w:w="863"/>
        <w:gridCol w:w="4136"/>
      </w:tblGrid>
      <w:tr w14:paraId="20751765">
        <w:tblPrEx>
          <w:tblCellMar>
            <w:top w:w="0" w:type="dxa"/>
            <w:left w:w="108" w:type="dxa"/>
            <w:bottom w:w="0" w:type="dxa"/>
            <w:right w:w="108" w:type="dxa"/>
          </w:tblCellMar>
        </w:tblPrEx>
        <w:trPr>
          <w:trHeight w:val="766" w:hRule="atLeast"/>
        </w:trPr>
        <w:tc>
          <w:tcPr>
            <w:tcW w:w="708" w:type="dxa"/>
            <w:tcBorders>
              <w:top w:val="single" w:color="auto" w:sz="4" w:space="0"/>
              <w:left w:val="single" w:color="auto" w:sz="4" w:space="0"/>
              <w:bottom w:val="single" w:color="auto" w:sz="4" w:space="0"/>
              <w:right w:val="single" w:color="auto" w:sz="4" w:space="0"/>
            </w:tcBorders>
            <w:noWrap w:val="0"/>
            <w:vAlign w:val="center"/>
          </w:tcPr>
          <w:p w14:paraId="080C7AA3">
            <w:pPr>
              <w:widowControl/>
              <w:snapToGrid w:val="0"/>
              <w:spacing w:line="480" w:lineRule="exact"/>
              <w:jc w:val="center"/>
              <w:rPr>
                <w:rFonts w:hint="eastAsia" w:ascii="宋体" w:hAnsi="宋体" w:eastAsia="宋体" w:cs="宋体"/>
                <w:b/>
                <w:bCs/>
                <w:kern w:val="0"/>
                <w:sz w:val="24"/>
                <w:szCs w:val="24"/>
                <w:lang w:val="en-US" w:eastAsia="zh-CN"/>
              </w:rPr>
            </w:pPr>
            <w:r>
              <w:rPr>
                <w:rFonts w:hint="eastAsia" w:ascii="宋体" w:hAnsi="宋体" w:eastAsia="宋体" w:cs="宋体"/>
                <w:kern w:val="0"/>
                <w:sz w:val="24"/>
                <w:szCs w:val="24"/>
                <w:lang w:val="en-US" w:eastAsia="zh-CN"/>
              </w:rPr>
              <w:t>管理部门</w:t>
            </w:r>
          </w:p>
        </w:tc>
        <w:tc>
          <w:tcPr>
            <w:tcW w:w="1474" w:type="dxa"/>
            <w:tcBorders>
              <w:top w:val="single" w:color="auto" w:sz="4" w:space="0"/>
              <w:left w:val="nil"/>
              <w:bottom w:val="single" w:color="auto" w:sz="4" w:space="0"/>
              <w:right w:val="single" w:color="auto" w:sz="4" w:space="0"/>
            </w:tcBorders>
            <w:noWrap w:val="0"/>
            <w:vAlign w:val="center"/>
          </w:tcPr>
          <w:p w14:paraId="769DC03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负责区域</w:t>
            </w:r>
          </w:p>
        </w:tc>
        <w:tc>
          <w:tcPr>
            <w:tcW w:w="1500" w:type="dxa"/>
            <w:tcBorders>
              <w:top w:val="single" w:color="auto" w:sz="4" w:space="0"/>
              <w:left w:val="nil"/>
              <w:bottom w:val="single" w:color="auto" w:sz="4" w:space="0"/>
              <w:right w:val="single" w:color="auto" w:sz="4" w:space="0"/>
            </w:tcBorders>
            <w:noWrap w:val="0"/>
            <w:vAlign w:val="center"/>
          </w:tcPr>
          <w:p w14:paraId="161353D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岗  位</w:t>
            </w:r>
          </w:p>
        </w:tc>
        <w:tc>
          <w:tcPr>
            <w:tcW w:w="1185" w:type="dxa"/>
            <w:tcBorders>
              <w:top w:val="single" w:color="auto" w:sz="4" w:space="0"/>
              <w:left w:val="nil"/>
              <w:bottom w:val="single" w:color="auto" w:sz="4" w:space="0"/>
              <w:right w:val="single" w:color="auto" w:sz="4" w:space="0"/>
            </w:tcBorders>
            <w:noWrap w:val="0"/>
            <w:vAlign w:val="center"/>
          </w:tcPr>
          <w:p w14:paraId="4B16FD2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面积（㎡）</w:t>
            </w:r>
          </w:p>
        </w:tc>
        <w:tc>
          <w:tcPr>
            <w:tcW w:w="863" w:type="dxa"/>
            <w:tcBorders>
              <w:top w:val="single" w:color="auto" w:sz="4" w:space="0"/>
              <w:left w:val="nil"/>
              <w:bottom w:val="single" w:color="auto" w:sz="4" w:space="0"/>
              <w:right w:val="single" w:color="auto" w:sz="4" w:space="0"/>
            </w:tcBorders>
            <w:noWrap w:val="0"/>
            <w:vAlign w:val="center"/>
          </w:tcPr>
          <w:p w14:paraId="61651BC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人数</w:t>
            </w:r>
          </w:p>
        </w:tc>
        <w:tc>
          <w:tcPr>
            <w:tcW w:w="4136" w:type="dxa"/>
            <w:tcBorders>
              <w:top w:val="single" w:color="auto" w:sz="4" w:space="0"/>
              <w:left w:val="nil"/>
              <w:bottom w:val="single" w:color="auto" w:sz="4" w:space="0"/>
              <w:right w:val="single" w:color="auto" w:sz="4" w:space="0"/>
            </w:tcBorders>
            <w:noWrap w:val="0"/>
            <w:vAlign w:val="center"/>
          </w:tcPr>
          <w:p w14:paraId="45BC2C0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备  注</w:t>
            </w:r>
          </w:p>
        </w:tc>
      </w:tr>
      <w:tr w14:paraId="52A855F1">
        <w:tblPrEx>
          <w:tblCellMar>
            <w:top w:w="0" w:type="dxa"/>
            <w:left w:w="108" w:type="dxa"/>
            <w:bottom w:w="0" w:type="dxa"/>
            <w:right w:w="108" w:type="dxa"/>
          </w:tblCellMar>
        </w:tblPrEx>
        <w:trPr>
          <w:trHeight w:val="540" w:hRule="atLeast"/>
        </w:trPr>
        <w:tc>
          <w:tcPr>
            <w:tcW w:w="708" w:type="dxa"/>
            <w:vMerge w:val="restart"/>
            <w:tcBorders>
              <w:top w:val="single" w:color="auto" w:sz="4" w:space="0"/>
              <w:left w:val="single" w:color="auto" w:sz="4" w:space="0"/>
              <w:right w:val="single" w:color="auto" w:sz="4" w:space="0"/>
            </w:tcBorders>
            <w:noWrap/>
            <w:vAlign w:val="center"/>
          </w:tcPr>
          <w:p w14:paraId="14C2BA3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后勤处</w:t>
            </w:r>
          </w:p>
        </w:tc>
        <w:tc>
          <w:tcPr>
            <w:tcW w:w="1474" w:type="dxa"/>
            <w:tcBorders>
              <w:top w:val="single" w:color="auto" w:sz="4" w:space="0"/>
              <w:left w:val="single" w:color="auto" w:sz="4" w:space="0"/>
              <w:bottom w:val="single" w:color="auto" w:sz="4" w:space="0"/>
              <w:right w:val="single" w:color="auto" w:sz="4" w:space="0"/>
            </w:tcBorders>
            <w:noWrap/>
            <w:vAlign w:val="center"/>
          </w:tcPr>
          <w:p w14:paraId="37B3EC5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管理</w:t>
            </w:r>
          </w:p>
        </w:tc>
        <w:tc>
          <w:tcPr>
            <w:tcW w:w="1500" w:type="dxa"/>
            <w:tcBorders>
              <w:top w:val="single" w:color="auto" w:sz="4" w:space="0"/>
              <w:left w:val="single" w:color="auto" w:sz="4" w:space="0"/>
              <w:bottom w:val="single" w:color="auto" w:sz="4" w:space="0"/>
              <w:right w:val="single" w:color="auto" w:sz="4" w:space="0"/>
            </w:tcBorders>
            <w:noWrap/>
            <w:vAlign w:val="center"/>
          </w:tcPr>
          <w:p w14:paraId="3F3AD3F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项目经理</w:t>
            </w:r>
          </w:p>
        </w:tc>
        <w:tc>
          <w:tcPr>
            <w:tcW w:w="1185" w:type="dxa"/>
            <w:tcBorders>
              <w:top w:val="single" w:color="auto" w:sz="4" w:space="0"/>
              <w:left w:val="single" w:color="auto" w:sz="4" w:space="0"/>
              <w:bottom w:val="single" w:color="auto" w:sz="4" w:space="0"/>
              <w:right w:val="single" w:color="auto" w:sz="4" w:space="0"/>
            </w:tcBorders>
            <w:noWrap/>
            <w:vAlign w:val="center"/>
          </w:tcPr>
          <w:p w14:paraId="1EF8DE7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w:t>
            </w:r>
          </w:p>
        </w:tc>
        <w:tc>
          <w:tcPr>
            <w:tcW w:w="863" w:type="dxa"/>
            <w:tcBorders>
              <w:top w:val="single" w:color="auto" w:sz="4" w:space="0"/>
              <w:left w:val="single" w:color="auto" w:sz="4" w:space="0"/>
              <w:bottom w:val="single" w:color="auto" w:sz="4" w:space="0"/>
              <w:right w:val="single" w:color="auto" w:sz="4" w:space="0"/>
            </w:tcBorders>
            <w:noWrap/>
            <w:vAlign w:val="center"/>
          </w:tcPr>
          <w:p w14:paraId="6457669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4136" w:type="dxa"/>
            <w:tcBorders>
              <w:top w:val="single" w:color="auto" w:sz="4" w:space="0"/>
              <w:left w:val="single" w:color="auto" w:sz="4" w:space="0"/>
              <w:bottom w:val="single" w:color="auto" w:sz="4" w:space="0"/>
              <w:right w:val="single" w:color="auto" w:sz="4" w:space="0"/>
            </w:tcBorders>
            <w:noWrap w:val="0"/>
            <w:vAlign w:val="center"/>
          </w:tcPr>
          <w:p w14:paraId="3619EB57">
            <w:pPr>
              <w:widowControl/>
              <w:jc w:val="center"/>
              <w:rPr>
                <w:rFonts w:hint="eastAsia" w:ascii="宋体" w:hAnsi="宋体" w:eastAsia="宋体" w:cs="宋体"/>
                <w:kern w:val="0"/>
                <w:sz w:val="24"/>
                <w:szCs w:val="24"/>
                <w:lang w:val="en-US" w:eastAsia="zh-CN"/>
              </w:rPr>
            </w:pPr>
          </w:p>
        </w:tc>
      </w:tr>
      <w:tr w14:paraId="7CE568FE">
        <w:tblPrEx>
          <w:tblCellMar>
            <w:top w:w="0" w:type="dxa"/>
            <w:left w:w="108" w:type="dxa"/>
            <w:bottom w:w="0" w:type="dxa"/>
            <w:right w:w="108" w:type="dxa"/>
          </w:tblCellMar>
        </w:tblPrEx>
        <w:trPr>
          <w:trHeight w:val="540" w:hRule="atLeast"/>
        </w:trPr>
        <w:tc>
          <w:tcPr>
            <w:tcW w:w="708" w:type="dxa"/>
            <w:vMerge w:val="restart"/>
            <w:tcBorders>
              <w:left w:val="single" w:color="auto" w:sz="4" w:space="0"/>
              <w:right w:val="single" w:color="auto" w:sz="4" w:space="0"/>
            </w:tcBorders>
            <w:noWrap w:val="0"/>
            <w:vAlign w:val="center"/>
          </w:tcPr>
          <w:p w14:paraId="1B73E5FC">
            <w:pPr>
              <w:widowControl/>
              <w:jc w:val="left"/>
              <w:rPr>
                <w:rFonts w:hint="default" w:ascii="宋体" w:hAnsi="宋体" w:eastAsia="宋体" w:cs="宋体"/>
                <w:kern w:val="0"/>
                <w:sz w:val="24"/>
                <w:szCs w:val="24"/>
                <w:lang w:val="en-US" w:eastAsia="zh-CN"/>
              </w:rPr>
            </w:pPr>
          </w:p>
        </w:tc>
        <w:tc>
          <w:tcPr>
            <w:tcW w:w="1474" w:type="dxa"/>
            <w:vMerge w:val="restart"/>
            <w:tcBorders>
              <w:top w:val="single" w:color="auto" w:sz="4" w:space="0"/>
              <w:left w:val="single" w:color="auto" w:sz="4" w:space="0"/>
              <w:bottom w:val="single" w:color="auto" w:sz="4" w:space="0"/>
              <w:right w:val="single" w:color="auto" w:sz="4" w:space="0"/>
            </w:tcBorders>
            <w:noWrap/>
            <w:vAlign w:val="center"/>
          </w:tcPr>
          <w:p w14:paraId="47E653F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教学楼保洁</w:t>
            </w:r>
          </w:p>
        </w:tc>
        <w:tc>
          <w:tcPr>
            <w:tcW w:w="1500" w:type="dxa"/>
            <w:tcBorders>
              <w:top w:val="single" w:color="auto" w:sz="4" w:space="0"/>
              <w:left w:val="single" w:color="auto" w:sz="4" w:space="0"/>
              <w:bottom w:val="single" w:color="auto" w:sz="4" w:space="0"/>
              <w:right w:val="single" w:color="auto" w:sz="4" w:space="0"/>
            </w:tcBorders>
            <w:noWrap/>
            <w:vAlign w:val="center"/>
          </w:tcPr>
          <w:p w14:paraId="1979A95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1号教学楼保洁</w:t>
            </w:r>
          </w:p>
        </w:tc>
        <w:tc>
          <w:tcPr>
            <w:tcW w:w="1185" w:type="dxa"/>
            <w:tcBorders>
              <w:top w:val="single" w:color="auto" w:sz="4" w:space="0"/>
              <w:left w:val="single" w:color="auto" w:sz="4" w:space="0"/>
              <w:bottom w:val="single" w:color="auto" w:sz="4" w:space="0"/>
              <w:right w:val="single" w:color="auto" w:sz="4" w:space="0"/>
            </w:tcBorders>
            <w:noWrap/>
            <w:vAlign w:val="center"/>
          </w:tcPr>
          <w:p w14:paraId="14C131C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18970.5</w:t>
            </w:r>
          </w:p>
        </w:tc>
        <w:tc>
          <w:tcPr>
            <w:tcW w:w="863" w:type="dxa"/>
            <w:tcBorders>
              <w:top w:val="single" w:color="auto" w:sz="4" w:space="0"/>
              <w:left w:val="single" w:color="auto" w:sz="4" w:space="0"/>
              <w:bottom w:val="single" w:color="auto" w:sz="4" w:space="0"/>
              <w:right w:val="single" w:color="auto" w:sz="4" w:space="0"/>
            </w:tcBorders>
            <w:noWrap/>
            <w:vAlign w:val="center"/>
          </w:tcPr>
          <w:p w14:paraId="04B6F54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4136" w:type="dxa"/>
            <w:tcBorders>
              <w:top w:val="single" w:color="auto" w:sz="4" w:space="0"/>
              <w:left w:val="single" w:color="auto" w:sz="4" w:space="0"/>
              <w:bottom w:val="single" w:color="auto" w:sz="4" w:space="0"/>
              <w:right w:val="single" w:color="auto" w:sz="4" w:space="0"/>
            </w:tcBorders>
            <w:noWrap w:val="0"/>
            <w:vAlign w:val="center"/>
          </w:tcPr>
          <w:p w14:paraId="2B3C412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共5层，含公共教室保洁和阶梯教室保洁</w:t>
            </w:r>
          </w:p>
        </w:tc>
      </w:tr>
      <w:tr w14:paraId="432D5482">
        <w:tblPrEx>
          <w:tblCellMar>
            <w:top w:w="0" w:type="dxa"/>
            <w:left w:w="108" w:type="dxa"/>
            <w:bottom w:w="0" w:type="dxa"/>
            <w:right w:w="108" w:type="dxa"/>
          </w:tblCellMar>
        </w:tblPrEx>
        <w:trPr>
          <w:trHeight w:val="540" w:hRule="atLeast"/>
        </w:trPr>
        <w:tc>
          <w:tcPr>
            <w:tcW w:w="708" w:type="dxa"/>
            <w:vMerge w:val="continue"/>
            <w:tcBorders>
              <w:left w:val="single" w:color="auto" w:sz="4" w:space="0"/>
              <w:right w:val="single" w:color="auto" w:sz="4" w:space="0"/>
            </w:tcBorders>
            <w:noWrap w:val="0"/>
            <w:vAlign w:val="center"/>
          </w:tcPr>
          <w:p w14:paraId="1D0372CC">
            <w:pPr>
              <w:widowControl/>
              <w:jc w:val="left"/>
              <w:rPr>
                <w:rFonts w:hint="default" w:ascii="宋体" w:hAnsi="宋体" w:eastAsia="宋体" w:cs="宋体"/>
                <w:kern w:val="0"/>
                <w:sz w:val="24"/>
                <w:szCs w:val="24"/>
                <w:lang w:val="en-US" w:eastAsia="zh-CN"/>
              </w:rPr>
            </w:pPr>
          </w:p>
        </w:tc>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14:paraId="0D5FFF2F">
            <w:pPr>
              <w:widowControl/>
              <w:jc w:val="center"/>
              <w:rPr>
                <w:rFonts w:hint="eastAsia" w:ascii="宋体" w:hAnsi="宋体" w:eastAsia="宋体" w:cs="宋体"/>
                <w:kern w:val="0"/>
                <w:sz w:val="24"/>
                <w:szCs w:val="24"/>
                <w:lang w:val="en-US" w:eastAsia="zh-CN"/>
              </w:rPr>
            </w:pPr>
          </w:p>
        </w:tc>
        <w:tc>
          <w:tcPr>
            <w:tcW w:w="1500" w:type="dxa"/>
            <w:tcBorders>
              <w:top w:val="single" w:color="auto" w:sz="4" w:space="0"/>
              <w:left w:val="single" w:color="auto" w:sz="4" w:space="0"/>
              <w:bottom w:val="single" w:color="auto" w:sz="4" w:space="0"/>
              <w:right w:val="single" w:color="auto" w:sz="4" w:space="0"/>
            </w:tcBorders>
            <w:noWrap/>
            <w:vAlign w:val="center"/>
          </w:tcPr>
          <w:p w14:paraId="3A60296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2号教学楼保洁</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21647AE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20000</w:t>
            </w:r>
          </w:p>
        </w:tc>
        <w:tc>
          <w:tcPr>
            <w:tcW w:w="863" w:type="dxa"/>
            <w:tcBorders>
              <w:top w:val="single" w:color="auto" w:sz="4" w:space="0"/>
              <w:left w:val="single" w:color="auto" w:sz="4" w:space="0"/>
              <w:bottom w:val="single" w:color="auto" w:sz="4" w:space="0"/>
              <w:right w:val="single" w:color="auto" w:sz="4" w:space="0"/>
            </w:tcBorders>
            <w:noWrap/>
            <w:vAlign w:val="center"/>
          </w:tcPr>
          <w:p w14:paraId="2902315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4136" w:type="dxa"/>
            <w:tcBorders>
              <w:top w:val="single" w:color="auto" w:sz="4" w:space="0"/>
              <w:left w:val="single" w:color="auto" w:sz="4" w:space="0"/>
              <w:bottom w:val="single" w:color="auto" w:sz="4" w:space="0"/>
              <w:right w:val="single" w:color="auto" w:sz="4" w:space="0"/>
            </w:tcBorders>
            <w:noWrap w:val="0"/>
            <w:vAlign w:val="center"/>
          </w:tcPr>
          <w:p w14:paraId="5ACE81E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共5层，含公共教室保洁和阶梯教室保洁</w:t>
            </w:r>
          </w:p>
        </w:tc>
      </w:tr>
      <w:tr w14:paraId="747078A7">
        <w:tblPrEx>
          <w:tblCellMar>
            <w:top w:w="0" w:type="dxa"/>
            <w:left w:w="108" w:type="dxa"/>
            <w:bottom w:w="0" w:type="dxa"/>
            <w:right w:w="108" w:type="dxa"/>
          </w:tblCellMar>
        </w:tblPrEx>
        <w:trPr>
          <w:trHeight w:val="540" w:hRule="atLeast"/>
        </w:trPr>
        <w:tc>
          <w:tcPr>
            <w:tcW w:w="708" w:type="dxa"/>
            <w:vMerge w:val="continue"/>
            <w:tcBorders>
              <w:left w:val="single" w:color="auto" w:sz="4" w:space="0"/>
              <w:right w:val="single" w:color="auto" w:sz="4" w:space="0"/>
            </w:tcBorders>
            <w:noWrap w:val="0"/>
            <w:vAlign w:val="center"/>
          </w:tcPr>
          <w:p w14:paraId="7335098A">
            <w:pPr>
              <w:widowControl/>
              <w:jc w:val="left"/>
              <w:rPr>
                <w:rFonts w:hint="default" w:ascii="宋体" w:hAnsi="宋体" w:eastAsia="宋体" w:cs="宋体"/>
                <w:kern w:val="0"/>
                <w:sz w:val="24"/>
                <w:szCs w:val="24"/>
                <w:lang w:val="en-US" w:eastAsia="zh-CN"/>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14:paraId="1E2EA28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实训楼保洁</w:t>
            </w:r>
          </w:p>
        </w:tc>
        <w:tc>
          <w:tcPr>
            <w:tcW w:w="1500" w:type="dxa"/>
            <w:tcBorders>
              <w:top w:val="single" w:color="auto" w:sz="4" w:space="0"/>
              <w:left w:val="single" w:color="auto" w:sz="4" w:space="0"/>
              <w:bottom w:val="single" w:color="auto" w:sz="4" w:space="0"/>
              <w:right w:val="single" w:color="auto" w:sz="4" w:space="0"/>
            </w:tcBorders>
            <w:noWrap/>
            <w:vAlign w:val="center"/>
          </w:tcPr>
          <w:p w14:paraId="18FDC67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G、H实训楼</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7CE323B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800</w:t>
            </w:r>
          </w:p>
        </w:tc>
        <w:tc>
          <w:tcPr>
            <w:tcW w:w="863" w:type="dxa"/>
            <w:tcBorders>
              <w:top w:val="single" w:color="auto" w:sz="4" w:space="0"/>
              <w:left w:val="single" w:color="auto" w:sz="4" w:space="0"/>
              <w:bottom w:val="single" w:color="auto" w:sz="4" w:space="0"/>
              <w:right w:val="single" w:color="auto" w:sz="4" w:space="0"/>
            </w:tcBorders>
            <w:noWrap/>
            <w:vAlign w:val="center"/>
          </w:tcPr>
          <w:p w14:paraId="5B0E6CA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4136" w:type="dxa"/>
            <w:tcBorders>
              <w:top w:val="single" w:color="auto" w:sz="4" w:space="0"/>
              <w:left w:val="single" w:color="auto" w:sz="4" w:space="0"/>
              <w:bottom w:val="single" w:color="auto" w:sz="4" w:space="0"/>
              <w:right w:val="single" w:color="auto" w:sz="4" w:space="0"/>
            </w:tcBorders>
            <w:noWrap w:val="0"/>
            <w:vAlign w:val="center"/>
          </w:tcPr>
          <w:p w14:paraId="52149DA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两栋楼，各2层，含6间公共教室保洁、</w:t>
            </w:r>
          </w:p>
        </w:tc>
      </w:tr>
      <w:tr w14:paraId="0C894435">
        <w:tblPrEx>
          <w:tblCellMar>
            <w:top w:w="0" w:type="dxa"/>
            <w:left w:w="108" w:type="dxa"/>
            <w:bottom w:w="0" w:type="dxa"/>
            <w:right w:w="108" w:type="dxa"/>
          </w:tblCellMar>
        </w:tblPrEx>
        <w:trPr>
          <w:trHeight w:val="600" w:hRule="atLeast"/>
        </w:trPr>
        <w:tc>
          <w:tcPr>
            <w:tcW w:w="708" w:type="dxa"/>
            <w:vMerge w:val="continue"/>
            <w:tcBorders>
              <w:left w:val="single" w:color="auto" w:sz="4" w:space="0"/>
              <w:right w:val="single" w:color="auto" w:sz="4" w:space="0"/>
            </w:tcBorders>
            <w:noWrap w:val="0"/>
            <w:vAlign w:val="center"/>
          </w:tcPr>
          <w:p w14:paraId="465220D4">
            <w:pPr>
              <w:widowControl/>
              <w:jc w:val="left"/>
              <w:rPr>
                <w:rFonts w:hint="default" w:ascii="宋体" w:hAnsi="宋体" w:eastAsia="宋体" w:cs="宋体"/>
                <w:kern w:val="0"/>
                <w:sz w:val="24"/>
                <w:szCs w:val="24"/>
                <w:lang w:val="en-US" w:eastAsia="zh-CN"/>
              </w:rPr>
            </w:pPr>
          </w:p>
        </w:tc>
        <w:tc>
          <w:tcPr>
            <w:tcW w:w="1474" w:type="dxa"/>
            <w:vMerge w:val="restart"/>
            <w:tcBorders>
              <w:top w:val="single" w:color="auto" w:sz="4" w:space="0"/>
              <w:left w:val="single" w:color="auto" w:sz="4" w:space="0"/>
              <w:bottom w:val="single" w:color="auto" w:sz="4" w:space="0"/>
              <w:right w:val="single" w:color="auto" w:sz="4" w:space="0"/>
            </w:tcBorders>
            <w:noWrap w:val="0"/>
            <w:vAlign w:val="center"/>
          </w:tcPr>
          <w:p w14:paraId="036C310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综合实训办公楼</w:t>
            </w:r>
          </w:p>
        </w:tc>
        <w:tc>
          <w:tcPr>
            <w:tcW w:w="1500" w:type="dxa"/>
            <w:vMerge w:val="restart"/>
            <w:tcBorders>
              <w:top w:val="single" w:color="auto" w:sz="4" w:space="0"/>
              <w:left w:val="single" w:color="auto" w:sz="4" w:space="0"/>
              <w:right w:val="single" w:color="auto" w:sz="4" w:space="0"/>
            </w:tcBorders>
            <w:noWrap/>
            <w:vAlign w:val="center"/>
          </w:tcPr>
          <w:p w14:paraId="537064B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综合实训办公楼保洁</w:t>
            </w:r>
          </w:p>
          <w:p w14:paraId="2F4C36DA">
            <w:pPr>
              <w:widowControl/>
              <w:jc w:val="center"/>
              <w:rPr>
                <w:rFonts w:hint="eastAsia" w:ascii="宋体" w:hAnsi="宋体" w:eastAsia="宋体" w:cs="宋体"/>
                <w:kern w:val="0"/>
                <w:sz w:val="24"/>
                <w:szCs w:val="24"/>
                <w:lang w:val="en-US" w:eastAsia="zh-CN"/>
              </w:rPr>
            </w:pPr>
          </w:p>
        </w:tc>
        <w:tc>
          <w:tcPr>
            <w:tcW w:w="1185" w:type="dxa"/>
            <w:vMerge w:val="restart"/>
            <w:tcBorders>
              <w:top w:val="single" w:color="auto" w:sz="4" w:space="0"/>
              <w:left w:val="single" w:color="auto" w:sz="4" w:space="0"/>
              <w:bottom w:val="single" w:color="auto" w:sz="4" w:space="0"/>
              <w:right w:val="single" w:color="auto" w:sz="4" w:space="0"/>
            </w:tcBorders>
            <w:noWrap/>
            <w:vAlign w:val="center"/>
          </w:tcPr>
          <w:p w14:paraId="4EA3554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10586.57</w:t>
            </w:r>
          </w:p>
        </w:tc>
        <w:tc>
          <w:tcPr>
            <w:tcW w:w="863" w:type="dxa"/>
            <w:tcBorders>
              <w:top w:val="single" w:color="auto" w:sz="4" w:space="0"/>
              <w:left w:val="single" w:color="auto" w:sz="4" w:space="0"/>
              <w:bottom w:val="single" w:color="auto" w:sz="4" w:space="0"/>
              <w:right w:val="single" w:color="auto" w:sz="4" w:space="0"/>
            </w:tcBorders>
            <w:noWrap/>
            <w:vAlign w:val="center"/>
          </w:tcPr>
          <w:p w14:paraId="59C9964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4136" w:type="dxa"/>
            <w:tcBorders>
              <w:top w:val="single" w:color="auto" w:sz="4" w:space="0"/>
              <w:left w:val="single" w:color="auto" w:sz="4" w:space="0"/>
              <w:bottom w:val="single" w:color="auto" w:sz="4" w:space="0"/>
              <w:right w:val="single" w:color="auto" w:sz="4" w:space="0"/>
            </w:tcBorders>
            <w:noWrap w:val="0"/>
            <w:vAlign w:val="center"/>
          </w:tcPr>
          <w:p w14:paraId="097AE19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共5层</w:t>
            </w:r>
          </w:p>
        </w:tc>
      </w:tr>
      <w:tr w14:paraId="63A70088">
        <w:tblPrEx>
          <w:tblCellMar>
            <w:top w:w="0" w:type="dxa"/>
            <w:left w:w="108" w:type="dxa"/>
            <w:bottom w:w="0" w:type="dxa"/>
            <w:right w:w="108" w:type="dxa"/>
          </w:tblCellMar>
        </w:tblPrEx>
        <w:trPr>
          <w:trHeight w:val="600" w:hRule="atLeast"/>
        </w:trPr>
        <w:tc>
          <w:tcPr>
            <w:tcW w:w="708" w:type="dxa"/>
            <w:vMerge w:val="continue"/>
            <w:tcBorders>
              <w:left w:val="single" w:color="auto" w:sz="4" w:space="0"/>
              <w:right w:val="single" w:color="auto" w:sz="4" w:space="0"/>
            </w:tcBorders>
            <w:noWrap w:val="0"/>
            <w:vAlign w:val="center"/>
          </w:tcPr>
          <w:p w14:paraId="182B756B">
            <w:pPr>
              <w:widowControl/>
              <w:jc w:val="left"/>
              <w:rPr>
                <w:rFonts w:hint="default" w:ascii="宋体" w:hAnsi="宋体" w:eastAsia="宋体" w:cs="宋体"/>
                <w:kern w:val="0"/>
                <w:sz w:val="24"/>
                <w:szCs w:val="24"/>
                <w:lang w:val="en-US" w:eastAsia="zh-CN"/>
              </w:rPr>
            </w:pPr>
          </w:p>
        </w:tc>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14:paraId="3293D61C">
            <w:pPr>
              <w:widowControl/>
              <w:jc w:val="center"/>
              <w:rPr>
                <w:rFonts w:hint="eastAsia" w:ascii="宋体" w:hAnsi="宋体" w:eastAsia="宋体" w:cs="宋体"/>
                <w:kern w:val="0"/>
                <w:sz w:val="24"/>
                <w:szCs w:val="24"/>
                <w:lang w:val="en-US" w:eastAsia="zh-CN"/>
              </w:rPr>
            </w:pPr>
          </w:p>
        </w:tc>
        <w:tc>
          <w:tcPr>
            <w:tcW w:w="1500" w:type="dxa"/>
            <w:vMerge w:val="continue"/>
            <w:tcBorders>
              <w:left w:val="single" w:color="auto" w:sz="4" w:space="0"/>
              <w:bottom w:val="single" w:color="auto" w:sz="4" w:space="0"/>
              <w:right w:val="single" w:color="auto" w:sz="4" w:space="0"/>
            </w:tcBorders>
            <w:noWrap/>
            <w:vAlign w:val="center"/>
          </w:tcPr>
          <w:p w14:paraId="4DFC2561">
            <w:pPr>
              <w:widowControl/>
              <w:jc w:val="center"/>
              <w:rPr>
                <w:rFonts w:hint="eastAsia" w:ascii="宋体" w:hAnsi="宋体" w:eastAsia="宋体" w:cs="宋体"/>
                <w:kern w:val="0"/>
                <w:sz w:val="24"/>
                <w:szCs w:val="24"/>
                <w:lang w:val="en-US" w:eastAsia="zh-CN"/>
              </w:rPr>
            </w:pPr>
          </w:p>
        </w:tc>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14:paraId="68419734">
            <w:pPr>
              <w:widowControl/>
              <w:jc w:val="center"/>
              <w:rPr>
                <w:rFonts w:hint="eastAsia" w:ascii="宋体" w:hAnsi="宋体" w:eastAsia="宋体" w:cs="宋体"/>
                <w:kern w:val="0"/>
                <w:sz w:val="24"/>
                <w:szCs w:val="24"/>
                <w:lang w:val="en-US" w:eastAsia="zh-CN"/>
              </w:rPr>
            </w:pPr>
          </w:p>
        </w:tc>
        <w:tc>
          <w:tcPr>
            <w:tcW w:w="863" w:type="dxa"/>
            <w:tcBorders>
              <w:top w:val="single" w:color="auto" w:sz="4" w:space="0"/>
              <w:left w:val="single" w:color="auto" w:sz="4" w:space="0"/>
              <w:bottom w:val="single" w:color="auto" w:sz="4" w:space="0"/>
              <w:right w:val="single" w:color="auto" w:sz="4" w:space="0"/>
            </w:tcBorders>
            <w:noWrap/>
            <w:vAlign w:val="center"/>
          </w:tcPr>
          <w:p w14:paraId="0C88073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4136" w:type="dxa"/>
            <w:tcBorders>
              <w:top w:val="single" w:color="auto" w:sz="4" w:space="0"/>
              <w:left w:val="single" w:color="auto" w:sz="4" w:space="0"/>
              <w:bottom w:val="single" w:color="auto" w:sz="4" w:space="0"/>
              <w:right w:val="single" w:color="auto" w:sz="4" w:space="0"/>
            </w:tcBorders>
            <w:noWrap w:val="0"/>
            <w:vAlign w:val="center"/>
          </w:tcPr>
          <w:p w14:paraId="48A7B5A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共5层</w:t>
            </w:r>
          </w:p>
        </w:tc>
      </w:tr>
      <w:tr w14:paraId="7ECD937D">
        <w:tblPrEx>
          <w:tblCellMar>
            <w:top w:w="0" w:type="dxa"/>
            <w:left w:w="108" w:type="dxa"/>
            <w:bottom w:w="0" w:type="dxa"/>
            <w:right w:w="108" w:type="dxa"/>
          </w:tblCellMar>
        </w:tblPrEx>
        <w:trPr>
          <w:trHeight w:val="600" w:hRule="atLeast"/>
        </w:trPr>
        <w:tc>
          <w:tcPr>
            <w:tcW w:w="708" w:type="dxa"/>
            <w:vMerge w:val="continue"/>
            <w:tcBorders>
              <w:left w:val="single" w:color="auto" w:sz="4" w:space="0"/>
              <w:right w:val="single" w:color="auto" w:sz="4" w:space="0"/>
            </w:tcBorders>
            <w:noWrap w:val="0"/>
            <w:vAlign w:val="center"/>
          </w:tcPr>
          <w:p w14:paraId="73B6E720">
            <w:pPr>
              <w:widowControl/>
              <w:jc w:val="left"/>
              <w:rPr>
                <w:rFonts w:hint="default" w:ascii="宋体" w:hAnsi="宋体" w:eastAsia="宋体" w:cs="宋体"/>
                <w:kern w:val="0"/>
                <w:sz w:val="24"/>
                <w:szCs w:val="24"/>
                <w:lang w:val="en-US" w:eastAsia="zh-CN"/>
              </w:rPr>
            </w:pPr>
          </w:p>
        </w:tc>
        <w:tc>
          <w:tcPr>
            <w:tcW w:w="1474" w:type="dxa"/>
            <w:vMerge w:val="restart"/>
            <w:tcBorders>
              <w:top w:val="single" w:color="auto" w:sz="4" w:space="0"/>
              <w:left w:val="single" w:color="auto" w:sz="4" w:space="0"/>
              <w:bottom w:val="single" w:color="auto" w:sz="4" w:space="0"/>
              <w:right w:val="single" w:color="auto" w:sz="4" w:space="0"/>
            </w:tcBorders>
            <w:noWrap/>
            <w:vAlign w:val="center"/>
          </w:tcPr>
          <w:p w14:paraId="41A8411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其他</w:t>
            </w:r>
          </w:p>
        </w:tc>
        <w:tc>
          <w:tcPr>
            <w:tcW w:w="1500" w:type="dxa"/>
            <w:tcBorders>
              <w:top w:val="single" w:color="auto" w:sz="4" w:space="0"/>
              <w:left w:val="single" w:color="auto" w:sz="4" w:space="0"/>
              <w:bottom w:val="single" w:color="auto" w:sz="4" w:space="0"/>
              <w:right w:val="single" w:color="auto" w:sz="4" w:space="0"/>
            </w:tcBorders>
            <w:noWrap/>
            <w:vAlign w:val="center"/>
          </w:tcPr>
          <w:p w14:paraId="4D11F6C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餐厅公共区域及活动室</w:t>
            </w:r>
          </w:p>
        </w:tc>
        <w:tc>
          <w:tcPr>
            <w:tcW w:w="1185" w:type="dxa"/>
            <w:tcBorders>
              <w:top w:val="single" w:color="auto" w:sz="4" w:space="0"/>
              <w:left w:val="single" w:color="auto" w:sz="4" w:space="0"/>
              <w:bottom w:val="single" w:color="auto" w:sz="4" w:space="0"/>
              <w:right w:val="single" w:color="auto" w:sz="4" w:space="0"/>
            </w:tcBorders>
            <w:noWrap/>
            <w:vAlign w:val="center"/>
          </w:tcPr>
          <w:p w14:paraId="00936BC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14000</w:t>
            </w:r>
          </w:p>
        </w:tc>
        <w:tc>
          <w:tcPr>
            <w:tcW w:w="863" w:type="dxa"/>
            <w:tcBorders>
              <w:top w:val="single" w:color="auto" w:sz="4" w:space="0"/>
              <w:left w:val="single" w:color="auto" w:sz="4" w:space="0"/>
              <w:bottom w:val="single" w:color="auto" w:sz="4" w:space="0"/>
              <w:right w:val="single" w:color="auto" w:sz="4" w:space="0"/>
            </w:tcBorders>
            <w:noWrap/>
            <w:vAlign w:val="center"/>
          </w:tcPr>
          <w:p w14:paraId="22C095A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4136" w:type="dxa"/>
            <w:tcBorders>
              <w:top w:val="single" w:color="auto" w:sz="4" w:space="0"/>
              <w:left w:val="single" w:color="auto" w:sz="4" w:space="0"/>
              <w:bottom w:val="single" w:color="auto" w:sz="4" w:space="0"/>
              <w:right w:val="single" w:color="auto" w:sz="4" w:space="0"/>
            </w:tcBorders>
            <w:noWrap w:val="0"/>
            <w:vAlign w:val="center"/>
          </w:tcPr>
          <w:p w14:paraId="4F616D5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4层体育活动室和团委文体活动室卫生间和餐厅公共楼梯保洁</w:t>
            </w:r>
          </w:p>
        </w:tc>
      </w:tr>
      <w:tr w14:paraId="376C60CB">
        <w:tblPrEx>
          <w:tblCellMar>
            <w:top w:w="0" w:type="dxa"/>
            <w:left w:w="108" w:type="dxa"/>
            <w:bottom w:w="0" w:type="dxa"/>
            <w:right w:w="108" w:type="dxa"/>
          </w:tblCellMar>
        </w:tblPrEx>
        <w:trPr>
          <w:trHeight w:val="600" w:hRule="atLeast"/>
        </w:trPr>
        <w:tc>
          <w:tcPr>
            <w:tcW w:w="708" w:type="dxa"/>
            <w:vMerge w:val="continue"/>
            <w:tcBorders>
              <w:left w:val="single" w:color="auto" w:sz="4" w:space="0"/>
              <w:right w:val="single" w:color="auto" w:sz="4" w:space="0"/>
            </w:tcBorders>
            <w:noWrap w:val="0"/>
            <w:vAlign w:val="center"/>
          </w:tcPr>
          <w:p w14:paraId="7DE12789">
            <w:pPr>
              <w:widowControl/>
              <w:jc w:val="left"/>
              <w:rPr>
                <w:rFonts w:hint="default" w:ascii="宋体" w:hAnsi="宋体" w:eastAsia="宋体" w:cs="宋体"/>
                <w:kern w:val="0"/>
                <w:sz w:val="24"/>
                <w:szCs w:val="24"/>
                <w:lang w:val="en-US" w:eastAsia="zh-CN"/>
              </w:rPr>
            </w:pPr>
          </w:p>
        </w:tc>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14:paraId="2AF11831">
            <w:pPr>
              <w:widowControl/>
              <w:jc w:val="center"/>
              <w:rPr>
                <w:rFonts w:hint="eastAsia" w:ascii="宋体" w:hAnsi="宋体" w:eastAsia="宋体" w:cs="宋体"/>
                <w:kern w:val="0"/>
                <w:sz w:val="24"/>
                <w:szCs w:val="24"/>
                <w:lang w:val="en-US" w:eastAsia="zh-CN"/>
              </w:rPr>
            </w:pPr>
          </w:p>
        </w:tc>
        <w:tc>
          <w:tcPr>
            <w:tcW w:w="1500" w:type="dxa"/>
            <w:tcBorders>
              <w:top w:val="single" w:color="auto" w:sz="4" w:space="0"/>
              <w:left w:val="single" w:color="auto" w:sz="4" w:space="0"/>
              <w:bottom w:val="single" w:color="auto" w:sz="4" w:space="0"/>
              <w:right w:val="single" w:color="auto" w:sz="4" w:space="0"/>
            </w:tcBorders>
            <w:noWrap/>
            <w:vAlign w:val="center"/>
          </w:tcPr>
          <w:p w14:paraId="6AC5C0B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公共区域保洁</w:t>
            </w:r>
          </w:p>
        </w:tc>
        <w:tc>
          <w:tcPr>
            <w:tcW w:w="1185" w:type="dxa"/>
            <w:tcBorders>
              <w:top w:val="single" w:color="auto" w:sz="4" w:space="0"/>
              <w:left w:val="single" w:color="auto" w:sz="4" w:space="0"/>
              <w:bottom w:val="single" w:color="auto" w:sz="4" w:space="0"/>
              <w:right w:val="single" w:color="auto" w:sz="4" w:space="0"/>
            </w:tcBorders>
            <w:noWrap/>
            <w:vAlign w:val="center"/>
          </w:tcPr>
          <w:p w14:paraId="25239C9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w:t>
            </w:r>
          </w:p>
        </w:tc>
        <w:tc>
          <w:tcPr>
            <w:tcW w:w="863" w:type="dxa"/>
            <w:tcBorders>
              <w:top w:val="single" w:color="auto" w:sz="4" w:space="0"/>
              <w:left w:val="single" w:color="auto" w:sz="4" w:space="0"/>
              <w:bottom w:val="single" w:color="auto" w:sz="4" w:space="0"/>
              <w:right w:val="single" w:color="auto" w:sz="4" w:space="0"/>
            </w:tcBorders>
            <w:noWrap/>
            <w:vAlign w:val="center"/>
          </w:tcPr>
          <w:p w14:paraId="45312F5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4136" w:type="dxa"/>
            <w:tcBorders>
              <w:top w:val="single" w:color="auto" w:sz="4" w:space="0"/>
              <w:left w:val="single" w:color="auto" w:sz="4" w:space="0"/>
              <w:bottom w:val="single" w:color="auto" w:sz="4" w:space="0"/>
              <w:right w:val="single" w:color="auto" w:sz="4" w:space="0"/>
            </w:tcBorders>
            <w:noWrap w:val="0"/>
            <w:vAlign w:val="center"/>
          </w:tcPr>
          <w:p w14:paraId="679D87C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包含外围保洁及垃圾清运工作</w:t>
            </w:r>
          </w:p>
        </w:tc>
      </w:tr>
      <w:tr w14:paraId="15D3D611">
        <w:tblPrEx>
          <w:tblCellMar>
            <w:top w:w="0" w:type="dxa"/>
            <w:left w:w="108" w:type="dxa"/>
            <w:bottom w:w="0" w:type="dxa"/>
            <w:right w:w="108" w:type="dxa"/>
          </w:tblCellMar>
        </w:tblPrEx>
        <w:trPr>
          <w:trHeight w:val="600" w:hRule="atLeast"/>
        </w:trPr>
        <w:tc>
          <w:tcPr>
            <w:tcW w:w="708" w:type="dxa"/>
            <w:vMerge w:val="continue"/>
            <w:tcBorders>
              <w:left w:val="single" w:color="auto" w:sz="4" w:space="0"/>
              <w:right w:val="single" w:color="auto" w:sz="4" w:space="0"/>
            </w:tcBorders>
            <w:noWrap w:val="0"/>
            <w:vAlign w:val="center"/>
          </w:tcPr>
          <w:p w14:paraId="339AAAA5">
            <w:pPr>
              <w:widowControl/>
              <w:jc w:val="left"/>
              <w:rPr>
                <w:rFonts w:hint="default" w:ascii="宋体" w:hAnsi="宋体" w:eastAsia="宋体" w:cs="宋体"/>
                <w:kern w:val="0"/>
                <w:sz w:val="24"/>
                <w:szCs w:val="24"/>
                <w:lang w:val="en-US" w:eastAsia="zh-CN"/>
              </w:rPr>
            </w:pPr>
          </w:p>
        </w:tc>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14:paraId="6E510CBA">
            <w:pPr>
              <w:widowControl/>
              <w:jc w:val="center"/>
              <w:rPr>
                <w:rFonts w:hint="eastAsia" w:ascii="宋体" w:hAnsi="宋体" w:eastAsia="宋体" w:cs="宋体"/>
                <w:kern w:val="0"/>
                <w:sz w:val="24"/>
                <w:szCs w:val="24"/>
                <w:lang w:val="en-US" w:eastAsia="zh-CN"/>
              </w:rPr>
            </w:pPr>
          </w:p>
        </w:tc>
        <w:tc>
          <w:tcPr>
            <w:tcW w:w="1500" w:type="dxa"/>
            <w:tcBorders>
              <w:top w:val="single" w:color="auto" w:sz="4" w:space="0"/>
              <w:left w:val="single" w:color="auto" w:sz="4" w:space="0"/>
              <w:bottom w:val="single" w:color="auto" w:sz="4" w:space="0"/>
              <w:right w:val="single" w:color="auto" w:sz="4" w:space="0"/>
            </w:tcBorders>
            <w:noWrap/>
            <w:vAlign w:val="center"/>
          </w:tcPr>
          <w:p w14:paraId="55CA752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绿化养护</w:t>
            </w:r>
          </w:p>
        </w:tc>
        <w:tc>
          <w:tcPr>
            <w:tcW w:w="1185" w:type="dxa"/>
            <w:tcBorders>
              <w:top w:val="single" w:color="auto" w:sz="4" w:space="0"/>
              <w:left w:val="single" w:color="auto" w:sz="4" w:space="0"/>
              <w:bottom w:val="single" w:color="auto" w:sz="4" w:space="0"/>
              <w:right w:val="single" w:color="auto" w:sz="4" w:space="0"/>
            </w:tcBorders>
            <w:noWrap/>
            <w:vAlign w:val="center"/>
          </w:tcPr>
          <w:p w14:paraId="0ED8492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w:t>
            </w:r>
          </w:p>
        </w:tc>
        <w:tc>
          <w:tcPr>
            <w:tcW w:w="863" w:type="dxa"/>
            <w:tcBorders>
              <w:top w:val="single" w:color="auto" w:sz="4" w:space="0"/>
              <w:left w:val="single" w:color="auto" w:sz="4" w:space="0"/>
              <w:bottom w:val="single" w:color="auto" w:sz="4" w:space="0"/>
              <w:right w:val="single" w:color="auto" w:sz="4" w:space="0"/>
            </w:tcBorders>
            <w:noWrap/>
            <w:vAlign w:val="center"/>
          </w:tcPr>
          <w:p w14:paraId="44C10D1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4136" w:type="dxa"/>
            <w:tcBorders>
              <w:top w:val="single" w:color="auto" w:sz="4" w:space="0"/>
              <w:left w:val="single" w:color="auto" w:sz="4" w:space="0"/>
              <w:bottom w:val="single" w:color="auto" w:sz="4" w:space="0"/>
              <w:right w:val="single" w:color="auto" w:sz="4" w:space="0"/>
            </w:tcBorders>
            <w:noWrap w:val="0"/>
            <w:vAlign w:val="center"/>
          </w:tcPr>
          <w:p w14:paraId="4EAF6BF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本区域绿化养护工作</w:t>
            </w:r>
          </w:p>
        </w:tc>
      </w:tr>
      <w:tr w14:paraId="4008B3E7">
        <w:tblPrEx>
          <w:tblCellMar>
            <w:top w:w="0" w:type="dxa"/>
            <w:left w:w="108" w:type="dxa"/>
            <w:bottom w:w="0" w:type="dxa"/>
            <w:right w:w="108" w:type="dxa"/>
          </w:tblCellMar>
        </w:tblPrEx>
        <w:trPr>
          <w:trHeight w:val="600" w:hRule="atLeast"/>
        </w:trPr>
        <w:tc>
          <w:tcPr>
            <w:tcW w:w="708" w:type="dxa"/>
            <w:vMerge w:val="continue"/>
            <w:tcBorders>
              <w:left w:val="single" w:color="auto" w:sz="4" w:space="0"/>
              <w:right w:val="single" w:color="auto" w:sz="4" w:space="0"/>
            </w:tcBorders>
            <w:noWrap w:val="0"/>
            <w:vAlign w:val="center"/>
          </w:tcPr>
          <w:p w14:paraId="52EC48C4">
            <w:pPr>
              <w:widowControl/>
              <w:jc w:val="left"/>
              <w:rPr>
                <w:rFonts w:hint="default" w:ascii="宋体" w:hAnsi="宋体" w:eastAsia="宋体" w:cs="宋体"/>
                <w:kern w:val="0"/>
                <w:sz w:val="24"/>
                <w:szCs w:val="24"/>
                <w:lang w:val="en-US" w:eastAsia="zh-CN"/>
              </w:rPr>
            </w:pPr>
          </w:p>
        </w:tc>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14:paraId="389D6427">
            <w:pPr>
              <w:widowControl/>
              <w:jc w:val="center"/>
              <w:rPr>
                <w:rFonts w:hint="eastAsia" w:ascii="宋体" w:hAnsi="宋体" w:eastAsia="宋体" w:cs="宋体"/>
                <w:kern w:val="0"/>
                <w:sz w:val="24"/>
                <w:szCs w:val="24"/>
                <w:lang w:val="en-US" w:eastAsia="zh-CN"/>
              </w:rPr>
            </w:pPr>
          </w:p>
        </w:tc>
        <w:tc>
          <w:tcPr>
            <w:tcW w:w="1500" w:type="dxa"/>
            <w:tcBorders>
              <w:top w:val="single" w:color="auto" w:sz="4" w:space="0"/>
              <w:left w:val="single" w:color="auto" w:sz="4" w:space="0"/>
              <w:bottom w:val="single" w:color="auto" w:sz="4" w:space="0"/>
              <w:right w:val="single" w:color="auto" w:sz="4" w:space="0"/>
            </w:tcBorders>
            <w:noWrap/>
            <w:vAlign w:val="center"/>
          </w:tcPr>
          <w:p w14:paraId="06E9EEF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综合维修</w:t>
            </w:r>
          </w:p>
        </w:tc>
        <w:tc>
          <w:tcPr>
            <w:tcW w:w="1185" w:type="dxa"/>
            <w:tcBorders>
              <w:top w:val="single" w:color="auto" w:sz="4" w:space="0"/>
              <w:left w:val="single" w:color="auto" w:sz="4" w:space="0"/>
              <w:bottom w:val="single" w:color="auto" w:sz="4" w:space="0"/>
              <w:right w:val="single" w:color="auto" w:sz="4" w:space="0"/>
            </w:tcBorders>
            <w:noWrap/>
            <w:vAlign w:val="center"/>
          </w:tcPr>
          <w:p w14:paraId="47CBE32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w:t>
            </w:r>
          </w:p>
        </w:tc>
        <w:tc>
          <w:tcPr>
            <w:tcW w:w="863" w:type="dxa"/>
            <w:tcBorders>
              <w:top w:val="single" w:color="auto" w:sz="4" w:space="0"/>
              <w:left w:val="single" w:color="auto" w:sz="4" w:space="0"/>
              <w:bottom w:val="single" w:color="auto" w:sz="4" w:space="0"/>
              <w:right w:val="single" w:color="auto" w:sz="4" w:space="0"/>
            </w:tcBorders>
            <w:noWrap/>
            <w:vAlign w:val="center"/>
          </w:tcPr>
          <w:p w14:paraId="74B75C8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4136" w:type="dxa"/>
            <w:tcBorders>
              <w:top w:val="single" w:color="auto" w:sz="4" w:space="0"/>
              <w:left w:val="single" w:color="auto" w:sz="4" w:space="0"/>
              <w:bottom w:val="single" w:color="auto" w:sz="4" w:space="0"/>
              <w:right w:val="single" w:color="auto" w:sz="4" w:space="0"/>
            </w:tcBorders>
            <w:noWrap w:val="0"/>
            <w:vAlign w:val="center"/>
          </w:tcPr>
          <w:p w14:paraId="161B9F7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负责校区水电设施维护，下水管网疏通，木、泥、水、电维修及值班工作。</w:t>
            </w:r>
          </w:p>
        </w:tc>
      </w:tr>
      <w:tr w14:paraId="6D6FB824">
        <w:tblPrEx>
          <w:tblCellMar>
            <w:top w:w="0" w:type="dxa"/>
            <w:left w:w="108" w:type="dxa"/>
            <w:bottom w:w="0" w:type="dxa"/>
            <w:right w:w="108" w:type="dxa"/>
          </w:tblCellMar>
        </w:tblPrEx>
        <w:trPr>
          <w:trHeight w:val="600" w:hRule="atLeast"/>
        </w:trPr>
        <w:tc>
          <w:tcPr>
            <w:tcW w:w="708" w:type="dxa"/>
            <w:vMerge w:val="continue"/>
            <w:tcBorders>
              <w:left w:val="single" w:color="auto" w:sz="4" w:space="0"/>
              <w:right w:val="single" w:color="auto" w:sz="4" w:space="0"/>
            </w:tcBorders>
            <w:noWrap w:val="0"/>
            <w:vAlign w:val="center"/>
          </w:tcPr>
          <w:p w14:paraId="76CFC1EC">
            <w:pPr>
              <w:widowControl/>
              <w:jc w:val="left"/>
              <w:rPr>
                <w:rFonts w:hint="default" w:ascii="宋体" w:hAnsi="宋体" w:eastAsia="宋体" w:cs="宋体"/>
                <w:kern w:val="0"/>
                <w:sz w:val="24"/>
                <w:szCs w:val="24"/>
                <w:lang w:val="en-US" w:eastAsia="zh-CN"/>
              </w:rPr>
            </w:pPr>
          </w:p>
        </w:tc>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14:paraId="5493D7BD">
            <w:pPr>
              <w:widowControl/>
              <w:jc w:val="center"/>
              <w:rPr>
                <w:rFonts w:hint="eastAsia" w:ascii="宋体" w:hAnsi="宋体" w:eastAsia="宋体" w:cs="宋体"/>
                <w:kern w:val="0"/>
                <w:sz w:val="24"/>
                <w:szCs w:val="24"/>
                <w:lang w:val="en-US" w:eastAsia="zh-CN"/>
              </w:rPr>
            </w:pPr>
          </w:p>
        </w:tc>
        <w:tc>
          <w:tcPr>
            <w:tcW w:w="1500" w:type="dxa"/>
            <w:tcBorders>
              <w:top w:val="single" w:color="auto" w:sz="4" w:space="0"/>
              <w:left w:val="single" w:color="auto" w:sz="4" w:space="0"/>
              <w:bottom w:val="single" w:color="auto" w:sz="4" w:space="0"/>
              <w:right w:val="single" w:color="auto" w:sz="4" w:space="0"/>
            </w:tcBorders>
            <w:noWrap/>
            <w:vAlign w:val="center"/>
          </w:tcPr>
          <w:p w14:paraId="27E1649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司机</w:t>
            </w:r>
          </w:p>
        </w:tc>
        <w:tc>
          <w:tcPr>
            <w:tcW w:w="1185" w:type="dxa"/>
            <w:tcBorders>
              <w:top w:val="single" w:color="auto" w:sz="4" w:space="0"/>
              <w:left w:val="single" w:color="auto" w:sz="4" w:space="0"/>
              <w:bottom w:val="single" w:color="auto" w:sz="4" w:space="0"/>
              <w:right w:val="single" w:color="auto" w:sz="4" w:space="0"/>
            </w:tcBorders>
            <w:noWrap/>
            <w:vAlign w:val="center"/>
          </w:tcPr>
          <w:p w14:paraId="1BF0C24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w:t>
            </w:r>
          </w:p>
        </w:tc>
        <w:tc>
          <w:tcPr>
            <w:tcW w:w="863" w:type="dxa"/>
            <w:tcBorders>
              <w:top w:val="single" w:color="auto" w:sz="4" w:space="0"/>
              <w:left w:val="single" w:color="auto" w:sz="4" w:space="0"/>
              <w:bottom w:val="single" w:color="auto" w:sz="4" w:space="0"/>
              <w:right w:val="single" w:color="auto" w:sz="4" w:space="0"/>
            </w:tcBorders>
            <w:noWrap/>
            <w:vAlign w:val="center"/>
          </w:tcPr>
          <w:p w14:paraId="240664E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4136" w:type="dxa"/>
            <w:tcBorders>
              <w:top w:val="single" w:color="auto" w:sz="4" w:space="0"/>
              <w:left w:val="single" w:color="auto" w:sz="4" w:space="0"/>
              <w:bottom w:val="single" w:color="auto" w:sz="4" w:space="0"/>
              <w:right w:val="single" w:color="auto" w:sz="4" w:space="0"/>
            </w:tcBorders>
            <w:noWrap/>
            <w:vAlign w:val="center"/>
          </w:tcPr>
          <w:p w14:paraId="5C293AD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开封校区校车的日常运营</w:t>
            </w:r>
          </w:p>
        </w:tc>
      </w:tr>
      <w:tr w14:paraId="15E0942E">
        <w:tblPrEx>
          <w:tblCellMar>
            <w:top w:w="0" w:type="dxa"/>
            <w:left w:w="108" w:type="dxa"/>
            <w:bottom w:w="0" w:type="dxa"/>
            <w:right w:w="108" w:type="dxa"/>
          </w:tblCellMar>
        </w:tblPrEx>
        <w:trPr>
          <w:trHeight w:val="600" w:hRule="atLeast"/>
        </w:trPr>
        <w:tc>
          <w:tcPr>
            <w:tcW w:w="708" w:type="dxa"/>
            <w:vMerge w:val="continue"/>
            <w:tcBorders>
              <w:left w:val="single" w:color="auto" w:sz="4" w:space="0"/>
              <w:bottom w:val="single" w:color="auto" w:sz="4" w:space="0"/>
              <w:right w:val="single" w:color="auto" w:sz="4" w:space="0"/>
            </w:tcBorders>
            <w:noWrap/>
            <w:vAlign w:val="center"/>
          </w:tcPr>
          <w:p w14:paraId="58717947">
            <w:pPr>
              <w:widowControl/>
              <w:jc w:val="center"/>
              <w:rPr>
                <w:rFonts w:hint="eastAsia" w:ascii="宋体" w:hAnsi="宋体" w:eastAsia="宋体" w:cs="宋体"/>
                <w:kern w:val="0"/>
                <w:sz w:val="24"/>
                <w:szCs w:val="24"/>
                <w:lang w:val="en-US" w:eastAsia="zh-CN"/>
              </w:rPr>
            </w:pPr>
          </w:p>
        </w:tc>
        <w:tc>
          <w:tcPr>
            <w:tcW w:w="1474" w:type="dxa"/>
            <w:vMerge w:val="restart"/>
            <w:tcBorders>
              <w:top w:val="single" w:color="auto" w:sz="4" w:space="0"/>
              <w:left w:val="single" w:color="auto" w:sz="4" w:space="0"/>
              <w:right w:val="single" w:color="auto" w:sz="4" w:space="0"/>
            </w:tcBorders>
            <w:noWrap w:val="0"/>
            <w:vAlign w:val="center"/>
          </w:tcPr>
          <w:p w14:paraId="6427F13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教师公寓</w:t>
            </w:r>
          </w:p>
        </w:tc>
        <w:tc>
          <w:tcPr>
            <w:tcW w:w="1500" w:type="dxa"/>
            <w:tcBorders>
              <w:top w:val="single" w:color="auto" w:sz="4" w:space="0"/>
              <w:left w:val="single" w:color="auto" w:sz="4" w:space="0"/>
              <w:bottom w:val="single" w:color="auto" w:sz="4" w:space="0"/>
              <w:right w:val="single" w:color="auto" w:sz="4" w:space="0"/>
            </w:tcBorders>
            <w:noWrap/>
            <w:vAlign w:val="center"/>
          </w:tcPr>
          <w:p w14:paraId="32343AF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前台</w:t>
            </w:r>
          </w:p>
        </w:tc>
        <w:tc>
          <w:tcPr>
            <w:tcW w:w="1185" w:type="dxa"/>
            <w:tcBorders>
              <w:top w:val="single" w:color="auto" w:sz="4" w:space="0"/>
              <w:left w:val="single" w:color="auto" w:sz="4" w:space="0"/>
              <w:bottom w:val="single" w:color="auto" w:sz="4" w:space="0"/>
              <w:right w:val="single" w:color="auto" w:sz="4" w:space="0"/>
            </w:tcBorders>
            <w:noWrap/>
            <w:vAlign w:val="center"/>
          </w:tcPr>
          <w:p w14:paraId="4453CB6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w:t>
            </w:r>
          </w:p>
        </w:tc>
        <w:tc>
          <w:tcPr>
            <w:tcW w:w="863" w:type="dxa"/>
            <w:tcBorders>
              <w:top w:val="single" w:color="auto" w:sz="4" w:space="0"/>
              <w:left w:val="single" w:color="auto" w:sz="4" w:space="0"/>
              <w:bottom w:val="single" w:color="auto" w:sz="4" w:space="0"/>
              <w:right w:val="single" w:color="auto" w:sz="4" w:space="0"/>
            </w:tcBorders>
            <w:noWrap/>
            <w:vAlign w:val="center"/>
          </w:tcPr>
          <w:p w14:paraId="6CC87E6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4136" w:type="dxa"/>
            <w:tcBorders>
              <w:top w:val="single" w:color="auto" w:sz="4" w:space="0"/>
              <w:left w:val="single" w:color="auto" w:sz="4" w:space="0"/>
              <w:bottom w:val="single" w:color="auto" w:sz="4" w:space="0"/>
              <w:right w:val="single" w:color="auto" w:sz="4" w:space="0"/>
            </w:tcBorders>
            <w:noWrap w:val="0"/>
            <w:vAlign w:val="center"/>
          </w:tcPr>
          <w:p w14:paraId="2352392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负责接待教师入住、处理咨询与投诉</w:t>
            </w:r>
          </w:p>
        </w:tc>
      </w:tr>
      <w:tr w14:paraId="1D0A99ED">
        <w:tblPrEx>
          <w:tblCellMar>
            <w:top w:w="0" w:type="dxa"/>
            <w:left w:w="108" w:type="dxa"/>
            <w:bottom w:w="0" w:type="dxa"/>
            <w:right w:w="108" w:type="dxa"/>
          </w:tblCellMar>
        </w:tblPrEx>
        <w:trPr>
          <w:trHeight w:val="600" w:hRule="atLeast"/>
        </w:trPr>
        <w:tc>
          <w:tcPr>
            <w:tcW w:w="708" w:type="dxa"/>
            <w:vMerge w:val="continue"/>
            <w:tcBorders>
              <w:left w:val="single" w:color="auto" w:sz="4" w:space="0"/>
              <w:bottom w:val="single" w:color="auto" w:sz="4" w:space="0"/>
              <w:right w:val="single" w:color="auto" w:sz="4" w:space="0"/>
            </w:tcBorders>
            <w:noWrap/>
            <w:vAlign w:val="center"/>
          </w:tcPr>
          <w:p w14:paraId="2A01B7CC">
            <w:pPr>
              <w:widowControl/>
              <w:jc w:val="center"/>
              <w:rPr>
                <w:rFonts w:hint="eastAsia" w:ascii="宋体" w:hAnsi="宋体" w:eastAsia="宋体" w:cs="宋体"/>
                <w:kern w:val="0"/>
                <w:sz w:val="24"/>
                <w:szCs w:val="24"/>
                <w:lang w:val="en-US" w:eastAsia="zh-CN"/>
              </w:rPr>
            </w:pPr>
          </w:p>
        </w:tc>
        <w:tc>
          <w:tcPr>
            <w:tcW w:w="1474" w:type="dxa"/>
            <w:vMerge w:val="continue"/>
            <w:tcBorders>
              <w:left w:val="single" w:color="auto" w:sz="4" w:space="0"/>
              <w:bottom w:val="single" w:color="auto" w:sz="4" w:space="0"/>
              <w:right w:val="single" w:color="auto" w:sz="4" w:space="0"/>
            </w:tcBorders>
            <w:noWrap w:val="0"/>
            <w:vAlign w:val="center"/>
          </w:tcPr>
          <w:p w14:paraId="2A448CD9">
            <w:pPr>
              <w:widowControl/>
              <w:jc w:val="center"/>
              <w:rPr>
                <w:rFonts w:hint="eastAsia" w:ascii="宋体" w:hAnsi="宋体" w:eastAsia="宋体" w:cs="宋体"/>
                <w:kern w:val="0"/>
                <w:sz w:val="24"/>
                <w:szCs w:val="24"/>
                <w:lang w:val="en-US" w:eastAsia="zh-CN"/>
              </w:rPr>
            </w:pPr>
          </w:p>
        </w:tc>
        <w:tc>
          <w:tcPr>
            <w:tcW w:w="1500" w:type="dxa"/>
            <w:tcBorders>
              <w:top w:val="single" w:color="auto" w:sz="4" w:space="0"/>
              <w:left w:val="single" w:color="auto" w:sz="4" w:space="0"/>
              <w:bottom w:val="single" w:color="auto" w:sz="4" w:space="0"/>
              <w:right w:val="single" w:color="auto" w:sz="4" w:space="0"/>
            </w:tcBorders>
            <w:noWrap/>
            <w:vAlign w:val="center"/>
          </w:tcPr>
          <w:p w14:paraId="00FC12E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保洁</w:t>
            </w:r>
          </w:p>
        </w:tc>
        <w:tc>
          <w:tcPr>
            <w:tcW w:w="1185" w:type="dxa"/>
            <w:tcBorders>
              <w:top w:val="single" w:color="auto" w:sz="4" w:space="0"/>
              <w:left w:val="single" w:color="auto" w:sz="4" w:space="0"/>
              <w:bottom w:val="single" w:color="auto" w:sz="4" w:space="0"/>
              <w:right w:val="single" w:color="auto" w:sz="4" w:space="0"/>
            </w:tcBorders>
            <w:noWrap/>
            <w:vAlign w:val="center"/>
          </w:tcPr>
          <w:p w14:paraId="54906F4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w:t>
            </w:r>
          </w:p>
        </w:tc>
        <w:tc>
          <w:tcPr>
            <w:tcW w:w="863" w:type="dxa"/>
            <w:tcBorders>
              <w:top w:val="single" w:color="auto" w:sz="4" w:space="0"/>
              <w:left w:val="single" w:color="auto" w:sz="4" w:space="0"/>
              <w:bottom w:val="single" w:color="auto" w:sz="4" w:space="0"/>
              <w:right w:val="single" w:color="auto" w:sz="4" w:space="0"/>
            </w:tcBorders>
            <w:noWrap/>
            <w:vAlign w:val="center"/>
          </w:tcPr>
          <w:p w14:paraId="00CA08E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4136" w:type="dxa"/>
            <w:tcBorders>
              <w:top w:val="single" w:color="auto" w:sz="4" w:space="0"/>
              <w:left w:val="single" w:color="auto" w:sz="4" w:space="0"/>
              <w:bottom w:val="single" w:color="auto" w:sz="4" w:space="0"/>
              <w:right w:val="single" w:color="auto" w:sz="4" w:space="0"/>
            </w:tcBorders>
            <w:noWrap w:val="0"/>
            <w:vAlign w:val="center"/>
          </w:tcPr>
          <w:p w14:paraId="16DD6C6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客房日常清洁、布草更换、公共区域维护等工作</w:t>
            </w:r>
          </w:p>
        </w:tc>
      </w:tr>
      <w:tr w14:paraId="0769EF50">
        <w:tblPrEx>
          <w:tblCellMar>
            <w:top w:w="0" w:type="dxa"/>
            <w:left w:w="108" w:type="dxa"/>
            <w:bottom w:w="0" w:type="dxa"/>
            <w:right w:w="108" w:type="dxa"/>
          </w:tblCellMar>
        </w:tblPrEx>
        <w:trPr>
          <w:trHeight w:val="600" w:hRule="atLeast"/>
        </w:trPr>
        <w:tc>
          <w:tcPr>
            <w:tcW w:w="708" w:type="dxa"/>
            <w:vMerge w:val="restart"/>
            <w:tcBorders>
              <w:top w:val="single" w:color="auto" w:sz="4" w:space="0"/>
              <w:left w:val="single" w:color="auto" w:sz="4" w:space="0"/>
              <w:bottom w:val="single" w:color="auto" w:sz="4" w:space="0"/>
              <w:right w:val="single" w:color="auto" w:sz="4" w:space="0"/>
            </w:tcBorders>
            <w:noWrap/>
            <w:vAlign w:val="center"/>
          </w:tcPr>
          <w:p w14:paraId="13B7CBA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学生处</w:t>
            </w:r>
          </w:p>
        </w:tc>
        <w:tc>
          <w:tcPr>
            <w:tcW w:w="1474" w:type="dxa"/>
            <w:vMerge w:val="restart"/>
            <w:tcBorders>
              <w:top w:val="single" w:color="auto" w:sz="4" w:space="0"/>
              <w:left w:val="single" w:color="auto" w:sz="4" w:space="0"/>
              <w:bottom w:val="single" w:color="auto" w:sz="4" w:space="0"/>
              <w:right w:val="single" w:color="auto" w:sz="4" w:space="0"/>
            </w:tcBorders>
            <w:noWrap w:val="0"/>
            <w:vAlign w:val="center"/>
          </w:tcPr>
          <w:p w14:paraId="24AC72E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学生公寓</w:t>
            </w:r>
          </w:p>
        </w:tc>
        <w:tc>
          <w:tcPr>
            <w:tcW w:w="1500" w:type="dxa"/>
            <w:tcBorders>
              <w:top w:val="single" w:color="auto" w:sz="4" w:space="0"/>
              <w:left w:val="single" w:color="auto" w:sz="4" w:space="0"/>
              <w:bottom w:val="single" w:color="auto" w:sz="4" w:space="0"/>
              <w:right w:val="single" w:color="auto" w:sz="4" w:space="0"/>
            </w:tcBorders>
            <w:noWrap/>
            <w:vAlign w:val="center"/>
          </w:tcPr>
          <w:p w14:paraId="6A82FF1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1号楼（A/B连体）</w:t>
            </w:r>
          </w:p>
        </w:tc>
        <w:tc>
          <w:tcPr>
            <w:tcW w:w="1185" w:type="dxa"/>
            <w:tcBorders>
              <w:top w:val="single" w:color="auto" w:sz="4" w:space="0"/>
              <w:left w:val="single" w:color="auto" w:sz="4" w:space="0"/>
              <w:bottom w:val="single" w:color="auto" w:sz="4" w:space="0"/>
              <w:right w:val="single" w:color="auto" w:sz="4" w:space="0"/>
            </w:tcBorders>
            <w:noWrap/>
            <w:vAlign w:val="center"/>
          </w:tcPr>
          <w:p w14:paraId="5BE61B2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14600</w:t>
            </w:r>
          </w:p>
        </w:tc>
        <w:tc>
          <w:tcPr>
            <w:tcW w:w="863" w:type="dxa"/>
            <w:tcBorders>
              <w:top w:val="single" w:color="auto" w:sz="4" w:space="0"/>
              <w:left w:val="single" w:color="auto" w:sz="4" w:space="0"/>
              <w:bottom w:val="single" w:color="auto" w:sz="4" w:space="0"/>
              <w:right w:val="single" w:color="auto" w:sz="4" w:space="0"/>
            </w:tcBorders>
            <w:noWrap/>
            <w:vAlign w:val="center"/>
          </w:tcPr>
          <w:p w14:paraId="0C77AAB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4136" w:type="dxa"/>
            <w:tcBorders>
              <w:top w:val="single" w:color="auto" w:sz="4" w:space="0"/>
              <w:left w:val="single" w:color="auto" w:sz="4" w:space="0"/>
              <w:bottom w:val="single" w:color="auto" w:sz="4" w:space="0"/>
              <w:right w:val="single" w:color="auto" w:sz="4" w:space="0"/>
            </w:tcBorders>
            <w:noWrap w:val="0"/>
            <w:vAlign w:val="center"/>
          </w:tcPr>
          <w:p w14:paraId="2E8255D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拟设保洁、宿管共6人（含一楼教师休息室公共卫生间和公共部分，6人统一调配）</w:t>
            </w:r>
          </w:p>
        </w:tc>
      </w:tr>
      <w:tr w14:paraId="56BBDE49">
        <w:tblPrEx>
          <w:tblCellMar>
            <w:top w:w="0" w:type="dxa"/>
            <w:left w:w="108" w:type="dxa"/>
            <w:bottom w:w="0" w:type="dxa"/>
            <w:right w:w="108" w:type="dxa"/>
          </w:tblCellMar>
        </w:tblPrEx>
        <w:trPr>
          <w:trHeight w:val="600" w:hRule="atLeast"/>
        </w:trPr>
        <w:tc>
          <w:tcPr>
            <w:tcW w:w="708" w:type="dxa"/>
            <w:vMerge w:val="continue"/>
            <w:tcBorders>
              <w:top w:val="nil"/>
              <w:left w:val="single" w:color="auto" w:sz="4" w:space="0"/>
              <w:bottom w:val="single" w:color="auto" w:sz="4" w:space="0"/>
              <w:right w:val="single" w:color="auto" w:sz="4" w:space="0"/>
            </w:tcBorders>
            <w:noWrap w:val="0"/>
            <w:vAlign w:val="center"/>
          </w:tcPr>
          <w:p w14:paraId="6000BCA2">
            <w:pPr>
              <w:widowControl/>
              <w:jc w:val="left"/>
              <w:rPr>
                <w:rFonts w:hint="default" w:ascii="宋体" w:hAnsi="宋体" w:eastAsia="宋体" w:cs="宋体"/>
                <w:kern w:val="0"/>
                <w:sz w:val="24"/>
                <w:szCs w:val="24"/>
                <w:lang w:val="en-US" w:eastAsia="zh-CN"/>
              </w:rPr>
            </w:pPr>
          </w:p>
        </w:tc>
        <w:tc>
          <w:tcPr>
            <w:tcW w:w="1474" w:type="dxa"/>
            <w:vMerge w:val="continue"/>
            <w:tcBorders>
              <w:top w:val="nil"/>
              <w:left w:val="single" w:color="auto" w:sz="4" w:space="0"/>
              <w:bottom w:val="single" w:color="auto" w:sz="4" w:space="0"/>
              <w:right w:val="single" w:color="auto" w:sz="4" w:space="0"/>
            </w:tcBorders>
            <w:noWrap w:val="0"/>
            <w:vAlign w:val="center"/>
          </w:tcPr>
          <w:p w14:paraId="05EDB8AA">
            <w:pPr>
              <w:widowControl/>
              <w:jc w:val="center"/>
              <w:rPr>
                <w:rFonts w:hint="eastAsia" w:ascii="宋体" w:hAnsi="宋体" w:eastAsia="宋体" w:cs="宋体"/>
                <w:kern w:val="0"/>
                <w:sz w:val="24"/>
                <w:szCs w:val="24"/>
                <w:lang w:val="en-US" w:eastAsia="zh-CN"/>
              </w:rPr>
            </w:pPr>
          </w:p>
        </w:tc>
        <w:tc>
          <w:tcPr>
            <w:tcW w:w="1500" w:type="dxa"/>
            <w:tcBorders>
              <w:top w:val="single" w:color="auto" w:sz="4" w:space="0"/>
              <w:left w:val="single" w:color="auto" w:sz="4" w:space="0"/>
              <w:bottom w:val="single" w:color="auto" w:sz="4" w:space="0"/>
              <w:right w:val="single" w:color="auto" w:sz="4" w:space="0"/>
            </w:tcBorders>
            <w:noWrap/>
            <w:vAlign w:val="center"/>
          </w:tcPr>
          <w:p w14:paraId="1F3007A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2号楼（A/B连体）</w:t>
            </w:r>
          </w:p>
        </w:tc>
        <w:tc>
          <w:tcPr>
            <w:tcW w:w="1185" w:type="dxa"/>
            <w:tcBorders>
              <w:top w:val="single" w:color="auto" w:sz="4" w:space="0"/>
              <w:left w:val="single" w:color="auto" w:sz="4" w:space="0"/>
              <w:bottom w:val="single" w:color="auto" w:sz="4" w:space="0"/>
              <w:right w:val="single" w:color="auto" w:sz="4" w:space="0"/>
            </w:tcBorders>
            <w:noWrap/>
            <w:vAlign w:val="center"/>
          </w:tcPr>
          <w:p w14:paraId="46AF2BF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19031</w:t>
            </w:r>
          </w:p>
        </w:tc>
        <w:tc>
          <w:tcPr>
            <w:tcW w:w="863" w:type="dxa"/>
            <w:tcBorders>
              <w:top w:val="single" w:color="auto" w:sz="4" w:space="0"/>
              <w:left w:val="single" w:color="auto" w:sz="4" w:space="0"/>
              <w:bottom w:val="single" w:color="auto" w:sz="4" w:space="0"/>
              <w:right w:val="single" w:color="auto" w:sz="4" w:space="0"/>
            </w:tcBorders>
            <w:noWrap/>
            <w:vAlign w:val="center"/>
          </w:tcPr>
          <w:p w14:paraId="0715D63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4136" w:type="dxa"/>
            <w:tcBorders>
              <w:top w:val="single" w:color="auto" w:sz="4" w:space="0"/>
              <w:left w:val="single" w:color="auto" w:sz="4" w:space="0"/>
              <w:bottom w:val="single" w:color="auto" w:sz="4" w:space="0"/>
              <w:right w:val="single" w:color="auto" w:sz="4" w:space="0"/>
            </w:tcBorders>
            <w:noWrap w:val="0"/>
            <w:vAlign w:val="center"/>
          </w:tcPr>
          <w:p w14:paraId="69AF3F4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拟设保洁、宿管共7人（含一楼教师休息室公共卫生间和公共部分，由此7人统一调配）</w:t>
            </w:r>
          </w:p>
        </w:tc>
      </w:tr>
      <w:tr w14:paraId="4DBE8150">
        <w:tblPrEx>
          <w:tblCellMar>
            <w:top w:w="0" w:type="dxa"/>
            <w:left w:w="108" w:type="dxa"/>
            <w:bottom w:w="0" w:type="dxa"/>
            <w:right w:w="108" w:type="dxa"/>
          </w:tblCellMar>
        </w:tblPrEx>
        <w:trPr>
          <w:trHeight w:val="600" w:hRule="atLeast"/>
        </w:trPr>
        <w:tc>
          <w:tcPr>
            <w:tcW w:w="708" w:type="dxa"/>
            <w:vMerge w:val="continue"/>
            <w:tcBorders>
              <w:top w:val="nil"/>
              <w:left w:val="single" w:color="auto" w:sz="4" w:space="0"/>
              <w:bottom w:val="single" w:color="auto" w:sz="4" w:space="0"/>
              <w:right w:val="single" w:color="auto" w:sz="4" w:space="0"/>
            </w:tcBorders>
            <w:noWrap w:val="0"/>
            <w:vAlign w:val="center"/>
          </w:tcPr>
          <w:p w14:paraId="7276BC33">
            <w:pPr>
              <w:widowControl/>
              <w:jc w:val="left"/>
              <w:rPr>
                <w:rFonts w:hint="default" w:ascii="宋体" w:hAnsi="宋体" w:eastAsia="宋体" w:cs="宋体"/>
                <w:kern w:val="0"/>
                <w:sz w:val="24"/>
                <w:szCs w:val="24"/>
                <w:lang w:val="en-US" w:eastAsia="zh-CN"/>
              </w:rPr>
            </w:pPr>
          </w:p>
        </w:tc>
        <w:tc>
          <w:tcPr>
            <w:tcW w:w="1474" w:type="dxa"/>
            <w:vMerge w:val="continue"/>
            <w:tcBorders>
              <w:top w:val="nil"/>
              <w:left w:val="single" w:color="auto" w:sz="4" w:space="0"/>
              <w:bottom w:val="single" w:color="auto" w:sz="4" w:space="0"/>
              <w:right w:val="single" w:color="auto" w:sz="4" w:space="0"/>
            </w:tcBorders>
            <w:noWrap w:val="0"/>
            <w:vAlign w:val="center"/>
          </w:tcPr>
          <w:p w14:paraId="57AA5E7C">
            <w:pPr>
              <w:widowControl/>
              <w:jc w:val="center"/>
              <w:rPr>
                <w:rFonts w:hint="eastAsia" w:ascii="宋体" w:hAnsi="宋体" w:eastAsia="宋体" w:cs="宋体"/>
                <w:kern w:val="0"/>
                <w:sz w:val="24"/>
                <w:szCs w:val="24"/>
                <w:lang w:val="en-US" w:eastAsia="zh-CN"/>
              </w:rPr>
            </w:pPr>
          </w:p>
        </w:tc>
        <w:tc>
          <w:tcPr>
            <w:tcW w:w="1500" w:type="dxa"/>
            <w:tcBorders>
              <w:top w:val="single" w:color="auto" w:sz="4" w:space="0"/>
              <w:left w:val="single" w:color="auto" w:sz="4" w:space="0"/>
              <w:bottom w:val="single" w:color="auto" w:sz="4" w:space="0"/>
              <w:right w:val="single" w:color="auto" w:sz="4" w:space="0"/>
            </w:tcBorders>
            <w:noWrap/>
            <w:vAlign w:val="center"/>
          </w:tcPr>
          <w:p w14:paraId="06679CE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3号楼（A/B连体）</w:t>
            </w:r>
          </w:p>
        </w:tc>
        <w:tc>
          <w:tcPr>
            <w:tcW w:w="1185" w:type="dxa"/>
            <w:tcBorders>
              <w:top w:val="single" w:color="auto" w:sz="4" w:space="0"/>
              <w:left w:val="single" w:color="auto" w:sz="4" w:space="0"/>
              <w:bottom w:val="single" w:color="auto" w:sz="4" w:space="0"/>
              <w:right w:val="single" w:color="auto" w:sz="4" w:space="0"/>
            </w:tcBorders>
            <w:noWrap/>
            <w:vAlign w:val="center"/>
          </w:tcPr>
          <w:p w14:paraId="3D10B09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12000</w:t>
            </w:r>
          </w:p>
        </w:tc>
        <w:tc>
          <w:tcPr>
            <w:tcW w:w="863" w:type="dxa"/>
            <w:tcBorders>
              <w:top w:val="single" w:color="auto" w:sz="4" w:space="0"/>
              <w:left w:val="single" w:color="auto" w:sz="4" w:space="0"/>
              <w:bottom w:val="single" w:color="auto" w:sz="4" w:space="0"/>
              <w:right w:val="single" w:color="auto" w:sz="4" w:space="0"/>
            </w:tcBorders>
            <w:noWrap/>
            <w:vAlign w:val="center"/>
          </w:tcPr>
          <w:p w14:paraId="45A2F29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4136" w:type="dxa"/>
            <w:tcBorders>
              <w:top w:val="single" w:color="auto" w:sz="4" w:space="0"/>
              <w:left w:val="single" w:color="auto" w:sz="4" w:space="0"/>
              <w:bottom w:val="single" w:color="auto" w:sz="4" w:space="0"/>
              <w:right w:val="single" w:color="auto" w:sz="4" w:space="0"/>
            </w:tcBorders>
            <w:noWrap w:val="0"/>
            <w:vAlign w:val="center"/>
          </w:tcPr>
          <w:p w14:paraId="3AE3D4F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拟设保洁、宿管共5人（含一楼教师休息室公共卫生间和公共部分，5人统一调配）</w:t>
            </w:r>
          </w:p>
        </w:tc>
      </w:tr>
      <w:tr w14:paraId="2D875EB6">
        <w:tblPrEx>
          <w:tblCellMar>
            <w:top w:w="0" w:type="dxa"/>
            <w:left w:w="108" w:type="dxa"/>
            <w:bottom w:w="0" w:type="dxa"/>
            <w:right w:w="108" w:type="dxa"/>
          </w:tblCellMar>
        </w:tblPrEx>
        <w:trPr>
          <w:trHeight w:val="600" w:hRule="atLeast"/>
        </w:trPr>
        <w:tc>
          <w:tcPr>
            <w:tcW w:w="708" w:type="dxa"/>
            <w:vMerge w:val="continue"/>
            <w:tcBorders>
              <w:top w:val="nil"/>
              <w:left w:val="single" w:color="auto" w:sz="4" w:space="0"/>
              <w:bottom w:val="single" w:color="auto" w:sz="4" w:space="0"/>
              <w:right w:val="single" w:color="auto" w:sz="4" w:space="0"/>
            </w:tcBorders>
            <w:noWrap w:val="0"/>
            <w:vAlign w:val="center"/>
          </w:tcPr>
          <w:p w14:paraId="25B55418">
            <w:pPr>
              <w:widowControl/>
              <w:jc w:val="left"/>
              <w:rPr>
                <w:rFonts w:hint="default" w:ascii="宋体" w:hAnsi="宋体" w:eastAsia="宋体" w:cs="宋体"/>
                <w:kern w:val="0"/>
                <w:sz w:val="24"/>
                <w:szCs w:val="24"/>
                <w:lang w:val="en-US" w:eastAsia="zh-CN"/>
              </w:rPr>
            </w:pPr>
          </w:p>
        </w:tc>
        <w:tc>
          <w:tcPr>
            <w:tcW w:w="1474" w:type="dxa"/>
            <w:vMerge w:val="continue"/>
            <w:tcBorders>
              <w:top w:val="nil"/>
              <w:left w:val="single" w:color="auto" w:sz="4" w:space="0"/>
              <w:bottom w:val="single" w:color="auto" w:sz="4" w:space="0"/>
              <w:right w:val="single" w:color="auto" w:sz="4" w:space="0"/>
            </w:tcBorders>
            <w:noWrap w:val="0"/>
            <w:vAlign w:val="center"/>
          </w:tcPr>
          <w:p w14:paraId="4F236927">
            <w:pPr>
              <w:widowControl/>
              <w:jc w:val="left"/>
              <w:rPr>
                <w:rFonts w:hint="default" w:ascii="宋体" w:hAnsi="宋体" w:eastAsia="宋体" w:cs="宋体"/>
                <w:kern w:val="0"/>
                <w:sz w:val="24"/>
                <w:szCs w:val="24"/>
                <w:lang w:val="en-US" w:eastAsia="zh-CN"/>
              </w:rPr>
            </w:pPr>
          </w:p>
        </w:tc>
        <w:tc>
          <w:tcPr>
            <w:tcW w:w="1500" w:type="dxa"/>
            <w:tcBorders>
              <w:top w:val="single" w:color="auto" w:sz="4" w:space="0"/>
              <w:left w:val="single" w:color="auto" w:sz="4" w:space="0"/>
              <w:bottom w:val="single" w:color="auto" w:sz="4" w:space="0"/>
              <w:right w:val="single" w:color="auto" w:sz="4" w:space="0"/>
            </w:tcBorders>
            <w:noWrap/>
            <w:vAlign w:val="center"/>
          </w:tcPr>
          <w:p w14:paraId="0086266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4号楼</w:t>
            </w:r>
          </w:p>
        </w:tc>
        <w:tc>
          <w:tcPr>
            <w:tcW w:w="1185" w:type="dxa"/>
            <w:tcBorders>
              <w:top w:val="single" w:color="auto" w:sz="4" w:space="0"/>
              <w:left w:val="single" w:color="auto" w:sz="4" w:space="0"/>
              <w:bottom w:val="single" w:color="auto" w:sz="4" w:space="0"/>
              <w:right w:val="single" w:color="auto" w:sz="4" w:space="0"/>
            </w:tcBorders>
            <w:noWrap/>
            <w:vAlign w:val="center"/>
          </w:tcPr>
          <w:p w14:paraId="4C3FEBD7">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10600</w:t>
            </w:r>
          </w:p>
        </w:tc>
        <w:tc>
          <w:tcPr>
            <w:tcW w:w="863" w:type="dxa"/>
            <w:tcBorders>
              <w:top w:val="single" w:color="auto" w:sz="4" w:space="0"/>
              <w:left w:val="single" w:color="auto" w:sz="4" w:space="0"/>
              <w:bottom w:val="single" w:color="auto" w:sz="4" w:space="0"/>
              <w:right w:val="single" w:color="auto" w:sz="4" w:space="0"/>
            </w:tcBorders>
            <w:noWrap/>
            <w:vAlign w:val="center"/>
          </w:tcPr>
          <w:p w14:paraId="7F7E072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4136" w:type="dxa"/>
            <w:tcBorders>
              <w:top w:val="single" w:color="auto" w:sz="4" w:space="0"/>
              <w:left w:val="single" w:color="auto" w:sz="4" w:space="0"/>
              <w:bottom w:val="single" w:color="auto" w:sz="4" w:space="0"/>
              <w:right w:val="single" w:color="auto" w:sz="4" w:space="0"/>
            </w:tcBorders>
            <w:noWrap w:val="0"/>
            <w:vAlign w:val="center"/>
          </w:tcPr>
          <w:p w14:paraId="2081858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4号宿舍楼9月交付使用，拟设保洁、宿管共5人（含一楼教师休息室公共卫生间和公共部分，由此5人统一调配）</w:t>
            </w:r>
          </w:p>
        </w:tc>
      </w:tr>
      <w:tr w14:paraId="13CB031B">
        <w:tblPrEx>
          <w:tblCellMar>
            <w:top w:w="0" w:type="dxa"/>
            <w:left w:w="108" w:type="dxa"/>
            <w:bottom w:w="0" w:type="dxa"/>
            <w:right w:w="108" w:type="dxa"/>
          </w:tblCellMar>
        </w:tblPrEx>
        <w:trPr>
          <w:trHeight w:val="600" w:hRule="atLeast"/>
        </w:trPr>
        <w:tc>
          <w:tcPr>
            <w:tcW w:w="708" w:type="dxa"/>
            <w:tcBorders>
              <w:top w:val="single" w:color="auto" w:sz="4" w:space="0"/>
              <w:left w:val="single" w:color="auto" w:sz="4" w:space="0"/>
              <w:bottom w:val="single" w:color="auto" w:sz="4" w:space="0"/>
              <w:right w:val="single" w:color="auto" w:sz="4" w:space="0"/>
            </w:tcBorders>
            <w:noWrap/>
            <w:vAlign w:val="center"/>
          </w:tcPr>
          <w:p w14:paraId="27BC74C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w:t>
            </w:r>
          </w:p>
        </w:tc>
        <w:tc>
          <w:tcPr>
            <w:tcW w:w="4159" w:type="dxa"/>
            <w:gridSpan w:val="3"/>
            <w:tcBorders>
              <w:top w:val="single" w:color="auto" w:sz="4" w:space="0"/>
              <w:left w:val="nil"/>
              <w:bottom w:val="single" w:color="auto" w:sz="4" w:space="0"/>
              <w:right w:val="single" w:color="auto" w:sz="4" w:space="0"/>
            </w:tcBorders>
            <w:noWrap/>
            <w:vAlign w:val="center"/>
          </w:tcPr>
          <w:p w14:paraId="16EB604F">
            <w:pPr>
              <w:widowControl/>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合 计</w:t>
            </w:r>
          </w:p>
        </w:tc>
        <w:tc>
          <w:tcPr>
            <w:tcW w:w="863" w:type="dxa"/>
            <w:tcBorders>
              <w:top w:val="single" w:color="auto" w:sz="4" w:space="0"/>
              <w:left w:val="single" w:color="auto" w:sz="4" w:space="0"/>
              <w:bottom w:val="single" w:color="auto" w:sz="4" w:space="0"/>
              <w:right w:val="single" w:color="auto" w:sz="4" w:space="0"/>
            </w:tcBorders>
            <w:noWrap/>
            <w:vAlign w:val="center"/>
          </w:tcPr>
          <w:p w14:paraId="7AB05C00">
            <w:pPr>
              <w:widowControl/>
              <w:jc w:val="center"/>
              <w:rPr>
                <w:rFonts w:hint="eastAsia" w:ascii="宋体" w:hAnsi="宋体" w:eastAsia="宋体" w:cs="宋体"/>
                <w:b/>
                <w:bCs/>
                <w:kern w:val="0"/>
                <w:sz w:val="24"/>
                <w:szCs w:val="24"/>
                <w:lang w:val="en-US" w:eastAsia="zh-CN"/>
              </w:rPr>
            </w:pPr>
            <w:r>
              <w:rPr>
                <w:rFonts w:hint="eastAsia" w:ascii="宋体" w:hAnsi="宋体" w:eastAsia="宋体" w:cs="宋体"/>
                <w:kern w:val="0"/>
                <w:sz w:val="24"/>
                <w:szCs w:val="24"/>
                <w:lang w:val="en-US" w:eastAsia="zh-CN"/>
              </w:rPr>
              <w:t>66</w:t>
            </w:r>
          </w:p>
        </w:tc>
        <w:tc>
          <w:tcPr>
            <w:tcW w:w="4136" w:type="dxa"/>
            <w:tcBorders>
              <w:top w:val="single" w:color="auto" w:sz="4" w:space="0"/>
              <w:left w:val="single" w:color="auto" w:sz="4" w:space="0"/>
              <w:bottom w:val="single" w:color="auto" w:sz="4" w:space="0"/>
              <w:right w:val="single" w:color="auto" w:sz="4" w:space="0"/>
            </w:tcBorders>
            <w:noWrap w:val="0"/>
            <w:vAlign w:val="center"/>
          </w:tcPr>
          <w:p w14:paraId="28F3903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w:t>
            </w:r>
          </w:p>
        </w:tc>
      </w:tr>
    </w:tbl>
    <w:p w14:paraId="449E1AA3">
      <w:pPr>
        <w:pStyle w:val="18"/>
        <w:rPr>
          <w:rFonts w:ascii="宋体" w:hAnsi="宋体" w:eastAsia="宋体" w:cs="宋体"/>
          <w:b/>
          <w:bCs/>
          <w:kern w:val="0"/>
          <w:sz w:val="40"/>
          <w:szCs w:val="40"/>
          <w:lang w:val="en-US" w:eastAsia="zh-CN"/>
        </w:rPr>
      </w:pPr>
    </w:p>
    <w:p w14:paraId="361E8EC8">
      <w:pPr>
        <w:pStyle w:val="71"/>
        <w:ind w:left="0" w:leftChars="0" w:firstLine="0" w:firstLineChars="0"/>
        <w:rPr>
          <w:rFonts w:hint="default"/>
          <w:lang w:val="en-US" w:eastAsia="zh-CN"/>
        </w:rPr>
      </w:pPr>
    </w:p>
    <w:p w14:paraId="567ACA78">
      <w:pPr>
        <w:spacing w:before="128" w:line="360" w:lineRule="auto"/>
        <w:ind w:left="420" w:leftChars="200"/>
        <w:jc w:val="center"/>
        <w:outlineLvl w:val="2"/>
        <w:rPr>
          <w:rFonts w:hint="default" w:ascii="仿宋_GB2312" w:hAnsi="仿宋_GB2312" w:eastAsia="仿宋_GB2312" w:cs="仿宋_GB2312"/>
          <w:b/>
          <w:color w:val="auto"/>
          <w:sz w:val="32"/>
          <w:szCs w:val="32"/>
          <w:lang w:val="en-US" w:eastAsia="zh-CN"/>
        </w:rPr>
      </w:pPr>
      <w:r>
        <w:rPr>
          <w:rFonts w:hint="eastAsia" w:ascii="宋体" w:hAnsi="宋体" w:eastAsia="宋体" w:cs="宋体"/>
          <w:b/>
          <w:bCs/>
          <w:kern w:val="0"/>
          <w:sz w:val="40"/>
          <w:szCs w:val="40"/>
          <w:lang w:val="en-US" w:eastAsia="zh-CN"/>
        </w:rPr>
        <w:t>包2：郑州校区</w:t>
      </w:r>
      <w:r>
        <w:rPr>
          <w:rFonts w:ascii="宋体" w:hAnsi="宋体" w:eastAsia="宋体" w:cs="宋体"/>
          <w:b/>
          <w:bCs/>
          <w:kern w:val="0"/>
          <w:sz w:val="40"/>
          <w:szCs w:val="40"/>
          <w:lang w:val="en-US" w:eastAsia="zh-CN"/>
        </w:rPr>
        <w:t>物业人员配备</w:t>
      </w:r>
    </w:p>
    <w:tbl>
      <w:tblPr>
        <w:tblStyle w:val="53"/>
        <w:tblW w:w="9031" w:type="dxa"/>
        <w:tblInd w:w="-176" w:type="dxa"/>
        <w:tblLayout w:type="fixed"/>
        <w:tblCellMar>
          <w:top w:w="0" w:type="dxa"/>
          <w:left w:w="108" w:type="dxa"/>
          <w:bottom w:w="0" w:type="dxa"/>
          <w:right w:w="108" w:type="dxa"/>
        </w:tblCellMar>
      </w:tblPr>
      <w:tblGrid>
        <w:gridCol w:w="840"/>
        <w:gridCol w:w="867"/>
        <w:gridCol w:w="1133"/>
        <w:gridCol w:w="1235"/>
        <w:gridCol w:w="365"/>
        <w:gridCol w:w="1356"/>
        <w:gridCol w:w="867"/>
        <w:gridCol w:w="2368"/>
      </w:tblGrid>
      <w:tr w14:paraId="5983243A">
        <w:tblPrEx>
          <w:tblCellMar>
            <w:top w:w="0" w:type="dxa"/>
            <w:left w:w="108" w:type="dxa"/>
            <w:bottom w:w="0" w:type="dxa"/>
            <w:right w:w="108" w:type="dxa"/>
          </w:tblCellMar>
        </w:tblPrEx>
        <w:trPr>
          <w:trHeight w:val="68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14:paraId="5E936440">
            <w:pPr>
              <w:widowControl/>
              <w:snapToGrid w:val="0"/>
              <w:jc w:val="center"/>
              <w:rPr>
                <w:rFonts w:hint="eastAsia" w:ascii="宋体" w:hAnsi="宋体" w:cs="宋体"/>
                <w:b/>
                <w:bCs/>
                <w:kern w:val="0"/>
                <w:sz w:val="24"/>
              </w:rPr>
            </w:pPr>
            <w:r>
              <w:rPr>
                <w:rFonts w:hint="eastAsia" w:ascii="宋体" w:hAnsi="宋体" w:cs="宋体"/>
                <w:b/>
                <w:bCs/>
                <w:kern w:val="0"/>
                <w:sz w:val="24"/>
              </w:rPr>
              <w:t>管理部门</w:t>
            </w:r>
          </w:p>
        </w:tc>
        <w:tc>
          <w:tcPr>
            <w:tcW w:w="2000" w:type="dxa"/>
            <w:gridSpan w:val="2"/>
            <w:tcBorders>
              <w:top w:val="single" w:color="auto" w:sz="4" w:space="0"/>
              <w:left w:val="nil"/>
              <w:bottom w:val="single" w:color="auto" w:sz="4" w:space="0"/>
              <w:right w:val="single" w:color="auto" w:sz="4" w:space="0"/>
            </w:tcBorders>
            <w:noWrap w:val="0"/>
            <w:vAlign w:val="center"/>
          </w:tcPr>
          <w:p w14:paraId="2BD0AC29">
            <w:pPr>
              <w:widowControl/>
              <w:snapToGrid w:val="0"/>
              <w:jc w:val="center"/>
              <w:rPr>
                <w:rFonts w:hint="eastAsia" w:ascii="宋体" w:hAnsi="宋体" w:cs="宋体"/>
                <w:b/>
                <w:bCs/>
                <w:kern w:val="0"/>
                <w:sz w:val="24"/>
              </w:rPr>
            </w:pPr>
            <w:r>
              <w:rPr>
                <w:rFonts w:hint="eastAsia" w:ascii="宋体" w:hAnsi="宋体" w:cs="宋体"/>
                <w:b/>
                <w:bCs/>
                <w:kern w:val="0"/>
                <w:sz w:val="24"/>
              </w:rPr>
              <w:t>岗位</w:t>
            </w:r>
          </w:p>
        </w:tc>
        <w:tc>
          <w:tcPr>
            <w:tcW w:w="1600" w:type="dxa"/>
            <w:gridSpan w:val="2"/>
            <w:tcBorders>
              <w:top w:val="single" w:color="auto" w:sz="4" w:space="0"/>
              <w:left w:val="nil"/>
              <w:bottom w:val="single" w:color="auto" w:sz="4" w:space="0"/>
              <w:right w:val="single" w:color="auto" w:sz="4" w:space="0"/>
            </w:tcBorders>
            <w:noWrap w:val="0"/>
            <w:vAlign w:val="center"/>
          </w:tcPr>
          <w:p w14:paraId="10196E9E">
            <w:pPr>
              <w:widowControl/>
              <w:snapToGrid w:val="0"/>
              <w:jc w:val="center"/>
              <w:rPr>
                <w:rFonts w:hint="eastAsia" w:ascii="宋体" w:hAnsi="宋体" w:cs="宋体"/>
                <w:b/>
                <w:bCs/>
                <w:kern w:val="0"/>
                <w:sz w:val="24"/>
              </w:rPr>
            </w:pPr>
            <w:r>
              <w:rPr>
                <w:rFonts w:hint="eastAsia" w:ascii="宋体" w:hAnsi="宋体" w:cs="宋体"/>
                <w:b/>
                <w:bCs/>
                <w:kern w:val="0"/>
                <w:sz w:val="24"/>
              </w:rPr>
              <w:t>工作区域</w:t>
            </w:r>
          </w:p>
        </w:tc>
        <w:tc>
          <w:tcPr>
            <w:tcW w:w="1356" w:type="dxa"/>
            <w:tcBorders>
              <w:top w:val="single" w:color="auto" w:sz="4" w:space="0"/>
              <w:left w:val="nil"/>
              <w:bottom w:val="single" w:color="auto" w:sz="4" w:space="0"/>
              <w:right w:val="single" w:color="auto" w:sz="4" w:space="0"/>
            </w:tcBorders>
            <w:noWrap w:val="0"/>
            <w:vAlign w:val="center"/>
          </w:tcPr>
          <w:p w14:paraId="346566C9">
            <w:pPr>
              <w:widowControl/>
              <w:snapToGrid w:val="0"/>
              <w:jc w:val="center"/>
              <w:rPr>
                <w:rFonts w:hint="eastAsia" w:ascii="宋体" w:hAnsi="宋体" w:cs="宋体"/>
                <w:b/>
                <w:bCs/>
                <w:kern w:val="0"/>
                <w:sz w:val="24"/>
              </w:rPr>
            </w:pPr>
            <w:r>
              <w:rPr>
                <w:rFonts w:hint="eastAsia" w:ascii="宋体" w:hAnsi="宋体" w:cs="宋体"/>
                <w:b/>
                <w:bCs/>
                <w:kern w:val="0"/>
                <w:sz w:val="24"/>
              </w:rPr>
              <w:t>建筑面积（平方米）</w:t>
            </w:r>
          </w:p>
        </w:tc>
        <w:tc>
          <w:tcPr>
            <w:tcW w:w="867" w:type="dxa"/>
            <w:tcBorders>
              <w:top w:val="single" w:color="auto" w:sz="4" w:space="0"/>
              <w:left w:val="nil"/>
              <w:bottom w:val="single" w:color="auto" w:sz="4" w:space="0"/>
              <w:right w:val="single" w:color="auto" w:sz="4" w:space="0"/>
            </w:tcBorders>
            <w:noWrap w:val="0"/>
            <w:vAlign w:val="center"/>
          </w:tcPr>
          <w:p w14:paraId="6EBEE0FC">
            <w:pPr>
              <w:widowControl/>
              <w:snapToGrid w:val="0"/>
              <w:jc w:val="center"/>
              <w:rPr>
                <w:rFonts w:hint="eastAsia" w:ascii="宋体" w:hAnsi="宋体" w:cs="宋体"/>
                <w:b/>
                <w:bCs/>
                <w:kern w:val="0"/>
                <w:sz w:val="24"/>
              </w:rPr>
            </w:pPr>
            <w:r>
              <w:rPr>
                <w:rFonts w:hint="eastAsia" w:ascii="宋体" w:hAnsi="宋体" w:cs="宋体"/>
                <w:b/>
                <w:bCs/>
                <w:kern w:val="0"/>
                <w:sz w:val="24"/>
              </w:rPr>
              <w:t>人数</w:t>
            </w:r>
          </w:p>
        </w:tc>
        <w:tc>
          <w:tcPr>
            <w:tcW w:w="2368" w:type="dxa"/>
            <w:tcBorders>
              <w:top w:val="single" w:color="auto" w:sz="4" w:space="0"/>
              <w:left w:val="nil"/>
              <w:bottom w:val="single" w:color="auto" w:sz="4" w:space="0"/>
              <w:right w:val="single" w:color="auto" w:sz="4" w:space="0"/>
            </w:tcBorders>
            <w:noWrap w:val="0"/>
            <w:vAlign w:val="center"/>
          </w:tcPr>
          <w:p w14:paraId="3446EEFB">
            <w:pPr>
              <w:widowControl/>
              <w:snapToGrid w:val="0"/>
              <w:jc w:val="center"/>
              <w:rPr>
                <w:rFonts w:hint="eastAsia" w:ascii="宋体" w:hAnsi="宋体" w:cs="宋体"/>
                <w:b/>
                <w:bCs/>
                <w:kern w:val="0"/>
                <w:sz w:val="24"/>
              </w:rPr>
            </w:pPr>
            <w:r>
              <w:rPr>
                <w:rFonts w:hint="eastAsia" w:ascii="宋体" w:hAnsi="宋体" w:cs="宋体"/>
                <w:b/>
                <w:bCs/>
                <w:kern w:val="0"/>
                <w:sz w:val="24"/>
              </w:rPr>
              <w:t>备注</w:t>
            </w:r>
          </w:p>
        </w:tc>
      </w:tr>
      <w:tr w14:paraId="3A04FD66">
        <w:tblPrEx>
          <w:tblCellMar>
            <w:top w:w="0" w:type="dxa"/>
            <w:left w:w="108" w:type="dxa"/>
            <w:bottom w:w="0" w:type="dxa"/>
            <w:right w:w="108" w:type="dxa"/>
          </w:tblCellMar>
        </w:tblPrEx>
        <w:trPr>
          <w:trHeight w:val="270" w:hRule="atLeast"/>
        </w:trPr>
        <w:tc>
          <w:tcPr>
            <w:tcW w:w="840" w:type="dxa"/>
            <w:vMerge w:val="restart"/>
            <w:tcBorders>
              <w:top w:val="nil"/>
              <w:left w:val="single" w:color="auto" w:sz="4" w:space="0"/>
              <w:right w:val="single" w:color="auto" w:sz="4" w:space="0"/>
            </w:tcBorders>
            <w:noWrap/>
            <w:vAlign w:val="center"/>
          </w:tcPr>
          <w:p w14:paraId="73F330DA">
            <w:pPr>
              <w:widowControl/>
              <w:snapToGrid w:val="0"/>
              <w:jc w:val="center"/>
              <w:rPr>
                <w:rFonts w:hint="eastAsia" w:ascii="宋体" w:hAnsi="宋体" w:cs="宋体"/>
                <w:b/>
                <w:bCs/>
                <w:kern w:val="0"/>
                <w:sz w:val="22"/>
                <w:szCs w:val="22"/>
              </w:rPr>
            </w:pPr>
            <w:r>
              <w:rPr>
                <w:rFonts w:hint="eastAsia" w:ascii="宋体" w:hAnsi="宋体" w:cs="宋体"/>
                <w:b/>
                <w:bCs/>
                <w:kern w:val="0"/>
                <w:sz w:val="22"/>
                <w:szCs w:val="22"/>
              </w:rPr>
              <w:t>后勤处</w:t>
            </w:r>
          </w:p>
        </w:tc>
        <w:tc>
          <w:tcPr>
            <w:tcW w:w="2000" w:type="dxa"/>
            <w:gridSpan w:val="2"/>
            <w:vMerge w:val="restart"/>
            <w:tcBorders>
              <w:top w:val="nil"/>
              <w:left w:val="single" w:color="auto" w:sz="4" w:space="0"/>
              <w:right w:val="single" w:color="auto" w:sz="4" w:space="0"/>
            </w:tcBorders>
            <w:noWrap w:val="0"/>
            <w:vAlign w:val="center"/>
          </w:tcPr>
          <w:p w14:paraId="3DE77CD4">
            <w:pPr>
              <w:widowControl/>
              <w:snapToGrid w:val="0"/>
              <w:jc w:val="center"/>
              <w:rPr>
                <w:rFonts w:hint="eastAsia" w:ascii="宋体" w:hAnsi="宋体" w:cs="宋体"/>
                <w:kern w:val="0"/>
                <w:sz w:val="22"/>
                <w:szCs w:val="22"/>
              </w:rPr>
            </w:pPr>
            <w:r>
              <w:rPr>
                <w:rFonts w:hint="eastAsia" w:ascii="宋体" w:hAnsi="宋体" w:cs="宋体"/>
                <w:kern w:val="0"/>
                <w:sz w:val="22"/>
                <w:szCs w:val="22"/>
              </w:rPr>
              <w:t>保洁</w:t>
            </w:r>
          </w:p>
        </w:tc>
        <w:tc>
          <w:tcPr>
            <w:tcW w:w="1600" w:type="dxa"/>
            <w:gridSpan w:val="2"/>
            <w:tcBorders>
              <w:top w:val="nil"/>
              <w:left w:val="nil"/>
              <w:bottom w:val="single" w:color="auto" w:sz="4" w:space="0"/>
              <w:right w:val="single" w:color="auto" w:sz="4" w:space="0"/>
            </w:tcBorders>
            <w:noWrap w:val="0"/>
            <w:vAlign w:val="center"/>
          </w:tcPr>
          <w:p w14:paraId="648BB3AF">
            <w:pPr>
              <w:widowControl/>
              <w:snapToGrid w:val="0"/>
              <w:jc w:val="center"/>
              <w:rPr>
                <w:rFonts w:hint="eastAsia" w:ascii="宋体" w:hAnsi="宋体" w:cs="宋体"/>
                <w:kern w:val="0"/>
                <w:sz w:val="22"/>
                <w:szCs w:val="22"/>
              </w:rPr>
            </w:pPr>
            <w:r>
              <w:rPr>
                <w:rFonts w:hint="eastAsia" w:ascii="宋体" w:hAnsi="宋体" w:cs="宋体"/>
                <w:kern w:val="0"/>
                <w:sz w:val="22"/>
                <w:szCs w:val="22"/>
              </w:rPr>
              <w:t>办公楼</w:t>
            </w:r>
          </w:p>
        </w:tc>
        <w:tc>
          <w:tcPr>
            <w:tcW w:w="1356" w:type="dxa"/>
            <w:tcBorders>
              <w:top w:val="nil"/>
              <w:left w:val="nil"/>
              <w:bottom w:val="single" w:color="auto" w:sz="4" w:space="0"/>
              <w:right w:val="single" w:color="auto" w:sz="4" w:space="0"/>
            </w:tcBorders>
            <w:noWrap w:val="0"/>
            <w:vAlign w:val="center"/>
          </w:tcPr>
          <w:p w14:paraId="1086C1AD">
            <w:pPr>
              <w:widowControl/>
              <w:snapToGrid w:val="0"/>
              <w:jc w:val="center"/>
              <w:rPr>
                <w:rFonts w:hint="eastAsia" w:ascii="宋体" w:hAnsi="宋体" w:cs="宋体"/>
                <w:kern w:val="0"/>
                <w:sz w:val="22"/>
                <w:szCs w:val="22"/>
              </w:rPr>
            </w:pPr>
            <w:r>
              <w:rPr>
                <w:rFonts w:hint="eastAsia" w:ascii="宋体" w:hAnsi="宋体" w:cs="宋体"/>
                <w:kern w:val="0"/>
                <w:sz w:val="22"/>
                <w:szCs w:val="22"/>
              </w:rPr>
              <w:t>6648.7</w:t>
            </w:r>
          </w:p>
        </w:tc>
        <w:tc>
          <w:tcPr>
            <w:tcW w:w="867" w:type="dxa"/>
            <w:tcBorders>
              <w:top w:val="nil"/>
              <w:left w:val="nil"/>
              <w:bottom w:val="single" w:color="auto" w:sz="4" w:space="0"/>
              <w:right w:val="single" w:color="auto" w:sz="4" w:space="0"/>
            </w:tcBorders>
            <w:noWrap w:val="0"/>
            <w:vAlign w:val="center"/>
          </w:tcPr>
          <w:p w14:paraId="0D562243">
            <w:pPr>
              <w:widowControl/>
              <w:snapToGrid w:val="0"/>
              <w:jc w:val="center"/>
              <w:rPr>
                <w:rFonts w:hint="eastAsia" w:ascii="宋体" w:hAnsi="宋体" w:cs="宋体"/>
                <w:kern w:val="0"/>
                <w:sz w:val="22"/>
                <w:szCs w:val="22"/>
              </w:rPr>
            </w:pPr>
            <w:r>
              <w:rPr>
                <w:rFonts w:hint="eastAsia" w:ascii="宋体" w:hAnsi="宋体" w:cs="宋体"/>
                <w:kern w:val="0"/>
                <w:sz w:val="22"/>
                <w:szCs w:val="22"/>
              </w:rPr>
              <w:t>3</w:t>
            </w:r>
          </w:p>
        </w:tc>
        <w:tc>
          <w:tcPr>
            <w:tcW w:w="2368" w:type="dxa"/>
            <w:tcBorders>
              <w:top w:val="nil"/>
              <w:left w:val="single" w:color="auto" w:sz="4" w:space="0"/>
              <w:bottom w:val="single" w:color="auto" w:sz="4" w:space="0"/>
              <w:right w:val="single" w:color="auto" w:sz="4" w:space="0"/>
            </w:tcBorders>
            <w:noWrap w:val="0"/>
            <w:vAlign w:val="center"/>
          </w:tcPr>
          <w:p w14:paraId="10EAC634">
            <w:pPr>
              <w:widowControl/>
              <w:snapToGrid w:val="0"/>
              <w:jc w:val="center"/>
              <w:rPr>
                <w:rFonts w:hint="eastAsia" w:ascii="宋体" w:hAnsi="宋体" w:cs="宋体"/>
                <w:kern w:val="0"/>
                <w:sz w:val="22"/>
                <w:szCs w:val="22"/>
              </w:rPr>
            </w:pPr>
            <w:r>
              <w:rPr>
                <w:rFonts w:hint="eastAsia" w:ascii="宋体" w:hAnsi="宋体" w:cs="宋体"/>
                <w:kern w:val="0"/>
                <w:sz w:val="22"/>
                <w:szCs w:val="22"/>
              </w:rPr>
              <w:t>　</w:t>
            </w:r>
          </w:p>
        </w:tc>
      </w:tr>
      <w:tr w14:paraId="2ECBA487">
        <w:tblPrEx>
          <w:tblCellMar>
            <w:top w:w="0" w:type="dxa"/>
            <w:left w:w="108" w:type="dxa"/>
            <w:bottom w:w="0" w:type="dxa"/>
            <w:right w:w="108" w:type="dxa"/>
          </w:tblCellMar>
        </w:tblPrEx>
        <w:trPr>
          <w:trHeight w:val="300" w:hRule="atLeast"/>
        </w:trPr>
        <w:tc>
          <w:tcPr>
            <w:tcW w:w="840" w:type="dxa"/>
            <w:vMerge w:val="continue"/>
            <w:tcBorders>
              <w:left w:val="single" w:color="auto" w:sz="4" w:space="0"/>
              <w:right w:val="single" w:color="auto" w:sz="4" w:space="0"/>
            </w:tcBorders>
            <w:noWrap w:val="0"/>
            <w:vAlign w:val="center"/>
          </w:tcPr>
          <w:p w14:paraId="76776570">
            <w:pPr>
              <w:widowControl/>
              <w:snapToGrid w:val="0"/>
              <w:jc w:val="left"/>
              <w:rPr>
                <w:rFonts w:ascii="宋体" w:hAnsi="宋体" w:cs="宋体"/>
                <w:b/>
                <w:bCs/>
                <w:kern w:val="0"/>
                <w:sz w:val="22"/>
                <w:szCs w:val="22"/>
              </w:rPr>
            </w:pPr>
          </w:p>
        </w:tc>
        <w:tc>
          <w:tcPr>
            <w:tcW w:w="2000" w:type="dxa"/>
            <w:gridSpan w:val="2"/>
            <w:vMerge w:val="continue"/>
            <w:tcBorders>
              <w:left w:val="single" w:color="auto" w:sz="4" w:space="0"/>
              <w:right w:val="single" w:color="auto" w:sz="4" w:space="0"/>
            </w:tcBorders>
            <w:noWrap w:val="0"/>
            <w:vAlign w:val="center"/>
          </w:tcPr>
          <w:p w14:paraId="6BD4BD10">
            <w:pPr>
              <w:widowControl/>
              <w:snapToGrid w:val="0"/>
              <w:jc w:val="left"/>
              <w:rPr>
                <w:rFonts w:ascii="宋体" w:hAnsi="宋体" w:cs="宋体"/>
                <w:kern w:val="0"/>
                <w:sz w:val="22"/>
                <w:szCs w:val="22"/>
              </w:rPr>
            </w:pPr>
          </w:p>
        </w:tc>
        <w:tc>
          <w:tcPr>
            <w:tcW w:w="1600" w:type="dxa"/>
            <w:gridSpan w:val="2"/>
            <w:tcBorders>
              <w:top w:val="nil"/>
              <w:left w:val="nil"/>
              <w:bottom w:val="single" w:color="auto" w:sz="4" w:space="0"/>
              <w:right w:val="single" w:color="auto" w:sz="4" w:space="0"/>
            </w:tcBorders>
            <w:noWrap w:val="0"/>
            <w:vAlign w:val="center"/>
          </w:tcPr>
          <w:p w14:paraId="27192D31">
            <w:pPr>
              <w:widowControl/>
              <w:snapToGrid w:val="0"/>
              <w:jc w:val="center"/>
              <w:rPr>
                <w:rFonts w:hint="eastAsia" w:ascii="宋体" w:hAnsi="宋体" w:cs="宋体"/>
                <w:kern w:val="0"/>
                <w:sz w:val="22"/>
                <w:szCs w:val="22"/>
              </w:rPr>
            </w:pPr>
            <w:r>
              <w:rPr>
                <w:rFonts w:hint="eastAsia" w:ascii="宋体" w:hAnsi="宋体" w:cs="宋体"/>
                <w:kern w:val="0"/>
                <w:sz w:val="22"/>
                <w:szCs w:val="22"/>
              </w:rPr>
              <w:t>1号教学楼</w:t>
            </w:r>
          </w:p>
        </w:tc>
        <w:tc>
          <w:tcPr>
            <w:tcW w:w="1356" w:type="dxa"/>
            <w:tcBorders>
              <w:top w:val="nil"/>
              <w:left w:val="nil"/>
              <w:bottom w:val="single" w:color="auto" w:sz="4" w:space="0"/>
              <w:right w:val="single" w:color="auto" w:sz="4" w:space="0"/>
            </w:tcBorders>
            <w:noWrap w:val="0"/>
            <w:vAlign w:val="center"/>
          </w:tcPr>
          <w:p w14:paraId="1CD35384">
            <w:pPr>
              <w:widowControl/>
              <w:snapToGrid w:val="0"/>
              <w:jc w:val="center"/>
              <w:rPr>
                <w:rFonts w:hint="eastAsia" w:ascii="宋体" w:hAnsi="宋体" w:cs="宋体"/>
                <w:kern w:val="0"/>
                <w:sz w:val="22"/>
                <w:szCs w:val="22"/>
              </w:rPr>
            </w:pPr>
            <w:r>
              <w:rPr>
                <w:rFonts w:hint="eastAsia" w:ascii="宋体" w:hAnsi="宋体" w:cs="宋体"/>
                <w:kern w:val="0"/>
                <w:sz w:val="22"/>
                <w:szCs w:val="22"/>
              </w:rPr>
              <w:t>4893</w:t>
            </w:r>
          </w:p>
        </w:tc>
        <w:tc>
          <w:tcPr>
            <w:tcW w:w="867" w:type="dxa"/>
            <w:tcBorders>
              <w:top w:val="nil"/>
              <w:left w:val="nil"/>
              <w:bottom w:val="single" w:color="auto" w:sz="4" w:space="0"/>
              <w:right w:val="single" w:color="auto" w:sz="4" w:space="0"/>
            </w:tcBorders>
            <w:noWrap w:val="0"/>
            <w:vAlign w:val="center"/>
          </w:tcPr>
          <w:p w14:paraId="1680D188">
            <w:pPr>
              <w:widowControl/>
              <w:snapToGrid w:val="0"/>
              <w:jc w:val="center"/>
              <w:rPr>
                <w:rFonts w:hint="eastAsia" w:ascii="宋体" w:hAnsi="宋体" w:cs="宋体"/>
                <w:kern w:val="0"/>
                <w:sz w:val="22"/>
                <w:szCs w:val="22"/>
              </w:rPr>
            </w:pPr>
            <w:r>
              <w:rPr>
                <w:rFonts w:hint="eastAsia" w:ascii="宋体" w:hAnsi="宋体" w:cs="宋体"/>
                <w:kern w:val="0"/>
                <w:sz w:val="22"/>
                <w:szCs w:val="22"/>
              </w:rPr>
              <w:t>3</w:t>
            </w:r>
          </w:p>
        </w:tc>
        <w:tc>
          <w:tcPr>
            <w:tcW w:w="2368" w:type="dxa"/>
            <w:vMerge w:val="restart"/>
            <w:tcBorders>
              <w:top w:val="nil"/>
              <w:left w:val="single" w:color="auto" w:sz="4" w:space="0"/>
              <w:right w:val="single" w:color="auto" w:sz="4" w:space="0"/>
            </w:tcBorders>
            <w:noWrap w:val="0"/>
            <w:vAlign w:val="center"/>
          </w:tcPr>
          <w:p w14:paraId="0EFB105F">
            <w:pPr>
              <w:widowControl/>
              <w:snapToGrid w:val="0"/>
              <w:jc w:val="left"/>
              <w:rPr>
                <w:rFonts w:ascii="宋体" w:hAnsi="宋体" w:cs="宋体"/>
                <w:kern w:val="0"/>
                <w:sz w:val="22"/>
                <w:szCs w:val="22"/>
              </w:rPr>
            </w:pPr>
          </w:p>
        </w:tc>
      </w:tr>
      <w:tr w14:paraId="7D0B4E66">
        <w:tblPrEx>
          <w:tblCellMar>
            <w:top w:w="0" w:type="dxa"/>
            <w:left w:w="108" w:type="dxa"/>
            <w:bottom w:w="0" w:type="dxa"/>
            <w:right w:w="108" w:type="dxa"/>
          </w:tblCellMar>
        </w:tblPrEx>
        <w:trPr>
          <w:trHeight w:val="270" w:hRule="atLeast"/>
        </w:trPr>
        <w:tc>
          <w:tcPr>
            <w:tcW w:w="840" w:type="dxa"/>
            <w:vMerge w:val="continue"/>
            <w:tcBorders>
              <w:left w:val="single" w:color="auto" w:sz="4" w:space="0"/>
              <w:right w:val="single" w:color="auto" w:sz="4" w:space="0"/>
            </w:tcBorders>
            <w:noWrap w:val="0"/>
            <w:vAlign w:val="center"/>
          </w:tcPr>
          <w:p w14:paraId="10417596">
            <w:pPr>
              <w:widowControl/>
              <w:snapToGrid w:val="0"/>
              <w:jc w:val="left"/>
              <w:rPr>
                <w:rFonts w:ascii="宋体" w:hAnsi="宋体" w:cs="宋体"/>
                <w:b/>
                <w:bCs/>
                <w:kern w:val="0"/>
                <w:sz w:val="22"/>
                <w:szCs w:val="22"/>
              </w:rPr>
            </w:pPr>
          </w:p>
        </w:tc>
        <w:tc>
          <w:tcPr>
            <w:tcW w:w="2000" w:type="dxa"/>
            <w:gridSpan w:val="2"/>
            <w:vMerge w:val="continue"/>
            <w:tcBorders>
              <w:left w:val="single" w:color="auto" w:sz="4" w:space="0"/>
              <w:right w:val="single" w:color="auto" w:sz="4" w:space="0"/>
            </w:tcBorders>
            <w:noWrap w:val="0"/>
            <w:vAlign w:val="center"/>
          </w:tcPr>
          <w:p w14:paraId="49ACCCDA">
            <w:pPr>
              <w:widowControl/>
              <w:snapToGrid w:val="0"/>
              <w:jc w:val="left"/>
              <w:rPr>
                <w:rFonts w:ascii="宋体" w:hAnsi="宋体" w:cs="宋体"/>
                <w:kern w:val="0"/>
                <w:sz w:val="22"/>
                <w:szCs w:val="22"/>
              </w:rPr>
            </w:pPr>
          </w:p>
        </w:tc>
        <w:tc>
          <w:tcPr>
            <w:tcW w:w="1600" w:type="dxa"/>
            <w:gridSpan w:val="2"/>
            <w:tcBorders>
              <w:top w:val="nil"/>
              <w:left w:val="nil"/>
              <w:bottom w:val="single" w:color="auto" w:sz="4" w:space="0"/>
              <w:right w:val="single" w:color="auto" w:sz="4" w:space="0"/>
            </w:tcBorders>
            <w:noWrap w:val="0"/>
            <w:vAlign w:val="center"/>
          </w:tcPr>
          <w:p w14:paraId="487F780C">
            <w:pPr>
              <w:widowControl/>
              <w:snapToGrid w:val="0"/>
              <w:jc w:val="center"/>
              <w:rPr>
                <w:rFonts w:hint="eastAsia" w:ascii="宋体" w:hAnsi="宋体" w:cs="宋体"/>
                <w:kern w:val="0"/>
                <w:sz w:val="22"/>
                <w:szCs w:val="22"/>
              </w:rPr>
            </w:pPr>
            <w:r>
              <w:rPr>
                <w:rFonts w:hint="eastAsia" w:ascii="宋体" w:hAnsi="宋体" w:cs="宋体"/>
                <w:kern w:val="0"/>
                <w:sz w:val="22"/>
                <w:szCs w:val="22"/>
              </w:rPr>
              <w:t>2号教学楼</w:t>
            </w:r>
          </w:p>
        </w:tc>
        <w:tc>
          <w:tcPr>
            <w:tcW w:w="1356" w:type="dxa"/>
            <w:tcBorders>
              <w:top w:val="nil"/>
              <w:left w:val="nil"/>
              <w:bottom w:val="single" w:color="auto" w:sz="4" w:space="0"/>
              <w:right w:val="single" w:color="auto" w:sz="4" w:space="0"/>
            </w:tcBorders>
            <w:noWrap w:val="0"/>
            <w:vAlign w:val="center"/>
          </w:tcPr>
          <w:p w14:paraId="6097E6AC">
            <w:pPr>
              <w:widowControl/>
              <w:snapToGrid w:val="0"/>
              <w:jc w:val="center"/>
              <w:rPr>
                <w:rFonts w:hint="eastAsia" w:ascii="宋体" w:hAnsi="宋体" w:cs="宋体"/>
                <w:kern w:val="0"/>
                <w:sz w:val="22"/>
                <w:szCs w:val="22"/>
              </w:rPr>
            </w:pPr>
            <w:r>
              <w:rPr>
                <w:rFonts w:hint="eastAsia" w:ascii="宋体" w:hAnsi="宋体" w:cs="宋体"/>
                <w:kern w:val="0"/>
                <w:sz w:val="22"/>
                <w:szCs w:val="22"/>
              </w:rPr>
              <w:t>5268</w:t>
            </w:r>
          </w:p>
        </w:tc>
        <w:tc>
          <w:tcPr>
            <w:tcW w:w="867" w:type="dxa"/>
            <w:tcBorders>
              <w:top w:val="nil"/>
              <w:left w:val="nil"/>
              <w:bottom w:val="single" w:color="auto" w:sz="4" w:space="0"/>
              <w:right w:val="single" w:color="auto" w:sz="4" w:space="0"/>
            </w:tcBorders>
            <w:noWrap w:val="0"/>
            <w:vAlign w:val="center"/>
          </w:tcPr>
          <w:p w14:paraId="3BFE72AE">
            <w:pPr>
              <w:widowControl/>
              <w:snapToGrid w:val="0"/>
              <w:jc w:val="center"/>
              <w:rPr>
                <w:rFonts w:hint="eastAsia" w:ascii="宋体" w:hAnsi="宋体" w:cs="宋体"/>
                <w:kern w:val="0"/>
                <w:sz w:val="22"/>
                <w:szCs w:val="22"/>
              </w:rPr>
            </w:pPr>
            <w:r>
              <w:rPr>
                <w:rFonts w:hint="eastAsia" w:ascii="宋体" w:hAnsi="宋体" w:cs="宋体"/>
                <w:kern w:val="0"/>
                <w:sz w:val="22"/>
                <w:szCs w:val="22"/>
              </w:rPr>
              <w:t>3</w:t>
            </w:r>
          </w:p>
        </w:tc>
        <w:tc>
          <w:tcPr>
            <w:tcW w:w="2368" w:type="dxa"/>
            <w:vMerge w:val="continue"/>
            <w:tcBorders>
              <w:top w:val="nil"/>
              <w:left w:val="single" w:color="auto" w:sz="4" w:space="0"/>
              <w:bottom w:val="single" w:color="auto" w:sz="4" w:space="0"/>
              <w:right w:val="single" w:color="auto" w:sz="4" w:space="0"/>
            </w:tcBorders>
            <w:noWrap w:val="0"/>
            <w:vAlign w:val="center"/>
          </w:tcPr>
          <w:p w14:paraId="03B1F66E">
            <w:pPr>
              <w:widowControl/>
              <w:snapToGrid w:val="0"/>
              <w:jc w:val="left"/>
              <w:rPr>
                <w:rFonts w:ascii="宋体" w:hAnsi="宋体" w:cs="宋体"/>
                <w:kern w:val="0"/>
                <w:sz w:val="22"/>
                <w:szCs w:val="22"/>
              </w:rPr>
            </w:pPr>
          </w:p>
        </w:tc>
      </w:tr>
      <w:tr w14:paraId="2474785A">
        <w:tblPrEx>
          <w:tblCellMar>
            <w:top w:w="0" w:type="dxa"/>
            <w:left w:w="108" w:type="dxa"/>
            <w:bottom w:w="0" w:type="dxa"/>
            <w:right w:w="108" w:type="dxa"/>
          </w:tblCellMar>
        </w:tblPrEx>
        <w:trPr>
          <w:trHeight w:val="270" w:hRule="atLeast"/>
        </w:trPr>
        <w:tc>
          <w:tcPr>
            <w:tcW w:w="840" w:type="dxa"/>
            <w:vMerge w:val="continue"/>
            <w:tcBorders>
              <w:left w:val="single" w:color="auto" w:sz="4" w:space="0"/>
              <w:right w:val="single" w:color="auto" w:sz="4" w:space="0"/>
            </w:tcBorders>
            <w:noWrap w:val="0"/>
            <w:vAlign w:val="center"/>
          </w:tcPr>
          <w:p w14:paraId="3E8EC75B">
            <w:pPr>
              <w:widowControl/>
              <w:snapToGrid w:val="0"/>
              <w:jc w:val="left"/>
              <w:rPr>
                <w:rFonts w:ascii="宋体" w:hAnsi="宋体" w:cs="宋体"/>
                <w:b/>
                <w:bCs/>
                <w:kern w:val="0"/>
                <w:sz w:val="22"/>
                <w:szCs w:val="22"/>
              </w:rPr>
            </w:pPr>
          </w:p>
        </w:tc>
        <w:tc>
          <w:tcPr>
            <w:tcW w:w="2000" w:type="dxa"/>
            <w:gridSpan w:val="2"/>
            <w:vMerge w:val="continue"/>
            <w:tcBorders>
              <w:left w:val="single" w:color="auto" w:sz="4" w:space="0"/>
              <w:right w:val="single" w:color="auto" w:sz="4" w:space="0"/>
            </w:tcBorders>
            <w:noWrap w:val="0"/>
            <w:vAlign w:val="center"/>
          </w:tcPr>
          <w:p w14:paraId="172CC41F">
            <w:pPr>
              <w:widowControl/>
              <w:snapToGrid w:val="0"/>
              <w:jc w:val="left"/>
              <w:rPr>
                <w:rFonts w:ascii="宋体" w:hAnsi="宋体" w:cs="宋体"/>
                <w:kern w:val="0"/>
                <w:sz w:val="22"/>
                <w:szCs w:val="22"/>
              </w:rPr>
            </w:pPr>
          </w:p>
        </w:tc>
        <w:tc>
          <w:tcPr>
            <w:tcW w:w="1600" w:type="dxa"/>
            <w:gridSpan w:val="2"/>
            <w:tcBorders>
              <w:top w:val="nil"/>
              <w:left w:val="nil"/>
              <w:bottom w:val="single" w:color="auto" w:sz="4" w:space="0"/>
              <w:right w:val="single" w:color="auto" w:sz="4" w:space="0"/>
            </w:tcBorders>
            <w:noWrap w:val="0"/>
            <w:vAlign w:val="center"/>
          </w:tcPr>
          <w:p w14:paraId="2CAECCC3">
            <w:pPr>
              <w:widowControl/>
              <w:snapToGrid w:val="0"/>
              <w:jc w:val="center"/>
              <w:rPr>
                <w:rFonts w:hint="eastAsia" w:ascii="宋体" w:hAnsi="宋体" w:cs="宋体"/>
                <w:kern w:val="0"/>
                <w:sz w:val="22"/>
                <w:szCs w:val="22"/>
              </w:rPr>
            </w:pPr>
            <w:r>
              <w:rPr>
                <w:rFonts w:hint="eastAsia" w:ascii="宋体" w:hAnsi="宋体" w:cs="宋体"/>
                <w:kern w:val="0"/>
                <w:sz w:val="22"/>
                <w:szCs w:val="22"/>
              </w:rPr>
              <w:t>3号教学楼</w:t>
            </w:r>
          </w:p>
        </w:tc>
        <w:tc>
          <w:tcPr>
            <w:tcW w:w="1356" w:type="dxa"/>
            <w:tcBorders>
              <w:top w:val="nil"/>
              <w:left w:val="nil"/>
              <w:bottom w:val="single" w:color="auto" w:sz="4" w:space="0"/>
              <w:right w:val="single" w:color="auto" w:sz="4" w:space="0"/>
            </w:tcBorders>
            <w:noWrap w:val="0"/>
            <w:vAlign w:val="center"/>
          </w:tcPr>
          <w:p w14:paraId="2125CC72">
            <w:pPr>
              <w:widowControl/>
              <w:snapToGrid w:val="0"/>
              <w:jc w:val="center"/>
              <w:rPr>
                <w:rFonts w:hint="eastAsia" w:ascii="宋体" w:hAnsi="宋体" w:cs="宋体"/>
                <w:kern w:val="0"/>
                <w:sz w:val="22"/>
                <w:szCs w:val="22"/>
              </w:rPr>
            </w:pPr>
            <w:r>
              <w:rPr>
                <w:rFonts w:hint="eastAsia" w:ascii="宋体" w:hAnsi="宋体" w:cs="宋体"/>
                <w:kern w:val="0"/>
                <w:sz w:val="22"/>
                <w:szCs w:val="22"/>
              </w:rPr>
              <w:t>6725</w:t>
            </w:r>
          </w:p>
        </w:tc>
        <w:tc>
          <w:tcPr>
            <w:tcW w:w="867" w:type="dxa"/>
            <w:tcBorders>
              <w:top w:val="nil"/>
              <w:left w:val="nil"/>
              <w:bottom w:val="single" w:color="auto" w:sz="4" w:space="0"/>
              <w:right w:val="single" w:color="auto" w:sz="4" w:space="0"/>
            </w:tcBorders>
            <w:noWrap w:val="0"/>
            <w:vAlign w:val="center"/>
          </w:tcPr>
          <w:p w14:paraId="3E525EE8">
            <w:pPr>
              <w:widowControl/>
              <w:snapToGrid w:val="0"/>
              <w:jc w:val="center"/>
              <w:rPr>
                <w:rFonts w:hint="eastAsia" w:ascii="宋体" w:hAnsi="宋体" w:cs="宋体"/>
                <w:kern w:val="0"/>
                <w:sz w:val="22"/>
                <w:szCs w:val="22"/>
              </w:rPr>
            </w:pPr>
            <w:r>
              <w:rPr>
                <w:rFonts w:hint="eastAsia" w:ascii="宋体" w:hAnsi="宋体" w:cs="宋体"/>
                <w:kern w:val="0"/>
                <w:sz w:val="22"/>
                <w:szCs w:val="22"/>
              </w:rPr>
              <w:t>3</w:t>
            </w:r>
          </w:p>
        </w:tc>
        <w:tc>
          <w:tcPr>
            <w:tcW w:w="2368" w:type="dxa"/>
            <w:vMerge w:val="continue"/>
            <w:tcBorders>
              <w:top w:val="nil"/>
              <w:left w:val="single" w:color="auto" w:sz="4" w:space="0"/>
              <w:bottom w:val="single" w:color="auto" w:sz="4" w:space="0"/>
              <w:right w:val="single" w:color="auto" w:sz="4" w:space="0"/>
            </w:tcBorders>
            <w:noWrap w:val="0"/>
            <w:vAlign w:val="center"/>
          </w:tcPr>
          <w:p w14:paraId="5741FA95">
            <w:pPr>
              <w:widowControl/>
              <w:snapToGrid w:val="0"/>
              <w:jc w:val="left"/>
              <w:rPr>
                <w:rFonts w:ascii="宋体" w:hAnsi="宋体" w:cs="宋体"/>
                <w:kern w:val="0"/>
                <w:sz w:val="22"/>
                <w:szCs w:val="22"/>
              </w:rPr>
            </w:pPr>
          </w:p>
        </w:tc>
      </w:tr>
      <w:tr w14:paraId="55C3E989">
        <w:tblPrEx>
          <w:tblCellMar>
            <w:top w:w="0" w:type="dxa"/>
            <w:left w:w="108" w:type="dxa"/>
            <w:bottom w:w="0" w:type="dxa"/>
            <w:right w:w="108" w:type="dxa"/>
          </w:tblCellMar>
        </w:tblPrEx>
        <w:trPr>
          <w:trHeight w:val="270" w:hRule="atLeast"/>
        </w:trPr>
        <w:tc>
          <w:tcPr>
            <w:tcW w:w="840" w:type="dxa"/>
            <w:vMerge w:val="continue"/>
            <w:tcBorders>
              <w:left w:val="single" w:color="auto" w:sz="4" w:space="0"/>
              <w:right w:val="single" w:color="auto" w:sz="4" w:space="0"/>
            </w:tcBorders>
            <w:noWrap w:val="0"/>
            <w:vAlign w:val="center"/>
          </w:tcPr>
          <w:p w14:paraId="17557795">
            <w:pPr>
              <w:widowControl/>
              <w:snapToGrid w:val="0"/>
              <w:jc w:val="left"/>
              <w:rPr>
                <w:rFonts w:ascii="宋体" w:hAnsi="宋体" w:cs="宋体"/>
                <w:b/>
                <w:bCs/>
                <w:kern w:val="0"/>
                <w:sz w:val="22"/>
                <w:szCs w:val="22"/>
              </w:rPr>
            </w:pPr>
          </w:p>
        </w:tc>
        <w:tc>
          <w:tcPr>
            <w:tcW w:w="2000" w:type="dxa"/>
            <w:gridSpan w:val="2"/>
            <w:vMerge w:val="continue"/>
            <w:tcBorders>
              <w:left w:val="single" w:color="auto" w:sz="4" w:space="0"/>
              <w:right w:val="single" w:color="auto" w:sz="4" w:space="0"/>
            </w:tcBorders>
            <w:noWrap w:val="0"/>
            <w:vAlign w:val="center"/>
          </w:tcPr>
          <w:p w14:paraId="75F5EDB3">
            <w:pPr>
              <w:widowControl/>
              <w:snapToGrid w:val="0"/>
              <w:jc w:val="left"/>
              <w:rPr>
                <w:rFonts w:ascii="宋体" w:hAnsi="宋体" w:cs="宋体"/>
                <w:kern w:val="0"/>
                <w:sz w:val="22"/>
                <w:szCs w:val="22"/>
              </w:rPr>
            </w:pPr>
          </w:p>
        </w:tc>
        <w:tc>
          <w:tcPr>
            <w:tcW w:w="1600" w:type="dxa"/>
            <w:gridSpan w:val="2"/>
            <w:tcBorders>
              <w:top w:val="nil"/>
              <w:left w:val="nil"/>
              <w:bottom w:val="single" w:color="auto" w:sz="4" w:space="0"/>
              <w:right w:val="single" w:color="auto" w:sz="4" w:space="0"/>
            </w:tcBorders>
            <w:noWrap w:val="0"/>
            <w:vAlign w:val="center"/>
          </w:tcPr>
          <w:p w14:paraId="1B5922EE">
            <w:pPr>
              <w:widowControl/>
              <w:snapToGrid w:val="0"/>
              <w:jc w:val="center"/>
              <w:rPr>
                <w:rFonts w:hint="eastAsia" w:ascii="宋体" w:hAnsi="宋体" w:cs="宋体"/>
                <w:kern w:val="0"/>
                <w:sz w:val="22"/>
                <w:szCs w:val="22"/>
              </w:rPr>
            </w:pPr>
            <w:r>
              <w:rPr>
                <w:rFonts w:hint="eastAsia" w:ascii="宋体" w:hAnsi="宋体" w:cs="宋体"/>
                <w:kern w:val="0"/>
                <w:sz w:val="22"/>
                <w:szCs w:val="22"/>
              </w:rPr>
              <w:t>1号实训楼</w:t>
            </w:r>
          </w:p>
        </w:tc>
        <w:tc>
          <w:tcPr>
            <w:tcW w:w="1356" w:type="dxa"/>
            <w:tcBorders>
              <w:top w:val="nil"/>
              <w:left w:val="nil"/>
              <w:bottom w:val="single" w:color="auto" w:sz="4" w:space="0"/>
              <w:right w:val="single" w:color="auto" w:sz="4" w:space="0"/>
            </w:tcBorders>
            <w:noWrap w:val="0"/>
            <w:vAlign w:val="center"/>
          </w:tcPr>
          <w:p w14:paraId="7DFE4EB2">
            <w:pPr>
              <w:widowControl/>
              <w:snapToGrid w:val="0"/>
              <w:jc w:val="center"/>
              <w:rPr>
                <w:rFonts w:hint="eastAsia" w:ascii="宋体" w:hAnsi="宋体" w:cs="宋体"/>
                <w:kern w:val="0"/>
                <w:sz w:val="22"/>
                <w:szCs w:val="22"/>
              </w:rPr>
            </w:pPr>
            <w:r>
              <w:rPr>
                <w:rFonts w:hint="eastAsia" w:ascii="宋体" w:hAnsi="宋体" w:cs="宋体"/>
                <w:kern w:val="0"/>
                <w:sz w:val="22"/>
                <w:szCs w:val="22"/>
              </w:rPr>
              <w:t>5400</w:t>
            </w:r>
          </w:p>
        </w:tc>
        <w:tc>
          <w:tcPr>
            <w:tcW w:w="867" w:type="dxa"/>
            <w:tcBorders>
              <w:top w:val="nil"/>
              <w:left w:val="nil"/>
              <w:bottom w:val="single" w:color="auto" w:sz="4" w:space="0"/>
              <w:right w:val="single" w:color="auto" w:sz="4" w:space="0"/>
            </w:tcBorders>
            <w:noWrap w:val="0"/>
            <w:vAlign w:val="center"/>
          </w:tcPr>
          <w:p w14:paraId="767CCF7E">
            <w:pPr>
              <w:widowControl/>
              <w:snapToGrid w:val="0"/>
              <w:jc w:val="center"/>
              <w:rPr>
                <w:rFonts w:hint="eastAsia" w:ascii="宋体" w:hAnsi="宋体" w:cs="宋体"/>
                <w:kern w:val="0"/>
                <w:sz w:val="22"/>
                <w:szCs w:val="22"/>
              </w:rPr>
            </w:pPr>
            <w:r>
              <w:rPr>
                <w:rFonts w:hint="eastAsia" w:ascii="宋体" w:hAnsi="宋体" w:cs="宋体"/>
                <w:kern w:val="0"/>
                <w:sz w:val="22"/>
                <w:szCs w:val="22"/>
              </w:rPr>
              <w:t>1</w:t>
            </w:r>
          </w:p>
        </w:tc>
        <w:tc>
          <w:tcPr>
            <w:tcW w:w="2368" w:type="dxa"/>
            <w:vMerge w:val="continue"/>
            <w:tcBorders>
              <w:top w:val="nil"/>
              <w:left w:val="single" w:color="auto" w:sz="4" w:space="0"/>
              <w:bottom w:val="single" w:color="auto" w:sz="4" w:space="0"/>
              <w:right w:val="single" w:color="auto" w:sz="4" w:space="0"/>
            </w:tcBorders>
            <w:noWrap w:val="0"/>
            <w:vAlign w:val="center"/>
          </w:tcPr>
          <w:p w14:paraId="2F7A7FB7">
            <w:pPr>
              <w:widowControl/>
              <w:snapToGrid w:val="0"/>
              <w:jc w:val="left"/>
              <w:rPr>
                <w:rFonts w:ascii="宋体" w:hAnsi="宋体" w:cs="宋体"/>
                <w:kern w:val="0"/>
                <w:sz w:val="22"/>
                <w:szCs w:val="22"/>
              </w:rPr>
            </w:pPr>
          </w:p>
        </w:tc>
      </w:tr>
      <w:tr w14:paraId="78051DC2">
        <w:tblPrEx>
          <w:tblCellMar>
            <w:top w:w="0" w:type="dxa"/>
            <w:left w:w="108" w:type="dxa"/>
            <w:bottom w:w="0" w:type="dxa"/>
            <w:right w:w="108" w:type="dxa"/>
          </w:tblCellMar>
        </w:tblPrEx>
        <w:trPr>
          <w:trHeight w:val="315" w:hRule="atLeast"/>
        </w:trPr>
        <w:tc>
          <w:tcPr>
            <w:tcW w:w="840" w:type="dxa"/>
            <w:vMerge w:val="continue"/>
            <w:tcBorders>
              <w:left w:val="single" w:color="auto" w:sz="4" w:space="0"/>
              <w:right w:val="single" w:color="auto" w:sz="4" w:space="0"/>
            </w:tcBorders>
            <w:noWrap w:val="0"/>
            <w:vAlign w:val="center"/>
          </w:tcPr>
          <w:p w14:paraId="0619D4C7">
            <w:pPr>
              <w:widowControl/>
              <w:snapToGrid w:val="0"/>
              <w:jc w:val="left"/>
              <w:rPr>
                <w:rFonts w:ascii="宋体" w:hAnsi="宋体" w:cs="宋体"/>
                <w:b/>
                <w:bCs/>
                <w:kern w:val="0"/>
                <w:sz w:val="22"/>
                <w:szCs w:val="22"/>
              </w:rPr>
            </w:pPr>
          </w:p>
        </w:tc>
        <w:tc>
          <w:tcPr>
            <w:tcW w:w="2000" w:type="dxa"/>
            <w:gridSpan w:val="2"/>
            <w:vMerge w:val="continue"/>
            <w:tcBorders>
              <w:left w:val="single" w:color="auto" w:sz="4" w:space="0"/>
              <w:right w:val="single" w:color="auto" w:sz="4" w:space="0"/>
            </w:tcBorders>
            <w:noWrap w:val="0"/>
            <w:vAlign w:val="center"/>
          </w:tcPr>
          <w:p w14:paraId="305780D8">
            <w:pPr>
              <w:widowControl/>
              <w:snapToGrid w:val="0"/>
              <w:jc w:val="left"/>
              <w:rPr>
                <w:rFonts w:ascii="宋体" w:hAnsi="宋体" w:cs="宋体"/>
                <w:kern w:val="0"/>
                <w:sz w:val="22"/>
                <w:szCs w:val="22"/>
              </w:rPr>
            </w:pPr>
          </w:p>
        </w:tc>
        <w:tc>
          <w:tcPr>
            <w:tcW w:w="1600" w:type="dxa"/>
            <w:gridSpan w:val="2"/>
            <w:tcBorders>
              <w:top w:val="nil"/>
              <w:left w:val="nil"/>
              <w:bottom w:val="single" w:color="auto" w:sz="4" w:space="0"/>
              <w:right w:val="single" w:color="auto" w:sz="4" w:space="0"/>
            </w:tcBorders>
            <w:noWrap w:val="0"/>
            <w:vAlign w:val="center"/>
          </w:tcPr>
          <w:p w14:paraId="10307D24">
            <w:pPr>
              <w:widowControl/>
              <w:snapToGrid w:val="0"/>
              <w:jc w:val="center"/>
              <w:rPr>
                <w:rFonts w:hint="eastAsia" w:ascii="宋体" w:hAnsi="宋体" w:cs="宋体"/>
                <w:kern w:val="0"/>
                <w:sz w:val="22"/>
                <w:szCs w:val="22"/>
              </w:rPr>
            </w:pPr>
            <w:r>
              <w:rPr>
                <w:rFonts w:hint="eastAsia" w:ascii="宋体" w:hAnsi="宋体" w:cs="宋体"/>
                <w:kern w:val="0"/>
                <w:sz w:val="22"/>
                <w:szCs w:val="22"/>
              </w:rPr>
              <w:t>2号实训楼</w:t>
            </w:r>
          </w:p>
        </w:tc>
        <w:tc>
          <w:tcPr>
            <w:tcW w:w="1356" w:type="dxa"/>
            <w:tcBorders>
              <w:top w:val="nil"/>
              <w:left w:val="nil"/>
              <w:bottom w:val="single" w:color="auto" w:sz="4" w:space="0"/>
              <w:right w:val="single" w:color="auto" w:sz="4" w:space="0"/>
            </w:tcBorders>
            <w:noWrap w:val="0"/>
            <w:vAlign w:val="center"/>
          </w:tcPr>
          <w:p w14:paraId="47DA6470">
            <w:pPr>
              <w:widowControl/>
              <w:snapToGrid w:val="0"/>
              <w:jc w:val="center"/>
              <w:rPr>
                <w:rFonts w:hint="eastAsia" w:ascii="宋体" w:hAnsi="宋体" w:cs="宋体"/>
                <w:kern w:val="0"/>
                <w:sz w:val="22"/>
                <w:szCs w:val="22"/>
              </w:rPr>
            </w:pPr>
            <w:r>
              <w:rPr>
                <w:rFonts w:hint="eastAsia" w:ascii="宋体" w:hAnsi="宋体" w:cs="宋体"/>
                <w:kern w:val="0"/>
                <w:sz w:val="22"/>
                <w:szCs w:val="22"/>
              </w:rPr>
              <w:t>26747</w:t>
            </w:r>
          </w:p>
        </w:tc>
        <w:tc>
          <w:tcPr>
            <w:tcW w:w="867" w:type="dxa"/>
            <w:tcBorders>
              <w:top w:val="nil"/>
              <w:left w:val="nil"/>
              <w:bottom w:val="single" w:color="auto" w:sz="4" w:space="0"/>
              <w:right w:val="single" w:color="auto" w:sz="4" w:space="0"/>
            </w:tcBorders>
            <w:noWrap w:val="0"/>
            <w:vAlign w:val="center"/>
          </w:tcPr>
          <w:p w14:paraId="36B421C2">
            <w:pPr>
              <w:widowControl/>
              <w:snapToGrid w:val="0"/>
              <w:jc w:val="center"/>
              <w:rPr>
                <w:rFonts w:hint="eastAsia" w:ascii="宋体" w:hAnsi="宋体" w:cs="宋体"/>
                <w:kern w:val="0"/>
                <w:sz w:val="22"/>
                <w:szCs w:val="22"/>
              </w:rPr>
            </w:pPr>
            <w:r>
              <w:rPr>
                <w:rFonts w:hint="eastAsia" w:ascii="宋体" w:hAnsi="宋体" w:cs="宋体"/>
                <w:kern w:val="0"/>
                <w:sz w:val="22"/>
                <w:szCs w:val="22"/>
              </w:rPr>
              <w:t>4</w:t>
            </w:r>
          </w:p>
        </w:tc>
        <w:tc>
          <w:tcPr>
            <w:tcW w:w="2368" w:type="dxa"/>
            <w:vMerge w:val="continue"/>
            <w:tcBorders>
              <w:top w:val="nil"/>
              <w:left w:val="single" w:color="auto" w:sz="4" w:space="0"/>
              <w:bottom w:val="single" w:color="auto" w:sz="4" w:space="0"/>
              <w:right w:val="single" w:color="auto" w:sz="4" w:space="0"/>
            </w:tcBorders>
            <w:noWrap w:val="0"/>
            <w:vAlign w:val="center"/>
          </w:tcPr>
          <w:p w14:paraId="0B995253">
            <w:pPr>
              <w:widowControl/>
              <w:snapToGrid w:val="0"/>
              <w:jc w:val="left"/>
              <w:rPr>
                <w:rFonts w:ascii="宋体" w:hAnsi="宋体" w:cs="宋体"/>
                <w:kern w:val="0"/>
                <w:sz w:val="22"/>
                <w:szCs w:val="22"/>
              </w:rPr>
            </w:pPr>
          </w:p>
        </w:tc>
      </w:tr>
      <w:tr w14:paraId="38A382AE">
        <w:tblPrEx>
          <w:tblCellMar>
            <w:top w:w="0" w:type="dxa"/>
            <w:left w:w="108" w:type="dxa"/>
            <w:bottom w:w="0" w:type="dxa"/>
            <w:right w:w="108" w:type="dxa"/>
          </w:tblCellMar>
        </w:tblPrEx>
        <w:trPr>
          <w:trHeight w:val="345" w:hRule="atLeast"/>
        </w:trPr>
        <w:tc>
          <w:tcPr>
            <w:tcW w:w="840" w:type="dxa"/>
            <w:vMerge w:val="continue"/>
            <w:tcBorders>
              <w:left w:val="single" w:color="auto" w:sz="4" w:space="0"/>
              <w:right w:val="single" w:color="auto" w:sz="4" w:space="0"/>
            </w:tcBorders>
            <w:noWrap w:val="0"/>
            <w:vAlign w:val="center"/>
          </w:tcPr>
          <w:p w14:paraId="09BCF031">
            <w:pPr>
              <w:widowControl/>
              <w:snapToGrid w:val="0"/>
              <w:jc w:val="left"/>
              <w:rPr>
                <w:rFonts w:ascii="宋体" w:hAnsi="宋体" w:cs="宋体"/>
                <w:b/>
                <w:bCs/>
                <w:kern w:val="0"/>
                <w:sz w:val="22"/>
                <w:szCs w:val="22"/>
              </w:rPr>
            </w:pPr>
          </w:p>
        </w:tc>
        <w:tc>
          <w:tcPr>
            <w:tcW w:w="2000" w:type="dxa"/>
            <w:gridSpan w:val="2"/>
            <w:vMerge w:val="continue"/>
            <w:tcBorders>
              <w:left w:val="single" w:color="auto" w:sz="4" w:space="0"/>
              <w:right w:val="single" w:color="auto" w:sz="4" w:space="0"/>
            </w:tcBorders>
            <w:noWrap w:val="0"/>
            <w:vAlign w:val="center"/>
          </w:tcPr>
          <w:p w14:paraId="5C2EACBD">
            <w:pPr>
              <w:widowControl/>
              <w:snapToGrid w:val="0"/>
              <w:jc w:val="left"/>
              <w:rPr>
                <w:rFonts w:ascii="宋体" w:hAnsi="宋体" w:cs="宋体"/>
                <w:kern w:val="0"/>
                <w:sz w:val="22"/>
                <w:szCs w:val="22"/>
              </w:rPr>
            </w:pPr>
          </w:p>
        </w:tc>
        <w:tc>
          <w:tcPr>
            <w:tcW w:w="1600" w:type="dxa"/>
            <w:gridSpan w:val="2"/>
            <w:tcBorders>
              <w:top w:val="nil"/>
              <w:left w:val="nil"/>
              <w:bottom w:val="single" w:color="auto" w:sz="4" w:space="0"/>
              <w:right w:val="single" w:color="auto" w:sz="4" w:space="0"/>
            </w:tcBorders>
            <w:noWrap w:val="0"/>
            <w:vAlign w:val="center"/>
          </w:tcPr>
          <w:p w14:paraId="72BA3949">
            <w:pPr>
              <w:widowControl/>
              <w:snapToGrid w:val="0"/>
              <w:jc w:val="center"/>
              <w:rPr>
                <w:rFonts w:hint="eastAsia" w:ascii="宋体" w:hAnsi="宋体" w:eastAsia="Arial Unicode MS" w:cs="宋体"/>
                <w:kern w:val="0"/>
                <w:sz w:val="22"/>
                <w:szCs w:val="22"/>
                <w:lang w:eastAsia="zh-CN"/>
              </w:rPr>
            </w:pPr>
            <w:r>
              <w:rPr>
                <w:rFonts w:ascii="宋体" w:hAnsi="宋体" w:cs="宋体"/>
                <w:kern w:val="0"/>
                <w:sz w:val="22"/>
                <w:szCs w:val="22"/>
              </w:rPr>
              <w:t>学校其他区域</w:t>
            </w:r>
          </w:p>
        </w:tc>
        <w:tc>
          <w:tcPr>
            <w:tcW w:w="1356" w:type="dxa"/>
            <w:tcBorders>
              <w:top w:val="nil"/>
              <w:left w:val="nil"/>
              <w:bottom w:val="single" w:color="auto" w:sz="4" w:space="0"/>
              <w:right w:val="single" w:color="auto" w:sz="4" w:space="0"/>
            </w:tcBorders>
            <w:noWrap w:val="0"/>
            <w:vAlign w:val="center"/>
          </w:tcPr>
          <w:p w14:paraId="6B35BC99">
            <w:pPr>
              <w:widowControl/>
              <w:snapToGrid w:val="0"/>
              <w:jc w:val="center"/>
              <w:rPr>
                <w:rFonts w:hint="eastAsia" w:ascii="宋体" w:hAnsi="宋体" w:cs="宋体"/>
                <w:kern w:val="0"/>
                <w:sz w:val="22"/>
                <w:szCs w:val="22"/>
              </w:rPr>
            </w:pPr>
            <w:r>
              <w:rPr>
                <w:rFonts w:hint="eastAsia" w:ascii="宋体" w:hAnsi="宋体" w:cs="宋体"/>
                <w:kern w:val="0"/>
                <w:sz w:val="22"/>
                <w:szCs w:val="22"/>
              </w:rPr>
              <w:t>14000</w:t>
            </w:r>
          </w:p>
        </w:tc>
        <w:tc>
          <w:tcPr>
            <w:tcW w:w="867" w:type="dxa"/>
            <w:tcBorders>
              <w:top w:val="nil"/>
              <w:left w:val="nil"/>
              <w:bottom w:val="single" w:color="auto" w:sz="4" w:space="0"/>
              <w:right w:val="single" w:color="auto" w:sz="4" w:space="0"/>
            </w:tcBorders>
            <w:noWrap w:val="0"/>
            <w:vAlign w:val="center"/>
          </w:tcPr>
          <w:p w14:paraId="01E1AD27">
            <w:pPr>
              <w:widowControl/>
              <w:snapToGrid w:val="0"/>
              <w:jc w:val="center"/>
              <w:rPr>
                <w:rFonts w:hint="eastAsia" w:ascii="宋体" w:hAnsi="宋体" w:cs="宋体"/>
                <w:kern w:val="0"/>
                <w:sz w:val="22"/>
                <w:szCs w:val="22"/>
              </w:rPr>
            </w:pPr>
            <w:r>
              <w:rPr>
                <w:rFonts w:hint="eastAsia" w:ascii="宋体" w:hAnsi="宋体" w:cs="宋体"/>
                <w:kern w:val="0"/>
                <w:sz w:val="22"/>
                <w:szCs w:val="22"/>
              </w:rPr>
              <w:t>2</w:t>
            </w:r>
          </w:p>
        </w:tc>
        <w:tc>
          <w:tcPr>
            <w:tcW w:w="2368" w:type="dxa"/>
            <w:tcBorders>
              <w:top w:val="nil"/>
              <w:left w:val="nil"/>
              <w:bottom w:val="single" w:color="auto" w:sz="4" w:space="0"/>
              <w:right w:val="single" w:color="auto" w:sz="4" w:space="0"/>
            </w:tcBorders>
            <w:noWrap w:val="0"/>
            <w:vAlign w:val="center"/>
          </w:tcPr>
          <w:p w14:paraId="274E8849">
            <w:pPr>
              <w:widowControl/>
              <w:snapToGrid w:val="0"/>
              <w:jc w:val="center"/>
              <w:rPr>
                <w:rFonts w:hint="eastAsia" w:ascii="宋体" w:hAnsi="宋体" w:cs="宋体"/>
                <w:kern w:val="0"/>
                <w:sz w:val="22"/>
                <w:szCs w:val="22"/>
              </w:rPr>
            </w:pPr>
            <w:r>
              <w:rPr>
                <w:rFonts w:hint="eastAsia" w:ascii="宋体" w:hAnsi="宋体" w:cs="宋体"/>
                <w:kern w:val="0"/>
                <w:sz w:val="22"/>
                <w:szCs w:val="22"/>
              </w:rPr>
              <w:t>　</w:t>
            </w:r>
          </w:p>
        </w:tc>
      </w:tr>
      <w:tr w14:paraId="45ACA3C0">
        <w:tblPrEx>
          <w:tblCellMar>
            <w:top w:w="0" w:type="dxa"/>
            <w:left w:w="108" w:type="dxa"/>
            <w:bottom w:w="0" w:type="dxa"/>
            <w:right w:w="108" w:type="dxa"/>
          </w:tblCellMar>
        </w:tblPrEx>
        <w:trPr>
          <w:trHeight w:val="345" w:hRule="atLeast"/>
        </w:trPr>
        <w:tc>
          <w:tcPr>
            <w:tcW w:w="840" w:type="dxa"/>
            <w:vMerge w:val="continue"/>
            <w:tcBorders>
              <w:left w:val="single" w:color="auto" w:sz="4" w:space="0"/>
              <w:right w:val="single" w:color="auto" w:sz="4" w:space="0"/>
            </w:tcBorders>
            <w:noWrap w:val="0"/>
            <w:vAlign w:val="center"/>
          </w:tcPr>
          <w:p w14:paraId="13B47BC1">
            <w:pPr>
              <w:widowControl/>
              <w:snapToGrid w:val="0"/>
              <w:jc w:val="left"/>
              <w:rPr>
                <w:rFonts w:ascii="宋体" w:hAnsi="宋体" w:cs="宋体"/>
                <w:b/>
                <w:bCs/>
                <w:kern w:val="0"/>
                <w:sz w:val="22"/>
                <w:szCs w:val="22"/>
              </w:rPr>
            </w:pPr>
          </w:p>
        </w:tc>
        <w:tc>
          <w:tcPr>
            <w:tcW w:w="2000" w:type="dxa"/>
            <w:gridSpan w:val="2"/>
            <w:vMerge w:val="continue"/>
            <w:tcBorders>
              <w:left w:val="single" w:color="auto" w:sz="4" w:space="0"/>
              <w:right w:val="single" w:color="auto" w:sz="4" w:space="0"/>
            </w:tcBorders>
            <w:noWrap w:val="0"/>
            <w:vAlign w:val="center"/>
          </w:tcPr>
          <w:p w14:paraId="555AC4E9">
            <w:pPr>
              <w:widowControl/>
              <w:snapToGrid w:val="0"/>
              <w:jc w:val="left"/>
              <w:rPr>
                <w:rFonts w:ascii="宋体" w:hAnsi="宋体" w:cs="宋体"/>
                <w:kern w:val="0"/>
                <w:sz w:val="22"/>
                <w:szCs w:val="22"/>
              </w:rPr>
            </w:pPr>
          </w:p>
        </w:tc>
        <w:tc>
          <w:tcPr>
            <w:tcW w:w="1600" w:type="dxa"/>
            <w:gridSpan w:val="2"/>
            <w:tcBorders>
              <w:top w:val="nil"/>
              <w:left w:val="nil"/>
              <w:bottom w:val="single" w:color="auto" w:sz="4" w:space="0"/>
              <w:right w:val="single" w:color="auto" w:sz="4" w:space="0"/>
            </w:tcBorders>
            <w:noWrap w:val="0"/>
            <w:vAlign w:val="center"/>
          </w:tcPr>
          <w:p w14:paraId="7967B58C">
            <w:pPr>
              <w:widowControl/>
              <w:snapToGrid w:val="0"/>
              <w:jc w:val="center"/>
              <w:rPr>
                <w:rFonts w:hint="eastAsia" w:ascii="宋体" w:hAnsi="宋体" w:cs="宋体"/>
                <w:kern w:val="0"/>
                <w:sz w:val="22"/>
                <w:szCs w:val="22"/>
              </w:rPr>
            </w:pPr>
            <w:r>
              <w:rPr>
                <w:rFonts w:hint="eastAsia" w:ascii="宋体" w:hAnsi="宋体" w:cs="宋体"/>
                <w:kern w:val="0"/>
                <w:sz w:val="22"/>
                <w:szCs w:val="22"/>
              </w:rPr>
              <w:t>垃圾清运</w:t>
            </w:r>
          </w:p>
        </w:tc>
        <w:tc>
          <w:tcPr>
            <w:tcW w:w="1356" w:type="dxa"/>
            <w:tcBorders>
              <w:top w:val="nil"/>
              <w:left w:val="nil"/>
              <w:bottom w:val="single" w:color="auto" w:sz="4" w:space="0"/>
              <w:right w:val="single" w:color="auto" w:sz="4" w:space="0"/>
            </w:tcBorders>
            <w:noWrap w:val="0"/>
            <w:vAlign w:val="center"/>
          </w:tcPr>
          <w:p w14:paraId="62A37C08">
            <w:pPr>
              <w:widowControl/>
              <w:snapToGrid w:val="0"/>
              <w:jc w:val="center"/>
              <w:rPr>
                <w:rFonts w:hint="eastAsia" w:ascii="宋体" w:hAnsi="宋体" w:cs="宋体"/>
                <w:kern w:val="0"/>
                <w:sz w:val="22"/>
                <w:szCs w:val="22"/>
              </w:rPr>
            </w:pPr>
          </w:p>
        </w:tc>
        <w:tc>
          <w:tcPr>
            <w:tcW w:w="867" w:type="dxa"/>
            <w:tcBorders>
              <w:top w:val="nil"/>
              <w:left w:val="nil"/>
              <w:bottom w:val="single" w:color="auto" w:sz="4" w:space="0"/>
              <w:right w:val="single" w:color="auto" w:sz="4" w:space="0"/>
            </w:tcBorders>
            <w:noWrap w:val="0"/>
            <w:vAlign w:val="center"/>
          </w:tcPr>
          <w:p w14:paraId="093A0B14">
            <w:pPr>
              <w:widowControl/>
              <w:snapToGrid w:val="0"/>
              <w:jc w:val="center"/>
              <w:rPr>
                <w:rFonts w:hint="eastAsia" w:ascii="宋体" w:hAnsi="宋体" w:cs="宋体"/>
                <w:kern w:val="0"/>
                <w:sz w:val="22"/>
                <w:szCs w:val="22"/>
              </w:rPr>
            </w:pPr>
            <w:r>
              <w:rPr>
                <w:rFonts w:hint="eastAsia" w:ascii="宋体" w:hAnsi="宋体" w:cs="宋体"/>
                <w:kern w:val="0"/>
                <w:sz w:val="22"/>
                <w:szCs w:val="22"/>
              </w:rPr>
              <w:t>1</w:t>
            </w:r>
          </w:p>
        </w:tc>
        <w:tc>
          <w:tcPr>
            <w:tcW w:w="2368" w:type="dxa"/>
            <w:tcBorders>
              <w:top w:val="nil"/>
              <w:left w:val="nil"/>
              <w:bottom w:val="single" w:color="auto" w:sz="4" w:space="0"/>
              <w:right w:val="single" w:color="auto" w:sz="4" w:space="0"/>
            </w:tcBorders>
            <w:noWrap w:val="0"/>
            <w:vAlign w:val="center"/>
          </w:tcPr>
          <w:p w14:paraId="00014B7A">
            <w:pPr>
              <w:widowControl/>
              <w:snapToGrid w:val="0"/>
              <w:jc w:val="center"/>
              <w:rPr>
                <w:rFonts w:hint="eastAsia" w:ascii="宋体" w:hAnsi="宋体" w:cs="宋体"/>
                <w:kern w:val="0"/>
                <w:sz w:val="22"/>
                <w:szCs w:val="22"/>
              </w:rPr>
            </w:pPr>
            <w:r>
              <w:rPr>
                <w:rFonts w:hint="eastAsia" w:ascii="宋体" w:hAnsi="宋体" w:cs="宋体"/>
                <w:kern w:val="0"/>
                <w:sz w:val="22"/>
                <w:szCs w:val="22"/>
              </w:rPr>
              <w:t>负责垃圾清运</w:t>
            </w:r>
          </w:p>
        </w:tc>
      </w:tr>
      <w:tr w14:paraId="7DAA65B4">
        <w:tblPrEx>
          <w:tblCellMar>
            <w:top w:w="0" w:type="dxa"/>
            <w:left w:w="108" w:type="dxa"/>
            <w:bottom w:w="0" w:type="dxa"/>
            <w:right w:w="108" w:type="dxa"/>
          </w:tblCellMar>
        </w:tblPrEx>
        <w:trPr>
          <w:trHeight w:val="570" w:hRule="atLeast"/>
        </w:trPr>
        <w:tc>
          <w:tcPr>
            <w:tcW w:w="840" w:type="dxa"/>
            <w:vMerge w:val="continue"/>
            <w:tcBorders>
              <w:left w:val="single" w:color="auto" w:sz="4" w:space="0"/>
              <w:right w:val="single" w:color="auto" w:sz="4" w:space="0"/>
            </w:tcBorders>
            <w:noWrap w:val="0"/>
            <w:vAlign w:val="center"/>
          </w:tcPr>
          <w:p w14:paraId="5AE3703E">
            <w:pPr>
              <w:widowControl/>
              <w:snapToGrid w:val="0"/>
              <w:jc w:val="left"/>
              <w:rPr>
                <w:rFonts w:ascii="宋体" w:hAnsi="宋体" w:cs="宋体"/>
                <w:b/>
                <w:bCs/>
                <w:kern w:val="0"/>
                <w:sz w:val="22"/>
                <w:szCs w:val="22"/>
              </w:rPr>
            </w:pPr>
          </w:p>
        </w:tc>
        <w:tc>
          <w:tcPr>
            <w:tcW w:w="2000" w:type="dxa"/>
            <w:gridSpan w:val="2"/>
            <w:vMerge w:val="continue"/>
            <w:tcBorders>
              <w:left w:val="single" w:color="auto" w:sz="4" w:space="0"/>
              <w:bottom w:val="single" w:color="auto" w:sz="4" w:space="0"/>
              <w:right w:val="single" w:color="auto" w:sz="4" w:space="0"/>
            </w:tcBorders>
            <w:noWrap w:val="0"/>
            <w:vAlign w:val="center"/>
          </w:tcPr>
          <w:p w14:paraId="42BB0D1E">
            <w:pPr>
              <w:widowControl/>
              <w:snapToGrid w:val="0"/>
              <w:jc w:val="left"/>
              <w:rPr>
                <w:rFonts w:ascii="宋体" w:hAnsi="宋体" w:cs="宋体"/>
                <w:kern w:val="0"/>
                <w:sz w:val="22"/>
                <w:szCs w:val="22"/>
              </w:rPr>
            </w:pPr>
          </w:p>
        </w:tc>
        <w:tc>
          <w:tcPr>
            <w:tcW w:w="1600" w:type="dxa"/>
            <w:gridSpan w:val="2"/>
            <w:tcBorders>
              <w:top w:val="nil"/>
              <w:left w:val="nil"/>
              <w:bottom w:val="single" w:color="auto" w:sz="4" w:space="0"/>
              <w:right w:val="single" w:color="auto" w:sz="4" w:space="0"/>
            </w:tcBorders>
            <w:noWrap w:val="0"/>
            <w:vAlign w:val="center"/>
          </w:tcPr>
          <w:p w14:paraId="1A454485">
            <w:pPr>
              <w:widowControl/>
              <w:snapToGrid w:val="0"/>
              <w:jc w:val="center"/>
              <w:rPr>
                <w:rFonts w:hint="eastAsia" w:ascii="宋体" w:hAnsi="宋体" w:cs="宋体"/>
                <w:kern w:val="0"/>
                <w:sz w:val="22"/>
                <w:szCs w:val="22"/>
              </w:rPr>
            </w:pPr>
            <w:r>
              <w:rPr>
                <w:rFonts w:hint="eastAsia" w:ascii="宋体" w:hAnsi="宋体" w:cs="宋体"/>
                <w:kern w:val="0"/>
                <w:sz w:val="22"/>
                <w:szCs w:val="22"/>
              </w:rPr>
              <w:t>学校公共区域、南停车场及周边道路</w:t>
            </w:r>
          </w:p>
        </w:tc>
        <w:tc>
          <w:tcPr>
            <w:tcW w:w="1356" w:type="dxa"/>
            <w:tcBorders>
              <w:top w:val="nil"/>
              <w:left w:val="nil"/>
              <w:bottom w:val="single" w:color="auto" w:sz="4" w:space="0"/>
              <w:right w:val="single" w:color="auto" w:sz="4" w:space="0"/>
            </w:tcBorders>
            <w:noWrap w:val="0"/>
            <w:vAlign w:val="center"/>
          </w:tcPr>
          <w:p w14:paraId="35B798F5">
            <w:pPr>
              <w:widowControl/>
              <w:snapToGrid w:val="0"/>
              <w:jc w:val="center"/>
              <w:rPr>
                <w:rFonts w:hint="eastAsia" w:ascii="宋体" w:hAnsi="宋体" w:cs="宋体"/>
                <w:kern w:val="0"/>
                <w:sz w:val="22"/>
                <w:szCs w:val="22"/>
              </w:rPr>
            </w:pPr>
            <w:r>
              <w:rPr>
                <w:rFonts w:hint="eastAsia" w:ascii="宋体" w:hAnsi="宋体" w:cs="宋体"/>
                <w:kern w:val="0"/>
                <w:sz w:val="22"/>
                <w:szCs w:val="22"/>
              </w:rPr>
              <w:t>　20000</w:t>
            </w:r>
          </w:p>
        </w:tc>
        <w:tc>
          <w:tcPr>
            <w:tcW w:w="867" w:type="dxa"/>
            <w:tcBorders>
              <w:top w:val="nil"/>
              <w:left w:val="nil"/>
              <w:bottom w:val="single" w:color="auto" w:sz="4" w:space="0"/>
              <w:right w:val="single" w:color="auto" w:sz="4" w:space="0"/>
            </w:tcBorders>
            <w:noWrap w:val="0"/>
            <w:vAlign w:val="center"/>
          </w:tcPr>
          <w:p w14:paraId="105664F1">
            <w:pPr>
              <w:widowControl/>
              <w:snapToGrid w:val="0"/>
              <w:jc w:val="center"/>
              <w:rPr>
                <w:rFonts w:hint="eastAsia" w:ascii="宋体" w:hAnsi="宋体" w:cs="宋体"/>
                <w:kern w:val="0"/>
                <w:sz w:val="22"/>
                <w:szCs w:val="22"/>
              </w:rPr>
            </w:pPr>
            <w:r>
              <w:rPr>
                <w:rFonts w:hint="eastAsia" w:ascii="宋体" w:hAnsi="宋体" w:cs="宋体"/>
                <w:kern w:val="0"/>
                <w:sz w:val="22"/>
                <w:szCs w:val="22"/>
              </w:rPr>
              <w:t>5</w:t>
            </w:r>
          </w:p>
        </w:tc>
        <w:tc>
          <w:tcPr>
            <w:tcW w:w="2368" w:type="dxa"/>
            <w:tcBorders>
              <w:top w:val="nil"/>
              <w:left w:val="nil"/>
              <w:bottom w:val="single" w:color="auto" w:sz="4" w:space="0"/>
              <w:right w:val="single" w:color="auto" w:sz="4" w:space="0"/>
            </w:tcBorders>
            <w:noWrap w:val="0"/>
            <w:vAlign w:val="center"/>
          </w:tcPr>
          <w:p w14:paraId="591AB835">
            <w:pPr>
              <w:widowControl/>
              <w:snapToGrid w:val="0"/>
              <w:jc w:val="center"/>
              <w:rPr>
                <w:rFonts w:hint="eastAsia" w:ascii="宋体" w:hAnsi="宋体" w:cs="宋体"/>
                <w:kern w:val="0"/>
                <w:sz w:val="22"/>
                <w:szCs w:val="22"/>
              </w:rPr>
            </w:pPr>
            <w:r>
              <w:rPr>
                <w:rFonts w:hint="eastAsia" w:ascii="宋体" w:hAnsi="宋体" w:cs="宋体"/>
                <w:kern w:val="0"/>
                <w:sz w:val="22"/>
                <w:szCs w:val="22"/>
              </w:rPr>
              <w:t>含南门保洁职责</w:t>
            </w:r>
          </w:p>
        </w:tc>
      </w:tr>
      <w:tr w14:paraId="6BCCE73C">
        <w:tblPrEx>
          <w:tblCellMar>
            <w:top w:w="0" w:type="dxa"/>
            <w:left w:w="108" w:type="dxa"/>
            <w:bottom w:w="0" w:type="dxa"/>
            <w:right w:w="108" w:type="dxa"/>
          </w:tblCellMar>
        </w:tblPrEx>
        <w:trPr>
          <w:trHeight w:val="825" w:hRule="atLeast"/>
        </w:trPr>
        <w:tc>
          <w:tcPr>
            <w:tcW w:w="840" w:type="dxa"/>
            <w:vMerge w:val="continue"/>
            <w:tcBorders>
              <w:left w:val="single" w:color="auto" w:sz="4" w:space="0"/>
              <w:right w:val="single" w:color="auto" w:sz="4" w:space="0"/>
            </w:tcBorders>
            <w:noWrap w:val="0"/>
            <w:vAlign w:val="center"/>
          </w:tcPr>
          <w:p w14:paraId="29BC9FD7">
            <w:pPr>
              <w:widowControl/>
              <w:snapToGrid w:val="0"/>
              <w:jc w:val="left"/>
              <w:rPr>
                <w:rFonts w:ascii="宋体" w:hAnsi="宋体" w:cs="宋体"/>
                <w:b/>
                <w:bCs/>
                <w:kern w:val="0"/>
                <w:sz w:val="22"/>
                <w:szCs w:val="22"/>
              </w:rPr>
            </w:pPr>
          </w:p>
        </w:tc>
        <w:tc>
          <w:tcPr>
            <w:tcW w:w="2000" w:type="dxa"/>
            <w:gridSpan w:val="2"/>
            <w:tcBorders>
              <w:top w:val="nil"/>
              <w:left w:val="nil"/>
              <w:bottom w:val="single" w:color="auto" w:sz="4" w:space="0"/>
              <w:right w:val="single" w:color="auto" w:sz="4" w:space="0"/>
            </w:tcBorders>
            <w:noWrap w:val="0"/>
            <w:vAlign w:val="center"/>
          </w:tcPr>
          <w:p w14:paraId="4864EE18">
            <w:pPr>
              <w:widowControl/>
              <w:snapToGrid w:val="0"/>
              <w:jc w:val="center"/>
              <w:rPr>
                <w:rFonts w:hint="eastAsia" w:ascii="宋体" w:hAnsi="宋体" w:cs="宋体"/>
                <w:kern w:val="0"/>
                <w:sz w:val="22"/>
                <w:szCs w:val="22"/>
              </w:rPr>
            </w:pPr>
            <w:r>
              <w:rPr>
                <w:rFonts w:hint="eastAsia" w:ascii="宋体" w:hAnsi="宋体" w:cs="宋体"/>
                <w:kern w:val="0"/>
                <w:sz w:val="22"/>
                <w:szCs w:val="22"/>
              </w:rPr>
              <w:t>综合维修（含泥工、木工、校舍维修等）</w:t>
            </w:r>
          </w:p>
        </w:tc>
        <w:tc>
          <w:tcPr>
            <w:tcW w:w="1600" w:type="dxa"/>
            <w:gridSpan w:val="2"/>
            <w:tcBorders>
              <w:top w:val="nil"/>
              <w:left w:val="nil"/>
              <w:bottom w:val="single" w:color="auto" w:sz="4" w:space="0"/>
              <w:right w:val="single" w:color="auto" w:sz="4" w:space="0"/>
            </w:tcBorders>
            <w:noWrap/>
            <w:vAlign w:val="center"/>
          </w:tcPr>
          <w:p w14:paraId="478C4694">
            <w:pPr>
              <w:widowControl/>
              <w:snapToGrid w:val="0"/>
              <w:jc w:val="center"/>
              <w:rPr>
                <w:rFonts w:hint="eastAsia" w:ascii="宋体" w:hAnsi="宋体" w:cs="宋体"/>
                <w:kern w:val="0"/>
                <w:sz w:val="22"/>
                <w:szCs w:val="22"/>
              </w:rPr>
            </w:pPr>
            <w:r>
              <w:rPr>
                <w:rFonts w:hint="eastAsia" w:ascii="宋体" w:hAnsi="宋体" w:cs="宋体"/>
                <w:kern w:val="0"/>
                <w:sz w:val="22"/>
                <w:szCs w:val="22"/>
              </w:rPr>
              <w:t>所有区域</w:t>
            </w:r>
          </w:p>
        </w:tc>
        <w:tc>
          <w:tcPr>
            <w:tcW w:w="1356" w:type="dxa"/>
            <w:tcBorders>
              <w:top w:val="nil"/>
              <w:left w:val="nil"/>
              <w:bottom w:val="single" w:color="auto" w:sz="4" w:space="0"/>
              <w:right w:val="single" w:color="auto" w:sz="4" w:space="0"/>
            </w:tcBorders>
            <w:noWrap/>
            <w:vAlign w:val="center"/>
          </w:tcPr>
          <w:p w14:paraId="181CFBD1">
            <w:pPr>
              <w:widowControl/>
              <w:snapToGrid w:val="0"/>
              <w:jc w:val="center"/>
              <w:rPr>
                <w:rFonts w:hint="eastAsia" w:ascii="宋体" w:hAnsi="宋体" w:cs="宋体"/>
                <w:kern w:val="0"/>
                <w:sz w:val="22"/>
                <w:szCs w:val="22"/>
              </w:rPr>
            </w:pPr>
            <w:r>
              <w:rPr>
                <w:rFonts w:hint="eastAsia" w:ascii="宋体" w:hAnsi="宋体" w:cs="宋体"/>
                <w:kern w:val="0"/>
                <w:sz w:val="22"/>
                <w:szCs w:val="22"/>
              </w:rPr>
              <w:t>　</w:t>
            </w:r>
          </w:p>
        </w:tc>
        <w:tc>
          <w:tcPr>
            <w:tcW w:w="867" w:type="dxa"/>
            <w:tcBorders>
              <w:top w:val="nil"/>
              <w:left w:val="nil"/>
              <w:bottom w:val="single" w:color="auto" w:sz="4" w:space="0"/>
              <w:right w:val="single" w:color="auto" w:sz="4" w:space="0"/>
            </w:tcBorders>
            <w:noWrap/>
            <w:vAlign w:val="center"/>
          </w:tcPr>
          <w:p w14:paraId="4111311D">
            <w:pPr>
              <w:widowControl/>
              <w:snapToGrid w:val="0"/>
              <w:jc w:val="center"/>
              <w:rPr>
                <w:rFonts w:hint="eastAsia" w:ascii="宋体" w:hAnsi="宋体" w:cs="宋体"/>
                <w:kern w:val="0"/>
                <w:sz w:val="22"/>
                <w:szCs w:val="22"/>
              </w:rPr>
            </w:pPr>
            <w:r>
              <w:rPr>
                <w:rFonts w:hint="eastAsia" w:ascii="宋体" w:hAnsi="宋体" w:cs="宋体"/>
                <w:kern w:val="0"/>
                <w:sz w:val="22"/>
                <w:szCs w:val="22"/>
              </w:rPr>
              <w:t>7</w:t>
            </w:r>
          </w:p>
        </w:tc>
        <w:tc>
          <w:tcPr>
            <w:tcW w:w="2368" w:type="dxa"/>
            <w:tcBorders>
              <w:top w:val="nil"/>
              <w:left w:val="nil"/>
              <w:bottom w:val="single" w:color="auto" w:sz="4" w:space="0"/>
              <w:right w:val="single" w:color="auto" w:sz="4" w:space="0"/>
            </w:tcBorders>
            <w:noWrap w:val="0"/>
            <w:vAlign w:val="center"/>
          </w:tcPr>
          <w:p w14:paraId="562E4C1A">
            <w:pPr>
              <w:widowControl/>
              <w:snapToGrid w:val="0"/>
              <w:jc w:val="center"/>
              <w:rPr>
                <w:rFonts w:hint="eastAsia" w:ascii="宋体" w:hAnsi="宋体" w:cs="宋体"/>
                <w:kern w:val="0"/>
                <w:sz w:val="22"/>
                <w:szCs w:val="22"/>
              </w:rPr>
            </w:pPr>
            <w:r>
              <w:rPr>
                <w:rFonts w:hint="eastAsia" w:ascii="宋体" w:hAnsi="宋体" w:cs="宋体"/>
                <w:kern w:val="0"/>
                <w:sz w:val="22"/>
                <w:szCs w:val="22"/>
              </w:rPr>
              <w:t>全校木工、泥工，下水管网疏通、校舍日常维修</w:t>
            </w:r>
          </w:p>
        </w:tc>
      </w:tr>
      <w:tr w14:paraId="0BEAAFF6">
        <w:tblPrEx>
          <w:tblCellMar>
            <w:top w:w="0" w:type="dxa"/>
            <w:left w:w="108" w:type="dxa"/>
            <w:bottom w:w="0" w:type="dxa"/>
            <w:right w:w="108" w:type="dxa"/>
          </w:tblCellMar>
        </w:tblPrEx>
        <w:trPr>
          <w:trHeight w:val="440" w:hRule="atLeast"/>
        </w:trPr>
        <w:tc>
          <w:tcPr>
            <w:tcW w:w="840" w:type="dxa"/>
            <w:vMerge w:val="continue"/>
            <w:tcBorders>
              <w:left w:val="single" w:color="auto" w:sz="4" w:space="0"/>
              <w:right w:val="single" w:color="auto" w:sz="4" w:space="0"/>
            </w:tcBorders>
            <w:noWrap w:val="0"/>
            <w:vAlign w:val="center"/>
          </w:tcPr>
          <w:p w14:paraId="7064F14C">
            <w:pPr>
              <w:widowControl/>
              <w:snapToGrid w:val="0"/>
              <w:jc w:val="left"/>
              <w:rPr>
                <w:rFonts w:ascii="宋体" w:hAnsi="宋体" w:cs="宋体"/>
                <w:b/>
                <w:bCs/>
                <w:kern w:val="0"/>
                <w:sz w:val="22"/>
                <w:szCs w:val="22"/>
              </w:rPr>
            </w:pPr>
          </w:p>
        </w:tc>
        <w:tc>
          <w:tcPr>
            <w:tcW w:w="2000" w:type="dxa"/>
            <w:gridSpan w:val="2"/>
            <w:tcBorders>
              <w:top w:val="nil"/>
              <w:left w:val="nil"/>
              <w:bottom w:val="single" w:color="auto" w:sz="4" w:space="0"/>
              <w:right w:val="single" w:color="auto" w:sz="4" w:space="0"/>
            </w:tcBorders>
            <w:noWrap w:val="0"/>
            <w:vAlign w:val="center"/>
          </w:tcPr>
          <w:p w14:paraId="1BA59290">
            <w:pPr>
              <w:widowControl/>
              <w:snapToGrid w:val="0"/>
              <w:jc w:val="center"/>
              <w:rPr>
                <w:rFonts w:hint="eastAsia" w:ascii="宋体" w:hAnsi="宋体" w:cs="宋体"/>
                <w:kern w:val="0"/>
                <w:sz w:val="22"/>
                <w:szCs w:val="22"/>
              </w:rPr>
            </w:pPr>
            <w:r>
              <w:rPr>
                <w:rFonts w:hint="eastAsia" w:ascii="宋体" w:hAnsi="宋体" w:cs="宋体"/>
                <w:kern w:val="0"/>
                <w:sz w:val="22"/>
                <w:szCs w:val="22"/>
              </w:rPr>
              <w:t>绿化</w:t>
            </w:r>
            <w:r>
              <w:rPr>
                <w:rFonts w:hint="eastAsia" w:ascii="宋体" w:hAnsi="宋体" w:cs="宋体"/>
                <w:kern w:val="0"/>
                <w:sz w:val="22"/>
                <w:szCs w:val="22"/>
                <w:lang w:val="en-US" w:eastAsia="zh-CN"/>
              </w:rPr>
              <w:t>养护</w:t>
            </w:r>
          </w:p>
        </w:tc>
        <w:tc>
          <w:tcPr>
            <w:tcW w:w="1600" w:type="dxa"/>
            <w:gridSpan w:val="2"/>
            <w:tcBorders>
              <w:top w:val="nil"/>
              <w:left w:val="nil"/>
              <w:bottom w:val="single" w:color="auto" w:sz="4" w:space="0"/>
              <w:right w:val="single" w:color="auto" w:sz="4" w:space="0"/>
            </w:tcBorders>
            <w:noWrap/>
            <w:vAlign w:val="center"/>
          </w:tcPr>
          <w:p w14:paraId="2E086397">
            <w:pPr>
              <w:widowControl/>
              <w:snapToGrid w:val="0"/>
              <w:jc w:val="center"/>
              <w:rPr>
                <w:rFonts w:hint="eastAsia" w:ascii="宋体" w:hAnsi="宋体" w:cs="宋体"/>
                <w:kern w:val="0"/>
                <w:sz w:val="22"/>
                <w:szCs w:val="22"/>
              </w:rPr>
            </w:pPr>
            <w:r>
              <w:rPr>
                <w:rFonts w:hint="eastAsia" w:ascii="宋体" w:hAnsi="宋体" w:cs="宋体"/>
                <w:kern w:val="0"/>
                <w:sz w:val="22"/>
                <w:szCs w:val="22"/>
              </w:rPr>
              <w:t>公共区域</w:t>
            </w:r>
          </w:p>
        </w:tc>
        <w:tc>
          <w:tcPr>
            <w:tcW w:w="1356" w:type="dxa"/>
            <w:tcBorders>
              <w:top w:val="nil"/>
              <w:left w:val="nil"/>
              <w:bottom w:val="single" w:color="auto" w:sz="4" w:space="0"/>
              <w:right w:val="single" w:color="auto" w:sz="4" w:space="0"/>
            </w:tcBorders>
            <w:noWrap/>
            <w:vAlign w:val="center"/>
          </w:tcPr>
          <w:p w14:paraId="2E5CFF8A">
            <w:pPr>
              <w:widowControl/>
              <w:snapToGrid w:val="0"/>
              <w:jc w:val="center"/>
              <w:rPr>
                <w:rFonts w:hint="eastAsia" w:ascii="宋体" w:hAnsi="宋体" w:cs="宋体"/>
                <w:kern w:val="0"/>
                <w:sz w:val="22"/>
                <w:szCs w:val="22"/>
              </w:rPr>
            </w:pPr>
            <w:r>
              <w:rPr>
                <w:rFonts w:hint="eastAsia" w:ascii="宋体" w:hAnsi="宋体" w:cs="宋体"/>
                <w:kern w:val="0"/>
                <w:sz w:val="22"/>
                <w:szCs w:val="22"/>
              </w:rPr>
              <w:t>　</w:t>
            </w:r>
          </w:p>
        </w:tc>
        <w:tc>
          <w:tcPr>
            <w:tcW w:w="867" w:type="dxa"/>
            <w:tcBorders>
              <w:top w:val="nil"/>
              <w:left w:val="nil"/>
              <w:bottom w:val="single" w:color="auto" w:sz="4" w:space="0"/>
              <w:right w:val="single" w:color="auto" w:sz="4" w:space="0"/>
            </w:tcBorders>
            <w:noWrap/>
            <w:vAlign w:val="center"/>
          </w:tcPr>
          <w:p w14:paraId="1ED9F8BE">
            <w:pPr>
              <w:widowControl/>
              <w:snapToGrid w:val="0"/>
              <w:jc w:val="center"/>
              <w:rPr>
                <w:rFonts w:hint="eastAsia" w:ascii="宋体" w:hAnsi="宋体" w:cs="宋体"/>
                <w:kern w:val="0"/>
                <w:sz w:val="22"/>
                <w:szCs w:val="22"/>
              </w:rPr>
            </w:pPr>
            <w:r>
              <w:rPr>
                <w:rFonts w:hint="eastAsia" w:ascii="宋体" w:hAnsi="宋体" w:cs="宋体"/>
                <w:kern w:val="0"/>
                <w:sz w:val="22"/>
                <w:szCs w:val="22"/>
              </w:rPr>
              <w:t>3</w:t>
            </w:r>
          </w:p>
        </w:tc>
        <w:tc>
          <w:tcPr>
            <w:tcW w:w="2368" w:type="dxa"/>
            <w:tcBorders>
              <w:top w:val="nil"/>
              <w:left w:val="nil"/>
              <w:bottom w:val="single" w:color="auto" w:sz="4" w:space="0"/>
              <w:right w:val="single" w:color="auto" w:sz="4" w:space="0"/>
            </w:tcBorders>
            <w:noWrap w:val="0"/>
            <w:vAlign w:val="center"/>
          </w:tcPr>
          <w:p w14:paraId="391E2CE1">
            <w:pPr>
              <w:widowControl/>
              <w:snapToGrid w:val="0"/>
              <w:jc w:val="center"/>
              <w:rPr>
                <w:rFonts w:hint="eastAsia" w:ascii="宋体" w:hAnsi="宋体" w:cs="宋体"/>
                <w:kern w:val="0"/>
                <w:sz w:val="22"/>
                <w:szCs w:val="22"/>
              </w:rPr>
            </w:pPr>
            <w:r>
              <w:rPr>
                <w:rFonts w:hint="eastAsia" w:ascii="宋体" w:hAnsi="宋体" w:cs="宋体"/>
                <w:kern w:val="0"/>
                <w:sz w:val="22"/>
                <w:szCs w:val="22"/>
              </w:rPr>
              <w:t>含南门绿化职责</w:t>
            </w:r>
          </w:p>
        </w:tc>
      </w:tr>
      <w:tr w14:paraId="7F42B3B5">
        <w:tblPrEx>
          <w:tblCellMar>
            <w:top w:w="0" w:type="dxa"/>
            <w:left w:w="108" w:type="dxa"/>
            <w:bottom w:w="0" w:type="dxa"/>
            <w:right w:w="108" w:type="dxa"/>
          </w:tblCellMar>
        </w:tblPrEx>
        <w:trPr>
          <w:trHeight w:val="360" w:hRule="atLeast"/>
        </w:trPr>
        <w:tc>
          <w:tcPr>
            <w:tcW w:w="840" w:type="dxa"/>
            <w:vMerge w:val="continue"/>
            <w:tcBorders>
              <w:left w:val="single" w:color="auto" w:sz="4" w:space="0"/>
              <w:right w:val="single" w:color="auto" w:sz="4" w:space="0"/>
            </w:tcBorders>
            <w:noWrap w:val="0"/>
            <w:vAlign w:val="center"/>
          </w:tcPr>
          <w:p w14:paraId="36FCE4B9">
            <w:pPr>
              <w:widowControl/>
              <w:snapToGrid w:val="0"/>
              <w:jc w:val="left"/>
              <w:rPr>
                <w:rFonts w:ascii="宋体" w:hAnsi="宋体" w:cs="宋体"/>
                <w:b/>
                <w:bCs/>
                <w:kern w:val="0"/>
                <w:sz w:val="22"/>
                <w:szCs w:val="22"/>
              </w:rPr>
            </w:pPr>
          </w:p>
        </w:tc>
        <w:tc>
          <w:tcPr>
            <w:tcW w:w="2000" w:type="dxa"/>
            <w:gridSpan w:val="2"/>
            <w:tcBorders>
              <w:top w:val="nil"/>
              <w:left w:val="nil"/>
              <w:bottom w:val="single" w:color="auto" w:sz="4" w:space="0"/>
              <w:right w:val="single" w:color="auto" w:sz="4" w:space="0"/>
            </w:tcBorders>
            <w:noWrap/>
            <w:vAlign w:val="center"/>
          </w:tcPr>
          <w:p w14:paraId="4B72BCB7">
            <w:pPr>
              <w:widowControl/>
              <w:snapToGrid w:val="0"/>
              <w:jc w:val="center"/>
              <w:rPr>
                <w:rFonts w:hint="eastAsia" w:ascii="宋体" w:hAnsi="宋体" w:cs="宋体"/>
                <w:kern w:val="0"/>
                <w:sz w:val="22"/>
                <w:szCs w:val="22"/>
              </w:rPr>
            </w:pPr>
            <w:r>
              <w:rPr>
                <w:rFonts w:hint="eastAsia" w:ascii="宋体" w:hAnsi="宋体" w:cs="宋体"/>
                <w:kern w:val="0"/>
                <w:sz w:val="22"/>
                <w:szCs w:val="22"/>
              </w:rPr>
              <w:t>澡堂</w:t>
            </w:r>
          </w:p>
        </w:tc>
        <w:tc>
          <w:tcPr>
            <w:tcW w:w="1600" w:type="dxa"/>
            <w:gridSpan w:val="2"/>
            <w:tcBorders>
              <w:top w:val="nil"/>
              <w:left w:val="nil"/>
              <w:bottom w:val="single" w:color="auto" w:sz="4" w:space="0"/>
              <w:right w:val="single" w:color="auto" w:sz="4" w:space="0"/>
            </w:tcBorders>
            <w:noWrap/>
            <w:vAlign w:val="center"/>
          </w:tcPr>
          <w:p w14:paraId="51E2B253">
            <w:pPr>
              <w:widowControl/>
              <w:snapToGrid w:val="0"/>
              <w:jc w:val="center"/>
              <w:rPr>
                <w:rFonts w:hint="eastAsia" w:ascii="宋体" w:hAnsi="宋体" w:cs="宋体"/>
                <w:kern w:val="0"/>
                <w:sz w:val="22"/>
                <w:szCs w:val="22"/>
              </w:rPr>
            </w:pPr>
            <w:r>
              <w:rPr>
                <w:rFonts w:hint="eastAsia" w:ascii="宋体" w:hAnsi="宋体" w:cs="宋体"/>
                <w:kern w:val="0"/>
                <w:sz w:val="22"/>
                <w:szCs w:val="22"/>
              </w:rPr>
              <w:t>澡堂区域</w:t>
            </w:r>
          </w:p>
        </w:tc>
        <w:tc>
          <w:tcPr>
            <w:tcW w:w="1356" w:type="dxa"/>
            <w:tcBorders>
              <w:top w:val="nil"/>
              <w:left w:val="nil"/>
              <w:bottom w:val="single" w:color="auto" w:sz="4" w:space="0"/>
              <w:right w:val="single" w:color="auto" w:sz="4" w:space="0"/>
            </w:tcBorders>
            <w:noWrap/>
            <w:vAlign w:val="center"/>
          </w:tcPr>
          <w:p w14:paraId="694D3A93">
            <w:pPr>
              <w:widowControl/>
              <w:snapToGrid w:val="0"/>
              <w:jc w:val="center"/>
              <w:rPr>
                <w:rFonts w:hint="eastAsia" w:ascii="宋体" w:hAnsi="宋体" w:cs="宋体"/>
                <w:kern w:val="0"/>
                <w:sz w:val="22"/>
                <w:szCs w:val="22"/>
              </w:rPr>
            </w:pPr>
            <w:r>
              <w:rPr>
                <w:rFonts w:hint="eastAsia" w:ascii="宋体" w:hAnsi="宋体" w:cs="宋体"/>
                <w:kern w:val="0"/>
                <w:sz w:val="22"/>
                <w:szCs w:val="22"/>
              </w:rPr>
              <w:t>　</w:t>
            </w:r>
          </w:p>
        </w:tc>
        <w:tc>
          <w:tcPr>
            <w:tcW w:w="867" w:type="dxa"/>
            <w:tcBorders>
              <w:top w:val="nil"/>
              <w:left w:val="nil"/>
              <w:bottom w:val="single" w:color="auto" w:sz="4" w:space="0"/>
              <w:right w:val="single" w:color="auto" w:sz="4" w:space="0"/>
            </w:tcBorders>
            <w:noWrap/>
            <w:vAlign w:val="center"/>
          </w:tcPr>
          <w:p w14:paraId="2D9668F3">
            <w:pPr>
              <w:widowControl/>
              <w:snapToGrid w:val="0"/>
              <w:jc w:val="center"/>
              <w:rPr>
                <w:rFonts w:hint="eastAsia" w:ascii="宋体" w:hAnsi="宋体" w:cs="宋体"/>
                <w:kern w:val="0"/>
                <w:sz w:val="22"/>
                <w:szCs w:val="22"/>
              </w:rPr>
            </w:pPr>
            <w:r>
              <w:rPr>
                <w:rFonts w:hint="eastAsia" w:ascii="宋体" w:hAnsi="宋体" w:cs="宋体"/>
                <w:kern w:val="0"/>
                <w:sz w:val="22"/>
                <w:szCs w:val="22"/>
              </w:rPr>
              <w:t>2</w:t>
            </w:r>
          </w:p>
        </w:tc>
        <w:tc>
          <w:tcPr>
            <w:tcW w:w="2368" w:type="dxa"/>
            <w:tcBorders>
              <w:top w:val="nil"/>
              <w:left w:val="nil"/>
              <w:bottom w:val="single" w:color="auto" w:sz="4" w:space="0"/>
              <w:right w:val="single" w:color="auto" w:sz="4" w:space="0"/>
            </w:tcBorders>
            <w:noWrap/>
            <w:vAlign w:val="center"/>
          </w:tcPr>
          <w:p w14:paraId="19B03C52">
            <w:pPr>
              <w:widowControl/>
              <w:snapToGrid w:val="0"/>
              <w:jc w:val="center"/>
              <w:rPr>
                <w:rFonts w:hint="eastAsia" w:ascii="宋体" w:hAnsi="宋体" w:cs="宋体"/>
                <w:kern w:val="0"/>
                <w:sz w:val="22"/>
                <w:szCs w:val="22"/>
              </w:rPr>
            </w:pPr>
            <w:r>
              <w:rPr>
                <w:rFonts w:hint="eastAsia" w:ascii="宋体" w:hAnsi="宋体" w:cs="宋体"/>
                <w:kern w:val="0"/>
                <w:sz w:val="22"/>
                <w:szCs w:val="22"/>
              </w:rPr>
              <w:t>　</w:t>
            </w:r>
          </w:p>
        </w:tc>
      </w:tr>
      <w:tr w14:paraId="11C5530F">
        <w:tblPrEx>
          <w:tblCellMar>
            <w:top w:w="0" w:type="dxa"/>
            <w:left w:w="108" w:type="dxa"/>
            <w:bottom w:w="0" w:type="dxa"/>
            <w:right w:w="108" w:type="dxa"/>
          </w:tblCellMar>
        </w:tblPrEx>
        <w:trPr>
          <w:trHeight w:val="360" w:hRule="atLeast"/>
        </w:trPr>
        <w:tc>
          <w:tcPr>
            <w:tcW w:w="840" w:type="dxa"/>
            <w:vMerge w:val="continue"/>
            <w:tcBorders>
              <w:left w:val="single" w:color="auto" w:sz="4" w:space="0"/>
              <w:right w:val="single" w:color="auto" w:sz="4" w:space="0"/>
            </w:tcBorders>
            <w:noWrap w:val="0"/>
            <w:vAlign w:val="center"/>
          </w:tcPr>
          <w:p w14:paraId="0FAA9ABF">
            <w:pPr>
              <w:widowControl/>
              <w:snapToGrid w:val="0"/>
              <w:jc w:val="left"/>
              <w:rPr>
                <w:rFonts w:ascii="宋体" w:hAnsi="宋体" w:cs="宋体"/>
                <w:b/>
                <w:bCs/>
                <w:kern w:val="0"/>
                <w:sz w:val="22"/>
                <w:szCs w:val="22"/>
              </w:rPr>
            </w:pPr>
          </w:p>
        </w:tc>
        <w:tc>
          <w:tcPr>
            <w:tcW w:w="2000" w:type="dxa"/>
            <w:gridSpan w:val="2"/>
            <w:tcBorders>
              <w:top w:val="nil"/>
              <w:left w:val="nil"/>
              <w:bottom w:val="single" w:color="auto" w:sz="4" w:space="0"/>
              <w:right w:val="single" w:color="auto" w:sz="4" w:space="0"/>
            </w:tcBorders>
            <w:noWrap/>
            <w:vAlign w:val="center"/>
          </w:tcPr>
          <w:p w14:paraId="21265F64">
            <w:pPr>
              <w:widowControl/>
              <w:snapToGrid w:val="0"/>
              <w:jc w:val="center"/>
              <w:rPr>
                <w:rFonts w:hint="eastAsia" w:ascii="宋体" w:hAnsi="宋体" w:cs="宋体"/>
                <w:kern w:val="0"/>
                <w:sz w:val="22"/>
                <w:szCs w:val="22"/>
              </w:rPr>
            </w:pPr>
            <w:r>
              <w:rPr>
                <w:rFonts w:hint="eastAsia" w:ascii="宋体" w:hAnsi="宋体" w:cs="宋体"/>
                <w:kern w:val="0"/>
                <w:sz w:val="22"/>
                <w:szCs w:val="22"/>
              </w:rPr>
              <w:t>项目经理</w:t>
            </w:r>
          </w:p>
        </w:tc>
        <w:tc>
          <w:tcPr>
            <w:tcW w:w="1600" w:type="dxa"/>
            <w:gridSpan w:val="2"/>
            <w:tcBorders>
              <w:top w:val="nil"/>
              <w:left w:val="nil"/>
              <w:bottom w:val="single" w:color="auto" w:sz="4" w:space="0"/>
              <w:right w:val="single" w:color="auto" w:sz="4" w:space="0"/>
            </w:tcBorders>
            <w:noWrap/>
            <w:vAlign w:val="center"/>
          </w:tcPr>
          <w:p w14:paraId="6C957F0D">
            <w:pPr>
              <w:widowControl/>
              <w:snapToGrid w:val="0"/>
              <w:jc w:val="center"/>
              <w:rPr>
                <w:rFonts w:hint="eastAsia" w:ascii="宋体" w:hAnsi="宋体" w:cs="宋体"/>
                <w:kern w:val="0"/>
                <w:sz w:val="22"/>
                <w:szCs w:val="22"/>
              </w:rPr>
            </w:pPr>
            <w:r>
              <w:rPr>
                <w:rFonts w:hint="eastAsia" w:ascii="宋体" w:hAnsi="宋体" w:cs="宋体"/>
                <w:kern w:val="0"/>
                <w:sz w:val="22"/>
                <w:szCs w:val="22"/>
              </w:rPr>
              <w:t>所有区域</w:t>
            </w:r>
          </w:p>
        </w:tc>
        <w:tc>
          <w:tcPr>
            <w:tcW w:w="1356" w:type="dxa"/>
            <w:tcBorders>
              <w:top w:val="nil"/>
              <w:left w:val="nil"/>
              <w:bottom w:val="single" w:color="auto" w:sz="4" w:space="0"/>
              <w:right w:val="single" w:color="auto" w:sz="4" w:space="0"/>
            </w:tcBorders>
            <w:noWrap/>
            <w:vAlign w:val="center"/>
          </w:tcPr>
          <w:p w14:paraId="6B1F15FE">
            <w:pPr>
              <w:widowControl/>
              <w:snapToGrid w:val="0"/>
              <w:jc w:val="center"/>
              <w:rPr>
                <w:rFonts w:hint="eastAsia" w:ascii="宋体" w:hAnsi="宋体" w:cs="宋体"/>
                <w:kern w:val="0"/>
                <w:sz w:val="22"/>
                <w:szCs w:val="22"/>
              </w:rPr>
            </w:pPr>
            <w:r>
              <w:rPr>
                <w:rFonts w:hint="eastAsia" w:ascii="宋体" w:hAnsi="宋体" w:cs="宋体"/>
                <w:kern w:val="0"/>
                <w:sz w:val="22"/>
                <w:szCs w:val="22"/>
              </w:rPr>
              <w:t>　</w:t>
            </w:r>
          </w:p>
        </w:tc>
        <w:tc>
          <w:tcPr>
            <w:tcW w:w="867" w:type="dxa"/>
            <w:tcBorders>
              <w:top w:val="nil"/>
              <w:left w:val="nil"/>
              <w:bottom w:val="single" w:color="auto" w:sz="4" w:space="0"/>
              <w:right w:val="single" w:color="auto" w:sz="4" w:space="0"/>
            </w:tcBorders>
            <w:noWrap/>
            <w:vAlign w:val="center"/>
          </w:tcPr>
          <w:p w14:paraId="2746A3D0">
            <w:pPr>
              <w:widowControl/>
              <w:snapToGrid w:val="0"/>
              <w:jc w:val="center"/>
              <w:rPr>
                <w:rFonts w:hint="eastAsia" w:ascii="宋体" w:hAnsi="宋体" w:cs="宋体"/>
                <w:kern w:val="0"/>
                <w:sz w:val="22"/>
                <w:szCs w:val="22"/>
              </w:rPr>
            </w:pPr>
            <w:r>
              <w:rPr>
                <w:rFonts w:hint="eastAsia" w:ascii="宋体" w:hAnsi="宋体" w:cs="宋体"/>
                <w:kern w:val="0"/>
                <w:sz w:val="22"/>
                <w:szCs w:val="22"/>
              </w:rPr>
              <w:t>1</w:t>
            </w:r>
          </w:p>
        </w:tc>
        <w:tc>
          <w:tcPr>
            <w:tcW w:w="2368" w:type="dxa"/>
            <w:tcBorders>
              <w:top w:val="nil"/>
              <w:left w:val="nil"/>
              <w:bottom w:val="single" w:color="auto" w:sz="4" w:space="0"/>
              <w:right w:val="single" w:color="auto" w:sz="4" w:space="0"/>
            </w:tcBorders>
            <w:noWrap/>
            <w:vAlign w:val="center"/>
          </w:tcPr>
          <w:p w14:paraId="4D03242E">
            <w:pPr>
              <w:widowControl/>
              <w:snapToGrid w:val="0"/>
              <w:jc w:val="center"/>
              <w:rPr>
                <w:rFonts w:hint="eastAsia" w:ascii="宋体" w:hAnsi="宋体" w:cs="宋体"/>
                <w:kern w:val="0"/>
                <w:sz w:val="22"/>
                <w:szCs w:val="22"/>
              </w:rPr>
            </w:pPr>
          </w:p>
        </w:tc>
      </w:tr>
      <w:tr w14:paraId="1739AECF">
        <w:tblPrEx>
          <w:tblCellMar>
            <w:top w:w="0" w:type="dxa"/>
            <w:left w:w="108" w:type="dxa"/>
            <w:bottom w:w="0" w:type="dxa"/>
            <w:right w:w="108" w:type="dxa"/>
          </w:tblCellMar>
        </w:tblPrEx>
        <w:trPr>
          <w:trHeight w:val="360" w:hRule="atLeast"/>
        </w:trPr>
        <w:tc>
          <w:tcPr>
            <w:tcW w:w="840" w:type="dxa"/>
            <w:vMerge w:val="continue"/>
            <w:tcBorders>
              <w:left w:val="single" w:color="auto" w:sz="4" w:space="0"/>
              <w:right w:val="single" w:color="auto" w:sz="4" w:space="0"/>
            </w:tcBorders>
            <w:noWrap w:val="0"/>
            <w:vAlign w:val="center"/>
          </w:tcPr>
          <w:p w14:paraId="1EB7AB34">
            <w:pPr>
              <w:widowControl/>
              <w:snapToGrid w:val="0"/>
              <w:jc w:val="left"/>
              <w:rPr>
                <w:rFonts w:ascii="宋体" w:hAnsi="宋体" w:cs="宋体"/>
                <w:b/>
                <w:bCs/>
                <w:kern w:val="0"/>
                <w:sz w:val="22"/>
                <w:szCs w:val="22"/>
              </w:rPr>
            </w:pPr>
          </w:p>
        </w:tc>
        <w:tc>
          <w:tcPr>
            <w:tcW w:w="2000" w:type="dxa"/>
            <w:gridSpan w:val="2"/>
            <w:tcBorders>
              <w:top w:val="nil"/>
              <w:left w:val="nil"/>
              <w:bottom w:val="single" w:color="auto" w:sz="4" w:space="0"/>
              <w:right w:val="single" w:color="auto" w:sz="4" w:space="0"/>
            </w:tcBorders>
            <w:noWrap w:val="0"/>
            <w:vAlign w:val="center"/>
          </w:tcPr>
          <w:p w14:paraId="18023ACF">
            <w:pPr>
              <w:widowControl/>
              <w:snapToGrid w:val="0"/>
              <w:jc w:val="center"/>
              <w:rPr>
                <w:rFonts w:hint="eastAsia" w:ascii="宋体" w:hAnsi="宋体" w:cs="宋体"/>
                <w:kern w:val="0"/>
                <w:sz w:val="22"/>
                <w:szCs w:val="22"/>
              </w:rPr>
            </w:pPr>
            <w:r>
              <w:rPr>
                <w:rFonts w:hint="eastAsia" w:ascii="宋体" w:hAnsi="宋体" w:cs="宋体"/>
                <w:kern w:val="0"/>
                <w:sz w:val="22"/>
                <w:szCs w:val="22"/>
              </w:rPr>
              <w:t>项目</w:t>
            </w:r>
            <w:r>
              <w:rPr>
                <w:rFonts w:hint="eastAsia" w:ascii="宋体" w:hAnsi="宋体" w:cs="宋体"/>
                <w:kern w:val="0"/>
                <w:sz w:val="22"/>
                <w:szCs w:val="22"/>
                <w:lang w:val="en-US" w:eastAsia="zh-CN"/>
              </w:rPr>
              <w:t>副</w:t>
            </w:r>
            <w:r>
              <w:rPr>
                <w:rFonts w:hint="eastAsia" w:ascii="宋体" w:hAnsi="宋体" w:cs="宋体"/>
                <w:kern w:val="0"/>
                <w:sz w:val="22"/>
                <w:szCs w:val="22"/>
              </w:rPr>
              <w:t>经理</w:t>
            </w:r>
          </w:p>
        </w:tc>
        <w:tc>
          <w:tcPr>
            <w:tcW w:w="1600" w:type="dxa"/>
            <w:gridSpan w:val="2"/>
            <w:tcBorders>
              <w:top w:val="nil"/>
              <w:left w:val="nil"/>
              <w:bottom w:val="single" w:color="auto" w:sz="4" w:space="0"/>
              <w:right w:val="single" w:color="auto" w:sz="4" w:space="0"/>
            </w:tcBorders>
            <w:noWrap/>
            <w:vAlign w:val="center"/>
          </w:tcPr>
          <w:p w14:paraId="1A5338A7">
            <w:pPr>
              <w:widowControl/>
              <w:snapToGrid w:val="0"/>
              <w:jc w:val="center"/>
              <w:rPr>
                <w:rFonts w:hint="eastAsia" w:ascii="宋体" w:hAnsi="宋体" w:cs="宋体"/>
                <w:kern w:val="0"/>
                <w:sz w:val="22"/>
                <w:szCs w:val="22"/>
              </w:rPr>
            </w:pPr>
            <w:r>
              <w:rPr>
                <w:rFonts w:hint="eastAsia" w:ascii="宋体" w:hAnsi="宋体" w:cs="宋体"/>
                <w:kern w:val="0"/>
                <w:sz w:val="22"/>
                <w:szCs w:val="22"/>
              </w:rPr>
              <w:t>所有区域</w:t>
            </w:r>
          </w:p>
        </w:tc>
        <w:tc>
          <w:tcPr>
            <w:tcW w:w="1356" w:type="dxa"/>
            <w:tcBorders>
              <w:top w:val="nil"/>
              <w:left w:val="nil"/>
              <w:bottom w:val="single" w:color="auto" w:sz="4" w:space="0"/>
              <w:right w:val="single" w:color="auto" w:sz="4" w:space="0"/>
            </w:tcBorders>
            <w:noWrap/>
            <w:vAlign w:val="center"/>
          </w:tcPr>
          <w:p w14:paraId="7A660257">
            <w:pPr>
              <w:widowControl/>
              <w:snapToGrid w:val="0"/>
              <w:jc w:val="center"/>
              <w:rPr>
                <w:rFonts w:hint="eastAsia" w:ascii="宋体" w:hAnsi="宋体" w:cs="宋体"/>
                <w:kern w:val="0"/>
                <w:sz w:val="22"/>
                <w:szCs w:val="22"/>
              </w:rPr>
            </w:pPr>
            <w:r>
              <w:rPr>
                <w:rFonts w:hint="eastAsia" w:ascii="宋体" w:hAnsi="宋体" w:cs="宋体"/>
                <w:kern w:val="0"/>
                <w:sz w:val="22"/>
                <w:szCs w:val="22"/>
              </w:rPr>
              <w:t>　</w:t>
            </w:r>
          </w:p>
        </w:tc>
        <w:tc>
          <w:tcPr>
            <w:tcW w:w="867" w:type="dxa"/>
            <w:tcBorders>
              <w:top w:val="nil"/>
              <w:left w:val="nil"/>
              <w:bottom w:val="single" w:color="auto" w:sz="4" w:space="0"/>
              <w:right w:val="single" w:color="auto" w:sz="4" w:space="0"/>
            </w:tcBorders>
            <w:noWrap/>
            <w:vAlign w:val="center"/>
          </w:tcPr>
          <w:p w14:paraId="24A304E5">
            <w:pPr>
              <w:widowControl/>
              <w:snapToGrid w:val="0"/>
              <w:jc w:val="center"/>
              <w:rPr>
                <w:rFonts w:hint="eastAsia" w:ascii="宋体" w:hAnsi="宋体" w:cs="宋体"/>
                <w:kern w:val="0"/>
                <w:sz w:val="22"/>
                <w:szCs w:val="22"/>
              </w:rPr>
            </w:pPr>
            <w:r>
              <w:rPr>
                <w:rFonts w:hint="eastAsia" w:ascii="宋体" w:hAnsi="宋体" w:cs="宋体"/>
                <w:kern w:val="0"/>
                <w:sz w:val="22"/>
                <w:szCs w:val="22"/>
              </w:rPr>
              <w:t>1</w:t>
            </w:r>
          </w:p>
        </w:tc>
        <w:tc>
          <w:tcPr>
            <w:tcW w:w="2368" w:type="dxa"/>
            <w:tcBorders>
              <w:top w:val="nil"/>
              <w:left w:val="nil"/>
              <w:bottom w:val="single" w:color="auto" w:sz="4" w:space="0"/>
              <w:right w:val="single" w:color="auto" w:sz="4" w:space="0"/>
            </w:tcBorders>
            <w:noWrap/>
            <w:vAlign w:val="center"/>
          </w:tcPr>
          <w:p w14:paraId="2F704941">
            <w:pPr>
              <w:widowControl/>
              <w:snapToGrid w:val="0"/>
              <w:jc w:val="center"/>
              <w:rPr>
                <w:rFonts w:hint="eastAsia" w:ascii="宋体" w:hAnsi="宋体" w:cs="宋体"/>
                <w:kern w:val="0"/>
                <w:sz w:val="22"/>
                <w:szCs w:val="22"/>
              </w:rPr>
            </w:pPr>
            <w:r>
              <w:rPr>
                <w:rFonts w:hint="eastAsia" w:ascii="宋体" w:hAnsi="宋体" w:cs="宋体"/>
                <w:kern w:val="0"/>
                <w:sz w:val="22"/>
                <w:szCs w:val="22"/>
              </w:rPr>
              <w:t>　</w:t>
            </w:r>
          </w:p>
        </w:tc>
      </w:tr>
      <w:tr w14:paraId="7FD16500">
        <w:tblPrEx>
          <w:tblCellMar>
            <w:top w:w="0" w:type="dxa"/>
            <w:left w:w="108" w:type="dxa"/>
            <w:bottom w:w="0" w:type="dxa"/>
            <w:right w:w="108" w:type="dxa"/>
          </w:tblCellMar>
        </w:tblPrEx>
        <w:trPr>
          <w:trHeight w:val="330" w:hRule="atLeast"/>
        </w:trPr>
        <w:tc>
          <w:tcPr>
            <w:tcW w:w="840" w:type="dxa"/>
            <w:vMerge w:val="continue"/>
            <w:tcBorders>
              <w:left w:val="single" w:color="auto" w:sz="4" w:space="0"/>
              <w:bottom w:val="single" w:color="auto" w:sz="4" w:space="0"/>
              <w:right w:val="single" w:color="auto" w:sz="4" w:space="0"/>
            </w:tcBorders>
            <w:noWrap w:val="0"/>
            <w:vAlign w:val="center"/>
          </w:tcPr>
          <w:p w14:paraId="35BC0F29">
            <w:pPr>
              <w:widowControl/>
              <w:snapToGrid w:val="0"/>
              <w:jc w:val="left"/>
              <w:rPr>
                <w:rFonts w:ascii="宋体" w:hAnsi="宋体" w:cs="宋体"/>
                <w:b/>
                <w:bCs/>
                <w:kern w:val="0"/>
                <w:sz w:val="22"/>
                <w:szCs w:val="22"/>
              </w:rPr>
            </w:pPr>
          </w:p>
        </w:tc>
        <w:tc>
          <w:tcPr>
            <w:tcW w:w="2000" w:type="dxa"/>
            <w:gridSpan w:val="2"/>
            <w:tcBorders>
              <w:top w:val="nil"/>
              <w:left w:val="nil"/>
              <w:bottom w:val="single" w:color="auto" w:sz="4" w:space="0"/>
              <w:right w:val="single" w:color="auto" w:sz="4" w:space="0"/>
            </w:tcBorders>
            <w:noWrap/>
            <w:vAlign w:val="center"/>
          </w:tcPr>
          <w:p w14:paraId="3F84462D">
            <w:pPr>
              <w:widowControl/>
              <w:snapToGrid w:val="0"/>
              <w:jc w:val="center"/>
              <w:rPr>
                <w:rFonts w:hint="eastAsia" w:ascii="宋体" w:hAnsi="宋体" w:cs="宋体"/>
                <w:kern w:val="0"/>
                <w:sz w:val="22"/>
                <w:szCs w:val="22"/>
              </w:rPr>
            </w:pPr>
            <w:r>
              <w:rPr>
                <w:rFonts w:hint="eastAsia" w:ascii="宋体" w:hAnsi="宋体" w:cs="宋体"/>
                <w:kern w:val="0"/>
                <w:sz w:val="22"/>
                <w:szCs w:val="22"/>
              </w:rPr>
              <w:t>仓库管理员</w:t>
            </w:r>
          </w:p>
        </w:tc>
        <w:tc>
          <w:tcPr>
            <w:tcW w:w="1600" w:type="dxa"/>
            <w:gridSpan w:val="2"/>
            <w:tcBorders>
              <w:top w:val="nil"/>
              <w:left w:val="nil"/>
              <w:bottom w:val="single" w:color="auto" w:sz="4" w:space="0"/>
              <w:right w:val="single" w:color="auto" w:sz="4" w:space="0"/>
            </w:tcBorders>
            <w:noWrap/>
            <w:vAlign w:val="center"/>
          </w:tcPr>
          <w:p w14:paraId="6284ED85">
            <w:pPr>
              <w:widowControl/>
              <w:snapToGrid w:val="0"/>
              <w:jc w:val="center"/>
              <w:rPr>
                <w:rFonts w:hint="eastAsia" w:ascii="宋体" w:hAnsi="宋体" w:cs="宋体"/>
                <w:kern w:val="0"/>
                <w:sz w:val="22"/>
                <w:szCs w:val="22"/>
              </w:rPr>
            </w:pPr>
            <w:r>
              <w:rPr>
                <w:rFonts w:hint="eastAsia" w:ascii="宋体" w:hAnsi="宋体" w:cs="宋体"/>
                <w:kern w:val="0"/>
                <w:sz w:val="22"/>
                <w:szCs w:val="22"/>
              </w:rPr>
              <w:t>库房</w:t>
            </w:r>
          </w:p>
        </w:tc>
        <w:tc>
          <w:tcPr>
            <w:tcW w:w="1356" w:type="dxa"/>
            <w:tcBorders>
              <w:top w:val="nil"/>
              <w:left w:val="nil"/>
              <w:bottom w:val="single" w:color="auto" w:sz="4" w:space="0"/>
              <w:right w:val="single" w:color="auto" w:sz="4" w:space="0"/>
            </w:tcBorders>
            <w:noWrap/>
            <w:vAlign w:val="center"/>
          </w:tcPr>
          <w:p w14:paraId="77CDE3C2">
            <w:pPr>
              <w:widowControl/>
              <w:snapToGrid w:val="0"/>
              <w:jc w:val="center"/>
              <w:rPr>
                <w:rFonts w:hint="eastAsia" w:ascii="宋体" w:hAnsi="宋体" w:cs="宋体"/>
                <w:kern w:val="0"/>
                <w:sz w:val="22"/>
                <w:szCs w:val="22"/>
              </w:rPr>
            </w:pPr>
          </w:p>
        </w:tc>
        <w:tc>
          <w:tcPr>
            <w:tcW w:w="867" w:type="dxa"/>
            <w:tcBorders>
              <w:top w:val="nil"/>
              <w:left w:val="nil"/>
              <w:bottom w:val="single" w:color="auto" w:sz="4" w:space="0"/>
              <w:right w:val="single" w:color="auto" w:sz="4" w:space="0"/>
            </w:tcBorders>
            <w:noWrap/>
            <w:vAlign w:val="center"/>
          </w:tcPr>
          <w:p w14:paraId="66F7877F">
            <w:pPr>
              <w:widowControl/>
              <w:snapToGrid w:val="0"/>
              <w:jc w:val="center"/>
              <w:rPr>
                <w:rFonts w:hint="eastAsia" w:ascii="宋体" w:hAnsi="宋体" w:eastAsia="Arial Unicode MS" w:cs="宋体"/>
                <w:kern w:val="0"/>
                <w:sz w:val="22"/>
                <w:szCs w:val="22"/>
                <w:lang w:eastAsia="zh-CN"/>
              </w:rPr>
            </w:pPr>
            <w:r>
              <w:rPr>
                <w:rFonts w:hint="eastAsia" w:ascii="宋体" w:hAnsi="宋体" w:cs="宋体"/>
                <w:kern w:val="0"/>
                <w:sz w:val="22"/>
                <w:szCs w:val="22"/>
                <w:highlight w:val="none"/>
                <w:lang w:val="en-US" w:eastAsia="zh-CN"/>
              </w:rPr>
              <w:t>1</w:t>
            </w:r>
          </w:p>
        </w:tc>
        <w:tc>
          <w:tcPr>
            <w:tcW w:w="2368" w:type="dxa"/>
            <w:tcBorders>
              <w:top w:val="nil"/>
              <w:left w:val="nil"/>
              <w:bottom w:val="single" w:color="auto" w:sz="4" w:space="0"/>
              <w:right w:val="single" w:color="auto" w:sz="4" w:space="0"/>
            </w:tcBorders>
            <w:noWrap/>
            <w:vAlign w:val="center"/>
          </w:tcPr>
          <w:p w14:paraId="4726834E">
            <w:pPr>
              <w:widowControl/>
              <w:snapToGrid w:val="0"/>
              <w:jc w:val="center"/>
              <w:rPr>
                <w:rFonts w:hint="eastAsia" w:ascii="宋体" w:hAnsi="宋体" w:cs="宋体"/>
                <w:kern w:val="0"/>
                <w:sz w:val="22"/>
                <w:szCs w:val="22"/>
              </w:rPr>
            </w:pPr>
            <w:r>
              <w:rPr>
                <w:rFonts w:hint="eastAsia" w:ascii="宋体" w:hAnsi="宋体" w:cs="宋体"/>
                <w:kern w:val="0"/>
                <w:sz w:val="22"/>
                <w:szCs w:val="22"/>
              </w:rPr>
              <w:t>维修工具及配件的管理</w:t>
            </w:r>
          </w:p>
        </w:tc>
      </w:tr>
      <w:tr w14:paraId="3A1994A6">
        <w:tblPrEx>
          <w:tblCellMar>
            <w:top w:w="0" w:type="dxa"/>
            <w:left w:w="108" w:type="dxa"/>
            <w:bottom w:w="0" w:type="dxa"/>
            <w:right w:w="108" w:type="dxa"/>
          </w:tblCellMar>
        </w:tblPrEx>
        <w:trPr>
          <w:trHeight w:val="270" w:hRule="atLeast"/>
        </w:trPr>
        <w:tc>
          <w:tcPr>
            <w:tcW w:w="840" w:type="dxa"/>
            <w:vMerge w:val="restart"/>
            <w:tcBorders>
              <w:top w:val="single" w:color="auto" w:sz="4" w:space="0"/>
              <w:left w:val="single" w:color="auto" w:sz="4" w:space="0"/>
              <w:right w:val="single" w:color="auto" w:sz="4" w:space="0"/>
            </w:tcBorders>
            <w:noWrap w:val="0"/>
            <w:vAlign w:val="center"/>
          </w:tcPr>
          <w:p w14:paraId="692F59CD">
            <w:pPr>
              <w:widowControl/>
              <w:snapToGrid w:val="0"/>
              <w:jc w:val="center"/>
              <w:rPr>
                <w:rFonts w:hint="eastAsia" w:ascii="宋体" w:hAnsi="宋体" w:cs="宋体"/>
                <w:b/>
                <w:bCs/>
                <w:kern w:val="0"/>
                <w:sz w:val="22"/>
                <w:szCs w:val="22"/>
              </w:rPr>
            </w:pPr>
            <w:r>
              <w:rPr>
                <w:rFonts w:hint="eastAsia" w:ascii="宋体" w:hAnsi="宋体" w:cs="宋体"/>
                <w:b/>
                <w:bCs/>
                <w:kern w:val="0"/>
                <w:sz w:val="22"/>
                <w:szCs w:val="22"/>
              </w:rPr>
              <w:t>学生处</w:t>
            </w:r>
          </w:p>
        </w:tc>
        <w:tc>
          <w:tcPr>
            <w:tcW w:w="2000"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C001415">
            <w:pPr>
              <w:widowControl/>
              <w:snapToGrid w:val="0"/>
              <w:jc w:val="center"/>
              <w:rPr>
                <w:rFonts w:hint="eastAsia" w:ascii="宋体" w:hAnsi="宋体" w:cs="宋体"/>
                <w:kern w:val="0"/>
                <w:sz w:val="22"/>
                <w:szCs w:val="22"/>
              </w:rPr>
            </w:pPr>
            <w:r>
              <w:rPr>
                <w:rFonts w:hint="eastAsia" w:ascii="宋体" w:hAnsi="宋体" w:cs="宋体"/>
                <w:kern w:val="0"/>
                <w:sz w:val="22"/>
                <w:szCs w:val="22"/>
              </w:rPr>
              <w:t>公寓管理员</w:t>
            </w:r>
          </w:p>
        </w:tc>
        <w:tc>
          <w:tcPr>
            <w:tcW w:w="1600" w:type="dxa"/>
            <w:gridSpan w:val="2"/>
            <w:tcBorders>
              <w:top w:val="single" w:color="auto" w:sz="4" w:space="0"/>
              <w:left w:val="nil"/>
              <w:bottom w:val="single" w:color="auto" w:sz="4" w:space="0"/>
              <w:right w:val="single" w:color="auto" w:sz="4" w:space="0"/>
            </w:tcBorders>
            <w:noWrap/>
            <w:vAlign w:val="center"/>
          </w:tcPr>
          <w:p w14:paraId="10FDA874">
            <w:pPr>
              <w:widowControl/>
              <w:snapToGrid w:val="0"/>
              <w:jc w:val="center"/>
              <w:rPr>
                <w:rFonts w:hint="eastAsia" w:ascii="宋体" w:hAnsi="宋体" w:cs="宋体"/>
                <w:kern w:val="0"/>
                <w:sz w:val="22"/>
                <w:szCs w:val="22"/>
              </w:rPr>
            </w:pPr>
            <w:r>
              <w:rPr>
                <w:rFonts w:hint="eastAsia" w:ascii="宋体" w:hAnsi="宋体" w:cs="宋体"/>
                <w:kern w:val="0"/>
                <w:sz w:val="22"/>
                <w:szCs w:val="22"/>
              </w:rPr>
              <w:t>1号宿舍楼</w:t>
            </w:r>
          </w:p>
        </w:tc>
        <w:tc>
          <w:tcPr>
            <w:tcW w:w="1356" w:type="dxa"/>
            <w:tcBorders>
              <w:top w:val="single" w:color="auto" w:sz="4" w:space="0"/>
              <w:left w:val="nil"/>
              <w:bottom w:val="single" w:color="auto" w:sz="4" w:space="0"/>
              <w:right w:val="single" w:color="auto" w:sz="4" w:space="0"/>
            </w:tcBorders>
            <w:noWrap/>
            <w:vAlign w:val="center"/>
          </w:tcPr>
          <w:p w14:paraId="636E8CB3">
            <w:pPr>
              <w:widowControl/>
              <w:snapToGrid w:val="0"/>
              <w:jc w:val="center"/>
              <w:rPr>
                <w:rFonts w:hint="eastAsia" w:ascii="宋体" w:hAnsi="宋体" w:cs="宋体"/>
                <w:kern w:val="0"/>
                <w:sz w:val="22"/>
                <w:szCs w:val="22"/>
              </w:rPr>
            </w:pPr>
            <w:r>
              <w:rPr>
                <w:rFonts w:hint="eastAsia" w:ascii="宋体" w:hAnsi="宋体" w:cs="宋体"/>
                <w:kern w:val="0"/>
                <w:sz w:val="22"/>
                <w:szCs w:val="22"/>
              </w:rPr>
              <w:t>1708.5</w:t>
            </w:r>
          </w:p>
        </w:tc>
        <w:tc>
          <w:tcPr>
            <w:tcW w:w="867" w:type="dxa"/>
            <w:tcBorders>
              <w:top w:val="single" w:color="auto" w:sz="4" w:space="0"/>
              <w:left w:val="nil"/>
              <w:bottom w:val="single" w:color="auto" w:sz="4" w:space="0"/>
              <w:right w:val="single" w:color="auto" w:sz="4" w:space="0"/>
            </w:tcBorders>
            <w:noWrap/>
            <w:vAlign w:val="center"/>
          </w:tcPr>
          <w:p w14:paraId="5BA705B2">
            <w:pPr>
              <w:widowControl/>
              <w:snapToGrid w:val="0"/>
              <w:jc w:val="center"/>
              <w:rPr>
                <w:rFonts w:hint="eastAsia" w:ascii="宋体" w:hAnsi="宋体" w:cs="宋体"/>
                <w:kern w:val="0"/>
                <w:sz w:val="22"/>
                <w:szCs w:val="22"/>
              </w:rPr>
            </w:pPr>
            <w:r>
              <w:rPr>
                <w:rFonts w:hint="eastAsia" w:ascii="宋体" w:hAnsi="宋体" w:cs="宋体"/>
                <w:kern w:val="0"/>
                <w:sz w:val="22"/>
                <w:szCs w:val="22"/>
              </w:rPr>
              <w:t>2</w:t>
            </w:r>
          </w:p>
        </w:tc>
        <w:tc>
          <w:tcPr>
            <w:tcW w:w="2368" w:type="dxa"/>
            <w:vMerge w:val="restart"/>
            <w:tcBorders>
              <w:top w:val="single" w:color="auto" w:sz="4" w:space="0"/>
              <w:left w:val="single" w:color="auto" w:sz="4" w:space="0"/>
              <w:bottom w:val="single" w:color="auto" w:sz="4" w:space="0"/>
              <w:right w:val="single" w:color="auto" w:sz="4" w:space="0"/>
            </w:tcBorders>
            <w:noWrap w:val="0"/>
            <w:vAlign w:val="center"/>
          </w:tcPr>
          <w:p w14:paraId="2B096D27">
            <w:pPr>
              <w:widowControl/>
              <w:snapToGrid w:val="0"/>
              <w:jc w:val="center"/>
              <w:rPr>
                <w:rFonts w:hint="eastAsia" w:ascii="宋体" w:hAnsi="宋体" w:cs="宋体"/>
                <w:kern w:val="0"/>
                <w:sz w:val="22"/>
                <w:szCs w:val="22"/>
              </w:rPr>
            </w:pPr>
            <w:r>
              <w:rPr>
                <w:rFonts w:hint="eastAsia" w:ascii="宋体" w:hAnsi="宋体" w:cs="宋体"/>
                <w:kern w:val="0"/>
                <w:sz w:val="22"/>
                <w:szCs w:val="22"/>
              </w:rPr>
              <w:t>每个值班口设2个宿管员，24小时值班</w:t>
            </w:r>
          </w:p>
        </w:tc>
      </w:tr>
      <w:tr w14:paraId="2295707E">
        <w:tblPrEx>
          <w:tblCellMar>
            <w:top w:w="0" w:type="dxa"/>
            <w:left w:w="108" w:type="dxa"/>
            <w:bottom w:w="0" w:type="dxa"/>
            <w:right w:w="108" w:type="dxa"/>
          </w:tblCellMar>
        </w:tblPrEx>
        <w:trPr>
          <w:trHeight w:val="270" w:hRule="atLeast"/>
        </w:trPr>
        <w:tc>
          <w:tcPr>
            <w:tcW w:w="840" w:type="dxa"/>
            <w:vMerge w:val="continue"/>
            <w:tcBorders>
              <w:left w:val="single" w:color="auto" w:sz="4" w:space="0"/>
              <w:right w:val="single" w:color="auto" w:sz="4" w:space="0"/>
            </w:tcBorders>
            <w:noWrap w:val="0"/>
            <w:vAlign w:val="center"/>
          </w:tcPr>
          <w:p w14:paraId="38F33D56">
            <w:pPr>
              <w:widowControl/>
              <w:snapToGrid w:val="0"/>
              <w:jc w:val="left"/>
              <w:rPr>
                <w:rFonts w:ascii="宋体" w:hAnsi="宋体" w:cs="宋体"/>
                <w:b/>
                <w:bCs/>
                <w:kern w:val="0"/>
                <w:sz w:val="22"/>
                <w:szCs w:val="22"/>
              </w:rPr>
            </w:pPr>
          </w:p>
        </w:tc>
        <w:tc>
          <w:tcPr>
            <w:tcW w:w="20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22EFFF5">
            <w:pPr>
              <w:widowControl/>
              <w:snapToGrid w:val="0"/>
              <w:jc w:val="left"/>
              <w:rPr>
                <w:rFonts w:ascii="宋体" w:hAnsi="宋体" w:cs="宋体"/>
                <w:kern w:val="0"/>
                <w:sz w:val="22"/>
                <w:szCs w:val="22"/>
              </w:rPr>
            </w:pPr>
          </w:p>
        </w:tc>
        <w:tc>
          <w:tcPr>
            <w:tcW w:w="1600" w:type="dxa"/>
            <w:gridSpan w:val="2"/>
            <w:tcBorders>
              <w:top w:val="single" w:color="auto" w:sz="4" w:space="0"/>
              <w:left w:val="nil"/>
              <w:bottom w:val="single" w:color="auto" w:sz="4" w:space="0"/>
              <w:right w:val="single" w:color="auto" w:sz="4" w:space="0"/>
            </w:tcBorders>
            <w:noWrap/>
            <w:vAlign w:val="center"/>
          </w:tcPr>
          <w:p w14:paraId="7194E425">
            <w:pPr>
              <w:widowControl/>
              <w:snapToGrid w:val="0"/>
              <w:jc w:val="center"/>
              <w:rPr>
                <w:rFonts w:hint="eastAsia" w:ascii="宋体" w:hAnsi="宋体" w:cs="宋体"/>
                <w:kern w:val="0"/>
                <w:sz w:val="22"/>
                <w:szCs w:val="22"/>
              </w:rPr>
            </w:pPr>
            <w:r>
              <w:rPr>
                <w:rFonts w:hint="eastAsia" w:ascii="宋体" w:hAnsi="宋体" w:cs="宋体"/>
                <w:kern w:val="0"/>
                <w:sz w:val="22"/>
                <w:szCs w:val="22"/>
              </w:rPr>
              <w:t>2号宿舍楼</w:t>
            </w:r>
          </w:p>
        </w:tc>
        <w:tc>
          <w:tcPr>
            <w:tcW w:w="1356" w:type="dxa"/>
            <w:vMerge w:val="restart"/>
            <w:tcBorders>
              <w:top w:val="single" w:color="auto" w:sz="4" w:space="0"/>
              <w:left w:val="single" w:color="auto" w:sz="4" w:space="0"/>
              <w:bottom w:val="single" w:color="auto" w:sz="4" w:space="0"/>
              <w:right w:val="single" w:color="auto" w:sz="4" w:space="0"/>
            </w:tcBorders>
            <w:noWrap/>
            <w:vAlign w:val="center"/>
          </w:tcPr>
          <w:p w14:paraId="76BE0B19">
            <w:pPr>
              <w:widowControl/>
              <w:snapToGrid w:val="0"/>
              <w:jc w:val="center"/>
              <w:rPr>
                <w:rFonts w:hint="eastAsia" w:ascii="宋体" w:hAnsi="宋体" w:cs="宋体"/>
                <w:kern w:val="0"/>
                <w:sz w:val="22"/>
                <w:szCs w:val="22"/>
              </w:rPr>
            </w:pPr>
            <w:r>
              <w:rPr>
                <w:rFonts w:hint="eastAsia" w:ascii="宋体" w:hAnsi="宋体" w:cs="宋体"/>
                <w:kern w:val="0"/>
                <w:sz w:val="22"/>
                <w:szCs w:val="22"/>
              </w:rPr>
              <w:t>3504.5</w:t>
            </w:r>
          </w:p>
        </w:tc>
        <w:tc>
          <w:tcPr>
            <w:tcW w:w="867" w:type="dxa"/>
            <w:tcBorders>
              <w:top w:val="single" w:color="auto" w:sz="4" w:space="0"/>
              <w:left w:val="nil"/>
              <w:bottom w:val="single" w:color="auto" w:sz="4" w:space="0"/>
              <w:right w:val="single" w:color="auto" w:sz="4" w:space="0"/>
            </w:tcBorders>
            <w:noWrap/>
            <w:vAlign w:val="center"/>
          </w:tcPr>
          <w:p w14:paraId="78AAAF84">
            <w:pPr>
              <w:widowControl/>
              <w:snapToGrid w:val="0"/>
              <w:jc w:val="center"/>
              <w:rPr>
                <w:rFonts w:hint="eastAsia" w:ascii="宋体" w:hAnsi="宋体" w:cs="宋体"/>
                <w:kern w:val="0"/>
                <w:sz w:val="22"/>
                <w:szCs w:val="22"/>
              </w:rPr>
            </w:pPr>
            <w:r>
              <w:rPr>
                <w:rFonts w:hint="eastAsia" w:ascii="宋体" w:hAnsi="宋体" w:cs="宋体"/>
                <w:kern w:val="0"/>
                <w:sz w:val="22"/>
                <w:szCs w:val="22"/>
              </w:rPr>
              <w:t>2</w:t>
            </w:r>
          </w:p>
        </w:tc>
        <w:tc>
          <w:tcPr>
            <w:tcW w:w="2368" w:type="dxa"/>
            <w:vMerge w:val="continue"/>
            <w:tcBorders>
              <w:top w:val="single" w:color="auto" w:sz="4" w:space="0"/>
              <w:left w:val="single" w:color="auto" w:sz="4" w:space="0"/>
              <w:bottom w:val="single" w:color="auto" w:sz="4" w:space="0"/>
              <w:right w:val="single" w:color="auto" w:sz="4" w:space="0"/>
            </w:tcBorders>
            <w:noWrap w:val="0"/>
            <w:vAlign w:val="center"/>
          </w:tcPr>
          <w:p w14:paraId="3F734E19">
            <w:pPr>
              <w:widowControl/>
              <w:snapToGrid w:val="0"/>
              <w:jc w:val="center"/>
              <w:rPr>
                <w:rFonts w:hint="eastAsia" w:ascii="宋体" w:hAnsi="宋体" w:cs="宋体"/>
                <w:kern w:val="0"/>
                <w:sz w:val="22"/>
                <w:szCs w:val="22"/>
              </w:rPr>
            </w:pPr>
          </w:p>
        </w:tc>
      </w:tr>
      <w:tr w14:paraId="6E5CC3FA">
        <w:tblPrEx>
          <w:tblCellMar>
            <w:top w:w="0" w:type="dxa"/>
            <w:left w:w="108" w:type="dxa"/>
            <w:bottom w:w="0" w:type="dxa"/>
            <w:right w:w="108" w:type="dxa"/>
          </w:tblCellMar>
        </w:tblPrEx>
        <w:trPr>
          <w:trHeight w:val="270" w:hRule="atLeast"/>
        </w:trPr>
        <w:tc>
          <w:tcPr>
            <w:tcW w:w="840" w:type="dxa"/>
            <w:vMerge w:val="continue"/>
            <w:tcBorders>
              <w:left w:val="single" w:color="auto" w:sz="4" w:space="0"/>
              <w:right w:val="single" w:color="auto" w:sz="4" w:space="0"/>
            </w:tcBorders>
            <w:noWrap w:val="0"/>
            <w:vAlign w:val="center"/>
          </w:tcPr>
          <w:p w14:paraId="2FCBFA0D">
            <w:pPr>
              <w:widowControl/>
              <w:snapToGrid w:val="0"/>
              <w:jc w:val="left"/>
              <w:rPr>
                <w:rFonts w:ascii="宋体" w:hAnsi="宋体" w:cs="宋体"/>
                <w:b/>
                <w:bCs/>
                <w:kern w:val="0"/>
                <w:sz w:val="22"/>
                <w:szCs w:val="22"/>
              </w:rPr>
            </w:pPr>
          </w:p>
        </w:tc>
        <w:tc>
          <w:tcPr>
            <w:tcW w:w="20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2730853">
            <w:pPr>
              <w:widowControl/>
              <w:snapToGrid w:val="0"/>
              <w:jc w:val="left"/>
              <w:rPr>
                <w:rFonts w:ascii="宋体" w:hAnsi="宋体" w:cs="宋体"/>
                <w:kern w:val="0"/>
                <w:sz w:val="22"/>
                <w:szCs w:val="22"/>
              </w:rPr>
            </w:pPr>
          </w:p>
        </w:tc>
        <w:tc>
          <w:tcPr>
            <w:tcW w:w="1600" w:type="dxa"/>
            <w:gridSpan w:val="2"/>
            <w:tcBorders>
              <w:top w:val="single" w:color="auto" w:sz="4" w:space="0"/>
              <w:left w:val="nil"/>
              <w:bottom w:val="single" w:color="auto" w:sz="4" w:space="0"/>
              <w:right w:val="single" w:color="auto" w:sz="4" w:space="0"/>
            </w:tcBorders>
            <w:noWrap/>
            <w:vAlign w:val="center"/>
          </w:tcPr>
          <w:p w14:paraId="4C8E97B3">
            <w:pPr>
              <w:widowControl/>
              <w:snapToGrid w:val="0"/>
              <w:jc w:val="center"/>
              <w:rPr>
                <w:rFonts w:hint="eastAsia" w:ascii="宋体" w:hAnsi="宋体" w:cs="宋体"/>
                <w:kern w:val="0"/>
                <w:sz w:val="22"/>
                <w:szCs w:val="22"/>
              </w:rPr>
            </w:pPr>
            <w:r>
              <w:rPr>
                <w:rFonts w:hint="eastAsia" w:ascii="宋体" w:hAnsi="宋体" w:cs="宋体"/>
                <w:kern w:val="0"/>
                <w:sz w:val="22"/>
                <w:szCs w:val="22"/>
              </w:rPr>
              <w:t>3号宿舍楼</w:t>
            </w: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14:paraId="3992D3DE">
            <w:pPr>
              <w:widowControl/>
              <w:snapToGrid w:val="0"/>
              <w:jc w:val="center"/>
              <w:rPr>
                <w:rFonts w:hint="eastAsia" w:ascii="宋体" w:hAnsi="宋体" w:cs="宋体"/>
                <w:kern w:val="0"/>
                <w:sz w:val="22"/>
                <w:szCs w:val="22"/>
              </w:rPr>
            </w:pPr>
          </w:p>
        </w:tc>
        <w:tc>
          <w:tcPr>
            <w:tcW w:w="867" w:type="dxa"/>
            <w:tcBorders>
              <w:top w:val="single" w:color="auto" w:sz="4" w:space="0"/>
              <w:left w:val="nil"/>
              <w:bottom w:val="single" w:color="auto" w:sz="4" w:space="0"/>
              <w:right w:val="single" w:color="auto" w:sz="4" w:space="0"/>
            </w:tcBorders>
            <w:noWrap/>
            <w:vAlign w:val="center"/>
          </w:tcPr>
          <w:p w14:paraId="49F6790F">
            <w:pPr>
              <w:widowControl/>
              <w:snapToGrid w:val="0"/>
              <w:jc w:val="center"/>
              <w:rPr>
                <w:rFonts w:hint="eastAsia" w:ascii="宋体" w:hAnsi="宋体" w:cs="宋体"/>
                <w:kern w:val="0"/>
                <w:sz w:val="22"/>
                <w:szCs w:val="22"/>
              </w:rPr>
            </w:pPr>
            <w:r>
              <w:rPr>
                <w:rFonts w:hint="eastAsia" w:ascii="宋体" w:hAnsi="宋体" w:cs="宋体"/>
                <w:kern w:val="0"/>
                <w:sz w:val="22"/>
                <w:szCs w:val="22"/>
              </w:rPr>
              <w:t>2</w:t>
            </w:r>
          </w:p>
        </w:tc>
        <w:tc>
          <w:tcPr>
            <w:tcW w:w="2368" w:type="dxa"/>
            <w:vMerge w:val="continue"/>
            <w:tcBorders>
              <w:top w:val="single" w:color="auto" w:sz="4" w:space="0"/>
              <w:left w:val="single" w:color="auto" w:sz="4" w:space="0"/>
              <w:bottom w:val="single" w:color="auto" w:sz="4" w:space="0"/>
              <w:right w:val="single" w:color="auto" w:sz="4" w:space="0"/>
            </w:tcBorders>
            <w:noWrap w:val="0"/>
            <w:vAlign w:val="center"/>
          </w:tcPr>
          <w:p w14:paraId="7E5251ED">
            <w:pPr>
              <w:widowControl/>
              <w:snapToGrid w:val="0"/>
              <w:jc w:val="center"/>
              <w:rPr>
                <w:rFonts w:hint="eastAsia" w:ascii="宋体" w:hAnsi="宋体" w:cs="宋体"/>
                <w:kern w:val="0"/>
                <w:sz w:val="22"/>
                <w:szCs w:val="22"/>
              </w:rPr>
            </w:pPr>
          </w:p>
        </w:tc>
      </w:tr>
      <w:tr w14:paraId="0DC298D3">
        <w:tblPrEx>
          <w:tblCellMar>
            <w:top w:w="0" w:type="dxa"/>
            <w:left w:w="108" w:type="dxa"/>
            <w:bottom w:w="0" w:type="dxa"/>
            <w:right w:w="108" w:type="dxa"/>
          </w:tblCellMar>
        </w:tblPrEx>
        <w:trPr>
          <w:trHeight w:val="225" w:hRule="atLeast"/>
        </w:trPr>
        <w:tc>
          <w:tcPr>
            <w:tcW w:w="840" w:type="dxa"/>
            <w:vMerge w:val="continue"/>
            <w:tcBorders>
              <w:left w:val="single" w:color="auto" w:sz="4" w:space="0"/>
              <w:right w:val="single" w:color="auto" w:sz="4" w:space="0"/>
            </w:tcBorders>
            <w:noWrap w:val="0"/>
            <w:vAlign w:val="center"/>
          </w:tcPr>
          <w:p w14:paraId="07C3CCD5">
            <w:pPr>
              <w:widowControl/>
              <w:snapToGrid w:val="0"/>
              <w:jc w:val="left"/>
              <w:rPr>
                <w:rFonts w:ascii="宋体" w:hAnsi="宋体" w:cs="宋体"/>
                <w:b/>
                <w:bCs/>
                <w:kern w:val="0"/>
                <w:sz w:val="22"/>
                <w:szCs w:val="22"/>
              </w:rPr>
            </w:pPr>
          </w:p>
        </w:tc>
        <w:tc>
          <w:tcPr>
            <w:tcW w:w="20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AE94DCF">
            <w:pPr>
              <w:widowControl/>
              <w:snapToGrid w:val="0"/>
              <w:jc w:val="left"/>
              <w:rPr>
                <w:rFonts w:ascii="宋体" w:hAnsi="宋体" w:cs="宋体"/>
                <w:kern w:val="0"/>
                <w:sz w:val="22"/>
                <w:szCs w:val="22"/>
              </w:rPr>
            </w:pPr>
          </w:p>
        </w:tc>
        <w:tc>
          <w:tcPr>
            <w:tcW w:w="1600" w:type="dxa"/>
            <w:gridSpan w:val="2"/>
            <w:tcBorders>
              <w:top w:val="single" w:color="auto" w:sz="4" w:space="0"/>
              <w:left w:val="nil"/>
              <w:bottom w:val="single" w:color="auto" w:sz="4" w:space="0"/>
              <w:right w:val="single" w:color="auto" w:sz="4" w:space="0"/>
            </w:tcBorders>
            <w:noWrap/>
            <w:vAlign w:val="center"/>
          </w:tcPr>
          <w:p w14:paraId="40811D5F">
            <w:pPr>
              <w:widowControl/>
              <w:snapToGrid w:val="0"/>
              <w:jc w:val="center"/>
              <w:rPr>
                <w:rFonts w:hint="eastAsia" w:ascii="宋体" w:hAnsi="宋体" w:cs="宋体"/>
                <w:kern w:val="0"/>
                <w:sz w:val="22"/>
                <w:szCs w:val="22"/>
              </w:rPr>
            </w:pPr>
            <w:r>
              <w:rPr>
                <w:rFonts w:hint="eastAsia" w:ascii="宋体" w:hAnsi="宋体" w:cs="宋体"/>
                <w:kern w:val="0"/>
                <w:sz w:val="22"/>
                <w:szCs w:val="22"/>
              </w:rPr>
              <w:t>4号宿舍楼</w:t>
            </w:r>
          </w:p>
        </w:tc>
        <w:tc>
          <w:tcPr>
            <w:tcW w:w="1356" w:type="dxa"/>
            <w:tcBorders>
              <w:top w:val="single" w:color="auto" w:sz="4" w:space="0"/>
              <w:left w:val="nil"/>
              <w:bottom w:val="single" w:color="auto" w:sz="4" w:space="0"/>
              <w:right w:val="single" w:color="auto" w:sz="4" w:space="0"/>
            </w:tcBorders>
            <w:noWrap/>
            <w:vAlign w:val="center"/>
          </w:tcPr>
          <w:p w14:paraId="2FB3694C">
            <w:pPr>
              <w:widowControl/>
              <w:snapToGrid w:val="0"/>
              <w:jc w:val="center"/>
              <w:rPr>
                <w:rFonts w:hint="eastAsia" w:ascii="宋体" w:hAnsi="宋体" w:cs="宋体"/>
                <w:kern w:val="0"/>
                <w:sz w:val="22"/>
                <w:szCs w:val="22"/>
              </w:rPr>
            </w:pPr>
            <w:r>
              <w:rPr>
                <w:rFonts w:hint="eastAsia" w:ascii="宋体" w:hAnsi="宋体" w:cs="宋体"/>
                <w:kern w:val="0"/>
                <w:sz w:val="22"/>
                <w:szCs w:val="22"/>
              </w:rPr>
              <w:t>6425</w:t>
            </w:r>
          </w:p>
        </w:tc>
        <w:tc>
          <w:tcPr>
            <w:tcW w:w="867" w:type="dxa"/>
            <w:tcBorders>
              <w:top w:val="single" w:color="auto" w:sz="4" w:space="0"/>
              <w:left w:val="nil"/>
              <w:bottom w:val="single" w:color="auto" w:sz="4" w:space="0"/>
              <w:right w:val="single" w:color="auto" w:sz="4" w:space="0"/>
            </w:tcBorders>
            <w:noWrap/>
            <w:vAlign w:val="center"/>
          </w:tcPr>
          <w:p w14:paraId="250A12A1">
            <w:pPr>
              <w:widowControl/>
              <w:snapToGrid w:val="0"/>
              <w:jc w:val="center"/>
              <w:rPr>
                <w:rFonts w:hint="eastAsia" w:ascii="宋体" w:hAnsi="宋体" w:cs="宋体"/>
                <w:kern w:val="0"/>
                <w:sz w:val="22"/>
                <w:szCs w:val="22"/>
              </w:rPr>
            </w:pPr>
            <w:r>
              <w:rPr>
                <w:rFonts w:hint="eastAsia" w:ascii="宋体" w:hAnsi="宋体" w:cs="宋体"/>
                <w:kern w:val="0"/>
                <w:sz w:val="22"/>
                <w:szCs w:val="22"/>
              </w:rPr>
              <w:t>2</w:t>
            </w:r>
          </w:p>
        </w:tc>
        <w:tc>
          <w:tcPr>
            <w:tcW w:w="2368" w:type="dxa"/>
            <w:vMerge w:val="restart"/>
            <w:tcBorders>
              <w:top w:val="single" w:color="auto" w:sz="4" w:space="0"/>
              <w:left w:val="single" w:color="auto" w:sz="4" w:space="0"/>
              <w:bottom w:val="single" w:color="auto" w:sz="4" w:space="0"/>
              <w:right w:val="single" w:color="auto" w:sz="4" w:space="0"/>
            </w:tcBorders>
            <w:noWrap w:val="0"/>
            <w:vAlign w:val="center"/>
          </w:tcPr>
          <w:p w14:paraId="550A1518">
            <w:pPr>
              <w:widowControl/>
              <w:snapToGrid w:val="0"/>
              <w:jc w:val="center"/>
              <w:rPr>
                <w:rFonts w:hint="eastAsia" w:ascii="宋体" w:hAnsi="宋体" w:cs="宋体"/>
                <w:kern w:val="0"/>
                <w:sz w:val="22"/>
                <w:szCs w:val="22"/>
              </w:rPr>
            </w:pPr>
            <w:r>
              <w:rPr>
                <w:rFonts w:hint="eastAsia" w:ascii="宋体" w:hAnsi="宋体" w:cs="宋体"/>
                <w:kern w:val="0"/>
                <w:sz w:val="22"/>
                <w:szCs w:val="22"/>
              </w:rPr>
              <w:t>每个值班口设2个宿管员，24小时值班</w:t>
            </w:r>
          </w:p>
        </w:tc>
      </w:tr>
      <w:tr w14:paraId="6E848F43">
        <w:tblPrEx>
          <w:tblCellMar>
            <w:top w:w="0" w:type="dxa"/>
            <w:left w:w="108" w:type="dxa"/>
            <w:bottom w:w="0" w:type="dxa"/>
            <w:right w:w="108" w:type="dxa"/>
          </w:tblCellMar>
        </w:tblPrEx>
        <w:trPr>
          <w:trHeight w:val="225" w:hRule="atLeast"/>
        </w:trPr>
        <w:tc>
          <w:tcPr>
            <w:tcW w:w="840" w:type="dxa"/>
            <w:vMerge w:val="continue"/>
            <w:tcBorders>
              <w:left w:val="single" w:color="auto" w:sz="4" w:space="0"/>
              <w:right w:val="single" w:color="auto" w:sz="4" w:space="0"/>
            </w:tcBorders>
            <w:noWrap w:val="0"/>
            <w:vAlign w:val="center"/>
          </w:tcPr>
          <w:p w14:paraId="1F1806EE">
            <w:pPr>
              <w:widowControl/>
              <w:snapToGrid w:val="0"/>
              <w:jc w:val="left"/>
              <w:rPr>
                <w:rFonts w:ascii="宋体" w:hAnsi="宋体" w:cs="宋体"/>
                <w:b/>
                <w:bCs/>
                <w:kern w:val="0"/>
                <w:sz w:val="22"/>
                <w:szCs w:val="22"/>
              </w:rPr>
            </w:pPr>
          </w:p>
        </w:tc>
        <w:tc>
          <w:tcPr>
            <w:tcW w:w="20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7540A2D">
            <w:pPr>
              <w:widowControl/>
              <w:snapToGrid w:val="0"/>
              <w:jc w:val="left"/>
              <w:rPr>
                <w:rFonts w:ascii="宋体" w:hAnsi="宋体" w:cs="宋体"/>
                <w:kern w:val="0"/>
                <w:sz w:val="22"/>
                <w:szCs w:val="22"/>
              </w:rPr>
            </w:pPr>
          </w:p>
        </w:tc>
        <w:tc>
          <w:tcPr>
            <w:tcW w:w="1600" w:type="dxa"/>
            <w:gridSpan w:val="2"/>
            <w:tcBorders>
              <w:top w:val="single" w:color="auto" w:sz="4" w:space="0"/>
              <w:left w:val="nil"/>
              <w:bottom w:val="single" w:color="auto" w:sz="4" w:space="0"/>
              <w:right w:val="single" w:color="auto" w:sz="4" w:space="0"/>
            </w:tcBorders>
            <w:noWrap/>
            <w:vAlign w:val="center"/>
          </w:tcPr>
          <w:p w14:paraId="25B15343">
            <w:pPr>
              <w:widowControl/>
              <w:snapToGrid w:val="0"/>
              <w:jc w:val="center"/>
              <w:rPr>
                <w:rFonts w:hint="eastAsia" w:ascii="宋体" w:hAnsi="宋体" w:cs="宋体"/>
                <w:kern w:val="0"/>
                <w:sz w:val="22"/>
                <w:szCs w:val="22"/>
              </w:rPr>
            </w:pPr>
            <w:r>
              <w:rPr>
                <w:rFonts w:hint="eastAsia" w:ascii="宋体" w:hAnsi="宋体" w:cs="宋体"/>
                <w:kern w:val="0"/>
                <w:sz w:val="22"/>
                <w:szCs w:val="22"/>
              </w:rPr>
              <w:t>5号宿舍楼</w:t>
            </w:r>
          </w:p>
        </w:tc>
        <w:tc>
          <w:tcPr>
            <w:tcW w:w="1356" w:type="dxa"/>
            <w:tcBorders>
              <w:top w:val="single" w:color="auto" w:sz="4" w:space="0"/>
              <w:left w:val="nil"/>
              <w:bottom w:val="single" w:color="auto" w:sz="4" w:space="0"/>
              <w:right w:val="single" w:color="auto" w:sz="4" w:space="0"/>
            </w:tcBorders>
            <w:noWrap/>
            <w:vAlign w:val="center"/>
          </w:tcPr>
          <w:p w14:paraId="73567733">
            <w:pPr>
              <w:widowControl/>
              <w:snapToGrid w:val="0"/>
              <w:jc w:val="center"/>
              <w:rPr>
                <w:rFonts w:hint="eastAsia" w:ascii="宋体" w:hAnsi="宋体" w:cs="宋体"/>
                <w:kern w:val="0"/>
                <w:sz w:val="22"/>
                <w:szCs w:val="22"/>
              </w:rPr>
            </w:pPr>
            <w:r>
              <w:rPr>
                <w:rFonts w:hint="eastAsia" w:ascii="宋体" w:hAnsi="宋体" w:cs="宋体"/>
                <w:kern w:val="0"/>
                <w:sz w:val="22"/>
                <w:szCs w:val="22"/>
              </w:rPr>
              <w:t>5852</w:t>
            </w:r>
          </w:p>
        </w:tc>
        <w:tc>
          <w:tcPr>
            <w:tcW w:w="867" w:type="dxa"/>
            <w:tcBorders>
              <w:top w:val="single" w:color="auto" w:sz="4" w:space="0"/>
              <w:left w:val="nil"/>
              <w:bottom w:val="single" w:color="auto" w:sz="4" w:space="0"/>
              <w:right w:val="single" w:color="auto" w:sz="4" w:space="0"/>
            </w:tcBorders>
            <w:noWrap/>
            <w:vAlign w:val="center"/>
          </w:tcPr>
          <w:p w14:paraId="1591BCBF">
            <w:pPr>
              <w:widowControl/>
              <w:snapToGrid w:val="0"/>
              <w:jc w:val="center"/>
              <w:rPr>
                <w:rFonts w:hint="eastAsia" w:ascii="宋体" w:hAnsi="宋体" w:cs="宋体"/>
                <w:kern w:val="0"/>
                <w:sz w:val="22"/>
                <w:szCs w:val="22"/>
              </w:rPr>
            </w:pPr>
            <w:r>
              <w:rPr>
                <w:rFonts w:hint="eastAsia" w:ascii="宋体" w:hAnsi="宋体" w:cs="宋体"/>
                <w:kern w:val="0"/>
                <w:sz w:val="22"/>
                <w:szCs w:val="22"/>
              </w:rPr>
              <w:t>2</w:t>
            </w:r>
          </w:p>
        </w:tc>
        <w:tc>
          <w:tcPr>
            <w:tcW w:w="2368" w:type="dxa"/>
            <w:vMerge w:val="continue"/>
            <w:tcBorders>
              <w:top w:val="single" w:color="auto" w:sz="4" w:space="0"/>
              <w:left w:val="single" w:color="auto" w:sz="4" w:space="0"/>
              <w:bottom w:val="single" w:color="auto" w:sz="4" w:space="0"/>
              <w:right w:val="single" w:color="auto" w:sz="4" w:space="0"/>
            </w:tcBorders>
            <w:noWrap w:val="0"/>
            <w:vAlign w:val="center"/>
          </w:tcPr>
          <w:p w14:paraId="174937E3">
            <w:pPr>
              <w:widowControl/>
              <w:snapToGrid w:val="0"/>
              <w:jc w:val="left"/>
              <w:rPr>
                <w:rFonts w:ascii="宋体" w:hAnsi="宋体" w:cs="宋体"/>
                <w:kern w:val="0"/>
                <w:sz w:val="22"/>
                <w:szCs w:val="22"/>
              </w:rPr>
            </w:pPr>
          </w:p>
        </w:tc>
      </w:tr>
      <w:tr w14:paraId="03FFCDCF">
        <w:tblPrEx>
          <w:tblCellMar>
            <w:top w:w="0" w:type="dxa"/>
            <w:left w:w="108" w:type="dxa"/>
            <w:bottom w:w="0" w:type="dxa"/>
            <w:right w:w="108" w:type="dxa"/>
          </w:tblCellMar>
        </w:tblPrEx>
        <w:trPr>
          <w:trHeight w:val="225" w:hRule="atLeast"/>
        </w:trPr>
        <w:tc>
          <w:tcPr>
            <w:tcW w:w="840" w:type="dxa"/>
            <w:vMerge w:val="continue"/>
            <w:tcBorders>
              <w:left w:val="single" w:color="auto" w:sz="4" w:space="0"/>
              <w:right w:val="single" w:color="auto" w:sz="4" w:space="0"/>
            </w:tcBorders>
            <w:noWrap w:val="0"/>
            <w:vAlign w:val="center"/>
          </w:tcPr>
          <w:p w14:paraId="7A89BB5F">
            <w:pPr>
              <w:widowControl/>
              <w:snapToGrid w:val="0"/>
              <w:jc w:val="left"/>
              <w:rPr>
                <w:rFonts w:ascii="宋体" w:hAnsi="宋体" w:cs="宋体"/>
                <w:b/>
                <w:bCs/>
                <w:kern w:val="0"/>
                <w:sz w:val="22"/>
                <w:szCs w:val="22"/>
              </w:rPr>
            </w:pPr>
          </w:p>
        </w:tc>
        <w:tc>
          <w:tcPr>
            <w:tcW w:w="20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9431FB5">
            <w:pPr>
              <w:widowControl/>
              <w:snapToGrid w:val="0"/>
              <w:jc w:val="left"/>
              <w:rPr>
                <w:rFonts w:ascii="宋体" w:hAnsi="宋体" w:cs="宋体"/>
                <w:kern w:val="0"/>
                <w:sz w:val="22"/>
                <w:szCs w:val="22"/>
              </w:rPr>
            </w:pPr>
          </w:p>
        </w:tc>
        <w:tc>
          <w:tcPr>
            <w:tcW w:w="1600" w:type="dxa"/>
            <w:gridSpan w:val="2"/>
            <w:tcBorders>
              <w:top w:val="single" w:color="auto" w:sz="4" w:space="0"/>
              <w:left w:val="nil"/>
              <w:bottom w:val="single" w:color="auto" w:sz="4" w:space="0"/>
              <w:right w:val="single" w:color="auto" w:sz="4" w:space="0"/>
            </w:tcBorders>
            <w:noWrap/>
            <w:vAlign w:val="center"/>
          </w:tcPr>
          <w:p w14:paraId="09E0EC2D">
            <w:pPr>
              <w:widowControl/>
              <w:snapToGrid w:val="0"/>
              <w:jc w:val="center"/>
              <w:rPr>
                <w:rFonts w:hint="eastAsia" w:ascii="宋体" w:hAnsi="宋体" w:cs="宋体"/>
                <w:kern w:val="0"/>
                <w:sz w:val="22"/>
                <w:szCs w:val="22"/>
              </w:rPr>
            </w:pPr>
            <w:r>
              <w:rPr>
                <w:rFonts w:hint="eastAsia" w:ascii="宋体" w:hAnsi="宋体" w:cs="宋体"/>
                <w:kern w:val="0"/>
                <w:sz w:val="22"/>
                <w:szCs w:val="22"/>
              </w:rPr>
              <w:t>6号宿舍楼</w:t>
            </w:r>
          </w:p>
        </w:tc>
        <w:tc>
          <w:tcPr>
            <w:tcW w:w="1356" w:type="dxa"/>
            <w:tcBorders>
              <w:top w:val="single" w:color="auto" w:sz="4" w:space="0"/>
              <w:left w:val="nil"/>
              <w:bottom w:val="single" w:color="auto" w:sz="4" w:space="0"/>
              <w:right w:val="single" w:color="auto" w:sz="4" w:space="0"/>
            </w:tcBorders>
            <w:noWrap/>
            <w:vAlign w:val="center"/>
          </w:tcPr>
          <w:p w14:paraId="6274D7FC">
            <w:pPr>
              <w:widowControl/>
              <w:snapToGrid w:val="0"/>
              <w:jc w:val="center"/>
              <w:rPr>
                <w:rFonts w:hint="eastAsia" w:ascii="宋体" w:hAnsi="宋体" w:cs="宋体"/>
                <w:kern w:val="0"/>
                <w:sz w:val="22"/>
                <w:szCs w:val="22"/>
              </w:rPr>
            </w:pPr>
            <w:r>
              <w:rPr>
                <w:rFonts w:hint="eastAsia" w:ascii="宋体" w:hAnsi="宋体" w:cs="宋体"/>
                <w:kern w:val="0"/>
                <w:sz w:val="22"/>
                <w:szCs w:val="22"/>
              </w:rPr>
              <w:t>7654</w:t>
            </w:r>
          </w:p>
        </w:tc>
        <w:tc>
          <w:tcPr>
            <w:tcW w:w="867" w:type="dxa"/>
            <w:tcBorders>
              <w:top w:val="single" w:color="auto" w:sz="4" w:space="0"/>
              <w:left w:val="nil"/>
              <w:bottom w:val="single" w:color="auto" w:sz="4" w:space="0"/>
              <w:right w:val="single" w:color="auto" w:sz="4" w:space="0"/>
            </w:tcBorders>
            <w:noWrap/>
            <w:vAlign w:val="center"/>
          </w:tcPr>
          <w:p w14:paraId="6F7CA410">
            <w:pPr>
              <w:widowControl/>
              <w:snapToGrid w:val="0"/>
              <w:jc w:val="center"/>
              <w:rPr>
                <w:rFonts w:hint="eastAsia" w:ascii="宋体" w:hAnsi="宋体" w:cs="宋体"/>
                <w:kern w:val="0"/>
                <w:sz w:val="22"/>
                <w:szCs w:val="22"/>
              </w:rPr>
            </w:pPr>
            <w:r>
              <w:rPr>
                <w:rFonts w:hint="eastAsia" w:ascii="宋体" w:hAnsi="宋体" w:cs="宋体"/>
                <w:kern w:val="0"/>
                <w:sz w:val="22"/>
                <w:szCs w:val="22"/>
              </w:rPr>
              <w:t>2</w:t>
            </w:r>
          </w:p>
        </w:tc>
        <w:tc>
          <w:tcPr>
            <w:tcW w:w="2368" w:type="dxa"/>
            <w:vMerge w:val="continue"/>
            <w:tcBorders>
              <w:top w:val="single" w:color="auto" w:sz="4" w:space="0"/>
              <w:left w:val="single" w:color="auto" w:sz="4" w:space="0"/>
              <w:bottom w:val="single" w:color="auto" w:sz="4" w:space="0"/>
              <w:right w:val="single" w:color="auto" w:sz="4" w:space="0"/>
            </w:tcBorders>
            <w:noWrap w:val="0"/>
            <w:vAlign w:val="center"/>
          </w:tcPr>
          <w:p w14:paraId="74B7E95C">
            <w:pPr>
              <w:widowControl/>
              <w:snapToGrid w:val="0"/>
              <w:jc w:val="left"/>
              <w:rPr>
                <w:rFonts w:ascii="宋体" w:hAnsi="宋体" w:cs="宋体"/>
                <w:kern w:val="0"/>
                <w:sz w:val="22"/>
                <w:szCs w:val="22"/>
              </w:rPr>
            </w:pPr>
          </w:p>
        </w:tc>
      </w:tr>
      <w:tr w14:paraId="621A5A32">
        <w:tblPrEx>
          <w:tblCellMar>
            <w:top w:w="0" w:type="dxa"/>
            <w:left w:w="108" w:type="dxa"/>
            <w:bottom w:w="0" w:type="dxa"/>
            <w:right w:w="108" w:type="dxa"/>
          </w:tblCellMar>
        </w:tblPrEx>
        <w:trPr>
          <w:trHeight w:val="315" w:hRule="atLeast"/>
        </w:trPr>
        <w:tc>
          <w:tcPr>
            <w:tcW w:w="840" w:type="dxa"/>
            <w:vMerge w:val="continue"/>
            <w:tcBorders>
              <w:left w:val="single" w:color="auto" w:sz="4" w:space="0"/>
              <w:right w:val="single" w:color="auto" w:sz="4" w:space="0"/>
            </w:tcBorders>
            <w:noWrap w:val="0"/>
            <w:vAlign w:val="center"/>
          </w:tcPr>
          <w:p w14:paraId="263B4711">
            <w:pPr>
              <w:widowControl/>
              <w:snapToGrid w:val="0"/>
              <w:jc w:val="left"/>
              <w:rPr>
                <w:rFonts w:ascii="宋体" w:hAnsi="宋体" w:cs="宋体"/>
                <w:b/>
                <w:bCs/>
                <w:kern w:val="0"/>
                <w:sz w:val="22"/>
                <w:szCs w:val="22"/>
              </w:rPr>
            </w:pPr>
          </w:p>
        </w:tc>
        <w:tc>
          <w:tcPr>
            <w:tcW w:w="20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5741012">
            <w:pPr>
              <w:widowControl/>
              <w:snapToGrid w:val="0"/>
              <w:jc w:val="left"/>
              <w:rPr>
                <w:rFonts w:ascii="宋体" w:hAnsi="宋体" w:cs="宋体"/>
                <w:kern w:val="0"/>
                <w:sz w:val="22"/>
                <w:szCs w:val="22"/>
              </w:rPr>
            </w:pPr>
          </w:p>
        </w:tc>
        <w:tc>
          <w:tcPr>
            <w:tcW w:w="1600" w:type="dxa"/>
            <w:gridSpan w:val="2"/>
            <w:tcBorders>
              <w:top w:val="single" w:color="auto" w:sz="4" w:space="0"/>
              <w:left w:val="nil"/>
              <w:bottom w:val="single" w:color="auto" w:sz="4" w:space="0"/>
              <w:right w:val="single" w:color="auto" w:sz="4" w:space="0"/>
            </w:tcBorders>
            <w:noWrap/>
            <w:vAlign w:val="center"/>
          </w:tcPr>
          <w:p w14:paraId="72CCC53B">
            <w:pPr>
              <w:widowControl/>
              <w:snapToGrid w:val="0"/>
              <w:jc w:val="center"/>
              <w:rPr>
                <w:rFonts w:hint="eastAsia" w:ascii="宋体" w:hAnsi="宋体" w:cs="宋体"/>
                <w:kern w:val="0"/>
                <w:sz w:val="22"/>
                <w:szCs w:val="22"/>
              </w:rPr>
            </w:pPr>
            <w:r>
              <w:rPr>
                <w:rFonts w:hint="eastAsia" w:ascii="宋体" w:hAnsi="宋体" w:cs="宋体"/>
                <w:kern w:val="0"/>
                <w:sz w:val="22"/>
                <w:szCs w:val="22"/>
              </w:rPr>
              <w:t>7号宿舍楼</w:t>
            </w:r>
          </w:p>
        </w:tc>
        <w:tc>
          <w:tcPr>
            <w:tcW w:w="1356" w:type="dxa"/>
            <w:vMerge w:val="restart"/>
            <w:tcBorders>
              <w:top w:val="single" w:color="auto" w:sz="4" w:space="0"/>
              <w:left w:val="single" w:color="auto" w:sz="4" w:space="0"/>
              <w:bottom w:val="single" w:color="auto" w:sz="4" w:space="0"/>
              <w:right w:val="single" w:color="auto" w:sz="4" w:space="0"/>
            </w:tcBorders>
            <w:noWrap/>
            <w:vAlign w:val="center"/>
          </w:tcPr>
          <w:p w14:paraId="321DE032">
            <w:pPr>
              <w:widowControl/>
              <w:snapToGrid w:val="0"/>
              <w:jc w:val="center"/>
              <w:rPr>
                <w:rFonts w:hint="eastAsia" w:ascii="宋体" w:hAnsi="宋体" w:cs="宋体"/>
                <w:kern w:val="0"/>
                <w:sz w:val="22"/>
                <w:szCs w:val="22"/>
              </w:rPr>
            </w:pPr>
            <w:r>
              <w:rPr>
                <w:rFonts w:hint="eastAsia" w:ascii="宋体" w:hAnsi="宋体" w:cs="宋体"/>
                <w:kern w:val="0"/>
                <w:sz w:val="22"/>
                <w:szCs w:val="22"/>
              </w:rPr>
              <w:t>15319</w:t>
            </w:r>
          </w:p>
        </w:tc>
        <w:tc>
          <w:tcPr>
            <w:tcW w:w="867" w:type="dxa"/>
            <w:tcBorders>
              <w:top w:val="single" w:color="auto" w:sz="4" w:space="0"/>
              <w:left w:val="nil"/>
              <w:bottom w:val="single" w:color="auto" w:sz="4" w:space="0"/>
              <w:right w:val="single" w:color="auto" w:sz="4" w:space="0"/>
            </w:tcBorders>
            <w:noWrap/>
            <w:vAlign w:val="center"/>
          </w:tcPr>
          <w:p w14:paraId="07F09CEB">
            <w:pPr>
              <w:widowControl/>
              <w:snapToGrid w:val="0"/>
              <w:jc w:val="center"/>
              <w:rPr>
                <w:rFonts w:hint="eastAsia" w:ascii="宋体" w:hAnsi="宋体" w:cs="宋体"/>
                <w:kern w:val="0"/>
                <w:sz w:val="22"/>
                <w:szCs w:val="22"/>
              </w:rPr>
            </w:pPr>
            <w:r>
              <w:rPr>
                <w:rFonts w:hint="eastAsia" w:ascii="宋体" w:hAnsi="宋体" w:cs="宋体"/>
                <w:kern w:val="0"/>
                <w:sz w:val="22"/>
                <w:szCs w:val="22"/>
              </w:rPr>
              <w:t>2</w:t>
            </w:r>
          </w:p>
        </w:tc>
        <w:tc>
          <w:tcPr>
            <w:tcW w:w="2368" w:type="dxa"/>
            <w:vMerge w:val="restart"/>
            <w:tcBorders>
              <w:top w:val="single" w:color="auto" w:sz="4" w:space="0"/>
              <w:left w:val="single" w:color="auto" w:sz="4" w:space="0"/>
              <w:bottom w:val="single" w:color="auto" w:sz="4" w:space="0"/>
              <w:right w:val="single" w:color="auto" w:sz="4" w:space="0"/>
            </w:tcBorders>
            <w:noWrap w:val="0"/>
            <w:vAlign w:val="center"/>
          </w:tcPr>
          <w:p w14:paraId="27F4E1F2">
            <w:pPr>
              <w:widowControl/>
              <w:snapToGrid w:val="0"/>
              <w:jc w:val="center"/>
              <w:rPr>
                <w:rFonts w:hint="eastAsia" w:ascii="宋体" w:hAnsi="宋体" w:cs="宋体"/>
                <w:kern w:val="0"/>
                <w:sz w:val="22"/>
                <w:szCs w:val="22"/>
              </w:rPr>
            </w:pPr>
            <w:r>
              <w:rPr>
                <w:rFonts w:hint="eastAsia" w:ascii="宋体" w:hAnsi="宋体" w:cs="宋体"/>
                <w:kern w:val="0"/>
                <w:sz w:val="22"/>
                <w:szCs w:val="22"/>
              </w:rPr>
              <w:t>值班楼管每班不得少于2人</w:t>
            </w:r>
          </w:p>
        </w:tc>
      </w:tr>
      <w:tr w14:paraId="2A871F6D">
        <w:tblPrEx>
          <w:tblCellMar>
            <w:top w:w="0" w:type="dxa"/>
            <w:left w:w="108" w:type="dxa"/>
            <w:bottom w:w="0" w:type="dxa"/>
            <w:right w:w="108" w:type="dxa"/>
          </w:tblCellMar>
        </w:tblPrEx>
        <w:trPr>
          <w:trHeight w:val="505" w:hRule="atLeast"/>
        </w:trPr>
        <w:tc>
          <w:tcPr>
            <w:tcW w:w="840" w:type="dxa"/>
            <w:vMerge w:val="continue"/>
            <w:tcBorders>
              <w:left w:val="single" w:color="auto" w:sz="4" w:space="0"/>
              <w:right w:val="single" w:color="auto" w:sz="4" w:space="0"/>
            </w:tcBorders>
            <w:noWrap w:val="0"/>
            <w:vAlign w:val="center"/>
          </w:tcPr>
          <w:p w14:paraId="2522C971">
            <w:pPr>
              <w:widowControl/>
              <w:snapToGrid w:val="0"/>
              <w:jc w:val="left"/>
              <w:rPr>
                <w:rFonts w:ascii="宋体" w:hAnsi="宋体" w:cs="宋体"/>
                <w:b/>
                <w:bCs/>
                <w:kern w:val="0"/>
                <w:sz w:val="22"/>
                <w:szCs w:val="22"/>
              </w:rPr>
            </w:pPr>
          </w:p>
        </w:tc>
        <w:tc>
          <w:tcPr>
            <w:tcW w:w="20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728CFDA">
            <w:pPr>
              <w:widowControl/>
              <w:snapToGrid w:val="0"/>
              <w:jc w:val="left"/>
              <w:rPr>
                <w:rFonts w:ascii="宋体" w:hAnsi="宋体" w:cs="宋体"/>
                <w:kern w:val="0"/>
                <w:sz w:val="22"/>
                <w:szCs w:val="22"/>
              </w:rPr>
            </w:pPr>
          </w:p>
        </w:tc>
        <w:tc>
          <w:tcPr>
            <w:tcW w:w="1600" w:type="dxa"/>
            <w:gridSpan w:val="2"/>
            <w:tcBorders>
              <w:top w:val="single" w:color="auto" w:sz="4" w:space="0"/>
              <w:left w:val="nil"/>
              <w:bottom w:val="single" w:color="auto" w:sz="4" w:space="0"/>
              <w:right w:val="single" w:color="auto" w:sz="4" w:space="0"/>
            </w:tcBorders>
            <w:noWrap/>
            <w:vAlign w:val="center"/>
          </w:tcPr>
          <w:p w14:paraId="597E5A50">
            <w:pPr>
              <w:widowControl/>
              <w:snapToGrid w:val="0"/>
              <w:jc w:val="center"/>
              <w:rPr>
                <w:rFonts w:hint="eastAsia" w:ascii="宋体" w:hAnsi="宋体" w:cs="宋体"/>
                <w:kern w:val="0"/>
                <w:sz w:val="22"/>
                <w:szCs w:val="22"/>
              </w:rPr>
            </w:pPr>
            <w:r>
              <w:rPr>
                <w:rFonts w:hint="eastAsia" w:ascii="宋体" w:hAnsi="宋体" w:cs="宋体"/>
                <w:kern w:val="0"/>
                <w:sz w:val="22"/>
                <w:szCs w:val="22"/>
              </w:rPr>
              <w:t>8号宿舍楼</w:t>
            </w: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14:paraId="371AE349">
            <w:pPr>
              <w:widowControl/>
              <w:snapToGrid w:val="0"/>
              <w:jc w:val="left"/>
              <w:rPr>
                <w:rFonts w:ascii="宋体" w:hAnsi="宋体" w:cs="宋体"/>
                <w:kern w:val="0"/>
                <w:sz w:val="22"/>
                <w:szCs w:val="22"/>
              </w:rPr>
            </w:pPr>
          </w:p>
        </w:tc>
        <w:tc>
          <w:tcPr>
            <w:tcW w:w="867" w:type="dxa"/>
            <w:tcBorders>
              <w:top w:val="single" w:color="auto" w:sz="4" w:space="0"/>
              <w:left w:val="nil"/>
              <w:bottom w:val="single" w:color="auto" w:sz="4" w:space="0"/>
              <w:right w:val="single" w:color="auto" w:sz="4" w:space="0"/>
            </w:tcBorders>
            <w:noWrap/>
            <w:vAlign w:val="center"/>
          </w:tcPr>
          <w:p w14:paraId="45228769">
            <w:pPr>
              <w:widowControl/>
              <w:snapToGrid w:val="0"/>
              <w:jc w:val="center"/>
              <w:rPr>
                <w:rFonts w:hint="eastAsia" w:ascii="宋体" w:hAnsi="宋体" w:cs="宋体"/>
                <w:kern w:val="0"/>
                <w:sz w:val="22"/>
                <w:szCs w:val="22"/>
              </w:rPr>
            </w:pPr>
            <w:r>
              <w:rPr>
                <w:rFonts w:hint="eastAsia" w:ascii="宋体" w:hAnsi="宋体" w:cs="宋体"/>
                <w:kern w:val="0"/>
                <w:sz w:val="22"/>
                <w:szCs w:val="22"/>
              </w:rPr>
              <w:t>2</w:t>
            </w:r>
          </w:p>
        </w:tc>
        <w:tc>
          <w:tcPr>
            <w:tcW w:w="2368" w:type="dxa"/>
            <w:vMerge w:val="continue"/>
            <w:tcBorders>
              <w:top w:val="single" w:color="auto" w:sz="4" w:space="0"/>
              <w:left w:val="single" w:color="auto" w:sz="4" w:space="0"/>
              <w:bottom w:val="single" w:color="auto" w:sz="4" w:space="0"/>
              <w:right w:val="single" w:color="auto" w:sz="4" w:space="0"/>
            </w:tcBorders>
            <w:noWrap w:val="0"/>
            <w:vAlign w:val="center"/>
          </w:tcPr>
          <w:p w14:paraId="0A9F4583">
            <w:pPr>
              <w:widowControl/>
              <w:snapToGrid w:val="0"/>
              <w:jc w:val="left"/>
              <w:rPr>
                <w:rFonts w:ascii="宋体" w:hAnsi="宋体" w:cs="宋体"/>
                <w:kern w:val="0"/>
                <w:sz w:val="22"/>
                <w:szCs w:val="22"/>
              </w:rPr>
            </w:pPr>
          </w:p>
        </w:tc>
      </w:tr>
      <w:tr w14:paraId="71CADBAF">
        <w:tblPrEx>
          <w:tblCellMar>
            <w:top w:w="0" w:type="dxa"/>
            <w:left w:w="108" w:type="dxa"/>
            <w:bottom w:w="0" w:type="dxa"/>
            <w:right w:w="108" w:type="dxa"/>
          </w:tblCellMar>
        </w:tblPrEx>
        <w:trPr>
          <w:trHeight w:val="315" w:hRule="atLeast"/>
        </w:trPr>
        <w:tc>
          <w:tcPr>
            <w:tcW w:w="840" w:type="dxa"/>
            <w:vMerge w:val="continue"/>
            <w:tcBorders>
              <w:left w:val="single" w:color="auto" w:sz="4" w:space="0"/>
              <w:right w:val="single" w:color="auto" w:sz="4" w:space="0"/>
            </w:tcBorders>
            <w:noWrap w:val="0"/>
            <w:vAlign w:val="center"/>
          </w:tcPr>
          <w:p w14:paraId="4E2EE4C7">
            <w:pPr>
              <w:widowControl/>
              <w:snapToGrid w:val="0"/>
              <w:jc w:val="left"/>
              <w:rPr>
                <w:rFonts w:ascii="宋体" w:hAnsi="宋体" w:cs="宋体"/>
                <w:b/>
                <w:bCs/>
                <w:kern w:val="0"/>
                <w:sz w:val="22"/>
                <w:szCs w:val="22"/>
              </w:rPr>
            </w:pPr>
          </w:p>
        </w:tc>
        <w:tc>
          <w:tcPr>
            <w:tcW w:w="2000" w:type="dxa"/>
            <w:gridSpan w:val="2"/>
            <w:vMerge w:val="restart"/>
            <w:tcBorders>
              <w:top w:val="single" w:color="auto" w:sz="4" w:space="0"/>
              <w:left w:val="single" w:color="auto" w:sz="4" w:space="0"/>
              <w:bottom w:val="single" w:color="auto" w:sz="4" w:space="0"/>
              <w:right w:val="single" w:color="auto" w:sz="4" w:space="0"/>
            </w:tcBorders>
            <w:noWrap/>
            <w:vAlign w:val="center"/>
          </w:tcPr>
          <w:p w14:paraId="1883B2A9">
            <w:pPr>
              <w:widowControl/>
              <w:snapToGrid w:val="0"/>
              <w:jc w:val="center"/>
              <w:rPr>
                <w:rFonts w:hint="eastAsia" w:ascii="宋体" w:hAnsi="宋体" w:cs="宋体"/>
                <w:kern w:val="0"/>
                <w:sz w:val="22"/>
                <w:szCs w:val="22"/>
              </w:rPr>
            </w:pPr>
            <w:r>
              <w:rPr>
                <w:rFonts w:hint="eastAsia" w:ascii="宋体" w:hAnsi="宋体" w:cs="宋体"/>
                <w:kern w:val="0"/>
                <w:sz w:val="22"/>
                <w:szCs w:val="22"/>
              </w:rPr>
              <w:t>保洁</w:t>
            </w:r>
          </w:p>
        </w:tc>
        <w:tc>
          <w:tcPr>
            <w:tcW w:w="1600" w:type="dxa"/>
            <w:gridSpan w:val="2"/>
            <w:tcBorders>
              <w:top w:val="single" w:color="auto" w:sz="4" w:space="0"/>
              <w:left w:val="nil"/>
              <w:bottom w:val="single" w:color="auto" w:sz="4" w:space="0"/>
              <w:right w:val="single" w:color="auto" w:sz="4" w:space="0"/>
            </w:tcBorders>
            <w:noWrap/>
            <w:vAlign w:val="center"/>
          </w:tcPr>
          <w:p w14:paraId="359426A4">
            <w:pPr>
              <w:widowControl/>
              <w:snapToGrid w:val="0"/>
              <w:jc w:val="center"/>
              <w:rPr>
                <w:rFonts w:hint="eastAsia" w:ascii="宋体" w:hAnsi="宋体" w:cs="宋体"/>
                <w:kern w:val="0"/>
                <w:sz w:val="22"/>
                <w:szCs w:val="22"/>
              </w:rPr>
            </w:pPr>
            <w:r>
              <w:rPr>
                <w:rFonts w:hint="eastAsia" w:ascii="宋体" w:hAnsi="宋体" w:cs="宋体"/>
                <w:kern w:val="0"/>
                <w:sz w:val="22"/>
                <w:szCs w:val="22"/>
              </w:rPr>
              <w:t>1号宿舍楼</w:t>
            </w:r>
          </w:p>
        </w:tc>
        <w:tc>
          <w:tcPr>
            <w:tcW w:w="1356" w:type="dxa"/>
            <w:tcBorders>
              <w:top w:val="single" w:color="auto" w:sz="4" w:space="0"/>
              <w:left w:val="nil"/>
              <w:bottom w:val="single" w:color="auto" w:sz="4" w:space="0"/>
              <w:right w:val="single" w:color="auto" w:sz="4" w:space="0"/>
            </w:tcBorders>
            <w:noWrap/>
            <w:vAlign w:val="center"/>
          </w:tcPr>
          <w:p w14:paraId="4677E0C8">
            <w:pPr>
              <w:widowControl/>
              <w:snapToGrid w:val="0"/>
              <w:jc w:val="center"/>
              <w:rPr>
                <w:rFonts w:hint="eastAsia" w:ascii="宋体" w:hAnsi="宋体" w:cs="宋体"/>
                <w:kern w:val="0"/>
                <w:sz w:val="22"/>
                <w:szCs w:val="22"/>
              </w:rPr>
            </w:pPr>
            <w:r>
              <w:rPr>
                <w:rFonts w:hint="eastAsia" w:ascii="宋体" w:hAnsi="宋体" w:cs="宋体"/>
                <w:kern w:val="0"/>
                <w:sz w:val="22"/>
                <w:szCs w:val="22"/>
              </w:rPr>
              <w:t>1708.5</w:t>
            </w:r>
          </w:p>
        </w:tc>
        <w:tc>
          <w:tcPr>
            <w:tcW w:w="867" w:type="dxa"/>
            <w:tcBorders>
              <w:top w:val="single" w:color="auto" w:sz="4" w:space="0"/>
              <w:left w:val="nil"/>
              <w:bottom w:val="single" w:color="auto" w:sz="4" w:space="0"/>
              <w:right w:val="single" w:color="auto" w:sz="4" w:space="0"/>
            </w:tcBorders>
            <w:noWrap/>
            <w:vAlign w:val="center"/>
          </w:tcPr>
          <w:p w14:paraId="657971AE">
            <w:pPr>
              <w:widowControl/>
              <w:snapToGrid w:val="0"/>
              <w:jc w:val="center"/>
              <w:rPr>
                <w:rFonts w:hint="eastAsia" w:ascii="宋体" w:hAnsi="宋体" w:cs="宋体"/>
                <w:kern w:val="0"/>
                <w:sz w:val="22"/>
                <w:szCs w:val="22"/>
              </w:rPr>
            </w:pPr>
            <w:r>
              <w:rPr>
                <w:rFonts w:hint="eastAsia" w:ascii="宋体" w:hAnsi="宋体" w:cs="宋体"/>
                <w:kern w:val="0"/>
                <w:sz w:val="22"/>
                <w:szCs w:val="22"/>
              </w:rPr>
              <w:t>1</w:t>
            </w:r>
          </w:p>
        </w:tc>
        <w:tc>
          <w:tcPr>
            <w:tcW w:w="2368" w:type="dxa"/>
            <w:vMerge w:val="restart"/>
            <w:tcBorders>
              <w:top w:val="single" w:color="auto" w:sz="4" w:space="0"/>
              <w:left w:val="single" w:color="auto" w:sz="4" w:space="0"/>
              <w:bottom w:val="single" w:color="auto" w:sz="4" w:space="0"/>
              <w:right w:val="single" w:color="auto" w:sz="4" w:space="0"/>
            </w:tcBorders>
            <w:noWrap w:val="0"/>
            <w:vAlign w:val="center"/>
          </w:tcPr>
          <w:p w14:paraId="3E91FA93">
            <w:pPr>
              <w:widowControl/>
              <w:snapToGrid w:val="0"/>
              <w:jc w:val="center"/>
              <w:rPr>
                <w:rFonts w:hint="eastAsia" w:ascii="宋体" w:hAnsi="宋体" w:cs="宋体"/>
                <w:kern w:val="0"/>
                <w:sz w:val="22"/>
                <w:szCs w:val="22"/>
              </w:rPr>
            </w:pPr>
            <w:r>
              <w:rPr>
                <w:rFonts w:hint="eastAsia" w:ascii="宋体" w:hAnsi="宋体" w:cs="宋体"/>
                <w:kern w:val="0"/>
                <w:sz w:val="22"/>
                <w:szCs w:val="22"/>
              </w:rPr>
              <w:t>1、2、3号楼共配备保洁员3人</w:t>
            </w:r>
          </w:p>
        </w:tc>
      </w:tr>
      <w:tr w14:paraId="21D6D94C">
        <w:tblPrEx>
          <w:tblCellMar>
            <w:top w:w="0" w:type="dxa"/>
            <w:left w:w="108" w:type="dxa"/>
            <w:bottom w:w="0" w:type="dxa"/>
            <w:right w:w="108" w:type="dxa"/>
          </w:tblCellMar>
        </w:tblPrEx>
        <w:trPr>
          <w:trHeight w:val="315" w:hRule="atLeast"/>
        </w:trPr>
        <w:tc>
          <w:tcPr>
            <w:tcW w:w="840" w:type="dxa"/>
            <w:vMerge w:val="continue"/>
            <w:tcBorders>
              <w:left w:val="single" w:color="auto" w:sz="4" w:space="0"/>
              <w:right w:val="single" w:color="auto" w:sz="4" w:space="0"/>
            </w:tcBorders>
            <w:noWrap w:val="0"/>
            <w:vAlign w:val="center"/>
          </w:tcPr>
          <w:p w14:paraId="1D55EAC5">
            <w:pPr>
              <w:widowControl/>
              <w:snapToGrid w:val="0"/>
              <w:jc w:val="left"/>
              <w:rPr>
                <w:rFonts w:ascii="宋体" w:hAnsi="宋体" w:cs="宋体"/>
                <w:b/>
                <w:bCs/>
                <w:kern w:val="0"/>
                <w:sz w:val="22"/>
                <w:szCs w:val="22"/>
              </w:rPr>
            </w:pPr>
          </w:p>
        </w:tc>
        <w:tc>
          <w:tcPr>
            <w:tcW w:w="20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ACAD8FE">
            <w:pPr>
              <w:widowControl/>
              <w:snapToGrid w:val="0"/>
              <w:jc w:val="left"/>
              <w:rPr>
                <w:rFonts w:ascii="宋体" w:hAnsi="宋体" w:cs="宋体"/>
                <w:kern w:val="0"/>
                <w:sz w:val="22"/>
                <w:szCs w:val="22"/>
              </w:rPr>
            </w:pPr>
          </w:p>
        </w:tc>
        <w:tc>
          <w:tcPr>
            <w:tcW w:w="1600" w:type="dxa"/>
            <w:gridSpan w:val="2"/>
            <w:tcBorders>
              <w:top w:val="single" w:color="auto" w:sz="4" w:space="0"/>
              <w:left w:val="nil"/>
              <w:bottom w:val="single" w:color="auto" w:sz="4" w:space="0"/>
              <w:right w:val="single" w:color="auto" w:sz="4" w:space="0"/>
            </w:tcBorders>
            <w:noWrap/>
            <w:vAlign w:val="center"/>
          </w:tcPr>
          <w:p w14:paraId="02B3D81D">
            <w:pPr>
              <w:widowControl/>
              <w:snapToGrid w:val="0"/>
              <w:jc w:val="center"/>
              <w:rPr>
                <w:rFonts w:hint="eastAsia" w:ascii="宋体" w:hAnsi="宋体" w:cs="宋体"/>
                <w:kern w:val="0"/>
                <w:sz w:val="22"/>
                <w:szCs w:val="22"/>
              </w:rPr>
            </w:pPr>
            <w:r>
              <w:rPr>
                <w:rFonts w:hint="eastAsia" w:ascii="宋体" w:hAnsi="宋体" w:cs="宋体"/>
                <w:kern w:val="0"/>
                <w:sz w:val="22"/>
                <w:szCs w:val="22"/>
              </w:rPr>
              <w:t>2号宿舍楼</w:t>
            </w:r>
          </w:p>
        </w:tc>
        <w:tc>
          <w:tcPr>
            <w:tcW w:w="1356" w:type="dxa"/>
            <w:vMerge w:val="restart"/>
            <w:tcBorders>
              <w:top w:val="single" w:color="auto" w:sz="4" w:space="0"/>
              <w:left w:val="single" w:color="auto" w:sz="4" w:space="0"/>
              <w:bottom w:val="single" w:color="auto" w:sz="4" w:space="0"/>
              <w:right w:val="single" w:color="auto" w:sz="4" w:space="0"/>
            </w:tcBorders>
            <w:noWrap/>
            <w:vAlign w:val="center"/>
          </w:tcPr>
          <w:p w14:paraId="1D12A553">
            <w:pPr>
              <w:widowControl/>
              <w:snapToGrid w:val="0"/>
              <w:jc w:val="center"/>
              <w:rPr>
                <w:rFonts w:hint="eastAsia" w:ascii="宋体" w:hAnsi="宋体" w:cs="宋体"/>
                <w:kern w:val="0"/>
                <w:sz w:val="22"/>
                <w:szCs w:val="22"/>
              </w:rPr>
            </w:pPr>
            <w:r>
              <w:rPr>
                <w:rFonts w:hint="eastAsia" w:ascii="宋体" w:hAnsi="宋体" w:cs="宋体"/>
                <w:kern w:val="0"/>
                <w:sz w:val="22"/>
                <w:szCs w:val="22"/>
              </w:rPr>
              <w:t>3504.5</w:t>
            </w:r>
          </w:p>
        </w:tc>
        <w:tc>
          <w:tcPr>
            <w:tcW w:w="867" w:type="dxa"/>
            <w:tcBorders>
              <w:top w:val="single" w:color="auto" w:sz="4" w:space="0"/>
              <w:left w:val="nil"/>
              <w:bottom w:val="single" w:color="auto" w:sz="4" w:space="0"/>
              <w:right w:val="single" w:color="auto" w:sz="4" w:space="0"/>
            </w:tcBorders>
            <w:noWrap/>
            <w:vAlign w:val="center"/>
          </w:tcPr>
          <w:p w14:paraId="0BF6C218">
            <w:pPr>
              <w:widowControl/>
              <w:snapToGrid w:val="0"/>
              <w:jc w:val="center"/>
              <w:rPr>
                <w:rFonts w:hint="eastAsia" w:ascii="宋体" w:hAnsi="宋体" w:cs="宋体"/>
                <w:kern w:val="0"/>
                <w:sz w:val="22"/>
                <w:szCs w:val="22"/>
              </w:rPr>
            </w:pPr>
            <w:r>
              <w:rPr>
                <w:rFonts w:hint="eastAsia" w:ascii="宋体" w:hAnsi="宋体" w:cs="宋体"/>
                <w:kern w:val="0"/>
                <w:sz w:val="22"/>
                <w:szCs w:val="22"/>
              </w:rPr>
              <w:t>1</w:t>
            </w:r>
          </w:p>
        </w:tc>
        <w:tc>
          <w:tcPr>
            <w:tcW w:w="2368" w:type="dxa"/>
            <w:vMerge w:val="continue"/>
            <w:tcBorders>
              <w:top w:val="single" w:color="auto" w:sz="4" w:space="0"/>
              <w:left w:val="single" w:color="auto" w:sz="4" w:space="0"/>
              <w:bottom w:val="single" w:color="auto" w:sz="4" w:space="0"/>
              <w:right w:val="single" w:color="auto" w:sz="4" w:space="0"/>
            </w:tcBorders>
            <w:noWrap w:val="0"/>
            <w:vAlign w:val="center"/>
          </w:tcPr>
          <w:p w14:paraId="1A3218AE">
            <w:pPr>
              <w:widowControl/>
              <w:snapToGrid w:val="0"/>
              <w:jc w:val="left"/>
              <w:rPr>
                <w:rFonts w:ascii="宋体" w:hAnsi="宋体" w:cs="宋体"/>
                <w:kern w:val="0"/>
                <w:sz w:val="22"/>
                <w:szCs w:val="22"/>
              </w:rPr>
            </w:pPr>
          </w:p>
        </w:tc>
      </w:tr>
      <w:tr w14:paraId="0EB1CE3A">
        <w:tblPrEx>
          <w:tblCellMar>
            <w:top w:w="0" w:type="dxa"/>
            <w:left w:w="108" w:type="dxa"/>
            <w:bottom w:w="0" w:type="dxa"/>
            <w:right w:w="108" w:type="dxa"/>
          </w:tblCellMar>
        </w:tblPrEx>
        <w:trPr>
          <w:trHeight w:val="251" w:hRule="atLeast"/>
        </w:trPr>
        <w:tc>
          <w:tcPr>
            <w:tcW w:w="840" w:type="dxa"/>
            <w:vMerge w:val="continue"/>
            <w:tcBorders>
              <w:left w:val="single" w:color="auto" w:sz="4" w:space="0"/>
              <w:right w:val="single" w:color="auto" w:sz="4" w:space="0"/>
            </w:tcBorders>
            <w:noWrap w:val="0"/>
            <w:vAlign w:val="center"/>
          </w:tcPr>
          <w:p w14:paraId="079B789B">
            <w:pPr>
              <w:widowControl/>
              <w:snapToGrid w:val="0"/>
              <w:jc w:val="left"/>
              <w:rPr>
                <w:rFonts w:ascii="宋体" w:hAnsi="宋体" w:cs="宋体"/>
                <w:b/>
                <w:bCs/>
                <w:kern w:val="0"/>
                <w:sz w:val="22"/>
                <w:szCs w:val="22"/>
              </w:rPr>
            </w:pPr>
          </w:p>
        </w:tc>
        <w:tc>
          <w:tcPr>
            <w:tcW w:w="20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4550163">
            <w:pPr>
              <w:widowControl/>
              <w:snapToGrid w:val="0"/>
              <w:jc w:val="left"/>
              <w:rPr>
                <w:rFonts w:ascii="宋体" w:hAnsi="宋体" w:cs="宋体"/>
                <w:kern w:val="0"/>
                <w:sz w:val="22"/>
                <w:szCs w:val="22"/>
              </w:rPr>
            </w:pPr>
          </w:p>
        </w:tc>
        <w:tc>
          <w:tcPr>
            <w:tcW w:w="1600" w:type="dxa"/>
            <w:gridSpan w:val="2"/>
            <w:tcBorders>
              <w:top w:val="single" w:color="auto" w:sz="4" w:space="0"/>
              <w:left w:val="nil"/>
              <w:bottom w:val="single" w:color="auto" w:sz="4" w:space="0"/>
              <w:right w:val="single" w:color="auto" w:sz="4" w:space="0"/>
            </w:tcBorders>
            <w:noWrap/>
            <w:vAlign w:val="center"/>
          </w:tcPr>
          <w:p w14:paraId="03323355">
            <w:pPr>
              <w:widowControl/>
              <w:snapToGrid w:val="0"/>
              <w:jc w:val="center"/>
              <w:rPr>
                <w:rFonts w:hint="eastAsia" w:ascii="宋体" w:hAnsi="宋体" w:cs="宋体"/>
                <w:kern w:val="0"/>
                <w:sz w:val="22"/>
                <w:szCs w:val="22"/>
              </w:rPr>
            </w:pPr>
            <w:r>
              <w:rPr>
                <w:rFonts w:hint="eastAsia" w:ascii="宋体" w:hAnsi="宋体" w:cs="宋体"/>
                <w:kern w:val="0"/>
                <w:sz w:val="22"/>
                <w:szCs w:val="22"/>
              </w:rPr>
              <w:t>3号宿舍楼</w:t>
            </w: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14:paraId="6CA4964A">
            <w:pPr>
              <w:widowControl/>
              <w:snapToGrid w:val="0"/>
              <w:jc w:val="left"/>
              <w:rPr>
                <w:rFonts w:ascii="宋体" w:hAnsi="宋体" w:cs="宋体"/>
                <w:kern w:val="0"/>
                <w:sz w:val="22"/>
                <w:szCs w:val="22"/>
              </w:rPr>
            </w:pPr>
          </w:p>
        </w:tc>
        <w:tc>
          <w:tcPr>
            <w:tcW w:w="867" w:type="dxa"/>
            <w:tcBorders>
              <w:top w:val="single" w:color="auto" w:sz="4" w:space="0"/>
              <w:left w:val="nil"/>
              <w:bottom w:val="single" w:color="auto" w:sz="4" w:space="0"/>
              <w:right w:val="single" w:color="auto" w:sz="4" w:space="0"/>
            </w:tcBorders>
            <w:noWrap/>
            <w:vAlign w:val="center"/>
          </w:tcPr>
          <w:p w14:paraId="53D035AB">
            <w:pPr>
              <w:widowControl/>
              <w:snapToGrid w:val="0"/>
              <w:jc w:val="center"/>
              <w:rPr>
                <w:rFonts w:hint="eastAsia" w:ascii="宋体" w:hAnsi="宋体" w:cs="宋体"/>
                <w:kern w:val="0"/>
                <w:sz w:val="22"/>
                <w:szCs w:val="22"/>
              </w:rPr>
            </w:pPr>
            <w:r>
              <w:rPr>
                <w:rFonts w:hint="eastAsia" w:ascii="宋体" w:hAnsi="宋体" w:cs="宋体"/>
                <w:kern w:val="0"/>
                <w:sz w:val="22"/>
                <w:szCs w:val="22"/>
              </w:rPr>
              <w:t>1</w:t>
            </w:r>
          </w:p>
        </w:tc>
        <w:tc>
          <w:tcPr>
            <w:tcW w:w="2368" w:type="dxa"/>
            <w:vMerge w:val="continue"/>
            <w:tcBorders>
              <w:top w:val="single" w:color="auto" w:sz="4" w:space="0"/>
              <w:left w:val="single" w:color="auto" w:sz="4" w:space="0"/>
              <w:bottom w:val="single" w:color="auto" w:sz="4" w:space="0"/>
              <w:right w:val="single" w:color="auto" w:sz="4" w:space="0"/>
            </w:tcBorders>
            <w:noWrap w:val="0"/>
            <w:vAlign w:val="center"/>
          </w:tcPr>
          <w:p w14:paraId="03AC7461">
            <w:pPr>
              <w:widowControl/>
              <w:snapToGrid w:val="0"/>
              <w:jc w:val="left"/>
              <w:rPr>
                <w:rFonts w:ascii="宋体" w:hAnsi="宋体" w:cs="宋体"/>
                <w:kern w:val="0"/>
                <w:sz w:val="22"/>
                <w:szCs w:val="22"/>
              </w:rPr>
            </w:pPr>
          </w:p>
        </w:tc>
      </w:tr>
      <w:tr w14:paraId="5B92FAB3">
        <w:tblPrEx>
          <w:tblCellMar>
            <w:top w:w="0" w:type="dxa"/>
            <w:left w:w="108" w:type="dxa"/>
            <w:bottom w:w="0" w:type="dxa"/>
            <w:right w:w="108" w:type="dxa"/>
          </w:tblCellMar>
        </w:tblPrEx>
        <w:trPr>
          <w:trHeight w:val="486" w:hRule="atLeast"/>
        </w:trPr>
        <w:tc>
          <w:tcPr>
            <w:tcW w:w="840" w:type="dxa"/>
            <w:vMerge w:val="continue"/>
            <w:tcBorders>
              <w:left w:val="single" w:color="auto" w:sz="4" w:space="0"/>
              <w:bottom w:val="single" w:color="auto" w:sz="4" w:space="0"/>
              <w:right w:val="single" w:color="auto" w:sz="4" w:space="0"/>
            </w:tcBorders>
            <w:noWrap w:val="0"/>
            <w:vAlign w:val="center"/>
          </w:tcPr>
          <w:p w14:paraId="5B60BE42">
            <w:pPr>
              <w:widowControl/>
              <w:snapToGrid w:val="0"/>
              <w:jc w:val="left"/>
              <w:rPr>
                <w:rFonts w:ascii="宋体" w:hAnsi="宋体" w:cs="宋体"/>
                <w:b/>
                <w:bCs/>
                <w:kern w:val="0"/>
                <w:sz w:val="22"/>
                <w:szCs w:val="22"/>
              </w:rPr>
            </w:pPr>
          </w:p>
        </w:tc>
        <w:tc>
          <w:tcPr>
            <w:tcW w:w="20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C457C36">
            <w:pPr>
              <w:widowControl/>
              <w:snapToGrid w:val="0"/>
              <w:jc w:val="left"/>
              <w:rPr>
                <w:rFonts w:ascii="宋体" w:hAnsi="宋体" w:cs="宋体"/>
                <w:kern w:val="0"/>
                <w:sz w:val="22"/>
                <w:szCs w:val="22"/>
              </w:rPr>
            </w:pPr>
          </w:p>
        </w:tc>
        <w:tc>
          <w:tcPr>
            <w:tcW w:w="1600" w:type="dxa"/>
            <w:gridSpan w:val="2"/>
            <w:tcBorders>
              <w:top w:val="single" w:color="auto" w:sz="4" w:space="0"/>
              <w:left w:val="nil"/>
              <w:bottom w:val="single" w:color="auto" w:sz="4" w:space="0"/>
              <w:right w:val="single" w:color="auto" w:sz="4" w:space="0"/>
            </w:tcBorders>
            <w:noWrap/>
            <w:vAlign w:val="center"/>
          </w:tcPr>
          <w:p w14:paraId="5C7F4904">
            <w:pPr>
              <w:widowControl/>
              <w:snapToGrid w:val="0"/>
              <w:jc w:val="center"/>
              <w:rPr>
                <w:rFonts w:hint="eastAsia" w:ascii="宋体" w:hAnsi="宋体" w:cs="宋体"/>
                <w:kern w:val="0"/>
                <w:sz w:val="22"/>
                <w:szCs w:val="22"/>
              </w:rPr>
            </w:pPr>
            <w:r>
              <w:rPr>
                <w:rFonts w:hint="eastAsia" w:ascii="宋体" w:hAnsi="宋体" w:cs="宋体"/>
                <w:kern w:val="0"/>
                <w:sz w:val="22"/>
                <w:szCs w:val="22"/>
              </w:rPr>
              <w:t>4号宿舍楼</w:t>
            </w:r>
          </w:p>
        </w:tc>
        <w:tc>
          <w:tcPr>
            <w:tcW w:w="1356" w:type="dxa"/>
            <w:tcBorders>
              <w:top w:val="single" w:color="auto" w:sz="4" w:space="0"/>
              <w:left w:val="nil"/>
              <w:bottom w:val="single" w:color="auto" w:sz="4" w:space="0"/>
              <w:right w:val="single" w:color="auto" w:sz="4" w:space="0"/>
            </w:tcBorders>
            <w:noWrap/>
            <w:vAlign w:val="center"/>
          </w:tcPr>
          <w:p w14:paraId="6FCC6D9D">
            <w:pPr>
              <w:widowControl/>
              <w:snapToGrid w:val="0"/>
              <w:jc w:val="center"/>
              <w:rPr>
                <w:rFonts w:hint="eastAsia" w:ascii="宋体" w:hAnsi="宋体" w:cs="宋体"/>
                <w:kern w:val="0"/>
                <w:sz w:val="22"/>
                <w:szCs w:val="22"/>
              </w:rPr>
            </w:pPr>
            <w:r>
              <w:rPr>
                <w:rFonts w:hint="eastAsia" w:ascii="宋体" w:hAnsi="宋体" w:cs="宋体"/>
                <w:kern w:val="0"/>
                <w:sz w:val="22"/>
                <w:szCs w:val="22"/>
              </w:rPr>
              <w:t>6425</w:t>
            </w:r>
          </w:p>
        </w:tc>
        <w:tc>
          <w:tcPr>
            <w:tcW w:w="867" w:type="dxa"/>
            <w:tcBorders>
              <w:top w:val="single" w:color="auto" w:sz="4" w:space="0"/>
              <w:left w:val="nil"/>
              <w:bottom w:val="single" w:color="auto" w:sz="4" w:space="0"/>
              <w:right w:val="single" w:color="auto" w:sz="4" w:space="0"/>
            </w:tcBorders>
            <w:noWrap/>
            <w:vAlign w:val="center"/>
          </w:tcPr>
          <w:p w14:paraId="72A87F0E">
            <w:pPr>
              <w:widowControl/>
              <w:snapToGrid w:val="0"/>
              <w:jc w:val="center"/>
              <w:rPr>
                <w:rFonts w:hint="eastAsia" w:ascii="宋体" w:hAnsi="宋体" w:cs="宋体"/>
                <w:kern w:val="0"/>
                <w:sz w:val="22"/>
                <w:szCs w:val="22"/>
              </w:rPr>
            </w:pPr>
            <w:r>
              <w:rPr>
                <w:rFonts w:hint="eastAsia" w:ascii="宋体" w:hAnsi="宋体" w:cs="宋体"/>
                <w:kern w:val="0"/>
                <w:sz w:val="22"/>
                <w:szCs w:val="22"/>
              </w:rPr>
              <w:t>3</w:t>
            </w:r>
          </w:p>
        </w:tc>
        <w:tc>
          <w:tcPr>
            <w:tcW w:w="2368" w:type="dxa"/>
            <w:tcBorders>
              <w:top w:val="single" w:color="auto" w:sz="4" w:space="0"/>
              <w:left w:val="nil"/>
              <w:bottom w:val="single" w:color="auto" w:sz="4" w:space="0"/>
              <w:right w:val="single" w:color="auto" w:sz="4" w:space="0"/>
            </w:tcBorders>
            <w:noWrap w:val="0"/>
            <w:vAlign w:val="center"/>
          </w:tcPr>
          <w:p w14:paraId="360BA67F">
            <w:pPr>
              <w:widowControl/>
              <w:snapToGrid w:val="0"/>
              <w:jc w:val="center"/>
              <w:rPr>
                <w:rFonts w:hint="eastAsia" w:ascii="宋体" w:hAnsi="宋体" w:cs="宋体"/>
                <w:kern w:val="0"/>
                <w:sz w:val="22"/>
                <w:szCs w:val="22"/>
              </w:rPr>
            </w:pPr>
            <w:r>
              <w:rPr>
                <w:rFonts w:hint="eastAsia" w:ascii="宋体" w:hAnsi="宋体" w:cs="宋体"/>
                <w:kern w:val="0"/>
                <w:sz w:val="22"/>
                <w:szCs w:val="22"/>
              </w:rPr>
              <w:t>公共卫生间，男生宿舍，卫生打扫难度</w:t>
            </w:r>
            <w:r>
              <w:rPr>
                <w:rFonts w:hint="eastAsia" w:ascii="宋体" w:hAnsi="宋体" w:cs="宋体"/>
                <w:kern w:val="0"/>
                <w:sz w:val="22"/>
                <w:szCs w:val="22"/>
                <w:lang w:val="en-US" w:eastAsia="zh-CN"/>
              </w:rPr>
              <w:t>较</w:t>
            </w:r>
            <w:r>
              <w:rPr>
                <w:rFonts w:hint="eastAsia" w:ascii="宋体" w:hAnsi="宋体" w:cs="宋体"/>
                <w:kern w:val="0"/>
                <w:sz w:val="22"/>
                <w:szCs w:val="22"/>
              </w:rPr>
              <w:t>大</w:t>
            </w:r>
          </w:p>
        </w:tc>
      </w:tr>
      <w:tr w14:paraId="02C0A933">
        <w:tblPrEx>
          <w:tblCellMar>
            <w:top w:w="0" w:type="dxa"/>
            <w:left w:w="108" w:type="dxa"/>
            <w:bottom w:w="0" w:type="dxa"/>
            <w:right w:w="108" w:type="dxa"/>
          </w:tblCellMar>
        </w:tblPrEx>
        <w:trPr>
          <w:trHeight w:val="270"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14:paraId="6C7894C8">
            <w:pPr>
              <w:widowControl/>
              <w:snapToGrid w:val="0"/>
              <w:jc w:val="left"/>
              <w:rPr>
                <w:rFonts w:ascii="宋体" w:hAnsi="宋体" w:cs="宋体"/>
                <w:b/>
                <w:bCs/>
                <w:kern w:val="0"/>
                <w:sz w:val="22"/>
                <w:szCs w:val="22"/>
              </w:rPr>
            </w:pPr>
          </w:p>
        </w:tc>
        <w:tc>
          <w:tcPr>
            <w:tcW w:w="20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07071D6">
            <w:pPr>
              <w:widowControl/>
              <w:snapToGrid w:val="0"/>
              <w:jc w:val="left"/>
              <w:rPr>
                <w:rFonts w:ascii="宋体" w:hAnsi="宋体" w:cs="宋体"/>
                <w:kern w:val="0"/>
                <w:sz w:val="22"/>
                <w:szCs w:val="22"/>
              </w:rPr>
            </w:pPr>
          </w:p>
        </w:tc>
        <w:tc>
          <w:tcPr>
            <w:tcW w:w="1600" w:type="dxa"/>
            <w:gridSpan w:val="2"/>
            <w:tcBorders>
              <w:top w:val="single" w:color="auto" w:sz="4" w:space="0"/>
              <w:left w:val="nil"/>
              <w:bottom w:val="single" w:color="auto" w:sz="4" w:space="0"/>
              <w:right w:val="single" w:color="auto" w:sz="4" w:space="0"/>
            </w:tcBorders>
            <w:noWrap/>
            <w:vAlign w:val="center"/>
          </w:tcPr>
          <w:p w14:paraId="0C4AFFF8">
            <w:pPr>
              <w:widowControl/>
              <w:snapToGrid w:val="0"/>
              <w:jc w:val="center"/>
              <w:rPr>
                <w:rFonts w:hint="eastAsia" w:ascii="宋体" w:hAnsi="宋体" w:cs="宋体"/>
                <w:kern w:val="0"/>
                <w:sz w:val="22"/>
                <w:szCs w:val="22"/>
              </w:rPr>
            </w:pPr>
            <w:r>
              <w:rPr>
                <w:rFonts w:hint="eastAsia" w:ascii="宋体" w:hAnsi="宋体" w:cs="宋体"/>
                <w:kern w:val="0"/>
                <w:sz w:val="22"/>
                <w:szCs w:val="22"/>
              </w:rPr>
              <w:t>5号宿舍楼</w:t>
            </w:r>
          </w:p>
        </w:tc>
        <w:tc>
          <w:tcPr>
            <w:tcW w:w="1356" w:type="dxa"/>
            <w:tcBorders>
              <w:top w:val="single" w:color="auto" w:sz="4" w:space="0"/>
              <w:left w:val="nil"/>
              <w:bottom w:val="single" w:color="auto" w:sz="4" w:space="0"/>
              <w:right w:val="single" w:color="auto" w:sz="4" w:space="0"/>
            </w:tcBorders>
            <w:noWrap/>
            <w:vAlign w:val="center"/>
          </w:tcPr>
          <w:p w14:paraId="02E3C912">
            <w:pPr>
              <w:widowControl/>
              <w:snapToGrid w:val="0"/>
              <w:jc w:val="center"/>
              <w:rPr>
                <w:rFonts w:hint="eastAsia" w:ascii="宋体" w:hAnsi="宋体" w:cs="宋体"/>
                <w:kern w:val="0"/>
                <w:sz w:val="22"/>
                <w:szCs w:val="22"/>
              </w:rPr>
            </w:pPr>
            <w:r>
              <w:rPr>
                <w:rFonts w:hint="eastAsia" w:ascii="宋体" w:hAnsi="宋体" w:cs="宋体"/>
                <w:kern w:val="0"/>
                <w:sz w:val="22"/>
                <w:szCs w:val="22"/>
              </w:rPr>
              <w:t>5852</w:t>
            </w:r>
          </w:p>
        </w:tc>
        <w:tc>
          <w:tcPr>
            <w:tcW w:w="867" w:type="dxa"/>
            <w:tcBorders>
              <w:top w:val="single" w:color="auto" w:sz="4" w:space="0"/>
              <w:left w:val="nil"/>
              <w:bottom w:val="single" w:color="auto" w:sz="4" w:space="0"/>
              <w:right w:val="single" w:color="auto" w:sz="4" w:space="0"/>
            </w:tcBorders>
            <w:noWrap/>
            <w:vAlign w:val="center"/>
          </w:tcPr>
          <w:p w14:paraId="69D847C2">
            <w:pPr>
              <w:widowControl/>
              <w:snapToGrid w:val="0"/>
              <w:jc w:val="center"/>
              <w:rPr>
                <w:rFonts w:hint="eastAsia" w:ascii="宋体" w:hAnsi="宋体" w:cs="宋体"/>
                <w:kern w:val="0"/>
                <w:sz w:val="22"/>
                <w:szCs w:val="22"/>
              </w:rPr>
            </w:pPr>
            <w:r>
              <w:rPr>
                <w:rFonts w:hint="eastAsia" w:ascii="宋体" w:hAnsi="宋体" w:cs="宋体"/>
                <w:kern w:val="0"/>
                <w:sz w:val="22"/>
                <w:szCs w:val="22"/>
              </w:rPr>
              <w:t>1</w:t>
            </w:r>
          </w:p>
        </w:tc>
        <w:tc>
          <w:tcPr>
            <w:tcW w:w="2368" w:type="dxa"/>
            <w:tcBorders>
              <w:top w:val="single" w:color="auto" w:sz="4" w:space="0"/>
              <w:left w:val="nil"/>
              <w:bottom w:val="single" w:color="auto" w:sz="4" w:space="0"/>
              <w:right w:val="single" w:color="auto" w:sz="4" w:space="0"/>
            </w:tcBorders>
            <w:noWrap/>
            <w:vAlign w:val="center"/>
          </w:tcPr>
          <w:p w14:paraId="5B893979">
            <w:pPr>
              <w:widowControl/>
              <w:snapToGrid w:val="0"/>
              <w:jc w:val="center"/>
              <w:rPr>
                <w:rFonts w:hint="eastAsia" w:ascii="宋体" w:hAnsi="宋体" w:cs="宋体"/>
                <w:kern w:val="0"/>
                <w:sz w:val="22"/>
                <w:szCs w:val="22"/>
              </w:rPr>
            </w:pPr>
            <w:r>
              <w:rPr>
                <w:rFonts w:hint="eastAsia" w:ascii="宋体" w:hAnsi="宋体" w:cs="宋体"/>
                <w:kern w:val="0"/>
                <w:sz w:val="22"/>
                <w:szCs w:val="22"/>
              </w:rPr>
              <w:t>　</w:t>
            </w:r>
          </w:p>
        </w:tc>
      </w:tr>
      <w:tr w14:paraId="5DE38306">
        <w:tblPrEx>
          <w:tblCellMar>
            <w:top w:w="0" w:type="dxa"/>
            <w:left w:w="108" w:type="dxa"/>
            <w:bottom w:w="0" w:type="dxa"/>
            <w:right w:w="108" w:type="dxa"/>
          </w:tblCellMar>
        </w:tblPrEx>
        <w:trPr>
          <w:trHeight w:val="270"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14:paraId="3A4FB806">
            <w:pPr>
              <w:widowControl/>
              <w:snapToGrid w:val="0"/>
              <w:jc w:val="left"/>
              <w:rPr>
                <w:rFonts w:ascii="宋体" w:hAnsi="宋体" w:cs="宋体"/>
                <w:b/>
                <w:bCs/>
                <w:kern w:val="0"/>
                <w:sz w:val="22"/>
                <w:szCs w:val="22"/>
              </w:rPr>
            </w:pPr>
          </w:p>
        </w:tc>
        <w:tc>
          <w:tcPr>
            <w:tcW w:w="20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0C42864">
            <w:pPr>
              <w:widowControl/>
              <w:snapToGrid w:val="0"/>
              <w:jc w:val="left"/>
              <w:rPr>
                <w:rFonts w:ascii="宋体" w:hAnsi="宋体" w:cs="宋体"/>
                <w:kern w:val="0"/>
                <w:sz w:val="22"/>
                <w:szCs w:val="22"/>
              </w:rPr>
            </w:pPr>
          </w:p>
        </w:tc>
        <w:tc>
          <w:tcPr>
            <w:tcW w:w="1600" w:type="dxa"/>
            <w:gridSpan w:val="2"/>
            <w:tcBorders>
              <w:top w:val="single" w:color="auto" w:sz="4" w:space="0"/>
              <w:left w:val="nil"/>
              <w:bottom w:val="single" w:color="auto" w:sz="4" w:space="0"/>
              <w:right w:val="single" w:color="auto" w:sz="4" w:space="0"/>
            </w:tcBorders>
            <w:noWrap/>
            <w:vAlign w:val="center"/>
          </w:tcPr>
          <w:p w14:paraId="324C690C">
            <w:pPr>
              <w:widowControl/>
              <w:snapToGrid w:val="0"/>
              <w:jc w:val="center"/>
              <w:rPr>
                <w:rFonts w:hint="eastAsia" w:ascii="宋体" w:hAnsi="宋体" w:cs="宋体"/>
                <w:kern w:val="0"/>
                <w:sz w:val="22"/>
                <w:szCs w:val="22"/>
              </w:rPr>
            </w:pPr>
            <w:r>
              <w:rPr>
                <w:rFonts w:hint="eastAsia" w:ascii="宋体" w:hAnsi="宋体" w:cs="宋体"/>
                <w:kern w:val="0"/>
                <w:sz w:val="22"/>
                <w:szCs w:val="22"/>
              </w:rPr>
              <w:t>6号宿舍楼</w:t>
            </w:r>
          </w:p>
        </w:tc>
        <w:tc>
          <w:tcPr>
            <w:tcW w:w="1356" w:type="dxa"/>
            <w:tcBorders>
              <w:top w:val="single" w:color="auto" w:sz="4" w:space="0"/>
              <w:left w:val="nil"/>
              <w:bottom w:val="single" w:color="auto" w:sz="4" w:space="0"/>
              <w:right w:val="single" w:color="auto" w:sz="4" w:space="0"/>
            </w:tcBorders>
            <w:noWrap/>
            <w:vAlign w:val="center"/>
          </w:tcPr>
          <w:p w14:paraId="047B7498">
            <w:pPr>
              <w:widowControl/>
              <w:snapToGrid w:val="0"/>
              <w:jc w:val="center"/>
              <w:rPr>
                <w:rFonts w:hint="eastAsia" w:ascii="宋体" w:hAnsi="宋体" w:cs="宋体"/>
                <w:kern w:val="0"/>
                <w:sz w:val="22"/>
                <w:szCs w:val="22"/>
              </w:rPr>
            </w:pPr>
            <w:r>
              <w:rPr>
                <w:rFonts w:hint="eastAsia" w:ascii="宋体" w:hAnsi="宋体" w:cs="宋体"/>
                <w:kern w:val="0"/>
                <w:sz w:val="22"/>
                <w:szCs w:val="22"/>
              </w:rPr>
              <w:t>7654</w:t>
            </w:r>
          </w:p>
        </w:tc>
        <w:tc>
          <w:tcPr>
            <w:tcW w:w="867" w:type="dxa"/>
            <w:tcBorders>
              <w:top w:val="single" w:color="auto" w:sz="4" w:space="0"/>
              <w:left w:val="nil"/>
              <w:bottom w:val="single" w:color="auto" w:sz="4" w:space="0"/>
              <w:right w:val="single" w:color="auto" w:sz="4" w:space="0"/>
            </w:tcBorders>
            <w:noWrap/>
            <w:vAlign w:val="center"/>
          </w:tcPr>
          <w:p w14:paraId="2D94B9C6">
            <w:pPr>
              <w:widowControl/>
              <w:snapToGrid w:val="0"/>
              <w:jc w:val="center"/>
              <w:rPr>
                <w:rFonts w:hint="eastAsia" w:ascii="宋体" w:hAnsi="宋体" w:cs="宋体"/>
                <w:kern w:val="0"/>
                <w:sz w:val="22"/>
                <w:szCs w:val="22"/>
              </w:rPr>
            </w:pPr>
            <w:r>
              <w:rPr>
                <w:rFonts w:hint="eastAsia" w:ascii="宋体" w:hAnsi="宋体" w:cs="宋体"/>
                <w:kern w:val="0"/>
                <w:sz w:val="22"/>
                <w:szCs w:val="22"/>
              </w:rPr>
              <w:t>1</w:t>
            </w:r>
          </w:p>
        </w:tc>
        <w:tc>
          <w:tcPr>
            <w:tcW w:w="2368" w:type="dxa"/>
            <w:tcBorders>
              <w:top w:val="single" w:color="auto" w:sz="4" w:space="0"/>
              <w:left w:val="nil"/>
              <w:bottom w:val="single" w:color="auto" w:sz="4" w:space="0"/>
              <w:right w:val="single" w:color="auto" w:sz="4" w:space="0"/>
            </w:tcBorders>
            <w:noWrap/>
            <w:vAlign w:val="center"/>
          </w:tcPr>
          <w:p w14:paraId="677DC039">
            <w:pPr>
              <w:widowControl/>
              <w:snapToGrid w:val="0"/>
              <w:jc w:val="center"/>
              <w:rPr>
                <w:rFonts w:hint="eastAsia" w:ascii="宋体" w:hAnsi="宋体" w:cs="宋体"/>
                <w:kern w:val="0"/>
                <w:sz w:val="22"/>
                <w:szCs w:val="22"/>
              </w:rPr>
            </w:pPr>
            <w:r>
              <w:rPr>
                <w:rFonts w:hint="eastAsia" w:ascii="宋体" w:hAnsi="宋体" w:cs="宋体"/>
                <w:kern w:val="0"/>
                <w:sz w:val="22"/>
                <w:szCs w:val="22"/>
              </w:rPr>
              <w:t>　</w:t>
            </w:r>
          </w:p>
        </w:tc>
      </w:tr>
      <w:tr w14:paraId="68561B39">
        <w:tblPrEx>
          <w:tblCellMar>
            <w:top w:w="0" w:type="dxa"/>
            <w:left w:w="108" w:type="dxa"/>
            <w:bottom w:w="0" w:type="dxa"/>
            <w:right w:w="108" w:type="dxa"/>
          </w:tblCellMar>
        </w:tblPrEx>
        <w:trPr>
          <w:trHeight w:val="270"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14:paraId="1522F5FF">
            <w:pPr>
              <w:widowControl/>
              <w:snapToGrid w:val="0"/>
              <w:jc w:val="left"/>
              <w:rPr>
                <w:rFonts w:ascii="宋体" w:hAnsi="宋体" w:cs="宋体"/>
                <w:b/>
                <w:bCs/>
                <w:kern w:val="0"/>
                <w:sz w:val="22"/>
                <w:szCs w:val="22"/>
              </w:rPr>
            </w:pPr>
          </w:p>
        </w:tc>
        <w:tc>
          <w:tcPr>
            <w:tcW w:w="20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99452EA">
            <w:pPr>
              <w:widowControl/>
              <w:snapToGrid w:val="0"/>
              <w:jc w:val="left"/>
              <w:rPr>
                <w:rFonts w:ascii="宋体" w:hAnsi="宋体" w:cs="宋体"/>
                <w:kern w:val="0"/>
                <w:sz w:val="22"/>
                <w:szCs w:val="22"/>
              </w:rPr>
            </w:pPr>
          </w:p>
        </w:tc>
        <w:tc>
          <w:tcPr>
            <w:tcW w:w="1600" w:type="dxa"/>
            <w:gridSpan w:val="2"/>
            <w:tcBorders>
              <w:top w:val="single" w:color="auto" w:sz="4" w:space="0"/>
              <w:left w:val="nil"/>
              <w:bottom w:val="single" w:color="auto" w:sz="4" w:space="0"/>
              <w:right w:val="single" w:color="auto" w:sz="4" w:space="0"/>
            </w:tcBorders>
            <w:noWrap/>
            <w:vAlign w:val="center"/>
          </w:tcPr>
          <w:p w14:paraId="0BD28CB0">
            <w:pPr>
              <w:widowControl/>
              <w:snapToGrid w:val="0"/>
              <w:jc w:val="center"/>
              <w:rPr>
                <w:rFonts w:hint="eastAsia" w:ascii="宋体" w:hAnsi="宋体" w:cs="宋体"/>
                <w:kern w:val="0"/>
                <w:sz w:val="22"/>
                <w:szCs w:val="22"/>
              </w:rPr>
            </w:pPr>
            <w:r>
              <w:rPr>
                <w:rFonts w:hint="eastAsia" w:ascii="宋体" w:hAnsi="宋体" w:cs="宋体"/>
                <w:kern w:val="0"/>
                <w:sz w:val="22"/>
                <w:szCs w:val="22"/>
              </w:rPr>
              <w:t>7.8号宿舍楼</w:t>
            </w:r>
          </w:p>
        </w:tc>
        <w:tc>
          <w:tcPr>
            <w:tcW w:w="1356" w:type="dxa"/>
            <w:tcBorders>
              <w:top w:val="single" w:color="auto" w:sz="4" w:space="0"/>
              <w:left w:val="single" w:color="auto" w:sz="4" w:space="0"/>
              <w:bottom w:val="single" w:color="auto" w:sz="4" w:space="0"/>
              <w:right w:val="single" w:color="auto" w:sz="4" w:space="0"/>
            </w:tcBorders>
            <w:noWrap/>
            <w:vAlign w:val="center"/>
          </w:tcPr>
          <w:p w14:paraId="06CCFD41">
            <w:pPr>
              <w:widowControl/>
              <w:snapToGrid w:val="0"/>
              <w:jc w:val="center"/>
              <w:rPr>
                <w:rFonts w:hint="eastAsia" w:ascii="宋体" w:hAnsi="宋体" w:cs="宋体"/>
                <w:kern w:val="0"/>
                <w:sz w:val="22"/>
                <w:szCs w:val="22"/>
              </w:rPr>
            </w:pPr>
            <w:r>
              <w:rPr>
                <w:rFonts w:hint="eastAsia" w:ascii="宋体" w:hAnsi="宋体" w:cs="宋体"/>
                <w:kern w:val="0"/>
                <w:sz w:val="22"/>
                <w:szCs w:val="22"/>
              </w:rPr>
              <w:t>15319</w:t>
            </w:r>
          </w:p>
        </w:tc>
        <w:tc>
          <w:tcPr>
            <w:tcW w:w="867" w:type="dxa"/>
            <w:tcBorders>
              <w:top w:val="single" w:color="auto" w:sz="4" w:space="0"/>
              <w:left w:val="nil"/>
              <w:right w:val="single" w:color="auto" w:sz="4" w:space="0"/>
            </w:tcBorders>
            <w:noWrap/>
            <w:vAlign w:val="center"/>
          </w:tcPr>
          <w:p w14:paraId="4C5F3576">
            <w:pPr>
              <w:pStyle w:val="18"/>
              <w:ind w:firstLine="220" w:firstLineChars="100"/>
              <w:rPr>
                <w:rFonts w:hint="eastAsia" w:ascii="宋体" w:hAnsi="宋体" w:cs="宋体"/>
                <w:kern w:val="0"/>
                <w:sz w:val="22"/>
                <w:szCs w:val="22"/>
              </w:rPr>
            </w:pPr>
            <w:r>
              <w:rPr>
                <w:rFonts w:hint="eastAsia" w:hAnsi="宋体"/>
                <w:sz w:val="22"/>
                <w:szCs w:val="22"/>
              </w:rPr>
              <w:t>3</w:t>
            </w:r>
          </w:p>
        </w:tc>
        <w:tc>
          <w:tcPr>
            <w:tcW w:w="2368" w:type="dxa"/>
            <w:tcBorders>
              <w:top w:val="single" w:color="auto" w:sz="4" w:space="0"/>
              <w:left w:val="nil"/>
              <w:bottom w:val="single" w:color="auto" w:sz="4" w:space="0"/>
              <w:right w:val="single" w:color="auto" w:sz="4" w:space="0"/>
            </w:tcBorders>
            <w:noWrap/>
            <w:vAlign w:val="center"/>
          </w:tcPr>
          <w:p w14:paraId="40221DD1">
            <w:pPr>
              <w:widowControl/>
              <w:snapToGrid w:val="0"/>
              <w:jc w:val="center"/>
              <w:rPr>
                <w:rFonts w:hint="eastAsia" w:ascii="宋体" w:hAnsi="宋体" w:cs="宋体"/>
                <w:kern w:val="0"/>
                <w:sz w:val="22"/>
                <w:szCs w:val="22"/>
              </w:rPr>
            </w:pPr>
            <w:r>
              <w:rPr>
                <w:rFonts w:hint="eastAsia" w:ascii="宋体" w:hAnsi="宋体" w:cs="宋体"/>
                <w:kern w:val="0"/>
                <w:sz w:val="22"/>
                <w:szCs w:val="22"/>
              </w:rPr>
              <w:t>　</w:t>
            </w:r>
          </w:p>
        </w:tc>
      </w:tr>
      <w:tr w14:paraId="0C110230">
        <w:tblPrEx>
          <w:tblCellMar>
            <w:top w:w="0" w:type="dxa"/>
            <w:left w:w="108" w:type="dxa"/>
            <w:bottom w:w="0" w:type="dxa"/>
            <w:right w:w="108" w:type="dxa"/>
          </w:tblCellMar>
        </w:tblPrEx>
        <w:trPr>
          <w:gridAfter w:val="4"/>
          <w:wAfter w:w="4956" w:type="dxa"/>
          <w:trHeight w:val="405"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3851062">
            <w:pPr>
              <w:widowControl/>
              <w:snapToGrid w:val="0"/>
              <w:jc w:val="center"/>
              <w:rPr>
                <w:rFonts w:hint="eastAsia" w:ascii="宋体" w:hAnsi="宋体" w:cs="宋体"/>
                <w:kern w:val="0"/>
                <w:sz w:val="22"/>
                <w:szCs w:val="22"/>
              </w:rPr>
            </w:pPr>
          </w:p>
        </w:tc>
        <w:tc>
          <w:tcPr>
            <w:tcW w:w="867" w:type="dxa"/>
            <w:tcBorders>
              <w:top w:val="single" w:color="auto" w:sz="4" w:space="0"/>
              <w:left w:val="nil"/>
              <w:bottom w:val="single" w:color="auto" w:sz="4" w:space="0"/>
              <w:right w:val="single" w:color="auto" w:sz="4" w:space="0"/>
            </w:tcBorders>
            <w:noWrap/>
            <w:vAlign w:val="center"/>
          </w:tcPr>
          <w:p w14:paraId="266AC2FA">
            <w:pPr>
              <w:widowControl/>
              <w:snapToGrid w:val="0"/>
              <w:jc w:val="center"/>
              <w:rPr>
                <w:rFonts w:hint="eastAsia" w:ascii="宋体" w:hAnsi="宋体" w:eastAsia="Arial Unicode MS" w:cs="宋体"/>
                <w:kern w:val="0"/>
                <w:sz w:val="22"/>
                <w:szCs w:val="22"/>
                <w:lang w:eastAsia="zh-CN"/>
              </w:rPr>
            </w:pPr>
            <w:r>
              <w:rPr>
                <w:rFonts w:hint="eastAsia" w:ascii="宋体" w:hAnsi="宋体" w:cs="宋体"/>
                <w:kern w:val="0"/>
                <w:sz w:val="22"/>
                <w:szCs w:val="22"/>
              </w:rPr>
              <w:t>6</w:t>
            </w:r>
            <w:r>
              <w:rPr>
                <w:rFonts w:hint="eastAsia" w:ascii="宋体" w:hAnsi="宋体" w:cs="宋体"/>
                <w:kern w:val="0"/>
                <w:sz w:val="22"/>
                <w:szCs w:val="22"/>
                <w:lang w:val="en-US" w:eastAsia="zh-CN"/>
              </w:rPr>
              <w:t>7</w:t>
            </w:r>
          </w:p>
        </w:tc>
        <w:tc>
          <w:tcPr>
            <w:tcW w:w="2368" w:type="dxa"/>
            <w:gridSpan w:val="2"/>
            <w:tcBorders>
              <w:top w:val="single" w:color="auto" w:sz="4" w:space="0"/>
              <w:left w:val="nil"/>
              <w:bottom w:val="single" w:color="auto" w:sz="4" w:space="0"/>
              <w:right w:val="single" w:color="auto" w:sz="4" w:space="0"/>
            </w:tcBorders>
            <w:noWrap/>
            <w:vAlign w:val="center"/>
          </w:tcPr>
          <w:p w14:paraId="71DA4455">
            <w:pPr>
              <w:widowControl/>
              <w:snapToGrid w:val="0"/>
              <w:jc w:val="center"/>
              <w:rPr>
                <w:rFonts w:hint="eastAsia" w:ascii="宋体" w:hAnsi="宋体" w:cs="宋体"/>
                <w:kern w:val="0"/>
                <w:sz w:val="22"/>
                <w:szCs w:val="22"/>
              </w:rPr>
            </w:pPr>
            <w:r>
              <w:rPr>
                <w:rFonts w:hint="eastAsia" w:ascii="宋体" w:hAnsi="宋体" w:cs="宋体"/>
                <w:kern w:val="0"/>
                <w:sz w:val="22"/>
                <w:szCs w:val="22"/>
              </w:rPr>
              <w:t>　</w:t>
            </w:r>
          </w:p>
        </w:tc>
      </w:tr>
    </w:tbl>
    <w:p w14:paraId="17F43639">
      <w:pPr>
        <w:pStyle w:val="71"/>
        <w:rPr>
          <w:rFonts w:hint="default"/>
          <w:lang w:val="en-US" w:eastAsia="zh-CN"/>
        </w:rPr>
      </w:pPr>
    </w:p>
    <w:p w14:paraId="1C9AF943">
      <w:pPr>
        <w:spacing w:before="128" w:line="360" w:lineRule="auto"/>
        <w:jc w:val="both"/>
        <w:outlineLvl w:val="2"/>
        <w:rPr>
          <w:rFonts w:hint="default" w:ascii="宋体" w:hAnsi="宋体" w:eastAsia="宋体" w:cs="宋体"/>
          <w:b/>
          <w:bCs/>
          <w:kern w:val="0"/>
          <w:sz w:val="40"/>
          <w:szCs w:val="40"/>
          <w:lang w:val="en-US" w:eastAsia="zh-CN"/>
        </w:rPr>
      </w:pPr>
      <w:r>
        <w:rPr>
          <w:rFonts w:hint="eastAsia" w:ascii="宋体" w:hAnsi="宋体" w:eastAsia="宋体" w:cs="宋体"/>
          <w:b/>
          <w:bCs/>
          <w:kern w:val="0"/>
          <w:sz w:val="40"/>
          <w:szCs w:val="40"/>
          <w:lang w:val="en-US" w:eastAsia="zh-CN"/>
        </w:rPr>
        <w:t>包3：</w:t>
      </w:r>
      <w:r>
        <w:rPr>
          <w:rFonts w:ascii="宋体" w:hAnsi="宋体" w:eastAsia="宋体" w:cs="宋体"/>
          <w:b/>
          <w:bCs/>
          <w:kern w:val="0"/>
          <w:sz w:val="40"/>
          <w:szCs w:val="40"/>
          <w:lang w:val="en-US" w:eastAsia="zh-CN"/>
        </w:rPr>
        <w:t>开封校区南院物业服务人员配备</w:t>
      </w:r>
    </w:p>
    <w:tbl>
      <w:tblPr>
        <w:tblStyle w:val="53"/>
        <w:tblW w:w="9770"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600"/>
        <w:gridCol w:w="2560"/>
        <w:gridCol w:w="1740"/>
        <w:gridCol w:w="760"/>
        <w:gridCol w:w="2170"/>
      </w:tblGrid>
      <w:tr w14:paraId="0087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40" w:type="dxa"/>
            <w:noWrap w:val="0"/>
            <w:vAlign w:val="center"/>
          </w:tcPr>
          <w:p w14:paraId="0F1CB3BA">
            <w:pPr>
              <w:widowControl/>
              <w:jc w:val="center"/>
              <w:rPr>
                <w:rFonts w:ascii="宋体" w:hAnsi="宋体" w:cs="宋体"/>
                <w:b/>
                <w:bCs/>
                <w:kern w:val="0"/>
                <w:sz w:val="24"/>
              </w:rPr>
            </w:pPr>
            <w:r>
              <w:rPr>
                <w:rFonts w:hint="eastAsia" w:ascii="宋体" w:hAnsi="宋体" w:cs="宋体"/>
                <w:b/>
                <w:bCs/>
                <w:kern w:val="0"/>
                <w:sz w:val="24"/>
              </w:rPr>
              <w:t>管理</w:t>
            </w:r>
          </w:p>
          <w:p w14:paraId="3A241D8C">
            <w:pPr>
              <w:widowControl/>
              <w:jc w:val="center"/>
              <w:rPr>
                <w:rFonts w:hint="eastAsia" w:ascii="宋体" w:hAnsi="宋体" w:cs="宋体"/>
                <w:b/>
                <w:bCs/>
                <w:kern w:val="0"/>
                <w:sz w:val="24"/>
              </w:rPr>
            </w:pPr>
            <w:r>
              <w:rPr>
                <w:rFonts w:hint="eastAsia" w:ascii="宋体" w:hAnsi="宋体" w:cs="宋体"/>
                <w:b/>
                <w:bCs/>
                <w:kern w:val="0"/>
                <w:sz w:val="24"/>
              </w:rPr>
              <w:t>部门</w:t>
            </w:r>
          </w:p>
        </w:tc>
        <w:tc>
          <w:tcPr>
            <w:tcW w:w="1600" w:type="dxa"/>
            <w:noWrap w:val="0"/>
            <w:vAlign w:val="center"/>
          </w:tcPr>
          <w:p w14:paraId="63229AE2">
            <w:pPr>
              <w:widowControl/>
              <w:jc w:val="center"/>
              <w:rPr>
                <w:rFonts w:hint="eastAsia" w:ascii="宋体" w:hAnsi="宋体" w:cs="宋体"/>
                <w:b/>
                <w:bCs/>
                <w:kern w:val="0"/>
                <w:sz w:val="24"/>
              </w:rPr>
            </w:pPr>
            <w:r>
              <w:rPr>
                <w:rFonts w:hint="eastAsia" w:ascii="宋体" w:hAnsi="宋体" w:cs="宋体"/>
                <w:b/>
                <w:bCs/>
                <w:kern w:val="0"/>
                <w:sz w:val="24"/>
              </w:rPr>
              <w:t>岗位</w:t>
            </w:r>
          </w:p>
        </w:tc>
        <w:tc>
          <w:tcPr>
            <w:tcW w:w="2560" w:type="dxa"/>
            <w:noWrap w:val="0"/>
            <w:vAlign w:val="center"/>
          </w:tcPr>
          <w:p w14:paraId="40B28FE8">
            <w:pPr>
              <w:widowControl/>
              <w:jc w:val="center"/>
              <w:rPr>
                <w:rFonts w:hint="eastAsia" w:ascii="宋体" w:hAnsi="宋体" w:cs="宋体"/>
                <w:b/>
                <w:bCs/>
                <w:kern w:val="0"/>
                <w:sz w:val="24"/>
              </w:rPr>
            </w:pPr>
            <w:r>
              <w:rPr>
                <w:rFonts w:hint="eastAsia" w:ascii="宋体" w:hAnsi="宋体" w:cs="宋体"/>
                <w:b/>
                <w:bCs/>
                <w:kern w:val="0"/>
                <w:sz w:val="24"/>
              </w:rPr>
              <w:t>工作区域</w:t>
            </w:r>
          </w:p>
        </w:tc>
        <w:tc>
          <w:tcPr>
            <w:tcW w:w="1740" w:type="dxa"/>
            <w:noWrap w:val="0"/>
            <w:vAlign w:val="center"/>
          </w:tcPr>
          <w:p w14:paraId="530CCFAA">
            <w:pPr>
              <w:widowControl/>
              <w:jc w:val="center"/>
              <w:rPr>
                <w:rFonts w:hint="eastAsia" w:ascii="宋体" w:hAnsi="宋体" w:cs="宋体"/>
                <w:b/>
                <w:bCs/>
                <w:kern w:val="0"/>
                <w:sz w:val="24"/>
              </w:rPr>
            </w:pPr>
            <w:r>
              <w:rPr>
                <w:rFonts w:hint="eastAsia" w:ascii="宋体" w:hAnsi="宋体" w:cs="宋体"/>
                <w:b/>
                <w:bCs/>
                <w:kern w:val="0"/>
                <w:sz w:val="24"/>
              </w:rPr>
              <w:t>面积（平方米）</w:t>
            </w:r>
          </w:p>
        </w:tc>
        <w:tc>
          <w:tcPr>
            <w:tcW w:w="760" w:type="dxa"/>
            <w:noWrap w:val="0"/>
            <w:vAlign w:val="center"/>
          </w:tcPr>
          <w:p w14:paraId="76CAE1E5">
            <w:pPr>
              <w:widowControl/>
              <w:jc w:val="center"/>
              <w:rPr>
                <w:rFonts w:hint="eastAsia" w:ascii="宋体" w:hAnsi="宋体" w:cs="宋体"/>
                <w:b/>
                <w:bCs/>
                <w:kern w:val="0"/>
                <w:sz w:val="24"/>
              </w:rPr>
            </w:pPr>
            <w:r>
              <w:rPr>
                <w:rFonts w:hint="eastAsia" w:ascii="宋体" w:hAnsi="宋体" w:cs="宋体"/>
                <w:b/>
                <w:bCs/>
                <w:kern w:val="0"/>
                <w:sz w:val="24"/>
              </w:rPr>
              <w:t>人数</w:t>
            </w:r>
          </w:p>
        </w:tc>
        <w:tc>
          <w:tcPr>
            <w:tcW w:w="2170" w:type="dxa"/>
            <w:noWrap w:val="0"/>
            <w:vAlign w:val="center"/>
          </w:tcPr>
          <w:p w14:paraId="42AA87BD">
            <w:pPr>
              <w:widowControl/>
              <w:jc w:val="center"/>
              <w:rPr>
                <w:rFonts w:hint="eastAsia" w:ascii="宋体" w:hAnsi="宋体" w:cs="宋体"/>
                <w:b/>
                <w:bCs/>
                <w:kern w:val="0"/>
                <w:sz w:val="24"/>
              </w:rPr>
            </w:pPr>
            <w:r>
              <w:rPr>
                <w:rFonts w:hint="eastAsia" w:ascii="宋体" w:hAnsi="宋体" w:cs="宋体"/>
                <w:b/>
                <w:bCs/>
                <w:kern w:val="0"/>
                <w:sz w:val="24"/>
              </w:rPr>
              <w:t>备注</w:t>
            </w:r>
          </w:p>
        </w:tc>
      </w:tr>
      <w:tr w14:paraId="4B43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40" w:type="dxa"/>
            <w:vMerge w:val="restart"/>
            <w:noWrap/>
            <w:vAlign w:val="center"/>
          </w:tcPr>
          <w:p w14:paraId="3ACC2266">
            <w:pPr>
              <w:widowControl/>
              <w:jc w:val="center"/>
              <w:rPr>
                <w:rFonts w:hint="eastAsia" w:ascii="宋体" w:hAnsi="宋体" w:cs="宋体"/>
                <w:b/>
                <w:bCs/>
                <w:kern w:val="0"/>
                <w:sz w:val="22"/>
                <w:szCs w:val="22"/>
              </w:rPr>
            </w:pPr>
            <w:r>
              <w:rPr>
                <w:rFonts w:hint="eastAsia" w:ascii="宋体" w:hAnsi="宋体" w:cs="宋体"/>
                <w:b/>
                <w:bCs/>
                <w:kern w:val="0"/>
                <w:sz w:val="22"/>
                <w:szCs w:val="22"/>
              </w:rPr>
              <w:t>后勤处</w:t>
            </w:r>
          </w:p>
          <w:p w14:paraId="5BA6FEA5">
            <w:pPr>
              <w:widowControl/>
              <w:jc w:val="left"/>
              <w:rPr>
                <w:rFonts w:ascii="宋体" w:hAnsi="宋体" w:cs="宋体"/>
                <w:b/>
                <w:bCs/>
                <w:kern w:val="0"/>
                <w:sz w:val="22"/>
                <w:szCs w:val="22"/>
              </w:rPr>
            </w:pPr>
          </w:p>
        </w:tc>
        <w:tc>
          <w:tcPr>
            <w:tcW w:w="1600" w:type="dxa"/>
            <w:vMerge w:val="restart"/>
            <w:noWrap w:val="0"/>
            <w:vAlign w:val="center"/>
          </w:tcPr>
          <w:p w14:paraId="08FF3CBD">
            <w:pPr>
              <w:widowControl/>
              <w:jc w:val="center"/>
              <w:rPr>
                <w:rFonts w:hint="eastAsia" w:ascii="宋体" w:hAnsi="宋体" w:cs="宋体"/>
                <w:kern w:val="0"/>
                <w:sz w:val="22"/>
                <w:szCs w:val="22"/>
              </w:rPr>
            </w:pPr>
            <w:r>
              <w:rPr>
                <w:rFonts w:hint="eastAsia" w:ascii="宋体" w:hAnsi="宋体" w:cs="宋体"/>
                <w:kern w:val="0"/>
                <w:sz w:val="22"/>
                <w:szCs w:val="22"/>
              </w:rPr>
              <w:t>保洁员</w:t>
            </w:r>
          </w:p>
        </w:tc>
        <w:tc>
          <w:tcPr>
            <w:tcW w:w="2560" w:type="dxa"/>
            <w:noWrap w:val="0"/>
            <w:vAlign w:val="center"/>
          </w:tcPr>
          <w:p w14:paraId="052F02E4">
            <w:pPr>
              <w:widowControl/>
              <w:jc w:val="center"/>
              <w:rPr>
                <w:rFonts w:hint="eastAsia" w:ascii="宋体" w:hAnsi="宋体" w:cs="宋体"/>
                <w:kern w:val="0"/>
                <w:sz w:val="22"/>
                <w:szCs w:val="22"/>
              </w:rPr>
            </w:pPr>
            <w:r>
              <w:rPr>
                <w:rFonts w:hint="eastAsia" w:ascii="宋体" w:hAnsi="宋体" w:cs="宋体"/>
                <w:kern w:val="0"/>
                <w:sz w:val="22"/>
                <w:szCs w:val="22"/>
              </w:rPr>
              <w:t>教学楼</w:t>
            </w:r>
          </w:p>
        </w:tc>
        <w:tc>
          <w:tcPr>
            <w:tcW w:w="1740" w:type="dxa"/>
            <w:noWrap w:val="0"/>
            <w:vAlign w:val="center"/>
          </w:tcPr>
          <w:p w14:paraId="22C1EAA5">
            <w:pPr>
              <w:widowControl/>
              <w:jc w:val="center"/>
              <w:rPr>
                <w:rFonts w:hint="eastAsia" w:ascii="宋体" w:hAnsi="宋体" w:cs="宋体"/>
                <w:kern w:val="0"/>
                <w:sz w:val="22"/>
                <w:szCs w:val="22"/>
              </w:rPr>
            </w:pPr>
            <w:r>
              <w:rPr>
                <w:rFonts w:hint="eastAsia" w:ascii="宋体" w:hAnsi="宋体" w:cs="宋体"/>
                <w:kern w:val="0"/>
                <w:sz w:val="22"/>
                <w:szCs w:val="22"/>
              </w:rPr>
              <w:t>7239</w:t>
            </w:r>
          </w:p>
        </w:tc>
        <w:tc>
          <w:tcPr>
            <w:tcW w:w="760" w:type="dxa"/>
            <w:noWrap w:val="0"/>
            <w:vAlign w:val="center"/>
          </w:tcPr>
          <w:p w14:paraId="007156A3">
            <w:pPr>
              <w:widowControl/>
              <w:jc w:val="center"/>
              <w:rPr>
                <w:rFonts w:hint="eastAsia" w:ascii="宋体" w:hAnsi="宋体" w:cs="宋体"/>
                <w:kern w:val="0"/>
                <w:sz w:val="24"/>
              </w:rPr>
            </w:pPr>
            <w:r>
              <w:rPr>
                <w:rFonts w:hint="eastAsia" w:ascii="宋体" w:hAnsi="宋体" w:cs="宋体"/>
                <w:kern w:val="0"/>
                <w:sz w:val="24"/>
              </w:rPr>
              <w:t>3</w:t>
            </w:r>
          </w:p>
        </w:tc>
        <w:tc>
          <w:tcPr>
            <w:tcW w:w="2170" w:type="dxa"/>
            <w:noWrap w:val="0"/>
            <w:vAlign w:val="center"/>
          </w:tcPr>
          <w:p w14:paraId="4BF73364">
            <w:pPr>
              <w:widowControl/>
              <w:jc w:val="center"/>
              <w:rPr>
                <w:rFonts w:hint="eastAsia" w:ascii="宋体" w:hAnsi="宋体" w:cs="宋体"/>
                <w:kern w:val="0"/>
                <w:sz w:val="22"/>
                <w:szCs w:val="22"/>
              </w:rPr>
            </w:pPr>
          </w:p>
        </w:tc>
      </w:tr>
      <w:tr w14:paraId="40A21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0" w:type="dxa"/>
            <w:vMerge w:val="continue"/>
            <w:noWrap w:val="0"/>
            <w:vAlign w:val="center"/>
          </w:tcPr>
          <w:p w14:paraId="32700340">
            <w:pPr>
              <w:widowControl/>
              <w:jc w:val="left"/>
              <w:rPr>
                <w:rFonts w:ascii="宋体" w:hAnsi="宋体" w:cs="宋体"/>
                <w:b/>
                <w:bCs/>
                <w:kern w:val="0"/>
                <w:sz w:val="22"/>
                <w:szCs w:val="22"/>
              </w:rPr>
            </w:pPr>
          </w:p>
        </w:tc>
        <w:tc>
          <w:tcPr>
            <w:tcW w:w="1600" w:type="dxa"/>
            <w:vMerge w:val="continue"/>
            <w:noWrap w:val="0"/>
            <w:vAlign w:val="center"/>
          </w:tcPr>
          <w:p w14:paraId="2F503821">
            <w:pPr>
              <w:widowControl/>
              <w:jc w:val="left"/>
              <w:rPr>
                <w:rFonts w:ascii="宋体" w:hAnsi="宋体" w:cs="宋体"/>
                <w:kern w:val="0"/>
                <w:sz w:val="22"/>
                <w:szCs w:val="22"/>
              </w:rPr>
            </w:pPr>
          </w:p>
        </w:tc>
        <w:tc>
          <w:tcPr>
            <w:tcW w:w="2560" w:type="dxa"/>
            <w:noWrap w:val="0"/>
            <w:vAlign w:val="center"/>
          </w:tcPr>
          <w:p w14:paraId="5EA2A7B8">
            <w:pPr>
              <w:widowControl/>
              <w:jc w:val="center"/>
              <w:rPr>
                <w:rFonts w:hint="eastAsia" w:ascii="宋体" w:hAnsi="宋体" w:cs="宋体"/>
                <w:kern w:val="0"/>
                <w:sz w:val="22"/>
                <w:szCs w:val="22"/>
              </w:rPr>
            </w:pPr>
            <w:r>
              <w:rPr>
                <w:rFonts w:hint="eastAsia" w:ascii="宋体" w:hAnsi="宋体" w:cs="宋体"/>
                <w:kern w:val="0"/>
                <w:sz w:val="22"/>
                <w:szCs w:val="22"/>
              </w:rPr>
              <w:t>东办公楼</w:t>
            </w:r>
          </w:p>
        </w:tc>
        <w:tc>
          <w:tcPr>
            <w:tcW w:w="1740" w:type="dxa"/>
            <w:vMerge w:val="restart"/>
            <w:noWrap w:val="0"/>
            <w:vAlign w:val="center"/>
          </w:tcPr>
          <w:p w14:paraId="023E90EA">
            <w:pPr>
              <w:widowControl/>
              <w:jc w:val="center"/>
              <w:rPr>
                <w:rFonts w:hint="eastAsia" w:ascii="宋体" w:hAnsi="宋体" w:cs="宋体"/>
                <w:kern w:val="0"/>
                <w:sz w:val="22"/>
                <w:szCs w:val="22"/>
              </w:rPr>
            </w:pPr>
            <w:r>
              <w:rPr>
                <w:rFonts w:hint="eastAsia" w:ascii="宋体" w:hAnsi="宋体" w:cs="宋体"/>
                <w:kern w:val="0"/>
                <w:sz w:val="22"/>
                <w:szCs w:val="22"/>
              </w:rPr>
              <w:t>10651</w:t>
            </w:r>
          </w:p>
        </w:tc>
        <w:tc>
          <w:tcPr>
            <w:tcW w:w="760" w:type="dxa"/>
            <w:noWrap w:val="0"/>
            <w:vAlign w:val="center"/>
          </w:tcPr>
          <w:p w14:paraId="5B213742">
            <w:pPr>
              <w:widowControl/>
              <w:jc w:val="center"/>
              <w:rPr>
                <w:rFonts w:hint="eastAsia" w:ascii="宋体" w:hAnsi="宋体" w:cs="宋体"/>
                <w:kern w:val="0"/>
                <w:sz w:val="22"/>
                <w:szCs w:val="22"/>
              </w:rPr>
            </w:pPr>
            <w:r>
              <w:rPr>
                <w:rFonts w:hint="eastAsia" w:ascii="宋体" w:hAnsi="宋体" w:cs="宋体"/>
                <w:kern w:val="0"/>
                <w:sz w:val="22"/>
                <w:szCs w:val="22"/>
              </w:rPr>
              <w:t>2</w:t>
            </w:r>
          </w:p>
        </w:tc>
        <w:tc>
          <w:tcPr>
            <w:tcW w:w="2170" w:type="dxa"/>
            <w:noWrap w:val="0"/>
            <w:vAlign w:val="center"/>
          </w:tcPr>
          <w:p w14:paraId="3403FA87">
            <w:pPr>
              <w:widowControl/>
              <w:jc w:val="center"/>
              <w:rPr>
                <w:rFonts w:hint="eastAsia" w:ascii="宋体" w:hAnsi="宋体" w:cs="宋体"/>
                <w:b/>
                <w:bCs/>
                <w:kern w:val="0"/>
                <w:sz w:val="24"/>
              </w:rPr>
            </w:pPr>
            <w:r>
              <w:rPr>
                <w:rFonts w:hint="eastAsia" w:ascii="宋体" w:hAnsi="宋体" w:cs="宋体"/>
                <w:b/>
                <w:bCs/>
                <w:kern w:val="0"/>
                <w:sz w:val="24"/>
              </w:rPr>
              <w:t>　</w:t>
            </w:r>
          </w:p>
        </w:tc>
      </w:tr>
      <w:tr w14:paraId="4C9AA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0" w:type="dxa"/>
            <w:vMerge w:val="continue"/>
            <w:noWrap w:val="0"/>
            <w:vAlign w:val="center"/>
          </w:tcPr>
          <w:p w14:paraId="65069877">
            <w:pPr>
              <w:widowControl/>
              <w:jc w:val="left"/>
              <w:rPr>
                <w:rFonts w:ascii="宋体" w:hAnsi="宋体" w:cs="宋体"/>
                <w:b/>
                <w:bCs/>
                <w:kern w:val="0"/>
                <w:sz w:val="22"/>
                <w:szCs w:val="22"/>
              </w:rPr>
            </w:pPr>
          </w:p>
        </w:tc>
        <w:tc>
          <w:tcPr>
            <w:tcW w:w="1600" w:type="dxa"/>
            <w:vMerge w:val="continue"/>
            <w:noWrap w:val="0"/>
            <w:vAlign w:val="center"/>
          </w:tcPr>
          <w:p w14:paraId="1ABFF2B7">
            <w:pPr>
              <w:widowControl/>
              <w:jc w:val="left"/>
              <w:rPr>
                <w:rFonts w:ascii="宋体" w:hAnsi="宋体" w:cs="宋体"/>
                <w:kern w:val="0"/>
                <w:sz w:val="22"/>
                <w:szCs w:val="22"/>
              </w:rPr>
            </w:pPr>
          </w:p>
        </w:tc>
        <w:tc>
          <w:tcPr>
            <w:tcW w:w="2560" w:type="dxa"/>
            <w:noWrap w:val="0"/>
            <w:vAlign w:val="center"/>
          </w:tcPr>
          <w:p w14:paraId="4159B7AB">
            <w:pPr>
              <w:widowControl/>
              <w:jc w:val="center"/>
              <w:rPr>
                <w:rFonts w:hint="eastAsia" w:ascii="宋体" w:hAnsi="宋体" w:cs="宋体"/>
                <w:kern w:val="0"/>
                <w:sz w:val="22"/>
                <w:szCs w:val="22"/>
              </w:rPr>
            </w:pPr>
            <w:r>
              <w:rPr>
                <w:rFonts w:hint="eastAsia" w:ascii="宋体" w:hAnsi="宋体" w:cs="宋体"/>
                <w:kern w:val="0"/>
                <w:sz w:val="22"/>
                <w:szCs w:val="22"/>
              </w:rPr>
              <w:t>西办公楼</w:t>
            </w:r>
          </w:p>
        </w:tc>
        <w:tc>
          <w:tcPr>
            <w:tcW w:w="1740" w:type="dxa"/>
            <w:vMerge w:val="continue"/>
            <w:noWrap w:val="0"/>
            <w:vAlign w:val="center"/>
          </w:tcPr>
          <w:p w14:paraId="7322DA7B">
            <w:pPr>
              <w:widowControl/>
              <w:jc w:val="left"/>
              <w:rPr>
                <w:rFonts w:ascii="宋体" w:hAnsi="宋体" w:cs="宋体"/>
                <w:kern w:val="0"/>
                <w:sz w:val="22"/>
                <w:szCs w:val="22"/>
              </w:rPr>
            </w:pPr>
          </w:p>
        </w:tc>
        <w:tc>
          <w:tcPr>
            <w:tcW w:w="760" w:type="dxa"/>
            <w:noWrap w:val="0"/>
            <w:vAlign w:val="center"/>
          </w:tcPr>
          <w:p w14:paraId="4A87F805">
            <w:pPr>
              <w:widowControl/>
              <w:jc w:val="center"/>
              <w:rPr>
                <w:rFonts w:hint="eastAsia" w:ascii="宋体" w:hAnsi="宋体" w:cs="宋体"/>
                <w:kern w:val="0"/>
                <w:sz w:val="22"/>
                <w:szCs w:val="22"/>
              </w:rPr>
            </w:pPr>
            <w:r>
              <w:rPr>
                <w:rFonts w:hint="eastAsia" w:ascii="宋体" w:hAnsi="宋体" w:cs="宋体"/>
                <w:kern w:val="0"/>
                <w:sz w:val="22"/>
                <w:szCs w:val="22"/>
              </w:rPr>
              <w:t>2</w:t>
            </w:r>
          </w:p>
        </w:tc>
        <w:tc>
          <w:tcPr>
            <w:tcW w:w="2170" w:type="dxa"/>
            <w:noWrap w:val="0"/>
            <w:vAlign w:val="center"/>
          </w:tcPr>
          <w:p w14:paraId="57B2547A">
            <w:pPr>
              <w:widowControl/>
              <w:jc w:val="center"/>
              <w:rPr>
                <w:rFonts w:hint="eastAsia" w:ascii="宋体" w:hAnsi="宋体" w:cs="宋体"/>
                <w:b/>
                <w:bCs/>
                <w:kern w:val="0"/>
                <w:sz w:val="24"/>
              </w:rPr>
            </w:pPr>
            <w:r>
              <w:rPr>
                <w:rFonts w:hint="eastAsia" w:ascii="宋体" w:hAnsi="宋体" w:cs="宋体"/>
                <w:b/>
                <w:bCs/>
                <w:kern w:val="0"/>
                <w:sz w:val="24"/>
              </w:rPr>
              <w:t>　</w:t>
            </w:r>
          </w:p>
        </w:tc>
      </w:tr>
      <w:tr w14:paraId="31FF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0" w:type="dxa"/>
            <w:vMerge w:val="continue"/>
            <w:noWrap w:val="0"/>
            <w:vAlign w:val="center"/>
          </w:tcPr>
          <w:p w14:paraId="3D7CEC2C">
            <w:pPr>
              <w:widowControl/>
              <w:jc w:val="left"/>
              <w:rPr>
                <w:rFonts w:ascii="宋体" w:hAnsi="宋体" w:cs="宋体"/>
                <w:b/>
                <w:bCs/>
                <w:kern w:val="0"/>
                <w:sz w:val="22"/>
                <w:szCs w:val="22"/>
              </w:rPr>
            </w:pPr>
          </w:p>
        </w:tc>
        <w:tc>
          <w:tcPr>
            <w:tcW w:w="1600" w:type="dxa"/>
            <w:vMerge w:val="continue"/>
            <w:noWrap w:val="0"/>
            <w:vAlign w:val="center"/>
          </w:tcPr>
          <w:p w14:paraId="29B7993B">
            <w:pPr>
              <w:widowControl/>
              <w:jc w:val="left"/>
              <w:rPr>
                <w:rFonts w:ascii="宋体" w:hAnsi="宋体" w:cs="宋体"/>
                <w:kern w:val="0"/>
                <w:sz w:val="22"/>
                <w:szCs w:val="22"/>
              </w:rPr>
            </w:pPr>
          </w:p>
        </w:tc>
        <w:tc>
          <w:tcPr>
            <w:tcW w:w="2560" w:type="dxa"/>
            <w:noWrap w:val="0"/>
            <w:vAlign w:val="center"/>
          </w:tcPr>
          <w:p w14:paraId="6DE63D96">
            <w:pPr>
              <w:widowControl/>
              <w:jc w:val="center"/>
              <w:rPr>
                <w:rFonts w:hint="eastAsia" w:ascii="宋体" w:hAnsi="宋体" w:cs="宋体"/>
                <w:kern w:val="0"/>
                <w:sz w:val="22"/>
                <w:szCs w:val="22"/>
              </w:rPr>
            </w:pPr>
            <w:r>
              <w:rPr>
                <w:rFonts w:hint="eastAsia" w:ascii="宋体" w:hAnsi="宋体" w:cs="宋体"/>
                <w:kern w:val="0"/>
                <w:sz w:val="22"/>
                <w:szCs w:val="22"/>
              </w:rPr>
              <w:t>实验楼</w:t>
            </w:r>
          </w:p>
        </w:tc>
        <w:tc>
          <w:tcPr>
            <w:tcW w:w="1740" w:type="dxa"/>
            <w:noWrap w:val="0"/>
            <w:vAlign w:val="center"/>
          </w:tcPr>
          <w:p w14:paraId="056CD523">
            <w:pPr>
              <w:widowControl/>
              <w:jc w:val="center"/>
              <w:rPr>
                <w:rFonts w:hint="eastAsia" w:ascii="宋体" w:hAnsi="宋体" w:cs="宋体"/>
                <w:kern w:val="0"/>
                <w:sz w:val="22"/>
                <w:szCs w:val="22"/>
              </w:rPr>
            </w:pPr>
            <w:r>
              <w:rPr>
                <w:rFonts w:hint="eastAsia" w:ascii="宋体" w:hAnsi="宋体" w:cs="宋体"/>
                <w:kern w:val="0"/>
                <w:sz w:val="22"/>
                <w:szCs w:val="22"/>
              </w:rPr>
              <w:t>7200</w:t>
            </w:r>
          </w:p>
        </w:tc>
        <w:tc>
          <w:tcPr>
            <w:tcW w:w="760" w:type="dxa"/>
            <w:noWrap w:val="0"/>
            <w:vAlign w:val="center"/>
          </w:tcPr>
          <w:p w14:paraId="4F27D7A0">
            <w:pPr>
              <w:widowControl/>
              <w:jc w:val="center"/>
              <w:rPr>
                <w:rFonts w:hint="eastAsia" w:ascii="宋体" w:hAnsi="宋体" w:cs="宋体"/>
                <w:kern w:val="0"/>
                <w:sz w:val="22"/>
                <w:szCs w:val="22"/>
              </w:rPr>
            </w:pPr>
            <w:r>
              <w:rPr>
                <w:rFonts w:hint="eastAsia" w:ascii="宋体" w:hAnsi="宋体" w:cs="宋体"/>
                <w:kern w:val="0"/>
                <w:sz w:val="22"/>
                <w:szCs w:val="22"/>
              </w:rPr>
              <w:t>2</w:t>
            </w:r>
          </w:p>
        </w:tc>
        <w:tc>
          <w:tcPr>
            <w:tcW w:w="2170" w:type="dxa"/>
            <w:noWrap w:val="0"/>
            <w:vAlign w:val="center"/>
          </w:tcPr>
          <w:p w14:paraId="6E308196">
            <w:pPr>
              <w:widowControl/>
              <w:jc w:val="center"/>
              <w:rPr>
                <w:rFonts w:hint="eastAsia" w:ascii="宋体" w:hAnsi="宋体" w:cs="宋体"/>
                <w:b/>
                <w:bCs/>
                <w:kern w:val="0"/>
                <w:sz w:val="24"/>
              </w:rPr>
            </w:pPr>
            <w:r>
              <w:rPr>
                <w:rFonts w:hint="eastAsia" w:ascii="宋体" w:hAnsi="宋体" w:cs="宋体"/>
                <w:b/>
                <w:bCs/>
                <w:kern w:val="0"/>
                <w:sz w:val="24"/>
              </w:rPr>
              <w:t>　</w:t>
            </w:r>
          </w:p>
        </w:tc>
      </w:tr>
      <w:tr w14:paraId="3128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40" w:type="dxa"/>
            <w:vMerge w:val="continue"/>
            <w:noWrap w:val="0"/>
            <w:vAlign w:val="center"/>
          </w:tcPr>
          <w:p w14:paraId="1C13A2A8">
            <w:pPr>
              <w:widowControl/>
              <w:jc w:val="left"/>
              <w:rPr>
                <w:rFonts w:ascii="宋体" w:hAnsi="宋体" w:cs="宋体"/>
                <w:b/>
                <w:bCs/>
                <w:kern w:val="0"/>
                <w:sz w:val="22"/>
                <w:szCs w:val="22"/>
              </w:rPr>
            </w:pPr>
          </w:p>
        </w:tc>
        <w:tc>
          <w:tcPr>
            <w:tcW w:w="1600" w:type="dxa"/>
            <w:vMerge w:val="continue"/>
            <w:noWrap w:val="0"/>
            <w:vAlign w:val="center"/>
          </w:tcPr>
          <w:p w14:paraId="7507E9AA">
            <w:pPr>
              <w:widowControl/>
              <w:jc w:val="left"/>
              <w:rPr>
                <w:rFonts w:ascii="宋体" w:hAnsi="宋体" w:cs="宋体"/>
                <w:kern w:val="0"/>
                <w:sz w:val="22"/>
                <w:szCs w:val="22"/>
              </w:rPr>
            </w:pPr>
          </w:p>
        </w:tc>
        <w:tc>
          <w:tcPr>
            <w:tcW w:w="2560" w:type="dxa"/>
            <w:noWrap w:val="0"/>
            <w:vAlign w:val="center"/>
          </w:tcPr>
          <w:p w14:paraId="200EFCC9">
            <w:pPr>
              <w:widowControl/>
              <w:jc w:val="center"/>
              <w:rPr>
                <w:rFonts w:hint="eastAsia" w:ascii="宋体" w:hAnsi="宋体" w:cs="宋体"/>
                <w:kern w:val="0"/>
                <w:sz w:val="22"/>
                <w:szCs w:val="22"/>
              </w:rPr>
            </w:pPr>
            <w:r>
              <w:rPr>
                <w:rFonts w:hint="eastAsia" w:ascii="宋体" w:hAnsi="宋体" w:cs="宋体"/>
                <w:kern w:val="0"/>
                <w:sz w:val="22"/>
                <w:szCs w:val="22"/>
              </w:rPr>
              <w:t>汽修楼、体育活动场</w:t>
            </w:r>
          </w:p>
        </w:tc>
        <w:tc>
          <w:tcPr>
            <w:tcW w:w="1740" w:type="dxa"/>
            <w:noWrap w:val="0"/>
            <w:vAlign w:val="center"/>
          </w:tcPr>
          <w:p w14:paraId="6873E091">
            <w:pPr>
              <w:widowControl/>
              <w:jc w:val="center"/>
              <w:rPr>
                <w:rFonts w:hint="eastAsia" w:ascii="宋体" w:hAnsi="宋体" w:cs="宋体"/>
                <w:kern w:val="0"/>
                <w:sz w:val="22"/>
                <w:szCs w:val="22"/>
              </w:rPr>
            </w:pPr>
            <w:r>
              <w:rPr>
                <w:rFonts w:hint="eastAsia" w:ascii="宋体" w:hAnsi="宋体" w:cs="宋体"/>
                <w:kern w:val="0"/>
                <w:sz w:val="22"/>
                <w:szCs w:val="22"/>
              </w:rPr>
              <w:t>5500</w:t>
            </w:r>
          </w:p>
        </w:tc>
        <w:tc>
          <w:tcPr>
            <w:tcW w:w="760" w:type="dxa"/>
            <w:noWrap w:val="0"/>
            <w:vAlign w:val="center"/>
          </w:tcPr>
          <w:p w14:paraId="0BC92D6D">
            <w:pPr>
              <w:widowControl/>
              <w:jc w:val="center"/>
              <w:rPr>
                <w:rFonts w:hint="eastAsia" w:ascii="宋体" w:hAnsi="宋体" w:cs="宋体"/>
                <w:kern w:val="0"/>
                <w:sz w:val="22"/>
                <w:szCs w:val="22"/>
              </w:rPr>
            </w:pPr>
            <w:r>
              <w:rPr>
                <w:rFonts w:ascii="宋体" w:hAnsi="宋体" w:cs="宋体"/>
                <w:kern w:val="0"/>
                <w:sz w:val="22"/>
                <w:szCs w:val="22"/>
              </w:rPr>
              <w:t>1</w:t>
            </w:r>
          </w:p>
        </w:tc>
        <w:tc>
          <w:tcPr>
            <w:tcW w:w="2170" w:type="dxa"/>
            <w:noWrap w:val="0"/>
            <w:vAlign w:val="center"/>
          </w:tcPr>
          <w:p w14:paraId="02EFF5A8">
            <w:pPr>
              <w:widowControl/>
              <w:jc w:val="center"/>
              <w:rPr>
                <w:rFonts w:hint="eastAsia" w:ascii="宋体" w:hAnsi="宋体" w:cs="宋体"/>
                <w:kern w:val="0"/>
                <w:sz w:val="24"/>
              </w:rPr>
            </w:pPr>
          </w:p>
        </w:tc>
      </w:tr>
      <w:tr w14:paraId="477E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40" w:type="dxa"/>
            <w:vMerge w:val="continue"/>
            <w:noWrap w:val="0"/>
            <w:vAlign w:val="center"/>
          </w:tcPr>
          <w:p w14:paraId="62E79FD6">
            <w:pPr>
              <w:widowControl/>
              <w:jc w:val="left"/>
              <w:rPr>
                <w:rFonts w:ascii="宋体" w:hAnsi="宋体" w:cs="宋体"/>
                <w:b/>
                <w:bCs/>
                <w:kern w:val="0"/>
                <w:sz w:val="22"/>
                <w:szCs w:val="22"/>
              </w:rPr>
            </w:pPr>
          </w:p>
        </w:tc>
        <w:tc>
          <w:tcPr>
            <w:tcW w:w="1600" w:type="dxa"/>
            <w:vMerge w:val="continue"/>
            <w:noWrap w:val="0"/>
            <w:vAlign w:val="center"/>
          </w:tcPr>
          <w:p w14:paraId="5515F5CF">
            <w:pPr>
              <w:widowControl/>
              <w:jc w:val="left"/>
              <w:rPr>
                <w:rFonts w:ascii="宋体" w:hAnsi="宋体" w:cs="宋体"/>
                <w:kern w:val="0"/>
                <w:sz w:val="22"/>
                <w:szCs w:val="22"/>
              </w:rPr>
            </w:pPr>
          </w:p>
        </w:tc>
        <w:tc>
          <w:tcPr>
            <w:tcW w:w="2560" w:type="dxa"/>
            <w:noWrap w:val="0"/>
            <w:vAlign w:val="center"/>
          </w:tcPr>
          <w:p w14:paraId="67B243D7">
            <w:pPr>
              <w:widowControl/>
              <w:jc w:val="center"/>
              <w:rPr>
                <w:rFonts w:hint="eastAsia" w:ascii="宋体" w:hAnsi="宋体" w:cs="宋体"/>
                <w:kern w:val="0"/>
                <w:sz w:val="22"/>
                <w:szCs w:val="22"/>
              </w:rPr>
            </w:pPr>
            <w:r>
              <w:rPr>
                <w:rFonts w:hint="eastAsia" w:ascii="宋体" w:hAnsi="宋体" w:cs="宋体"/>
                <w:kern w:val="0"/>
                <w:sz w:val="22"/>
                <w:szCs w:val="22"/>
              </w:rPr>
              <w:t>公共区域保洁</w:t>
            </w:r>
          </w:p>
        </w:tc>
        <w:tc>
          <w:tcPr>
            <w:tcW w:w="1740" w:type="dxa"/>
            <w:noWrap w:val="0"/>
            <w:vAlign w:val="center"/>
          </w:tcPr>
          <w:p w14:paraId="091E3DA2">
            <w:pPr>
              <w:widowControl/>
              <w:jc w:val="center"/>
              <w:rPr>
                <w:rFonts w:hint="eastAsia" w:ascii="宋体" w:hAnsi="宋体" w:cs="宋体"/>
                <w:kern w:val="0"/>
                <w:sz w:val="22"/>
                <w:szCs w:val="22"/>
              </w:rPr>
            </w:pPr>
            <w:r>
              <w:rPr>
                <w:rFonts w:hint="eastAsia" w:ascii="宋体" w:hAnsi="宋体" w:cs="宋体"/>
                <w:kern w:val="0"/>
                <w:sz w:val="22"/>
                <w:szCs w:val="22"/>
              </w:rPr>
              <w:t>　</w:t>
            </w:r>
          </w:p>
        </w:tc>
        <w:tc>
          <w:tcPr>
            <w:tcW w:w="760" w:type="dxa"/>
            <w:noWrap w:val="0"/>
            <w:vAlign w:val="center"/>
          </w:tcPr>
          <w:p w14:paraId="75557217">
            <w:pPr>
              <w:widowControl/>
              <w:jc w:val="center"/>
              <w:rPr>
                <w:rFonts w:hint="eastAsia" w:ascii="宋体" w:hAnsi="宋体" w:cs="宋体"/>
                <w:kern w:val="0"/>
                <w:sz w:val="22"/>
                <w:szCs w:val="22"/>
              </w:rPr>
            </w:pPr>
            <w:r>
              <w:rPr>
                <w:rFonts w:hint="eastAsia" w:ascii="宋体" w:hAnsi="宋体" w:cs="宋体"/>
                <w:kern w:val="0"/>
                <w:sz w:val="22"/>
                <w:szCs w:val="22"/>
              </w:rPr>
              <w:t>3</w:t>
            </w:r>
          </w:p>
        </w:tc>
        <w:tc>
          <w:tcPr>
            <w:tcW w:w="2170" w:type="dxa"/>
            <w:noWrap w:val="0"/>
            <w:vAlign w:val="center"/>
          </w:tcPr>
          <w:p w14:paraId="0AE9D9B9">
            <w:pPr>
              <w:widowControl/>
              <w:jc w:val="center"/>
              <w:rPr>
                <w:rFonts w:hint="eastAsia" w:ascii="宋体" w:hAnsi="宋体" w:cs="宋体"/>
                <w:kern w:val="0"/>
                <w:sz w:val="24"/>
              </w:rPr>
            </w:pPr>
            <w:r>
              <w:rPr>
                <w:rFonts w:hint="eastAsia" w:ascii="宋体" w:hAnsi="宋体" w:cs="宋体"/>
                <w:kern w:val="0"/>
                <w:sz w:val="24"/>
              </w:rPr>
              <w:t>必要时岗位统一调配</w:t>
            </w:r>
          </w:p>
        </w:tc>
      </w:tr>
      <w:tr w14:paraId="79D7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0" w:type="dxa"/>
            <w:vMerge w:val="continue"/>
            <w:noWrap w:val="0"/>
            <w:vAlign w:val="center"/>
          </w:tcPr>
          <w:p w14:paraId="426EE48A">
            <w:pPr>
              <w:widowControl/>
              <w:jc w:val="left"/>
              <w:rPr>
                <w:rFonts w:ascii="宋体" w:hAnsi="宋体" w:cs="宋体"/>
                <w:b/>
                <w:bCs/>
                <w:kern w:val="0"/>
                <w:sz w:val="22"/>
                <w:szCs w:val="22"/>
              </w:rPr>
            </w:pPr>
          </w:p>
        </w:tc>
        <w:tc>
          <w:tcPr>
            <w:tcW w:w="1600" w:type="dxa"/>
            <w:noWrap w:val="0"/>
            <w:vAlign w:val="center"/>
          </w:tcPr>
          <w:p w14:paraId="2BE64D72">
            <w:pPr>
              <w:widowControl/>
              <w:jc w:val="center"/>
              <w:rPr>
                <w:rFonts w:hint="eastAsia" w:ascii="宋体" w:hAnsi="宋体" w:cs="宋体"/>
                <w:kern w:val="0"/>
                <w:sz w:val="22"/>
                <w:szCs w:val="22"/>
              </w:rPr>
            </w:pPr>
            <w:r>
              <w:rPr>
                <w:rFonts w:hint="eastAsia" w:ascii="宋体" w:hAnsi="宋体" w:cs="宋体"/>
                <w:kern w:val="0"/>
                <w:sz w:val="22"/>
                <w:szCs w:val="22"/>
              </w:rPr>
              <w:t>水电工</w:t>
            </w:r>
          </w:p>
        </w:tc>
        <w:tc>
          <w:tcPr>
            <w:tcW w:w="2560" w:type="dxa"/>
            <w:noWrap/>
            <w:vAlign w:val="center"/>
          </w:tcPr>
          <w:p w14:paraId="7684CC96">
            <w:pPr>
              <w:widowControl/>
              <w:jc w:val="center"/>
              <w:rPr>
                <w:rFonts w:hint="eastAsia" w:ascii="宋体" w:hAnsi="宋体" w:cs="宋体"/>
                <w:kern w:val="0"/>
                <w:sz w:val="22"/>
                <w:szCs w:val="22"/>
              </w:rPr>
            </w:pPr>
            <w:r>
              <w:rPr>
                <w:rFonts w:hint="eastAsia" w:ascii="宋体" w:hAnsi="宋体" w:cs="宋体"/>
                <w:kern w:val="0"/>
                <w:sz w:val="22"/>
                <w:szCs w:val="22"/>
              </w:rPr>
              <w:t>所有区域</w:t>
            </w:r>
          </w:p>
        </w:tc>
        <w:tc>
          <w:tcPr>
            <w:tcW w:w="1740" w:type="dxa"/>
            <w:noWrap/>
            <w:vAlign w:val="center"/>
          </w:tcPr>
          <w:p w14:paraId="1E40963C">
            <w:pPr>
              <w:widowControl/>
              <w:jc w:val="center"/>
              <w:rPr>
                <w:rFonts w:hint="eastAsia" w:ascii="宋体" w:hAnsi="宋体" w:cs="宋体"/>
                <w:kern w:val="0"/>
                <w:sz w:val="22"/>
                <w:szCs w:val="22"/>
              </w:rPr>
            </w:pPr>
            <w:r>
              <w:rPr>
                <w:rFonts w:hint="eastAsia" w:ascii="宋体" w:hAnsi="宋体" w:cs="宋体"/>
                <w:kern w:val="0"/>
                <w:sz w:val="22"/>
                <w:szCs w:val="22"/>
              </w:rPr>
              <w:t>　</w:t>
            </w:r>
          </w:p>
        </w:tc>
        <w:tc>
          <w:tcPr>
            <w:tcW w:w="760" w:type="dxa"/>
            <w:noWrap/>
            <w:vAlign w:val="center"/>
          </w:tcPr>
          <w:p w14:paraId="208E0073">
            <w:pPr>
              <w:widowControl/>
              <w:jc w:val="center"/>
              <w:rPr>
                <w:rFonts w:hint="eastAsia" w:ascii="宋体" w:hAnsi="宋体" w:cs="宋体"/>
                <w:kern w:val="0"/>
                <w:sz w:val="24"/>
              </w:rPr>
            </w:pPr>
            <w:r>
              <w:rPr>
                <w:rFonts w:hint="eastAsia" w:ascii="宋体" w:hAnsi="宋体" w:cs="宋体"/>
                <w:kern w:val="0"/>
                <w:sz w:val="24"/>
              </w:rPr>
              <w:t>2</w:t>
            </w:r>
          </w:p>
        </w:tc>
        <w:tc>
          <w:tcPr>
            <w:tcW w:w="2170" w:type="dxa"/>
            <w:noWrap/>
            <w:vAlign w:val="center"/>
          </w:tcPr>
          <w:p w14:paraId="1B0601D6">
            <w:pPr>
              <w:widowControl/>
              <w:jc w:val="center"/>
              <w:rPr>
                <w:rFonts w:hint="eastAsia" w:ascii="宋体" w:hAnsi="宋体" w:cs="宋体"/>
                <w:kern w:val="0"/>
                <w:sz w:val="24"/>
              </w:rPr>
            </w:pPr>
            <w:r>
              <w:rPr>
                <w:rFonts w:hint="eastAsia" w:ascii="宋体" w:hAnsi="宋体" w:cs="宋体"/>
                <w:kern w:val="0"/>
                <w:sz w:val="24"/>
              </w:rPr>
              <w:t>　</w:t>
            </w:r>
          </w:p>
        </w:tc>
      </w:tr>
      <w:tr w14:paraId="4551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0" w:type="dxa"/>
            <w:vMerge w:val="continue"/>
            <w:noWrap w:val="0"/>
            <w:vAlign w:val="center"/>
          </w:tcPr>
          <w:p w14:paraId="6906719A">
            <w:pPr>
              <w:widowControl/>
              <w:jc w:val="left"/>
              <w:rPr>
                <w:rFonts w:ascii="宋体" w:hAnsi="宋体" w:cs="宋体"/>
                <w:b/>
                <w:bCs/>
                <w:kern w:val="0"/>
                <w:sz w:val="22"/>
                <w:szCs w:val="22"/>
              </w:rPr>
            </w:pPr>
          </w:p>
        </w:tc>
        <w:tc>
          <w:tcPr>
            <w:tcW w:w="1600" w:type="dxa"/>
            <w:noWrap w:val="0"/>
            <w:vAlign w:val="center"/>
          </w:tcPr>
          <w:p w14:paraId="2F7856E9">
            <w:pPr>
              <w:widowControl/>
              <w:jc w:val="center"/>
              <w:rPr>
                <w:rFonts w:hint="eastAsia" w:ascii="宋体" w:hAnsi="宋体" w:cs="宋体"/>
                <w:kern w:val="0"/>
                <w:sz w:val="22"/>
                <w:szCs w:val="22"/>
              </w:rPr>
            </w:pPr>
            <w:r>
              <w:rPr>
                <w:rFonts w:hint="eastAsia" w:ascii="宋体" w:hAnsi="宋体" w:cs="宋体"/>
                <w:kern w:val="0"/>
                <w:sz w:val="22"/>
                <w:szCs w:val="22"/>
              </w:rPr>
              <w:t>校舍维修工</w:t>
            </w:r>
          </w:p>
        </w:tc>
        <w:tc>
          <w:tcPr>
            <w:tcW w:w="2560" w:type="dxa"/>
            <w:noWrap/>
            <w:vAlign w:val="center"/>
          </w:tcPr>
          <w:p w14:paraId="3299B788">
            <w:pPr>
              <w:widowControl/>
              <w:jc w:val="center"/>
              <w:rPr>
                <w:rFonts w:hint="eastAsia" w:ascii="宋体" w:hAnsi="宋体" w:cs="宋体"/>
                <w:kern w:val="0"/>
                <w:sz w:val="22"/>
                <w:szCs w:val="22"/>
              </w:rPr>
            </w:pPr>
            <w:r>
              <w:rPr>
                <w:rFonts w:hint="eastAsia" w:ascii="宋体" w:hAnsi="宋体" w:cs="宋体"/>
                <w:kern w:val="0"/>
                <w:sz w:val="22"/>
                <w:szCs w:val="22"/>
              </w:rPr>
              <w:t>所有区域</w:t>
            </w:r>
          </w:p>
        </w:tc>
        <w:tc>
          <w:tcPr>
            <w:tcW w:w="1740" w:type="dxa"/>
            <w:noWrap/>
            <w:vAlign w:val="center"/>
          </w:tcPr>
          <w:p w14:paraId="541E0204">
            <w:pPr>
              <w:widowControl/>
              <w:jc w:val="center"/>
              <w:rPr>
                <w:rFonts w:hint="eastAsia" w:ascii="宋体" w:hAnsi="宋体" w:cs="宋体"/>
                <w:kern w:val="0"/>
                <w:sz w:val="22"/>
                <w:szCs w:val="22"/>
              </w:rPr>
            </w:pPr>
            <w:r>
              <w:rPr>
                <w:rFonts w:hint="eastAsia" w:ascii="宋体" w:hAnsi="宋体" w:cs="宋体"/>
                <w:kern w:val="0"/>
                <w:sz w:val="22"/>
                <w:szCs w:val="22"/>
              </w:rPr>
              <w:t>　</w:t>
            </w:r>
          </w:p>
        </w:tc>
        <w:tc>
          <w:tcPr>
            <w:tcW w:w="760" w:type="dxa"/>
            <w:noWrap/>
            <w:vAlign w:val="center"/>
          </w:tcPr>
          <w:p w14:paraId="343C88E8">
            <w:pPr>
              <w:widowControl/>
              <w:jc w:val="center"/>
              <w:rPr>
                <w:rFonts w:hint="eastAsia" w:ascii="宋体" w:hAnsi="宋体" w:cs="宋体"/>
                <w:kern w:val="0"/>
                <w:sz w:val="24"/>
              </w:rPr>
            </w:pPr>
            <w:r>
              <w:rPr>
                <w:rFonts w:hint="eastAsia" w:ascii="宋体" w:hAnsi="宋体" w:cs="宋体"/>
                <w:kern w:val="0"/>
                <w:sz w:val="24"/>
              </w:rPr>
              <w:t>2</w:t>
            </w:r>
          </w:p>
        </w:tc>
        <w:tc>
          <w:tcPr>
            <w:tcW w:w="2170" w:type="dxa"/>
            <w:noWrap/>
            <w:vAlign w:val="center"/>
          </w:tcPr>
          <w:p w14:paraId="299669A1">
            <w:pPr>
              <w:widowControl/>
              <w:jc w:val="center"/>
              <w:rPr>
                <w:rFonts w:hint="eastAsia" w:ascii="宋体" w:hAnsi="宋体" w:cs="宋体"/>
                <w:kern w:val="0"/>
                <w:sz w:val="24"/>
              </w:rPr>
            </w:pPr>
            <w:r>
              <w:rPr>
                <w:rFonts w:hint="eastAsia" w:ascii="宋体" w:hAnsi="宋体" w:cs="宋体"/>
                <w:kern w:val="0"/>
                <w:sz w:val="24"/>
              </w:rPr>
              <w:t>　</w:t>
            </w:r>
          </w:p>
        </w:tc>
      </w:tr>
      <w:tr w14:paraId="3A61D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0" w:type="dxa"/>
            <w:vMerge w:val="continue"/>
            <w:noWrap w:val="0"/>
            <w:vAlign w:val="center"/>
          </w:tcPr>
          <w:p w14:paraId="3616700D">
            <w:pPr>
              <w:widowControl/>
              <w:jc w:val="left"/>
              <w:rPr>
                <w:rFonts w:ascii="宋体" w:hAnsi="宋体" w:cs="宋体"/>
                <w:b/>
                <w:bCs/>
                <w:kern w:val="0"/>
                <w:sz w:val="22"/>
                <w:szCs w:val="22"/>
              </w:rPr>
            </w:pPr>
          </w:p>
        </w:tc>
        <w:tc>
          <w:tcPr>
            <w:tcW w:w="1600" w:type="dxa"/>
            <w:noWrap w:val="0"/>
            <w:vAlign w:val="center"/>
          </w:tcPr>
          <w:p w14:paraId="4D20E4B5">
            <w:pPr>
              <w:widowControl/>
              <w:jc w:val="center"/>
              <w:rPr>
                <w:rFonts w:hint="eastAsia" w:ascii="宋体" w:hAnsi="宋体" w:cs="宋体"/>
                <w:kern w:val="0"/>
                <w:sz w:val="22"/>
                <w:szCs w:val="22"/>
              </w:rPr>
            </w:pPr>
            <w:r>
              <w:rPr>
                <w:rFonts w:hint="eastAsia" w:ascii="宋体" w:hAnsi="宋体" w:cs="宋体"/>
                <w:kern w:val="0"/>
                <w:sz w:val="22"/>
                <w:szCs w:val="22"/>
              </w:rPr>
              <w:t>绿化工</w:t>
            </w:r>
          </w:p>
        </w:tc>
        <w:tc>
          <w:tcPr>
            <w:tcW w:w="2560" w:type="dxa"/>
            <w:noWrap/>
            <w:vAlign w:val="center"/>
          </w:tcPr>
          <w:p w14:paraId="16C8A6A8">
            <w:pPr>
              <w:widowControl/>
              <w:jc w:val="center"/>
              <w:rPr>
                <w:rFonts w:hint="eastAsia" w:ascii="宋体" w:hAnsi="宋体" w:cs="宋体"/>
                <w:kern w:val="0"/>
                <w:sz w:val="22"/>
                <w:szCs w:val="22"/>
              </w:rPr>
            </w:pPr>
            <w:r>
              <w:rPr>
                <w:rFonts w:hint="eastAsia" w:ascii="宋体" w:hAnsi="宋体" w:cs="宋体"/>
                <w:kern w:val="0"/>
                <w:sz w:val="22"/>
                <w:szCs w:val="22"/>
              </w:rPr>
              <w:t>公共区域</w:t>
            </w:r>
          </w:p>
        </w:tc>
        <w:tc>
          <w:tcPr>
            <w:tcW w:w="1740" w:type="dxa"/>
            <w:noWrap/>
            <w:vAlign w:val="center"/>
          </w:tcPr>
          <w:p w14:paraId="5A08C2DB">
            <w:pPr>
              <w:widowControl/>
              <w:jc w:val="center"/>
              <w:rPr>
                <w:rFonts w:hint="eastAsia" w:ascii="宋体" w:hAnsi="宋体" w:cs="宋体"/>
                <w:kern w:val="0"/>
                <w:sz w:val="22"/>
                <w:szCs w:val="22"/>
              </w:rPr>
            </w:pPr>
            <w:r>
              <w:rPr>
                <w:rFonts w:hint="eastAsia" w:ascii="宋体" w:hAnsi="宋体" w:cs="宋体"/>
                <w:kern w:val="0"/>
                <w:sz w:val="22"/>
                <w:szCs w:val="22"/>
              </w:rPr>
              <w:t>　</w:t>
            </w:r>
          </w:p>
        </w:tc>
        <w:tc>
          <w:tcPr>
            <w:tcW w:w="760" w:type="dxa"/>
            <w:noWrap/>
            <w:vAlign w:val="center"/>
          </w:tcPr>
          <w:p w14:paraId="5E2BADDE">
            <w:pPr>
              <w:widowControl/>
              <w:jc w:val="center"/>
              <w:rPr>
                <w:rFonts w:hint="eastAsia" w:ascii="宋体" w:hAnsi="宋体" w:cs="宋体"/>
                <w:kern w:val="0"/>
                <w:sz w:val="24"/>
              </w:rPr>
            </w:pPr>
            <w:r>
              <w:rPr>
                <w:rFonts w:hint="eastAsia" w:ascii="宋体" w:hAnsi="宋体" w:cs="宋体"/>
                <w:kern w:val="0"/>
                <w:sz w:val="24"/>
              </w:rPr>
              <w:t>2</w:t>
            </w:r>
          </w:p>
        </w:tc>
        <w:tc>
          <w:tcPr>
            <w:tcW w:w="2170" w:type="dxa"/>
            <w:noWrap/>
            <w:vAlign w:val="bottom"/>
          </w:tcPr>
          <w:p w14:paraId="4657EBE5">
            <w:pPr>
              <w:widowControl/>
              <w:jc w:val="center"/>
              <w:rPr>
                <w:rFonts w:hint="eastAsia" w:ascii="宋体" w:hAnsi="宋体" w:cs="宋体"/>
                <w:kern w:val="0"/>
                <w:sz w:val="24"/>
              </w:rPr>
            </w:pPr>
            <w:r>
              <w:rPr>
                <w:rFonts w:hint="eastAsia" w:ascii="宋体" w:hAnsi="宋体" w:cs="宋体"/>
                <w:kern w:val="0"/>
                <w:sz w:val="24"/>
              </w:rPr>
              <w:t>　</w:t>
            </w:r>
          </w:p>
        </w:tc>
      </w:tr>
      <w:tr w14:paraId="0F8E4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0" w:type="dxa"/>
            <w:vMerge w:val="continue"/>
            <w:noWrap w:val="0"/>
            <w:vAlign w:val="center"/>
          </w:tcPr>
          <w:p w14:paraId="105C6ECF">
            <w:pPr>
              <w:widowControl/>
              <w:jc w:val="left"/>
              <w:rPr>
                <w:rFonts w:ascii="宋体" w:hAnsi="宋体" w:cs="宋体"/>
                <w:b/>
                <w:bCs/>
                <w:kern w:val="0"/>
                <w:sz w:val="22"/>
                <w:szCs w:val="22"/>
              </w:rPr>
            </w:pPr>
          </w:p>
        </w:tc>
        <w:tc>
          <w:tcPr>
            <w:tcW w:w="1600" w:type="dxa"/>
            <w:noWrap w:val="0"/>
            <w:vAlign w:val="center"/>
          </w:tcPr>
          <w:p w14:paraId="1A781798">
            <w:pPr>
              <w:widowControl/>
              <w:jc w:val="center"/>
              <w:rPr>
                <w:rFonts w:hint="eastAsia" w:ascii="宋体" w:hAnsi="宋体" w:cs="宋体"/>
                <w:kern w:val="0"/>
                <w:sz w:val="22"/>
                <w:szCs w:val="22"/>
              </w:rPr>
            </w:pPr>
            <w:r>
              <w:rPr>
                <w:rFonts w:hint="eastAsia" w:ascii="宋体" w:hAnsi="宋体" w:cs="宋体"/>
                <w:kern w:val="0"/>
                <w:sz w:val="22"/>
                <w:szCs w:val="22"/>
              </w:rPr>
              <w:t>项目经理</w:t>
            </w:r>
          </w:p>
        </w:tc>
        <w:tc>
          <w:tcPr>
            <w:tcW w:w="2560" w:type="dxa"/>
            <w:noWrap/>
            <w:vAlign w:val="center"/>
          </w:tcPr>
          <w:p w14:paraId="518683E2">
            <w:pPr>
              <w:widowControl/>
              <w:jc w:val="center"/>
              <w:rPr>
                <w:rFonts w:hint="eastAsia" w:ascii="宋体" w:hAnsi="宋体" w:cs="宋体"/>
                <w:kern w:val="0"/>
                <w:sz w:val="22"/>
                <w:szCs w:val="22"/>
              </w:rPr>
            </w:pPr>
            <w:r>
              <w:rPr>
                <w:rFonts w:hint="eastAsia" w:ascii="宋体" w:hAnsi="宋体" w:cs="宋体"/>
                <w:kern w:val="0"/>
                <w:sz w:val="22"/>
                <w:szCs w:val="22"/>
              </w:rPr>
              <w:t>所有区域</w:t>
            </w:r>
          </w:p>
        </w:tc>
        <w:tc>
          <w:tcPr>
            <w:tcW w:w="1740" w:type="dxa"/>
            <w:noWrap/>
            <w:vAlign w:val="center"/>
          </w:tcPr>
          <w:p w14:paraId="12C4C5F9">
            <w:pPr>
              <w:widowControl/>
              <w:jc w:val="center"/>
              <w:rPr>
                <w:rFonts w:hint="eastAsia" w:ascii="宋体" w:hAnsi="宋体" w:cs="宋体"/>
                <w:kern w:val="0"/>
                <w:sz w:val="22"/>
                <w:szCs w:val="22"/>
              </w:rPr>
            </w:pPr>
            <w:r>
              <w:rPr>
                <w:rFonts w:hint="eastAsia" w:ascii="宋体" w:hAnsi="宋体" w:cs="宋体"/>
                <w:kern w:val="0"/>
                <w:sz w:val="22"/>
                <w:szCs w:val="22"/>
              </w:rPr>
              <w:t>　</w:t>
            </w:r>
          </w:p>
        </w:tc>
        <w:tc>
          <w:tcPr>
            <w:tcW w:w="760" w:type="dxa"/>
            <w:noWrap/>
            <w:vAlign w:val="center"/>
          </w:tcPr>
          <w:p w14:paraId="205DE55D">
            <w:pPr>
              <w:widowControl/>
              <w:jc w:val="center"/>
              <w:rPr>
                <w:rFonts w:hint="eastAsia" w:ascii="宋体" w:hAnsi="宋体" w:cs="宋体"/>
                <w:kern w:val="0"/>
                <w:sz w:val="24"/>
              </w:rPr>
            </w:pPr>
            <w:r>
              <w:rPr>
                <w:rFonts w:hint="eastAsia" w:ascii="宋体" w:hAnsi="宋体" w:cs="宋体"/>
                <w:kern w:val="0"/>
                <w:sz w:val="24"/>
              </w:rPr>
              <w:t>1</w:t>
            </w:r>
          </w:p>
        </w:tc>
        <w:tc>
          <w:tcPr>
            <w:tcW w:w="2170" w:type="dxa"/>
            <w:noWrap/>
            <w:vAlign w:val="center"/>
          </w:tcPr>
          <w:p w14:paraId="51B038A5">
            <w:pPr>
              <w:widowControl/>
              <w:jc w:val="center"/>
              <w:rPr>
                <w:rFonts w:hint="eastAsia" w:ascii="宋体" w:hAnsi="宋体" w:cs="宋体"/>
                <w:kern w:val="0"/>
                <w:sz w:val="24"/>
              </w:rPr>
            </w:pPr>
            <w:r>
              <w:rPr>
                <w:rFonts w:hint="eastAsia" w:ascii="宋体" w:hAnsi="宋体" w:cs="宋体"/>
                <w:kern w:val="0"/>
                <w:sz w:val="24"/>
              </w:rPr>
              <w:t>　</w:t>
            </w:r>
          </w:p>
        </w:tc>
      </w:tr>
      <w:tr w14:paraId="12343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0" w:type="dxa"/>
            <w:vMerge w:val="continue"/>
            <w:noWrap w:val="0"/>
            <w:vAlign w:val="center"/>
          </w:tcPr>
          <w:p w14:paraId="452C4C8F">
            <w:pPr>
              <w:widowControl/>
              <w:jc w:val="left"/>
              <w:rPr>
                <w:rFonts w:ascii="宋体" w:hAnsi="宋体" w:cs="宋体"/>
                <w:b/>
                <w:bCs/>
                <w:kern w:val="0"/>
                <w:sz w:val="22"/>
                <w:szCs w:val="22"/>
              </w:rPr>
            </w:pPr>
          </w:p>
        </w:tc>
        <w:tc>
          <w:tcPr>
            <w:tcW w:w="1600" w:type="dxa"/>
            <w:noWrap w:val="0"/>
            <w:vAlign w:val="center"/>
          </w:tcPr>
          <w:p w14:paraId="498F2AC3">
            <w:pPr>
              <w:widowControl/>
              <w:jc w:val="center"/>
              <w:rPr>
                <w:rFonts w:hint="eastAsia" w:ascii="宋体" w:hAnsi="宋体" w:eastAsia="Arial Unicode MS" w:cs="宋体"/>
                <w:kern w:val="0"/>
                <w:sz w:val="22"/>
                <w:szCs w:val="22"/>
                <w:lang w:eastAsia="zh-CN"/>
              </w:rPr>
            </w:pPr>
            <w:r>
              <w:rPr>
                <w:rFonts w:hint="eastAsia" w:ascii="宋体" w:hAnsi="宋体" w:cs="宋体"/>
                <w:kern w:val="0"/>
                <w:sz w:val="22"/>
                <w:szCs w:val="22"/>
              </w:rPr>
              <w:t>项目</w:t>
            </w:r>
            <w:r>
              <w:rPr>
                <w:rFonts w:hint="eastAsia" w:ascii="宋体" w:hAnsi="宋体" w:cs="宋体"/>
                <w:kern w:val="0"/>
                <w:sz w:val="22"/>
                <w:szCs w:val="22"/>
                <w:lang w:val="en-US" w:eastAsia="zh-CN"/>
              </w:rPr>
              <w:t>副经理</w:t>
            </w:r>
          </w:p>
        </w:tc>
        <w:tc>
          <w:tcPr>
            <w:tcW w:w="2560" w:type="dxa"/>
            <w:noWrap/>
            <w:vAlign w:val="center"/>
          </w:tcPr>
          <w:p w14:paraId="734BBBA7">
            <w:pPr>
              <w:widowControl/>
              <w:jc w:val="center"/>
              <w:rPr>
                <w:rFonts w:hint="eastAsia" w:ascii="宋体" w:hAnsi="宋体" w:cs="宋体"/>
                <w:kern w:val="0"/>
                <w:sz w:val="22"/>
                <w:szCs w:val="22"/>
              </w:rPr>
            </w:pPr>
            <w:r>
              <w:rPr>
                <w:rFonts w:hint="eastAsia" w:ascii="宋体" w:hAnsi="宋体" w:cs="宋体"/>
                <w:kern w:val="0"/>
                <w:sz w:val="22"/>
                <w:szCs w:val="22"/>
              </w:rPr>
              <w:t>所有区域</w:t>
            </w:r>
          </w:p>
        </w:tc>
        <w:tc>
          <w:tcPr>
            <w:tcW w:w="1740" w:type="dxa"/>
            <w:noWrap/>
            <w:vAlign w:val="center"/>
          </w:tcPr>
          <w:p w14:paraId="3EB187E2">
            <w:pPr>
              <w:widowControl/>
              <w:jc w:val="center"/>
              <w:rPr>
                <w:rFonts w:hint="eastAsia" w:ascii="宋体" w:hAnsi="宋体" w:cs="宋体"/>
                <w:kern w:val="0"/>
                <w:sz w:val="22"/>
                <w:szCs w:val="22"/>
              </w:rPr>
            </w:pPr>
            <w:r>
              <w:rPr>
                <w:rFonts w:hint="eastAsia" w:ascii="宋体" w:hAnsi="宋体" w:cs="宋体"/>
                <w:kern w:val="0"/>
                <w:sz w:val="22"/>
                <w:szCs w:val="22"/>
              </w:rPr>
              <w:t>　</w:t>
            </w:r>
          </w:p>
        </w:tc>
        <w:tc>
          <w:tcPr>
            <w:tcW w:w="760" w:type="dxa"/>
            <w:noWrap/>
            <w:vAlign w:val="center"/>
          </w:tcPr>
          <w:p w14:paraId="198E3FD1">
            <w:pPr>
              <w:widowControl/>
              <w:jc w:val="center"/>
              <w:rPr>
                <w:rFonts w:hint="eastAsia" w:ascii="宋体" w:hAnsi="宋体" w:cs="宋体"/>
                <w:kern w:val="0"/>
                <w:sz w:val="24"/>
              </w:rPr>
            </w:pPr>
            <w:r>
              <w:rPr>
                <w:rFonts w:hint="eastAsia" w:ascii="宋体" w:hAnsi="宋体" w:cs="宋体"/>
                <w:kern w:val="0"/>
                <w:sz w:val="24"/>
              </w:rPr>
              <w:t>1</w:t>
            </w:r>
          </w:p>
        </w:tc>
        <w:tc>
          <w:tcPr>
            <w:tcW w:w="2170" w:type="dxa"/>
            <w:noWrap/>
            <w:vAlign w:val="center"/>
          </w:tcPr>
          <w:p w14:paraId="2E34FE67">
            <w:pPr>
              <w:widowControl/>
              <w:jc w:val="center"/>
              <w:rPr>
                <w:rFonts w:hint="eastAsia" w:ascii="宋体" w:hAnsi="宋体" w:cs="宋体"/>
                <w:kern w:val="0"/>
                <w:sz w:val="24"/>
              </w:rPr>
            </w:pPr>
          </w:p>
        </w:tc>
      </w:tr>
      <w:tr w14:paraId="29D8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0" w:type="dxa"/>
            <w:vMerge w:val="restart"/>
            <w:noWrap w:val="0"/>
            <w:vAlign w:val="center"/>
          </w:tcPr>
          <w:p w14:paraId="2634F1BA">
            <w:pPr>
              <w:widowControl/>
              <w:jc w:val="center"/>
              <w:rPr>
                <w:rFonts w:hint="eastAsia" w:ascii="宋体" w:hAnsi="宋体" w:cs="宋体"/>
                <w:b/>
                <w:bCs/>
                <w:kern w:val="0"/>
                <w:sz w:val="22"/>
                <w:szCs w:val="22"/>
              </w:rPr>
            </w:pPr>
            <w:r>
              <w:rPr>
                <w:rFonts w:hint="eastAsia" w:ascii="宋体" w:hAnsi="宋体" w:cs="宋体"/>
                <w:b/>
                <w:bCs/>
                <w:kern w:val="0"/>
                <w:sz w:val="22"/>
                <w:szCs w:val="22"/>
              </w:rPr>
              <w:t>学生工作部</w:t>
            </w:r>
          </w:p>
        </w:tc>
        <w:tc>
          <w:tcPr>
            <w:tcW w:w="1600" w:type="dxa"/>
            <w:vMerge w:val="restart"/>
            <w:noWrap w:val="0"/>
            <w:vAlign w:val="center"/>
          </w:tcPr>
          <w:p w14:paraId="4D07DDA3">
            <w:pPr>
              <w:widowControl/>
              <w:jc w:val="center"/>
              <w:rPr>
                <w:rFonts w:hint="eastAsia" w:ascii="宋体" w:hAnsi="宋体" w:cs="宋体"/>
                <w:kern w:val="0"/>
                <w:sz w:val="22"/>
                <w:szCs w:val="22"/>
              </w:rPr>
            </w:pPr>
            <w:r>
              <w:rPr>
                <w:rFonts w:hint="eastAsia" w:ascii="宋体" w:hAnsi="宋体" w:cs="宋体"/>
                <w:kern w:val="0"/>
                <w:sz w:val="22"/>
                <w:szCs w:val="22"/>
              </w:rPr>
              <w:t>公寓管理员</w:t>
            </w:r>
          </w:p>
        </w:tc>
        <w:tc>
          <w:tcPr>
            <w:tcW w:w="2560" w:type="dxa"/>
            <w:noWrap/>
            <w:vAlign w:val="center"/>
          </w:tcPr>
          <w:p w14:paraId="7DD5C5C2">
            <w:pPr>
              <w:widowControl/>
              <w:jc w:val="center"/>
              <w:rPr>
                <w:rFonts w:hint="eastAsia" w:ascii="宋体" w:hAnsi="宋体" w:cs="宋体"/>
                <w:kern w:val="0"/>
                <w:sz w:val="22"/>
                <w:szCs w:val="22"/>
              </w:rPr>
            </w:pPr>
            <w:r>
              <w:rPr>
                <w:rFonts w:hint="eastAsia" w:ascii="宋体" w:hAnsi="宋体" w:cs="宋体"/>
                <w:kern w:val="0"/>
                <w:sz w:val="22"/>
                <w:szCs w:val="22"/>
              </w:rPr>
              <w:t>公寓</w:t>
            </w:r>
            <w:r>
              <w:rPr>
                <w:rFonts w:cs="Calibri"/>
                <w:kern w:val="0"/>
                <w:sz w:val="22"/>
                <w:szCs w:val="22"/>
              </w:rPr>
              <w:t>B</w:t>
            </w:r>
            <w:r>
              <w:rPr>
                <w:rFonts w:hint="eastAsia" w:ascii="宋体" w:hAnsi="宋体" w:cs="宋体"/>
                <w:kern w:val="0"/>
                <w:sz w:val="22"/>
                <w:szCs w:val="22"/>
              </w:rPr>
              <w:t>楼</w:t>
            </w:r>
          </w:p>
        </w:tc>
        <w:tc>
          <w:tcPr>
            <w:tcW w:w="1740" w:type="dxa"/>
            <w:noWrap/>
            <w:vAlign w:val="bottom"/>
          </w:tcPr>
          <w:p w14:paraId="6A51A770">
            <w:pPr>
              <w:widowControl/>
              <w:rPr>
                <w:rFonts w:hint="eastAsia" w:ascii="宋体" w:hAnsi="宋体" w:cs="宋体"/>
                <w:kern w:val="0"/>
                <w:sz w:val="24"/>
              </w:rPr>
            </w:pPr>
          </w:p>
        </w:tc>
        <w:tc>
          <w:tcPr>
            <w:tcW w:w="760" w:type="dxa"/>
            <w:noWrap/>
            <w:vAlign w:val="center"/>
          </w:tcPr>
          <w:p w14:paraId="38349BB8">
            <w:pPr>
              <w:widowControl/>
              <w:jc w:val="center"/>
              <w:rPr>
                <w:rFonts w:hint="eastAsia" w:ascii="宋体" w:hAnsi="宋体" w:cs="宋体"/>
                <w:kern w:val="0"/>
                <w:sz w:val="24"/>
              </w:rPr>
            </w:pPr>
            <w:r>
              <w:rPr>
                <w:rFonts w:hint="eastAsia" w:ascii="宋体" w:hAnsi="宋体" w:cs="宋体"/>
                <w:kern w:val="0"/>
                <w:sz w:val="24"/>
              </w:rPr>
              <w:t>2</w:t>
            </w:r>
          </w:p>
        </w:tc>
        <w:tc>
          <w:tcPr>
            <w:tcW w:w="2170" w:type="dxa"/>
            <w:noWrap w:val="0"/>
            <w:vAlign w:val="center"/>
          </w:tcPr>
          <w:p w14:paraId="3DF1FAF9">
            <w:pPr>
              <w:widowControl/>
              <w:jc w:val="center"/>
              <w:rPr>
                <w:rFonts w:hint="eastAsia" w:ascii="宋体" w:hAnsi="宋体" w:cs="宋体"/>
                <w:kern w:val="0"/>
                <w:sz w:val="24"/>
              </w:rPr>
            </w:pPr>
            <w:r>
              <w:rPr>
                <w:rFonts w:hint="eastAsia" w:ascii="宋体" w:hAnsi="宋体" w:cs="宋体"/>
                <w:kern w:val="0"/>
                <w:sz w:val="24"/>
              </w:rPr>
              <w:t>　</w:t>
            </w:r>
          </w:p>
        </w:tc>
      </w:tr>
      <w:tr w14:paraId="55719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0" w:type="dxa"/>
            <w:vMerge w:val="continue"/>
            <w:noWrap w:val="0"/>
            <w:vAlign w:val="center"/>
          </w:tcPr>
          <w:p w14:paraId="0D4B4E50">
            <w:pPr>
              <w:widowControl/>
              <w:jc w:val="left"/>
              <w:rPr>
                <w:rFonts w:ascii="宋体" w:hAnsi="宋体" w:cs="宋体"/>
                <w:b/>
                <w:bCs/>
                <w:kern w:val="0"/>
                <w:sz w:val="22"/>
                <w:szCs w:val="22"/>
              </w:rPr>
            </w:pPr>
          </w:p>
        </w:tc>
        <w:tc>
          <w:tcPr>
            <w:tcW w:w="1600" w:type="dxa"/>
            <w:vMerge w:val="continue"/>
            <w:noWrap w:val="0"/>
            <w:vAlign w:val="center"/>
          </w:tcPr>
          <w:p w14:paraId="02307926">
            <w:pPr>
              <w:widowControl/>
              <w:jc w:val="left"/>
              <w:rPr>
                <w:rFonts w:ascii="宋体" w:hAnsi="宋体" w:cs="宋体"/>
                <w:kern w:val="0"/>
                <w:sz w:val="22"/>
                <w:szCs w:val="22"/>
              </w:rPr>
            </w:pPr>
          </w:p>
        </w:tc>
        <w:tc>
          <w:tcPr>
            <w:tcW w:w="2560" w:type="dxa"/>
            <w:noWrap/>
            <w:vAlign w:val="center"/>
          </w:tcPr>
          <w:p w14:paraId="6E12D0E9">
            <w:pPr>
              <w:widowControl/>
              <w:jc w:val="center"/>
              <w:rPr>
                <w:rFonts w:hint="eastAsia" w:ascii="宋体" w:hAnsi="宋体" w:cs="宋体"/>
                <w:kern w:val="0"/>
                <w:sz w:val="22"/>
                <w:szCs w:val="22"/>
              </w:rPr>
            </w:pPr>
            <w:r>
              <w:rPr>
                <w:rFonts w:hint="eastAsia" w:ascii="宋体" w:hAnsi="宋体" w:cs="宋体"/>
                <w:kern w:val="0"/>
                <w:sz w:val="22"/>
                <w:szCs w:val="22"/>
              </w:rPr>
              <w:t>女生公寓C楼</w:t>
            </w:r>
          </w:p>
        </w:tc>
        <w:tc>
          <w:tcPr>
            <w:tcW w:w="1740" w:type="dxa"/>
            <w:noWrap/>
            <w:vAlign w:val="bottom"/>
          </w:tcPr>
          <w:p w14:paraId="71DB3786">
            <w:pPr>
              <w:widowControl/>
              <w:jc w:val="center"/>
              <w:rPr>
                <w:rFonts w:hint="eastAsia" w:ascii="宋体" w:hAnsi="宋体" w:cs="宋体"/>
                <w:kern w:val="0"/>
                <w:sz w:val="24"/>
              </w:rPr>
            </w:pPr>
            <w:r>
              <w:rPr>
                <w:rFonts w:hint="eastAsia" w:ascii="宋体" w:hAnsi="宋体" w:cs="宋体"/>
                <w:kern w:val="0"/>
                <w:sz w:val="24"/>
              </w:rPr>
              <w:t>　</w:t>
            </w:r>
          </w:p>
        </w:tc>
        <w:tc>
          <w:tcPr>
            <w:tcW w:w="760" w:type="dxa"/>
            <w:noWrap/>
            <w:vAlign w:val="center"/>
          </w:tcPr>
          <w:p w14:paraId="7351A3CF">
            <w:pPr>
              <w:widowControl/>
              <w:jc w:val="center"/>
              <w:rPr>
                <w:rFonts w:hint="eastAsia" w:ascii="宋体" w:hAnsi="宋体" w:cs="宋体"/>
                <w:kern w:val="0"/>
                <w:sz w:val="24"/>
              </w:rPr>
            </w:pPr>
            <w:r>
              <w:rPr>
                <w:rFonts w:hint="eastAsia" w:ascii="宋体" w:hAnsi="宋体" w:cs="宋体"/>
                <w:kern w:val="0"/>
                <w:sz w:val="24"/>
              </w:rPr>
              <w:t>2</w:t>
            </w:r>
          </w:p>
        </w:tc>
        <w:tc>
          <w:tcPr>
            <w:tcW w:w="2170" w:type="dxa"/>
            <w:noWrap/>
            <w:vAlign w:val="center"/>
          </w:tcPr>
          <w:p w14:paraId="593FE707">
            <w:pPr>
              <w:widowControl/>
              <w:jc w:val="center"/>
              <w:rPr>
                <w:rFonts w:hint="eastAsia" w:ascii="宋体" w:hAnsi="宋体" w:cs="宋体"/>
                <w:kern w:val="0"/>
                <w:sz w:val="24"/>
              </w:rPr>
            </w:pPr>
            <w:r>
              <w:rPr>
                <w:rFonts w:hint="eastAsia" w:ascii="宋体" w:hAnsi="宋体" w:cs="宋体"/>
                <w:kern w:val="0"/>
                <w:sz w:val="24"/>
              </w:rPr>
              <w:t>　</w:t>
            </w:r>
          </w:p>
        </w:tc>
      </w:tr>
      <w:tr w14:paraId="516A4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0" w:type="dxa"/>
            <w:vMerge w:val="continue"/>
            <w:noWrap w:val="0"/>
            <w:vAlign w:val="center"/>
          </w:tcPr>
          <w:p w14:paraId="7DF5C282">
            <w:pPr>
              <w:widowControl/>
              <w:jc w:val="left"/>
              <w:rPr>
                <w:rFonts w:ascii="宋体" w:hAnsi="宋体" w:cs="宋体"/>
                <w:b/>
                <w:bCs/>
                <w:kern w:val="0"/>
                <w:sz w:val="22"/>
                <w:szCs w:val="22"/>
              </w:rPr>
            </w:pPr>
          </w:p>
        </w:tc>
        <w:tc>
          <w:tcPr>
            <w:tcW w:w="1600" w:type="dxa"/>
            <w:vMerge w:val="continue"/>
            <w:noWrap w:val="0"/>
            <w:vAlign w:val="center"/>
          </w:tcPr>
          <w:p w14:paraId="78315278">
            <w:pPr>
              <w:widowControl/>
              <w:jc w:val="left"/>
              <w:rPr>
                <w:rFonts w:ascii="宋体" w:hAnsi="宋体" w:cs="宋体"/>
                <w:kern w:val="0"/>
                <w:sz w:val="22"/>
                <w:szCs w:val="22"/>
              </w:rPr>
            </w:pPr>
          </w:p>
        </w:tc>
        <w:tc>
          <w:tcPr>
            <w:tcW w:w="2560" w:type="dxa"/>
            <w:noWrap/>
            <w:vAlign w:val="center"/>
          </w:tcPr>
          <w:p w14:paraId="7CD9B5F7">
            <w:pPr>
              <w:widowControl/>
              <w:jc w:val="center"/>
              <w:rPr>
                <w:rFonts w:hint="eastAsia" w:ascii="宋体" w:hAnsi="宋体" w:cs="宋体"/>
                <w:kern w:val="0"/>
                <w:sz w:val="22"/>
                <w:szCs w:val="22"/>
              </w:rPr>
            </w:pPr>
            <w:r>
              <w:rPr>
                <w:rFonts w:hint="eastAsia" w:ascii="宋体" w:hAnsi="宋体" w:cs="宋体"/>
                <w:kern w:val="0"/>
                <w:sz w:val="22"/>
                <w:szCs w:val="22"/>
              </w:rPr>
              <w:t>男生公寓D楼</w:t>
            </w:r>
          </w:p>
        </w:tc>
        <w:tc>
          <w:tcPr>
            <w:tcW w:w="1740" w:type="dxa"/>
            <w:noWrap/>
            <w:vAlign w:val="bottom"/>
          </w:tcPr>
          <w:p w14:paraId="7314F1C6">
            <w:pPr>
              <w:widowControl/>
              <w:jc w:val="center"/>
              <w:rPr>
                <w:rFonts w:hint="eastAsia" w:ascii="宋体" w:hAnsi="宋体" w:cs="宋体"/>
                <w:kern w:val="0"/>
                <w:sz w:val="24"/>
              </w:rPr>
            </w:pPr>
            <w:r>
              <w:rPr>
                <w:rFonts w:hint="eastAsia" w:ascii="宋体" w:hAnsi="宋体" w:cs="宋体"/>
                <w:kern w:val="0"/>
                <w:sz w:val="24"/>
              </w:rPr>
              <w:t>　</w:t>
            </w:r>
          </w:p>
        </w:tc>
        <w:tc>
          <w:tcPr>
            <w:tcW w:w="760" w:type="dxa"/>
            <w:noWrap/>
            <w:vAlign w:val="center"/>
          </w:tcPr>
          <w:p w14:paraId="34F651CD">
            <w:pPr>
              <w:widowControl/>
              <w:jc w:val="center"/>
              <w:rPr>
                <w:rFonts w:hint="eastAsia" w:ascii="宋体" w:hAnsi="宋体" w:cs="宋体"/>
                <w:kern w:val="0"/>
                <w:sz w:val="24"/>
              </w:rPr>
            </w:pPr>
            <w:r>
              <w:rPr>
                <w:rFonts w:hint="eastAsia" w:ascii="宋体" w:hAnsi="宋体" w:cs="宋体"/>
                <w:kern w:val="0"/>
                <w:sz w:val="24"/>
              </w:rPr>
              <w:t>2</w:t>
            </w:r>
          </w:p>
        </w:tc>
        <w:tc>
          <w:tcPr>
            <w:tcW w:w="2170" w:type="dxa"/>
            <w:noWrap/>
            <w:vAlign w:val="center"/>
          </w:tcPr>
          <w:p w14:paraId="3BE13E3A">
            <w:pPr>
              <w:widowControl/>
              <w:jc w:val="center"/>
              <w:rPr>
                <w:rFonts w:hint="eastAsia" w:ascii="宋体" w:hAnsi="宋体" w:cs="宋体"/>
                <w:kern w:val="0"/>
                <w:sz w:val="24"/>
              </w:rPr>
            </w:pPr>
            <w:r>
              <w:rPr>
                <w:rFonts w:hint="eastAsia" w:ascii="宋体" w:hAnsi="宋体" w:cs="宋体"/>
                <w:kern w:val="0"/>
                <w:sz w:val="24"/>
              </w:rPr>
              <w:t>　</w:t>
            </w:r>
          </w:p>
        </w:tc>
      </w:tr>
      <w:tr w14:paraId="75BEB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0" w:type="dxa"/>
            <w:vMerge w:val="continue"/>
            <w:noWrap w:val="0"/>
            <w:vAlign w:val="center"/>
          </w:tcPr>
          <w:p w14:paraId="7F4B4C5E">
            <w:pPr>
              <w:widowControl/>
              <w:jc w:val="left"/>
              <w:rPr>
                <w:rFonts w:ascii="宋体" w:hAnsi="宋体" w:cs="宋体"/>
                <w:b/>
                <w:bCs/>
                <w:kern w:val="0"/>
                <w:sz w:val="22"/>
                <w:szCs w:val="22"/>
              </w:rPr>
            </w:pPr>
          </w:p>
        </w:tc>
        <w:tc>
          <w:tcPr>
            <w:tcW w:w="1600" w:type="dxa"/>
            <w:vMerge w:val="restart"/>
            <w:noWrap/>
            <w:vAlign w:val="center"/>
          </w:tcPr>
          <w:p w14:paraId="45816548">
            <w:pPr>
              <w:widowControl/>
              <w:jc w:val="center"/>
              <w:rPr>
                <w:rFonts w:hint="eastAsia" w:ascii="宋体" w:hAnsi="宋体" w:cs="宋体"/>
                <w:kern w:val="0"/>
                <w:sz w:val="22"/>
                <w:szCs w:val="22"/>
              </w:rPr>
            </w:pPr>
            <w:r>
              <w:rPr>
                <w:rFonts w:hint="eastAsia" w:ascii="宋体" w:hAnsi="宋体" w:cs="宋体"/>
                <w:kern w:val="0"/>
                <w:sz w:val="22"/>
                <w:szCs w:val="22"/>
              </w:rPr>
              <w:t>保洁员</w:t>
            </w:r>
          </w:p>
        </w:tc>
        <w:tc>
          <w:tcPr>
            <w:tcW w:w="2560" w:type="dxa"/>
            <w:noWrap/>
            <w:vAlign w:val="center"/>
          </w:tcPr>
          <w:p w14:paraId="2F258B71">
            <w:pPr>
              <w:widowControl/>
              <w:jc w:val="center"/>
              <w:rPr>
                <w:rFonts w:hint="eastAsia" w:ascii="宋体" w:hAnsi="宋体" w:cs="宋体"/>
                <w:kern w:val="0"/>
                <w:sz w:val="22"/>
                <w:szCs w:val="22"/>
              </w:rPr>
            </w:pPr>
            <w:r>
              <w:rPr>
                <w:rFonts w:hint="eastAsia" w:ascii="宋体" w:hAnsi="宋体" w:cs="宋体"/>
                <w:kern w:val="0"/>
                <w:sz w:val="22"/>
                <w:szCs w:val="22"/>
              </w:rPr>
              <w:t>（男、女）生公寓</w:t>
            </w:r>
            <w:r>
              <w:rPr>
                <w:rFonts w:cs="Calibri"/>
                <w:kern w:val="0"/>
                <w:sz w:val="22"/>
                <w:szCs w:val="22"/>
              </w:rPr>
              <w:t>B</w:t>
            </w:r>
            <w:r>
              <w:rPr>
                <w:rFonts w:hint="eastAsia" w:ascii="宋体" w:hAnsi="宋体" w:cs="宋体"/>
                <w:kern w:val="0"/>
                <w:sz w:val="22"/>
                <w:szCs w:val="22"/>
              </w:rPr>
              <w:t>楼</w:t>
            </w:r>
          </w:p>
        </w:tc>
        <w:tc>
          <w:tcPr>
            <w:tcW w:w="1740" w:type="dxa"/>
            <w:noWrap/>
            <w:vAlign w:val="center"/>
          </w:tcPr>
          <w:p w14:paraId="7BDF631F">
            <w:pPr>
              <w:widowControl/>
              <w:jc w:val="center"/>
              <w:rPr>
                <w:rFonts w:hint="eastAsia" w:ascii="宋体" w:hAnsi="宋体" w:cs="宋体"/>
                <w:kern w:val="0"/>
                <w:sz w:val="22"/>
                <w:szCs w:val="22"/>
              </w:rPr>
            </w:pPr>
            <w:r>
              <w:rPr>
                <w:rFonts w:hint="eastAsia" w:ascii="宋体" w:hAnsi="宋体" w:cs="宋体"/>
                <w:kern w:val="0"/>
                <w:sz w:val="22"/>
                <w:szCs w:val="22"/>
              </w:rPr>
              <w:t xml:space="preserve">6000 </w:t>
            </w:r>
          </w:p>
        </w:tc>
        <w:tc>
          <w:tcPr>
            <w:tcW w:w="760" w:type="dxa"/>
            <w:noWrap/>
            <w:vAlign w:val="center"/>
          </w:tcPr>
          <w:p w14:paraId="4A395F14">
            <w:pPr>
              <w:widowControl/>
              <w:jc w:val="center"/>
              <w:rPr>
                <w:rFonts w:hint="eastAsia" w:ascii="宋体" w:hAnsi="宋体" w:cs="宋体"/>
                <w:kern w:val="0"/>
                <w:sz w:val="24"/>
              </w:rPr>
            </w:pPr>
            <w:r>
              <w:rPr>
                <w:rFonts w:hint="eastAsia" w:ascii="宋体" w:hAnsi="宋体" w:cs="宋体"/>
                <w:kern w:val="0"/>
                <w:sz w:val="24"/>
              </w:rPr>
              <w:t>2</w:t>
            </w:r>
          </w:p>
        </w:tc>
        <w:tc>
          <w:tcPr>
            <w:tcW w:w="2170" w:type="dxa"/>
            <w:noWrap/>
            <w:vAlign w:val="center"/>
          </w:tcPr>
          <w:p w14:paraId="520899F6">
            <w:pPr>
              <w:widowControl/>
              <w:jc w:val="center"/>
              <w:rPr>
                <w:rFonts w:hint="eastAsia" w:ascii="宋体" w:hAnsi="宋体" w:cs="宋体"/>
                <w:kern w:val="0"/>
                <w:sz w:val="24"/>
              </w:rPr>
            </w:pPr>
            <w:r>
              <w:rPr>
                <w:rFonts w:hint="eastAsia" w:ascii="宋体" w:hAnsi="宋体" w:cs="宋体"/>
                <w:kern w:val="0"/>
                <w:sz w:val="24"/>
              </w:rPr>
              <w:t>　</w:t>
            </w:r>
          </w:p>
        </w:tc>
      </w:tr>
      <w:tr w14:paraId="49D8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0" w:type="dxa"/>
            <w:vMerge w:val="continue"/>
            <w:noWrap w:val="0"/>
            <w:vAlign w:val="center"/>
          </w:tcPr>
          <w:p w14:paraId="161C5625">
            <w:pPr>
              <w:widowControl/>
              <w:jc w:val="left"/>
              <w:rPr>
                <w:rFonts w:ascii="宋体" w:hAnsi="宋体" w:cs="宋体"/>
                <w:b/>
                <w:bCs/>
                <w:kern w:val="0"/>
                <w:sz w:val="22"/>
                <w:szCs w:val="22"/>
              </w:rPr>
            </w:pPr>
          </w:p>
        </w:tc>
        <w:tc>
          <w:tcPr>
            <w:tcW w:w="1600" w:type="dxa"/>
            <w:vMerge w:val="continue"/>
            <w:noWrap w:val="0"/>
            <w:vAlign w:val="center"/>
          </w:tcPr>
          <w:p w14:paraId="634E4576">
            <w:pPr>
              <w:widowControl/>
              <w:jc w:val="left"/>
              <w:rPr>
                <w:rFonts w:ascii="宋体" w:hAnsi="宋体" w:cs="宋体"/>
                <w:kern w:val="0"/>
                <w:sz w:val="22"/>
                <w:szCs w:val="22"/>
              </w:rPr>
            </w:pPr>
          </w:p>
        </w:tc>
        <w:tc>
          <w:tcPr>
            <w:tcW w:w="2560" w:type="dxa"/>
            <w:noWrap/>
            <w:vAlign w:val="center"/>
          </w:tcPr>
          <w:p w14:paraId="0ACE6097">
            <w:pPr>
              <w:widowControl/>
              <w:jc w:val="center"/>
              <w:rPr>
                <w:rFonts w:hint="eastAsia" w:ascii="宋体" w:hAnsi="宋体" w:cs="宋体"/>
                <w:kern w:val="0"/>
                <w:sz w:val="22"/>
                <w:szCs w:val="22"/>
              </w:rPr>
            </w:pPr>
            <w:r>
              <w:rPr>
                <w:rFonts w:hint="eastAsia" w:ascii="宋体" w:hAnsi="宋体" w:cs="宋体"/>
                <w:kern w:val="0"/>
                <w:sz w:val="22"/>
                <w:szCs w:val="22"/>
              </w:rPr>
              <w:t>女生公寓C楼</w:t>
            </w:r>
          </w:p>
        </w:tc>
        <w:tc>
          <w:tcPr>
            <w:tcW w:w="1740" w:type="dxa"/>
            <w:noWrap/>
            <w:vAlign w:val="center"/>
          </w:tcPr>
          <w:p w14:paraId="7B9ADC6C">
            <w:pPr>
              <w:widowControl/>
              <w:jc w:val="center"/>
              <w:rPr>
                <w:rFonts w:hint="eastAsia" w:ascii="宋体" w:hAnsi="宋体" w:cs="宋体"/>
                <w:kern w:val="0"/>
                <w:sz w:val="22"/>
                <w:szCs w:val="22"/>
              </w:rPr>
            </w:pPr>
            <w:r>
              <w:rPr>
                <w:rFonts w:hint="eastAsia" w:ascii="宋体" w:hAnsi="宋体" w:cs="宋体"/>
                <w:kern w:val="0"/>
                <w:sz w:val="22"/>
                <w:szCs w:val="22"/>
              </w:rPr>
              <w:t xml:space="preserve">6000 </w:t>
            </w:r>
          </w:p>
        </w:tc>
        <w:tc>
          <w:tcPr>
            <w:tcW w:w="760" w:type="dxa"/>
            <w:noWrap/>
            <w:vAlign w:val="center"/>
          </w:tcPr>
          <w:p w14:paraId="5B5440CC">
            <w:pPr>
              <w:widowControl/>
              <w:jc w:val="center"/>
              <w:rPr>
                <w:rFonts w:hint="eastAsia" w:ascii="宋体" w:hAnsi="宋体" w:cs="宋体"/>
                <w:kern w:val="0"/>
                <w:sz w:val="24"/>
              </w:rPr>
            </w:pPr>
            <w:r>
              <w:rPr>
                <w:rFonts w:hint="eastAsia" w:ascii="宋体" w:hAnsi="宋体" w:cs="宋体"/>
                <w:kern w:val="0"/>
                <w:sz w:val="24"/>
              </w:rPr>
              <w:t>2</w:t>
            </w:r>
          </w:p>
        </w:tc>
        <w:tc>
          <w:tcPr>
            <w:tcW w:w="2170" w:type="dxa"/>
            <w:noWrap/>
            <w:vAlign w:val="center"/>
          </w:tcPr>
          <w:p w14:paraId="6F5CE4F0">
            <w:pPr>
              <w:widowControl/>
              <w:jc w:val="center"/>
              <w:rPr>
                <w:rFonts w:hint="eastAsia" w:ascii="宋体" w:hAnsi="宋体" w:cs="宋体"/>
                <w:kern w:val="0"/>
                <w:sz w:val="24"/>
              </w:rPr>
            </w:pPr>
            <w:r>
              <w:rPr>
                <w:rFonts w:hint="eastAsia" w:ascii="宋体" w:hAnsi="宋体" w:cs="宋体"/>
                <w:kern w:val="0"/>
                <w:sz w:val="24"/>
              </w:rPr>
              <w:t>　</w:t>
            </w:r>
          </w:p>
        </w:tc>
      </w:tr>
      <w:tr w14:paraId="7234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0" w:type="dxa"/>
            <w:vMerge w:val="continue"/>
            <w:noWrap w:val="0"/>
            <w:vAlign w:val="center"/>
          </w:tcPr>
          <w:p w14:paraId="020B3F3D">
            <w:pPr>
              <w:widowControl/>
              <w:jc w:val="left"/>
              <w:rPr>
                <w:rFonts w:ascii="宋体" w:hAnsi="宋体" w:cs="宋体"/>
                <w:b/>
                <w:bCs/>
                <w:kern w:val="0"/>
                <w:sz w:val="22"/>
                <w:szCs w:val="22"/>
              </w:rPr>
            </w:pPr>
          </w:p>
        </w:tc>
        <w:tc>
          <w:tcPr>
            <w:tcW w:w="1600" w:type="dxa"/>
            <w:vMerge w:val="continue"/>
            <w:noWrap w:val="0"/>
            <w:vAlign w:val="center"/>
          </w:tcPr>
          <w:p w14:paraId="417D7D94">
            <w:pPr>
              <w:widowControl/>
              <w:jc w:val="left"/>
              <w:rPr>
                <w:rFonts w:ascii="宋体" w:hAnsi="宋体" w:cs="宋体"/>
                <w:kern w:val="0"/>
                <w:sz w:val="22"/>
                <w:szCs w:val="22"/>
              </w:rPr>
            </w:pPr>
          </w:p>
        </w:tc>
        <w:tc>
          <w:tcPr>
            <w:tcW w:w="2560" w:type="dxa"/>
            <w:noWrap/>
            <w:vAlign w:val="center"/>
          </w:tcPr>
          <w:p w14:paraId="3D1A2ACE">
            <w:pPr>
              <w:widowControl/>
              <w:jc w:val="center"/>
              <w:rPr>
                <w:rFonts w:hint="eastAsia" w:ascii="宋体" w:hAnsi="宋体" w:cs="宋体"/>
                <w:kern w:val="0"/>
                <w:sz w:val="22"/>
                <w:szCs w:val="22"/>
              </w:rPr>
            </w:pPr>
            <w:r>
              <w:rPr>
                <w:rFonts w:hint="eastAsia" w:ascii="宋体" w:hAnsi="宋体" w:cs="宋体"/>
                <w:kern w:val="0"/>
                <w:sz w:val="22"/>
                <w:szCs w:val="22"/>
              </w:rPr>
              <w:t>男生公寓D楼</w:t>
            </w:r>
          </w:p>
        </w:tc>
        <w:tc>
          <w:tcPr>
            <w:tcW w:w="1740" w:type="dxa"/>
            <w:noWrap/>
            <w:vAlign w:val="center"/>
          </w:tcPr>
          <w:p w14:paraId="2439D361">
            <w:pPr>
              <w:widowControl/>
              <w:jc w:val="center"/>
              <w:rPr>
                <w:rFonts w:hint="eastAsia" w:ascii="宋体" w:hAnsi="宋体" w:cs="宋体"/>
                <w:kern w:val="0"/>
                <w:sz w:val="22"/>
                <w:szCs w:val="22"/>
              </w:rPr>
            </w:pPr>
            <w:r>
              <w:rPr>
                <w:rFonts w:hint="eastAsia" w:ascii="宋体" w:hAnsi="宋体" w:cs="宋体"/>
                <w:kern w:val="0"/>
                <w:sz w:val="22"/>
                <w:szCs w:val="22"/>
              </w:rPr>
              <w:t xml:space="preserve">6000 </w:t>
            </w:r>
          </w:p>
        </w:tc>
        <w:tc>
          <w:tcPr>
            <w:tcW w:w="760" w:type="dxa"/>
            <w:noWrap/>
            <w:vAlign w:val="center"/>
          </w:tcPr>
          <w:p w14:paraId="62476D28">
            <w:pPr>
              <w:widowControl/>
              <w:jc w:val="center"/>
              <w:rPr>
                <w:rFonts w:hint="eastAsia" w:ascii="宋体" w:hAnsi="宋体" w:cs="宋体"/>
                <w:kern w:val="0"/>
                <w:sz w:val="24"/>
              </w:rPr>
            </w:pPr>
            <w:r>
              <w:rPr>
                <w:rFonts w:hint="eastAsia" w:ascii="宋体" w:hAnsi="宋体" w:cs="宋体"/>
                <w:kern w:val="0"/>
                <w:sz w:val="24"/>
              </w:rPr>
              <w:t>2</w:t>
            </w:r>
          </w:p>
        </w:tc>
        <w:tc>
          <w:tcPr>
            <w:tcW w:w="2170" w:type="dxa"/>
            <w:noWrap/>
            <w:vAlign w:val="center"/>
          </w:tcPr>
          <w:p w14:paraId="3E1FBB90">
            <w:pPr>
              <w:widowControl/>
              <w:jc w:val="center"/>
              <w:rPr>
                <w:rFonts w:hint="eastAsia" w:ascii="宋体" w:hAnsi="宋体" w:cs="宋体"/>
                <w:kern w:val="0"/>
                <w:sz w:val="24"/>
              </w:rPr>
            </w:pPr>
            <w:r>
              <w:rPr>
                <w:rFonts w:hint="eastAsia" w:ascii="宋体" w:hAnsi="宋体" w:cs="宋体"/>
                <w:kern w:val="0"/>
                <w:sz w:val="24"/>
              </w:rPr>
              <w:t>　</w:t>
            </w:r>
          </w:p>
        </w:tc>
      </w:tr>
      <w:tr w14:paraId="48C35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840" w:type="dxa"/>
            <w:gridSpan w:val="4"/>
            <w:noWrap/>
            <w:vAlign w:val="center"/>
          </w:tcPr>
          <w:p w14:paraId="03FF68A0">
            <w:pPr>
              <w:widowControl/>
              <w:jc w:val="center"/>
              <w:rPr>
                <w:rFonts w:hint="eastAsia" w:ascii="宋体" w:hAnsi="宋体" w:cs="宋体"/>
                <w:kern w:val="0"/>
                <w:sz w:val="22"/>
                <w:szCs w:val="22"/>
              </w:rPr>
            </w:pPr>
            <w:r>
              <w:rPr>
                <w:rFonts w:hint="eastAsia" w:ascii="宋体" w:hAnsi="宋体" w:cs="宋体"/>
                <w:kern w:val="0"/>
                <w:sz w:val="22"/>
                <w:szCs w:val="22"/>
              </w:rPr>
              <w:t>共计：</w:t>
            </w:r>
          </w:p>
        </w:tc>
        <w:tc>
          <w:tcPr>
            <w:tcW w:w="760" w:type="dxa"/>
            <w:noWrap/>
            <w:vAlign w:val="center"/>
          </w:tcPr>
          <w:p w14:paraId="1B783E18">
            <w:pPr>
              <w:widowControl/>
              <w:jc w:val="center"/>
              <w:rPr>
                <w:rFonts w:hint="eastAsia" w:ascii="宋体" w:hAnsi="宋体" w:cs="宋体"/>
                <w:kern w:val="0"/>
                <w:sz w:val="24"/>
              </w:rPr>
            </w:pPr>
            <w:r>
              <w:rPr>
                <w:rFonts w:hint="eastAsia" w:ascii="宋体" w:hAnsi="宋体" w:cs="宋体"/>
                <w:kern w:val="0"/>
                <w:sz w:val="24"/>
              </w:rPr>
              <w:t>33</w:t>
            </w:r>
          </w:p>
        </w:tc>
        <w:tc>
          <w:tcPr>
            <w:tcW w:w="2170" w:type="dxa"/>
            <w:noWrap w:val="0"/>
            <w:vAlign w:val="center"/>
          </w:tcPr>
          <w:p w14:paraId="3453CA9C">
            <w:pPr>
              <w:widowControl/>
              <w:jc w:val="center"/>
              <w:rPr>
                <w:rFonts w:hint="eastAsia" w:ascii="宋体" w:hAnsi="宋体" w:cs="宋体"/>
                <w:kern w:val="0"/>
                <w:sz w:val="24"/>
              </w:rPr>
            </w:pPr>
          </w:p>
        </w:tc>
      </w:tr>
    </w:tbl>
    <w:p w14:paraId="0A2D20E3">
      <w:pPr>
        <w:spacing w:line="240" w:lineRule="atLeast"/>
        <w:ind w:firstLine="640" w:firstLineChars="200"/>
        <w:jc w:val="left"/>
        <w:rPr>
          <w:rFonts w:hint="default" w:ascii="仿宋_GB2312" w:eastAsia="仿宋_GB2312"/>
          <w:sz w:val="32"/>
          <w:szCs w:val="40"/>
        </w:rPr>
      </w:pPr>
    </w:p>
    <w:p w14:paraId="0AEF6610">
      <w:pPr>
        <w:spacing w:line="240" w:lineRule="atLeast"/>
        <w:ind w:firstLine="640" w:firstLineChars="200"/>
        <w:jc w:val="left"/>
        <w:rPr>
          <w:rFonts w:hint="default" w:ascii="仿宋_GB2312" w:eastAsia="仿宋_GB2312"/>
          <w:sz w:val="32"/>
          <w:szCs w:val="40"/>
        </w:rPr>
      </w:pPr>
    </w:p>
    <w:p w14:paraId="5E38CF02">
      <w:pPr>
        <w:numPr>
          <w:ilvl w:val="0"/>
          <w:numId w:val="0"/>
        </w:numPr>
        <w:spacing w:line="240" w:lineRule="atLeast"/>
        <w:ind w:firstLine="643" w:firstLineChars="200"/>
        <w:jc w:val="left"/>
        <w:outlineLvl w:val="2"/>
        <w:rPr>
          <w:rFonts w:ascii="仿宋_GB2312" w:eastAsia="仿宋_GB2312"/>
          <w:b/>
          <w:bCs/>
          <w:sz w:val="32"/>
          <w:szCs w:val="40"/>
        </w:rPr>
      </w:pPr>
      <w:r>
        <w:rPr>
          <w:rFonts w:hint="eastAsia" w:ascii="仿宋_GB2312" w:eastAsia="仿宋_GB2312"/>
          <w:b/>
          <w:bCs/>
          <w:sz w:val="32"/>
          <w:szCs w:val="40"/>
          <w:lang w:val="en-US" w:eastAsia="zh-CN"/>
        </w:rPr>
        <w:t>2、服务</w:t>
      </w:r>
      <w:r>
        <w:rPr>
          <w:rFonts w:ascii="仿宋_GB2312" w:eastAsia="仿宋_GB2312"/>
          <w:b/>
          <w:bCs/>
          <w:sz w:val="32"/>
          <w:szCs w:val="40"/>
        </w:rPr>
        <w:t>人员</w:t>
      </w:r>
      <w:r>
        <w:rPr>
          <w:rFonts w:hint="eastAsia" w:ascii="仿宋_GB2312" w:eastAsia="仿宋_GB2312"/>
          <w:b/>
          <w:bCs/>
          <w:sz w:val="32"/>
          <w:szCs w:val="40"/>
          <w:lang w:val="en-US" w:eastAsia="zh-CN"/>
        </w:rPr>
        <w:t>配备</w:t>
      </w:r>
      <w:r>
        <w:rPr>
          <w:rFonts w:ascii="仿宋_GB2312" w:eastAsia="仿宋_GB2312"/>
          <w:b/>
          <w:bCs/>
          <w:sz w:val="32"/>
          <w:szCs w:val="40"/>
        </w:rPr>
        <w:t>要求：</w:t>
      </w:r>
    </w:p>
    <w:tbl>
      <w:tblPr>
        <w:tblStyle w:val="54"/>
        <w:tblW w:w="8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805"/>
        <w:gridCol w:w="1230"/>
        <w:gridCol w:w="941"/>
        <w:gridCol w:w="2453"/>
        <w:gridCol w:w="1990"/>
      </w:tblGrid>
      <w:tr w14:paraId="7E16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center"/>
          </w:tcPr>
          <w:p w14:paraId="3C0FB43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包号</w:t>
            </w:r>
          </w:p>
        </w:tc>
        <w:tc>
          <w:tcPr>
            <w:tcW w:w="805" w:type="dxa"/>
            <w:noWrap w:val="0"/>
            <w:vAlign w:val="center"/>
          </w:tcPr>
          <w:p w14:paraId="461D8C8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序号</w:t>
            </w:r>
          </w:p>
        </w:tc>
        <w:tc>
          <w:tcPr>
            <w:tcW w:w="1230" w:type="dxa"/>
            <w:noWrap w:val="0"/>
            <w:vAlign w:val="center"/>
          </w:tcPr>
          <w:p w14:paraId="1817DFD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岗位名称</w:t>
            </w:r>
          </w:p>
        </w:tc>
        <w:tc>
          <w:tcPr>
            <w:tcW w:w="941" w:type="dxa"/>
            <w:noWrap w:val="0"/>
            <w:vAlign w:val="center"/>
          </w:tcPr>
          <w:p w14:paraId="69B35FD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数量（人）</w:t>
            </w:r>
          </w:p>
        </w:tc>
        <w:tc>
          <w:tcPr>
            <w:tcW w:w="2453" w:type="dxa"/>
            <w:noWrap w:val="0"/>
            <w:vAlign w:val="center"/>
          </w:tcPr>
          <w:p w14:paraId="06A2E95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岗位要求</w:t>
            </w:r>
          </w:p>
        </w:tc>
        <w:tc>
          <w:tcPr>
            <w:tcW w:w="1990" w:type="dxa"/>
            <w:noWrap w:val="0"/>
            <w:vAlign w:val="center"/>
          </w:tcPr>
          <w:p w14:paraId="73A98F5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证明材料要求</w:t>
            </w:r>
          </w:p>
        </w:tc>
      </w:tr>
      <w:tr w14:paraId="3D1A0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05" w:type="dxa"/>
            <w:vMerge w:val="restart"/>
            <w:noWrap w:val="0"/>
            <w:vAlign w:val="center"/>
          </w:tcPr>
          <w:p w14:paraId="15AC1161">
            <w:pPr>
              <w:spacing w:line="560" w:lineRule="exact"/>
              <w:jc w:val="center"/>
              <w:rPr>
                <w:rFonts w:hint="eastAsia" w:ascii="仿宋_GB2312" w:hAnsi="仿宋_GB2312" w:eastAsia="仿宋_GB2312" w:cs="仿宋_GB2312"/>
                <w:color w:val="000000"/>
                <w:sz w:val="24"/>
                <w:szCs w:val="24"/>
                <w:vertAlign w:val="baseline"/>
                <w:lang w:val="en-US" w:eastAsia="zh-CN"/>
              </w:rPr>
            </w:pPr>
          </w:p>
          <w:p w14:paraId="368FB897">
            <w:pPr>
              <w:spacing w:line="560" w:lineRule="exact"/>
              <w:jc w:val="center"/>
              <w:rPr>
                <w:rFonts w:hint="eastAsia" w:ascii="仿宋_GB2312" w:hAnsi="仿宋_GB2312" w:eastAsia="仿宋_GB2312" w:cs="仿宋_GB2312"/>
                <w:color w:val="000000"/>
                <w:sz w:val="24"/>
                <w:szCs w:val="24"/>
                <w:vertAlign w:val="baseline"/>
                <w:lang w:val="en-US" w:eastAsia="zh-CN"/>
              </w:rPr>
            </w:pPr>
          </w:p>
          <w:p w14:paraId="455C2987">
            <w:pPr>
              <w:spacing w:line="560" w:lineRule="exact"/>
              <w:jc w:val="center"/>
              <w:rPr>
                <w:rFonts w:hint="eastAsia" w:ascii="仿宋_GB2312" w:hAnsi="仿宋_GB2312" w:eastAsia="仿宋_GB2312" w:cs="仿宋_GB2312"/>
                <w:color w:val="000000"/>
                <w:sz w:val="24"/>
                <w:szCs w:val="24"/>
                <w:vertAlign w:val="baseline"/>
                <w:lang w:val="en-US" w:eastAsia="zh-CN"/>
              </w:rPr>
            </w:pPr>
          </w:p>
          <w:p w14:paraId="5BC2DB2A">
            <w:pPr>
              <w:spacing w:line="560" w:lineRule="exact"/>
              <w:jc w:val="center"/>
              <w:rPr>
                <w:rFonts w:hint="eastAsia" w:ascii="仿宋_GB2312" w:hAnsi="仿宋_GB2312" w:eastAsia="仿宋_GB2312" w:cs="仿宋_GB2312"/>
                <w:color w:val="000000"/>
                <w:sz w:val="24"/>
                <w:szCs w:val="24"/>
                <w:vertAlign w:val="baseline"/>
                <w:lang w:val="en-US" w:eastAsia="zh-CN"/>
              </w:rPr>
            </w:pPr>
          </w:p>
          <w:p w14:paraId="3C3221BF">
            <w:pPr>
              <w:spacing w:line="560" w:lineRule="exact"/>
              <w:jc w:val="center"/>
              <w:rPr>
                <w:rFonts w:hint="eastAsia" w:ascii="仿宋_GB2312" w:hAnsi="仿宋_GB2312" w:eastAsia="仿宋_GB2312" w:cs="仿宋_GB2312"/>
                <w:color w:val="000000"/>
                <w:sz w:val="24"/>
                <w:szCs w:val="24"/>
                <w:vertAlign w:val="baseline"/>
                <w:lang w:val="en-US" w:eastAsia="zh-CN"/>
              </w:rPr>
            </w:pPr>
          </w:p>
          <w:p w14:paraId="6D0C9186">
            <w:pPr>
              <w:spacing w:line="560" w:lineRule="exact"/>
              <w:jc w:val="center"/>
              <w:rPr>
                <w:rFonts w:hint="eastAsia" w:ascii="仿宋_GB2312" w:hAnsi="仿宋_GB2312" w:eastAsia="仿宋_GB2312" w:cs="仿宋_GB2312"/>
                <w:color w:val="000000"/>
                <w:sz w:val="24"/>
                <w:szCs w:val="24"/>
                <w:vertAlign w:val="baseline"/>
                <w:lang w:val="en-US" w:eastAsia="zh-CN"/>
              </w:rPr>
            </w:pPr>
          </w:p>
          <w:p w14:paraId="0A796A32">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b/>
                <w:bCs/>
                <w:color w:val="000000"/>
                <w:sz w:val="24"/>
                <w:szCs w:val="24"/>
                <w:vertAlign w:val="baseline"/>
                <w:lang w:val="en-US" w:eastAsia="zh-CN"/>
              </w:rPr>
              <w:t>包1</w:t>
            </w:r>
          </w:p>
        </w:tc>
        <w:tc>
          <w:tcPr>
            <w:tcW w:w="805" w:type="dxa"/>
            <w:vMerge w:val="restart"/>
            <w:noWrap w:val="0"/>
            <w:vAlign w:val="center"/>
          </w:tcPr>
          <w:p w14:paraId="1B797404">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w:t>
            </w:r>
          </w:p>
        </w:tc>
        <w:tc>
          <w:tcPr>
            <w:tcW w:w="1230" w:type="dxa"/>
            <w:vMerge w:val="restart"/>
            <w:noWrap w:val="0"/>
            <w:vAlign w:val="center"/>
          </w:tcPr>
          <w:p w14:paraId="4D86AC34">
            <w:pPr>
              <w:spacing w:line="560" w:lineRule="exact"/>
              <w:jc w:val="center"/>
              <w:rPr>
                <w:rFonts w:hint="default" w:ascii="仿宋_GB2312" w:hAnsi="仿宋_GB2312" w:eastAsia="仿宋_GB2312" w:cs="仿宋_GB2312"/>
                <w:color w:val="000000"/>
                <w:sz w:val="24"/>
                <w:szCs w:val="24"/>
                <w:shd w:val="clear" w:color="auto" w:fill="auto"/>
                <w:lang w:val="en"/>
              </w:rPr>
            </w:pPr>
            <w:r>
              <w:rPr>
                <w:rFonts w:hint="default" w:ascii="仿宋_GB2312" w:hAnsi="仿宋_GB2312" w:eastAsia="仿宋_GB2312" w:cs="仿宋_GB2312"/>
                <w:color w:val="000000"/>
                <w:sz w:val="24"/>
                <w:szCs w:val="24"/>
                <w:shd w:val="clear" w:color="auto" w:fill="auto"/>
                <w:lang w:val="en"/>
              </w:rPr>
              <w:t>项目经理</w:t>
            </w:r>
          </w:p>
        </w:tc>
        <w:tc>
          <w:tcPr>
            <w:tcW w:w="941" w:type="dxa"/>
            <w:vMerge w:val="restart"/>
            <w:noWrap w:val="0"/>
            <w:vAlign w:val="center"/>
          </w:tcPr>
          <w:p w14:paraId="3BE78019">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w:t>
            </w:r>
          </w:p>
        </w:tc>
        <w:tc>
          <w:tcPr>
            <w:tcW w:w="2453" w:type="dxa"/>
            <w:noWrap w:val="0"/>
            <w:vAlign w:val="center"/>
          </w:tcPr>
          <w:p w14:paraId="76051B5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1.年龄在50周岁以下；</w:t>
            </w:r>
          </w:p>
        </w:tc>
        <w:tc>
          <w:tcPr>
            <w:tcW w:w="1990" w:type="dxa"/>
            <w:noWrap w:val="0"/>
            <w:vAlign w:val="center"/>
          </w:tcPr>
          <w:p w14:paraId="31D8CA8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是（提供身份证）</w:t>
            </w:r>
          </w:p>
        </w:tc>
      </w:tr>
      <w:tr w14:paraId="16DF5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05" w:type="dxa"/>
            <w:vMerge w:val="continue"/>
            <w:noWrap w:val="0"/>
            <w:vAlign w:val="center"/>
          </w:tcPr>
          <w:p w14:paraId="6CA87BA5">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805" w:type="dxa"/>
            <w:vMerge w:val="continue"/>
            <w:noWrap w:val="0"/>
            <w:vAlign w:val="center"/>
          </w:tcPr>
          <w:p w14:paraId="6C876FE1">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230" w:type="dxa"/>
            <w:vMerge w:val="continue"/>
            <w:noWrap w:val="0"/>
            <w:vAlign w:val="center"/>
          </w:tcPr>
          <w:p w14:paraId="15DD0252">
            <w:pPr>
              <w:spacing w:line="560" w:lineRule="exact"/>
              <w:jc w:val="center"/>
              <w:rPr>
                <w:rFonts w:hint="default" w:ascii="仿宋_GB2312" w:hAnsi="仿宋_GB2312" w:eastAsia="仿宋_GB2312" w:cs="仿宋_GB2312"/>
                <w:color w:val="000000"/>
                <w:sz w:val="24"/>
                <w:szCs w:val="24"/>
                <w:shd w:val="clear" w:color="auto" w:fill="auto"/>
                <w:lang w:val="en"/>
              </w:rPr>
            </w:pPr>
          </w:p>
        </w:tc>
        <w:tc>
          <w:tcPr>
            <w:tcW w:w="941" w:type="dxa"/>
            <w:vMerge w:val="continue"/>
            <w:noWrap w:val="0"/>
            <w:vAlign w:val="center"/>
          </w:tcPr>
          <w:p w14:paraId="47E85697">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2453" w:type="dxa"/>
            <w:noWrap w:val="0"/>
            <w:vAlign w:val="center"/>
          </w:tcPr>
          <w:p w14:paraId="45A4A9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2.本科以上学历；</w:t>
            </w:r>
          </w:p>
        </w:tc>
        <w:tc>
          <w:tcPr>
            <w:tcW w:w="1990" w:type="dxa"/>
            <w:noWrap w:val="0"/>
            <w:vAlign w:val="center"/>
          </w:tcPr>
          <w:p w14:paraId="773A483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是（提供学历证明）</w:t>
            </w:r>
          </w:p>
        </w:tc>
      </w:tr>
      <w:tr w14:paraId="18542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5" w:type="dxa"/>
            <w:vMerge w:val="continue"/>
            <w:noWrap w:val="0"/>
            <w:vAlign w:val="center"/>
          </w:tcPr>
          <w:p w14:paraId="46C53140">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805" w:type="dxa"/>
            <w:vMerge w:val="continue"/>
            <w:noWrap w:val="0"/>
            <w:vAlign w:val="center"/>
          </w:tcPr>
          <w:p w14:paraId="7229A29C">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230" w:type="dxa"/>
            <w:vMerge w:val="continue"/>
            <w:noWrap w:val="0"/>
            <w:vAlign w:val="center"/>
          </w:tcPr>
          <w:p w14:paraId="70E12FD9">
            <w:pPr>
              <w:spacing w:line="560" w:lineRule="exact"/>
              <w:jc w:val="center"/>
              <w:rPr>
                <w:rFonts w:hint="default" w:ascii="仿宋_GB2312" w:hAnsi="仿宋_GB2312" w:eastAsia="仿宋_GB2312" w:cs="仿宋_GB2312"/>
                <w:color w:val="000000"/>
                <w:sz w:val="24"/>
                <w:szCs w:val="24"/>
                <w:shd w:val="clear" w:color="auto" w:fill="auto"/>
                <w:lang w:val="en"/>
              </w:rPr>
            </w:pPr>
          </w:p>
        </w:tc>
        <w:tc>
          <w:tcPr>
            <w:tcW w:w="941" w:type="dxa"/>
            <w:vMerge w:val="continue"/>
            <w:noWrap w:val="0"/>
            <w:vAlign w:val="center"/>
          </w:tcPr>
          <w:p w14:paraId="0289CAC7">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2453" w:type="dxa"/>
            <w:noWrap w:val="0"/>
            <w:vAlign w:val="center"/>
          </w:tcPr>
          <w:p w14:paraId="3AA21F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3.具有3年以上类似项目管理经验。</w:t>
            </w:r>
          </w:p>
        </w:tc>
        <w:tc>
          <w:tcPr>
            <w:tcW w:w="1990" w:type="dxa"/>
            <w:noWrap w:val="0"/>
            <w:vAlign w:val="center"/>
          </w:tcPr>
          <w:p w14:paraId="65AA6F2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（需提供服务合同和加盖采购单位公章的证明材料）</w:t>
            </w:r>
          </w:p>
        </w:tc>
      </w:tr>
      <w:tr w14:paraId="5687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05" w:type="dxa"/>
            <w:vMerge w:val="continue"/>
            <w:noWrap w:val="0"/>
            <w:vAlign w:val="center"/>
          </w:tcPr>
          <w:p w14:paraId="1F503690">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805" w:type="dxa"/>
            <w:vMerge w:val="restart"/>
            <w:noWrap w:val="0"/>
            <w:vAlign w:val="center"/>
          </w:tcPr>
          <w:p w14:paraId="50E63182">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w:t>
            </w:r>
          </w:p>
        </w:tc>
        <w:tc>
          <w:tcPr>
            <w:tcW w:w="1230" w:type="dxa"/>
            <w:vMerge w:val="restart"/>
            <w:noWrap w:val="0"/>
            <w:vAlign w:val="center"/>
          </w:tcPr>
          <w:p w14:paraId="022C7DA1">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综合维修人员</w:t>
            </w:r>
          </w:p>
        </w:tc>
        <w:tc>
          <w:tcPr>
            <w:tcW w:w="941" w:type="dxa"/>
            <w:vMerge w:val="restart"/>
            <w:noWrap w:val="0"/>
            <w:vAlign w:val="center"/>
          </w:tcPr>
          <w:p w14:paraId="6EAD19E6">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5</w:t>
            </w:r>
          </w:p>
        </w:tc>
        <w:tc>
          <w:tcPr>
            <w:tcW w:w="2453" w:type="dxa"/>
            <w:noWrap w:val="0"/>
            <w:vAlign w:val="center"/>
          </w:tcPr>
          <w:p w14:paraId="118DCE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1.年龄在50周岁以下；</w:t>
            </w:r>
          </w:p>
        </w:tc>
        <w:tc>
          <w:tcPr>
            <w:tcW w:w="1990" w:type="dxa"/>
            <w:noWrap w:val="0"/>
            <w:vAlign w:val="center"/>
          </w:tcPr>
          <w:p w14:paraId="559DEB1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shd w:val="clear" w:color="auto" w:fill="auto"/>
                <w:lang w:val="en-US" w:eastAsia="zh-CN"/>
              </w:rPr>
            </w:pPr>
            <w:r>
              <w:rPr>
                <w:rFonts w:hint="eastAsia" w:ascii="仿宋_GB2312" w:hAnsi="仿宋_GB2312" w:eastAsia="仿宋_GB2312" w:cs="仿宋_GB2312"/>
                <w:color w:val="000000"/>
                <w:sz w:val="24"/>
                <w:szCs w:val="24"/>
                <w:vertAlign w:val="baseline"/>
                <w:lang w:val="en-US" w:eastAsia="zh-CN"/>
              </w:rPr>
              <w:t>是（提供身份证）</w:t>
            </w:r>
          </w:p>
        </w:tc>
      </w:tr>
      <w:tr w14:paraId="3689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05" w:type="dxa"/>
            <w:vMerge w:val="continue"/>
            <w:noWrap w:val="0"/>
            <w:vAlign w:val="center"/>
          </w:tcPr>
          <w:p w14:paraId="7B852CEC">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805" w:type="dxa"/>
            <w:vMerge w:val="continue"/>
            <w:noWrap w:val="0"/>
            <w:vAlign w:val="center"/>
          </w:tcPr>
          <w:p w14:paraId="6AD1665E">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230" w:type="dxa"/>
            <w:vMerge w:val="continue"/>
            <w:noWrap w:val="0"/>
            <w:vAlign w:val="center"/>
          </w:tcPr>
          <w:p w14:paraId="0FD494C5">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941" w:type="dxa"/>
            <w:vMerge w:val="continue"/>
            <w:noWrap w:val="0"/>
            <w:vAlign w:val="center"/>
          </w:tcPr>
          <w:p w14:paraId="7DA8753A">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2453" w:type="dxa"/>
            <w:noWrap w:val="0"/>
            <w:vAlign w:val="center"/>
          </w:tcPr>
          <w:p w14:paraId="73B733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2.专科以上学历；</w:t>
            </w:r>
          </w:p>
        </w:tc>
        <w:tc>
          <w:tcPr>
            <w:tcW w:w="1990" w:type="dxa"/>
            <w:noWrap w:val="0"/>
            <w:vAlign w:val="center"/>
          </w:tcPr>
          <w:p w14:paraId="258BEF7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shd w:val="clear" w:color="auto" w:fill="auto"/>
                <w:lang w:val="en-US" w:eastAsia="zh-CN"/>
              </w:rPr>
            </w:pPr>
            <w:r>
              <w:rPr>
                <w:rFonts w:hint="eastAsia" w:ascii="仿宋_GB2312" w:hAnsi="仿宋_GB2312" w:eastAsia="仿宋_GB2312" w:cs="仿宋_GB2312"/>
                <w:color w:val="000000"/>
                <w:sz w:val="24"/>
                <w:szCs w:val="24"/>
                <w:vertAlign w:val="baseline"/>
                <w:lang w:val="en-US" w:eastAsia="zh-CN"/>
              </w:rPr>
              <w:t>是（提供学历证明）</w:t>
            </w:r>
          </w:p>
        </w:tc>
      </w:tr>
      <w:tr w14:paraId="59E8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noWrap w:val="0"/>
            <w:vAlign w:val="center"/>
          </w:tcPr>
          <w:p w14:paraId="739D5BCC">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805" w:type="dxa"/>
            <w:vMerge w:val="continue"/>
            <w:noWrap w:val="0"/>
            <w:vAlign w:val="center"/>
          </w:tcPr>
          <w:p w14:paraId="369E18A5">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230" w:type="dxa"/>
            <w:vMerge w:val="continue"/>
            <w:noWrap w:val="0"/>
            <w:vAlign w:val="center"/>
          </w:tcPr>
          <w:p w14:paraId="5A2C1816">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941" w:type="dxa"/>
            <w:vMerge w:val="continue"/>
            <w:noWrap w:val="0"/>
            <w:vAlign w:val="center"/>
          </w:tcPr>
          <w:p w14:paraId="6F1C4863">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2453" w:type="dxa"/>
            <w:noWrap w:val="0"/>
            <w:vAlign w:val="center"/>
          </w:tcPr>
          <w:p w14:paraId="27D53E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3.具有3年以上类似项目管理经验；</w:t>
            </w:r>
          </w:p>
        </w:tc>
        <w:tc>
          <w:tcPr>
            <w:tcW w:w="1990" w:type="dxa"/>
            <w:noWrap w:val="0"/>
            <w:vAlign w:val="center"/>
          </w:tcPr>
          <w:p w14:paraId="3B3C231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shd w:val="clear" w:color="auto" w:fill="auto"/>
                <w:lang w:val="en-US" w:eastAsia="zh-CN"/>
              </w:rPr>
            </w:pPr>
            <w:r>
              <w:rPr>
                <w:rFonts w:hint="eastAsia" w:ascii="仿宋_GB2312" w:hAnsi="仿宋_GB2312" w:eastAsia="仿宋_GB2312" w:cs="仿宋_GB2312"/>
                <w:color w:val="000000"/>
                <w:sz w:val="24"/>
                <w:szCs w:val="24"/>
                <w:vertAlign w:val="baseline"/>
                <w:lang w:val="en-US" w:eastAsia="zh-CN"/>
              </w:rPr>
              <w:t>是（需提供服务合同和加盖采购单位公章的证明材料）</w:t>
            </w:r>
          </w:p>
        </w:tc>
      </w:tr>
      <w:tr w14:paraId="51774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noWrap w:val="0"/>
            <w:vAlign w:val="center"/>
          </w:tcPr>
          <w:p w14:paraId="577B874B">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805" w:type="dxa"/>
            <w:vMerge w:val="continue"/>
            <w:noWrap w:val="0"/>
            <w:vAlign w:val="center"/>
          </w:tcPr>
          <w:p w14:paraId="0016F63E">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230" w:type="dxa"/>
            <w:vMerge w:val="continue"/>
            <w:noWrap w:val="0"/>
            <w:vAlign w:val="center"/>
          </w:tcPr>
          <w:p w14:paraId="01F9D18E">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941" w:type="dxa"/>
            <w:vMerge w:val="continue"/>
            <w:noWrap w:val="0"/>
            <w:vAlign w:val="center"/>
          </w:tcPr>
          <w:p w14:paraId="0AE5A742">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2453" w:type="dxa"/>
            <w:noWrap w:val="0"/>
            <w:vAlign w:val="center"/>
          </w:tcPr>
          <w:p w14:paraId="75DDCB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4.</w:t>
            </w:r>
            <w:r>
              <w:rPr>
                <w:rFonts w:hint="default" w:ascii="仿宋_GB2312" w:hAnsi="仿宋_GB2312" w:eastAsia="仿宋_GB2312" w:cs="仿宋_GB2312"/>
                <w:color w:val="000000"/>
                <w:sz w:val="24"/>
                <w:szCs w:val="24"/>
                <w:vertAlign w:val="baseline"/>
                <w:lang w:val="en-US" w:eastAsia="zh-CN"/>
              </w:rPr>
              <w:t>至少有1人具有政府行政部门颁发的</w:t>
            </w:r>
            <w:r>
              <w:rPr>
                <w:rFonts w:hint="eastAsia" w:ascii="仿宋_GB2312" w:hAnsi="仿宋_GB2312" w:eastAsia="仿宋_GB2312" w:cs="仿宋_GB2312"/>
                <w:color w:val="000000"/>
                <w:sz w:val="24"/>
                <w:szCs w:val="24"/>
                <w:vertAlign w:val="baseline"/>
                <w:lang w:val="en-US" w:eastAsia="zh-CN"/>
              </w:rPr>
              <w:t>有效</w:t>
            </w:r>
            <w:r>
              <w:rPr>
                <w:rFonts w:hint="default" w:ascii="仿宋_GB2312" w:hAnsi="仿宋_GB2312" w:eastAsia="仿宋_GB2312" w:cs="仿宋_GB2312"/>
                <w:color w:val="000000"/>
                <w:sz w:val="24"/>
                <w:szCs w:val="24"/>
                <w:vertAlign w:val="baseline"/>
                <w:lang w:val="en-US" w:eastAsia="zh-CN"/>
              </w:rPr>
              <w:t>电气或机电类中级以上职称证书</w:t>
            </w:r>
            <w:r>
              <w:rPr>
                <w:rFonts w:hint="eastAsia" w:ascii="仿宋_GB2312" w:hAnsi="仿宋_GB2312" w:eastAsia="仿宋_GB2312" w:cs="仿宋_GB2312"/>
                <w:color w:val="000000"/>
                <w:sz w:val="24"/>
                <w:szCs w:val="24"/>
                <w:vertAlign w:val="baseline"/>
                <w:lang w:val="en-US" w:eastAsia="zh-CN"/>
              </w:rPr>
              <w:t>。</w:t>
            </w:r>
          </w:p>
        </w:tc>
        <w:tc>
          <w:tcPr>
            <w:tcW w:w="1990" w:type="dxa"/>
            <w:noWrap w:val="0"/>
            <w:vAlign w:val="center"/>
          </w:tcPr>
          <w:p w14:paraId="57E4B9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是（提供职称证书）</w:t>
            </w:r>
          </w:p>
        </w:tc>
      </w:tr>
      <w:tr w14:paraId="217ED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noWrap w:val="0"/>
            <w:vAlign w:val="center"/>
          </w:tcPr>
          <w:p w14:paraId="28FAE008">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805" w:type="dxa"/>
            <w:vMerge w:val="continue"/>
            <w:noWrap w:val="0"/>
            <w:vAlign w:val="center"/>
          </w:tcPr>
          <w:p w14:paraId="48216267">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230" w:type="dxa"/>
            <w:vMerge w:val="continue"/>
            <w:noWrap w:val="0"/>
            <w:vAlign w:val="center"/>
          </w:tcPr>
          <w:p w14:paraId="6F7A1B1B">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941" w:type="dxa"/>
            <w:vMerge w:val="continue"/>
            <w:noWrap w:val="0"/>
            <w:vAlign w:val="center"/>
          </w:tcPr>
          <w:p w14:paraId="036098DA">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2453" w:type="dxa"/>
            <w:noWrap w:val="0"/>
            <w:vAlign w:val="center"/>
          </w:tcPr>
          <w:p w14:paraId="11B545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5.至少1人具备电工从业资格</w:t>
            </w:r>
          </w:p>
        </w:tc>
        <w:tc>
          <w:tcPr>
            <w:tcW w:w="1990" w:type="dxa"/>
            <w:noWrap w:val="0"/>
            <w:vAlign w:val="center"/>
          </w:tcPr>
          <w:p w14:paraId="14B6FA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是【提供政府部门考核发放的有效“特种作业操作证（电工）”（高压电工作业）】。</w:t>
            </w:r>
          </w:p>
        </w:tc>
      </w:tr>
      <w:tr w14:paraId="18B27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noWrap w:val="0"/>
            <w:vAlign w:val="center"/>
          </w:tcPr>
          <w:p w14:paraId="3D429BA2">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805" w:type="dxa"/>
            <w:vMerge w:val="restart"/>
            <w:noWrap w:val="0"/>
            <w:vAlign w:val="center"/>
          </w:tcPr>
          <w:p w14:paraId="70DF826E">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3</w:t>
            </w:r>
          </w:p>
        </w:tc>
        <w:tc>
          <w:tcPr>
            <w:tcW w:w="1230" w:type="dxa"/>
            <w:vMerge w:val="restart"/>
            <w:noWrap w:val="0"/>
            <w:vAlign w:val="center"/>
          </w:tcPr>
          <w:p w14:paraId="6E0B3771">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绿化养护人员</w:t>
            </w:r>
          </w:p>
        </w:tc>
        <w:tc>
          <w:tcPr>
            <w:tcW w:w="941" w:type="dxa"/>
            <w:vMerge w:val="restart"/>
            <w:noWrap w:val="0"/>
            <w:vAlign w:val="center"/>
          </w:tcPr>
          <w:p w14:paraId="2B83A8E2">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5</w:t>
            </w:r>
          </w:p>
        </w:tc>
        <w:tc>
          <w:tcPr>
            <w:tcW w:w="2453" w:type="dxa"/>
            <w:noWrap w:val="0"/>
            <w:vAlign w:val="center"/>
          </w:tcPr>
          <w:p w14:paraId="026E90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1.年龄在50周岁以下；</w:t>
            </w:r>
          </w:p>
        </w:tc>
        <w:tc>
          <w:tcPr>
            <w:tcW w:w="1990" w:type="dxa"/>
            <w:noWrap w:val="0"/>
            <w:vAlign w:val="center"/>
          </w:tcPr>
          <w:p w14:paraId="13674BD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是（提供身份证）</w:t>
            </w:r>
          </w:p>
        </w:tc>
      </w:tr>
      <w:tr w14:paraId="12DD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noWrap w:val="0"/>
            <w:vAlign w:val="center"/>
          </w:tcPr>
          <w:p w14:paraId="6D009C9B">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805" w:type="dxa"/>
            <w:vMerge w:val="continue"/>
            <w:noWrap w:val="0"/>
            <w:vAlign w:val="center"/>
          </w:tcPr>
          <w:p w14:paraId="349A0E15">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230" w:type="dxa"/>
            <w:vMerge w:val="continue"/>
            <w:noWrap w:val="0"/>
            <w:vAlign w:val="center"/>
          </w:tcPr>
          <w:p w14:paraId="67336032">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941" w:type="dxa"/>
            <w:vMerge w:val="continue"/>
            <w:noWrap w:val="0"/>
            <w:vAlign w:val="center"/>
          </w:tcPr>
          <w:p w14:paraId="32D551E4">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2453" w:type="dxa"/>
            <w:noWrap w:val="0"/>
            <w:vAlign w:val="center"/>
          </w:tcPr>
          <w:p w14:paraId="29A9626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2.具有1年以上类似项目管理经验；</w:t>
            </w:r>
          </w:p>
        </w:tc>
        <w:tc>
          <w:tcPr>
            <w:tcW w:w="1990" w:type="dxa"/>
            <w:noWrap w:val="0"/>
            <w:vAlign w:val="center"/>
          </w:tcPr>
          <w:p w14:paraId="57F63AF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是（需提供服务合同和加盖采购单位公章的证明材料）</w:t>
            </w:r>
          </w:p>
        </w:tc>
      </w:tr>
      <w:tr w14:paraId="5D1E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noWrap w:val="0"/>
            <w:vAlign w:val="center"/>
          </w:tcPr>
          <w:p w14:paraId="3A52438C">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805" w:type="dxa"/>
            <w:vMerge w:val="continue"/>
            <w:noWrap w:val="0"/>
            <w:vAlign w:val="center"/>
          </w:tcPr>
          <w:p w14:paraId="05AB135D">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230" w:type="dxa"/>
            <w:vMerge w:val="continue"/>
            <w:noWrap w:val="0"/>
            <w:vAlign w:val="center"/>
          </w:tcPr>
          <w:p w14:paraId="2E7D1F60">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941" w:type="dxa"/>
            <w:vMerge w:val="continue"/>
            <w:noWrap w:val="0"/>
            <w:vAlign w:val="center"/>
          </w:tcPr>
          <w:p w14:paraId="17F4E22F">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2453" w:type="dxa"/>
            <w:noWrap w:val="0"/>
            <w:vAlign w:val="center"/>
          </w:tcPr>
          <w:p w14:paraId="3B1E00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3.</w:t>
            </w:r>
            <w:r>
              <w:rPr>
                <w:rFonts w:hint="default" w:ascii="仿宋_GB2312" w:hAnsi="仿宋_GB2312" w:eastAsia="仿宋_GB2312" w:cs="仿宋_GB2312"/>
                <w:color w:val="000000"/>
                <w:sz w:val="24"/>
                <w:szCs w:val="24"/>
                <w:vertAlign w:val="baseline"/>
                <w:lang w:val="en-US" w:eastAsia="zh-CN"/>
              </w:rPr>
              <w:t>至少2人具有政府行政部门颁发的</w:t>
            </w:r>
            <w:r>
              <w:rPr>
                <w:rFonts w:hint="eastAsia" w:ascii="仿宋_GB2312" w:hAnsi="仿宋_GB2312" w:eastAsia="仿宋_GB2312" w:cs="仿宋_GB2312"/>
                <w:color w:val="000000"/>
                <w:sz w:val="24"/>
                <w:szCs w:val="24"/>
                <w:vertAlign w:val="baseline"/>
                <w:lang w:val="en-US" w:eastAsia="zh-CN"/>
              </w:rPr>
              <w:t>有效</w:t>
            </w:r>
            <w:r>
              <w:rPr>
                <w:rFonts w:hint="default" w:ascii="仿宋_GB2312" w:hAnsi="仿宋_GB2312" w:eastAsia="仿宋_GB2312" w:cs="仿宋_GB2312"/>
                <w:color w:val="000000"/>
                <w:sz w:val="24"/>
                <w:szCs w:val="24"/>
                <w:vertAlign w:val="baseline"/>
                <w:lang w:val="en-US" w:eastAsia="zh-CN"/>
              </w:rPr>
              <w:t>园林类（风景园林、景观设计、园艺等</w:t>
            </w:r>
            <w:r>
              <w:rPr>
                <w:rFonts w:hint="eastAsia" w:ascii="仿宋_GB2312" w:hAnsi="仿宋_GB2312" w:eastAsia="仿宋_GB2312" w:cs="仿宋_GB2312"/>
                <w:color w:val="000000"/>
                <w:sz w:val="24"/>
                <w:szCs w:val="24"/>
                <w:vertAlign w:val="baseline"/>
                <w:lang w:val="en-US" w:eastAsia="zh-CN"/>
              </w:rPr>
              <w:t>专业</w:t>
            </w:r>
            <w:r>
              <w:rPr>
                <w:rFonts w:hint="default" w:ascii="仿宋_GB2312" w:hAnsi="仿宋_GB2312" w:eastAsia="仿宋_GB2312" w:cs="仿宋_GB2312"/>
                <w:color w:val="000000"/>
                <w:sz w:val="24"/>
                <w:szCs w:val="24"/>
                <w:vertAlign w:val="baseline"/>
                <w:lang w:val="en-US" w:eastAsia="zh-CN"/>
              </w:rPr>
              <w:t>）职称证书</w:t>
            </w:r>
            <w:r>
              <w:rPr>
                <w:rFonts w:hint="eastAsia" w:ascii="仿宋_GB2312" w:hAnsi="仿宋_GB2312" w:eastAsia="仿宋_GB2312" w:cs="仿宋_GB2312"/>
                <w:color w:val="000000"/>
                <w:sz w:val="24"/>
                <w:szCs w:val="24"/>
                <w:vertAlign w:val="baseline"/>
                <w:lang w:val="en-US" w:eastAsia="zh-CN"/>
              </w:rPr>
              <w:t>。</w:t>
            </w:r>
          </w:p>
        </w:tc>
        <w:tc>
          <w:tcPr>
            <w:tcW w:w="1990" w:type="dxa"/>
            <w:noWrap w:val="0"/>
            <w:vAlign w:val="center"/>
          </w:tcPr>
          <w:p w14:paraId="533977E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是（提供职称证书）</w:t>
            </w:r>
          </w:p>
        </w:tc>
      </w:tr>
      <w:tr w14:paraId="78DB7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05" w:type="dxa"/>
            <w:vMerge w:val="continue"/>
            <w:noWrap w:val="0"/>
            <w:vAlign w:val="center"/>
          </w:tcPr>
          <w:p w14:paraId="02840D75">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805" w:type="dxa"/>
            <w:noWrap w:val="0"/>
            <w:vAlign w:val="center"/>
          </w:tcPr>
          <w:p w14:paraId="5A203791">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4</w:t>
            </w:r>
          </w:p>
        </w:tc>
        <w:tc>
          <w:tcPr>
            <w:tcW w:w="1230" w:type="dxa"/>
            <w:noWrap w:val="0"/>
            <w:vAlign w:val="center"/>
          </w:tcPr>
          <w:p w14:paraId="7723324E">
            <w:pPr>
              <w:spacing w:line="560" w:lineRule="exact"/>
              <w:jc w:val="center"/>
              <w:rPr>
                <w:rFonts w:hint="eastAsia"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保洁</w:t>
            </w:r>
          </w:p>
        </w:tc>
        <w:tc>
          <w:tcPr>
            <w:tcW w:w="941" w:type="dxa"/>
            <w:noWrap w:val="0"/>
            <w:vAlign w:val="center"/>
          </w:tcPr>
          <w:p w14:paraId="2875D883">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27</w:t>
            </w:r>
          </w:p>
        </w:tc>
        <w:tc>
          <w:tcPr>
            <w:tcW w:w="2453" w:type="dxa"/>
            <w:noWrap w:val="0"/>
            <w:vAlign w:val="center"/>
          </w:tcPr>
          <w:p w14:paraId="4A22B1F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1.</w:t>
            </w:r>
            <w:r>
              <w:rPr>
                <w:rFonts w:hint="default" w:ascii="仿宋_GB2312" w:hAnsi="仿宋_GB2312" w:eastAsia="仿宋_GB2312" w:cs="仿宋_GB2312"/>
                <w:color w:val="000000"/>
                <w:sz w:val="24"/>
                <w:szCs w:val="24"/>
                <w:vertAlign w:val="baseline"/>
                <w:lang w:val="en-US" w:eastAsia="zh-CN"/>
              </w:rPr>
              <w:t>男年龄60周岁</w:t>
            </w:r>
            <w:r>
              <w:rPr>
                <w:rFonts w:hint="eastAsia" w:ascii="仿宋_GB2312" w:hAnsi="仿宋_GB2312" w:eastAsia="仿宋_GB2312" w:cs="仿宋_GB2312"/>
                <w:color w:val="000000"/>
                <w:sz w:val="24"/>
                <w:szCs w:val="24"/>
                <w:vertAlign w:val="baseline"/>
                <w:lang w:val="en-US" w:eastAsia="zh-CN"/>
              </w:rPr>
              <w:t>以下</w:t>
            </w:r>
            <w:r>
              <w:rPr>
                <w:rFonts w:hint="default" w:ascii="仿宋_GB2312" w:hAnsi="仿宋_GB2312" w:eastAsia="仿宋_GB2312" w:cs="仿宋_GB2312"/>
                <w:color w:val="000000"/>
                <w:sz w:val="24"/>
                <w:szCs w:val="24"/>
                <w:vertAlign w:val="baseline"/>
                <w:lang w:val="en-US" w:eastAsia="zh-CN"/>
              </w:rPr>
              <w:t>、女年龄55周岁</w:t>
            </w:r>
            <w:r>
              <w:rPr>
                <w:rFonts w:hint="eastAsia" w:ascii="仿宋_GB2312" w:hAnsi="仿宋_GB2312" w:eastAsia="仿宋_GB2312" w:cs="仿宋_GB2312"/>
                <w:color w:val="000000"/>
                <w:sz w:val="24"/>
                <w:szCs w:val="24"/>
                <w:vertAlign w:val="baseline"/>
                <w:lang w:val="en-US" w:eastAsia="zh-CN"/>
              </w:rPr>
              <w:t>以下，身体健康，能胜任保洁工作。</w:t>
            </w:r>
          </w:p>
        </w:tc>
        <w:tc>
          <w:tcPr>
            <w:tcW w:w="1990" w:type="dxa"/>
            <w:noWrap w:val="0"/>
            <w:vAlign w:val="center"/>
          </w:tcPr>
          <w:p w14:paraId="3B95EAB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是（提供承诺函，格式自拟）</w:t>
            </w:r>
          </w:p>
        </w:tc>
      </w:tr>
      <w:tr w14:paraId="1069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05" w:type="dxa"/>
            <w:vMerge w:val="continue"/>
            <w:noWrap w:val="0"/>
            <w:vAlign w:val="center"/>
          </w:tcPr>
          <w:p w14:paraId="783D0D34">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805" w:type="dxa"/>
            <w:noWrap w:val="0"/>
            <w:vAlign w:val="center"/>
          </w:tcPr>
          <w:p w14:paraId="5837833F">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5</w:t>
            </w:r>
          </w:p>
        </w:tc>
        <w:tc>
          <w:tcPr>
            <w:tcW w:w="1230" w:type="dxa"/>
            <w:noWrap w:val="0"/>
            <w:vAlign w:val="center"/>
          </w:tcPr>
          <w:p w14:paraId="6CCFBE86">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宿管人员</w:t>
            </w:r>
          </w:p>
        </w:tc>
        <w:tc>
          <w:tcPr>
            <w:tcW w:w="941" w:type="dxa"/>
            <w:noWrap w:val="0"/>
            <w:vAlign w:val="center"/>
          </w:tcPr>
          <w:p w14:paraId="2EB424E5">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25</w:t>
            </w:r>
          </w:p>
        </w:tc>
        <w:tc>
          <w:tcPr>
            <w:tcW w:w="2453" w:type="dxa"/>
            <w:noWrap w:val="0"/>
            <w:vAlign w:val="center"/>
          </w:tcPr>
          <w:p w14:paraId="73AA3F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2"/>
                <w:sz w:val="24"/>
                <w:szCs w:val="24"/>
                <w:vertAlign w:val="baseline"/>
                <w:lang w:val="en-US" w:eastAsia="zh-CN" w:bidi="ar-SA"/>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1.年龄在60周岁以下，身体健康，能胜任宿管工作。</w:t>
            </w:r>
          </w:p>
        </w:tc>
        <w:tc>
          <w:tcPr>
            <w:tcW w:w="1990" w:type="dxa"/>
            <w:noWrap w:val="0"/>
            <w:vAlign w:val="center"/>
          </w:tcPr>
          <w:p w14:paraId="22E1F9C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是（提供承诺函，格式自拟）</w:t>
            </w:r>
          </w:p>
        </w:tc>
      </w:tr>
      <w:tr w14:paraId="69EA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05" w:type="dxa"/>
            <w:vMerge w:val="continue"/>
            <w:noWrap w:val="0"/>
            <w:vAlign w:val="center"/>
          </w:tcPr>
          <w:p w14:paraId="282F2BB3">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805" w:type="dxa"/>
            <w:vMerge w:val="restart"/>
            <w:noWrap w:val="0"/>
            <w:vAlign w:val="center"/>
          </w:tcPr>
          <w:p w14:paraId="62732F9B">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6</w:t>
            </w:r>
          </w:p>
        </w:tc>
        <w:tc>
          <w:tcPr>
            <w:tcW w:w="1230" w:type="dxa"/>
            <w:vMerge w:val="restart"/>
            <w:noWrap w:val="0"/>
            <w:vAlign w:val="center"/>
          </w:tcPr>
          <w:p w14:paraId="5B4DF90C">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司机</w:t>
            </w:r>
          </w:p>
        </w:tc>
        <w:tc>
          <w:tcPr>
            <w:tcW w:w="941" w:type="dxa"/>
            <w:vMerge w:val="restart"/>
            <w:noWrap w:val="0"/>
            <w:vAlign w:val="center"/>
          </w:tcPr>
          <w:p w14:paraId="7BCEF62F">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1</w:t>
            </w:r>
          </w:p>
        </w:tc>
        <w:tc>
          <w:tcPr>
            <w:tcW w:w="2453" w:type="dxa"/>
            <w:noWrap w:val="0"/>
            <w:vAlign w:val="center"/>
          </w:tcPr>
          <w:p w14:paraId="09117A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1.年龄在50周岁以下；</w:t>
            </w:r>
          </w:p>
        </w:tc>
        <w:tc>
          <w:tcPr>
            <w:tcW w:w="1990" w:type="dxa"/>
            <w:noWrap w:val="0"/>
            <w:vAlign w:val="center"/>
          </w:tcPr>
          <w:p w14:paraId="6781CFF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是（提供身份证）</w:t>
            </w:r>
          </w:p>
        </w:tc>
      </w:tr>
      <w:tr w14:paraId="7A70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noWrap w:val="0"/>
            <w:vAlign w:val="top"/>
          </w:tcPr>
          <w:p w14:paraId="47080F61">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805" w:type="dxa"/>
            <w:vMerge w:val="continue"/>
            <w:noWrap w:val="0"/>
            <w:vAlign w:val="top"/>
          </w:tcPr>
          <w:p w14:paraId="432BF554">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230" w:type="dxa"/>
            <w:vMerge w:val="continue"/>
            <w:noWrap w:val="0"/>
            <w:vAlign w:val="center"/>
          </w:tcPr>
          <w:p w14:paraId="0591CB23">
            <w:pPr>
              <w:spacing w:line="560" w:lineRule="exact"/>
              <w:jc w:val="center"/>
              <w:rPr>
                <w:rFonts w:hint="default" w:ascii="仿宋_GB2312" w:hAnsi="仿宋_GB2312" w:eastAsia="仿宋_GB2312" w:cs="仿宋_GB2312"/>
                <w:color w:val="000000"/>
                <w:sz w:val="24"/>
                <w:szCs w:val="24"/>
                <w:vertAlign w:val="baseline"/>
                <w:lang w:val="en-US" w:eastAsia="zh-CN"/>
              </w:rPr>
            </w:pPr>
          </w:p>
        </w:tc>
        <w:tc>
          <w:tcPr>
            <w:tcW w:w="941" w:type="dxa"/>
            <w:vMerge w:val="continue"/>
            <w:noWrap w:val="0"/>
            <w:vAlign w:val="center"/>
          </w:tcPr>
          <w:p w14:paraId="47BD3ED2">
            <w:pPr>
              <w:spacing w:line="560" w:lineRule="exact"/>
              <w:jc w:val="center"/>
              <w:rPr>
                <w:rFonts w:hint="default" w:ascii="仿宋_GB2312" w:hAnsi="仿宋_GB2312" w:eastAsia="仿宋_GB2312" w:cs="仿宋_GB2312"/>
                <w:color w:val="000000"/>
                <w:sz w:val="24"/>
                <w:szCs w:val="24"/>
                <w:vertAlign w:val="baseline"/>
                <w:lang w:val="en-US" w:eastAsia="zh-CN"/>
              </w:rPr>
            </w:pPr>
          </w:p>
        </w:tc>
        <w:tc>
          <w:tcPr>
            <w:tcW w:w="2453" w:type="dxa"/>
            <w:noWrap w:val="0"/>
            <w:vAlign w:val="center"/>
          </w:tcPr>
          <w:p w14:paraId="14A322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2.具有1年以上类似项目工作经验；</w:t>
            </w:r>
          </w:p>
        </w:tc>
        <w:tc>
          <w:tcPr>
            <w:tcW w:w="1990" w:type="dxa"/>
            <w:noWrap w:val="0"/>
            <w:vAlign w:val="center"/>
          </w:tcPr>
          <w:p w14:paraId="7ACE14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是（需提供服务合同和加盖采购单位公章的证明材料）</w:t>
            </w:r>
          </w:p>
        </w:tc>
      </w:tr>
      <w:tr w14:paraId="3D25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noWrap w:val="0"/>
            <w:vAlign w:val="top"/>
          </w:tcPr>
          <w:p w14:paraId="555C703A">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805" w:type="dxa"/>
            <w:vMerge w:val="continue"/>
            <w:noWrap w:val="0"/>
            <w:vAlign w:val="top"/>
          </w:tcPr>
          <w:p w14:paraId="0367126C">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230" w:type="dxa"/>
            <w:vMerge w:val="continue"/>
            <w:noWrap w:val="0"/>
            <w:vAlign w:val="center"/>
          </w:tcPr>
          <w:p w14:paraId="3B77E0E9">
            <w:pPr>
              <w:spacing w:line="560" w:lineRule="exact"/>
              <w:jc w:val="center"/>
              <w:rPr>
                <w:rFonts w:hint="default" w:ascii="仿宋_GB2312" w:hAnsi="仿宋_GB2312" w:eastAsia="仿宋_GB2312" w:cs="仿宋_GB2312"/>
                <w:color w:val="000000"/>
                <w:sz w:val="24"/>
                <w:szCs w:val="24"/>
                <w:vertAlign w:val="baseline"/>
                <w:lang w:val="en-US" w:eastAsia="zh-CN"/>
              </w:rPr>
            </w:pPr>
          </w:p>
        </w:tc>
        <w:tc>
          <w:tcPr>
            <w:tcW w:w="941" w:type="dxa"/>
            <w:vMerge w:val="continue"/>
            <w:noWrap w:val="0"/>
            <w:vAlign w:val="center"/>
          </w:tcPr>
          <w:p w14:paraId="0506A755">
            <w:pPr>
              <w:spacing w:line="560" w:lineRule="exact"/>
              <w:jc w:val="center"/>
              <w:rPr>
                <w:rFonts w:hint="default" w:ascii="仿宋_GB2312" w:hAnsi="仿宋_GB2312" w:eastAsia="仿宋_GB2312" w:cs="仿宋_GB2312"/>
                <w:color w:val="000000"/>
                <w:sz w:val="24"/>
                <w:szCs w:val="24"/>
                <w:vertAlign w:val="baseline"/>
                <w:lang w:val="en-US" w:eastAsia="zh-CN"/>
              </w:rPr>
            </w:pPr>
          </w:p>
        </w:tc>
        <w:tc>
          <w:tcPr>
            <w:tcW w:w="2453" w:type="dxa"/>
            <w:noWrap w:val="0"/>
            <w:vAlign w:val="center"/>
          </w:tcPr>
          <w:p w14:paraId="78444B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★3.持C1以上驾驶证上岗。</w:t>
            </w:r>
          </w:p>
        </w:tc>
        <w:tc>
          <w:tcPr>
            <w:tcW w:w="1990" w:type="dxa"/>
            <w:noWrap w:val="0"/>
            <w:vAlign w:val="center"/>
          </w:tcPr>
          <w:p w14:paraId="00EEAB5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是（提供驾驶证）</w:t>
            </w:r>
          </w:p>
        </w:tc>
      </w:tr>
      <w:tr w14:paraId="7BC4D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805" w:type="dxa"/>
            <w:vMerge w:val="continue"/>
            <w:noWrap w:val="0"/>
            <w:vAlign w:val="top"/>
          </w:tcPr>
          <w:p w14:paraId="67AB0D67">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805" w:type="dxa"/>
            <w:noWrap w:val="0"/>
            <w:vAlign w:val="top"/>
          </w:tcPr>
          <w:p w14:paraId="7DA860E2">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7</w:t>
            </w:r>
          </w:p>
        </w:tc>
        <w:tc>
          <w:tcPr>
            <w:tcW w:w="1230" w:type="dxa"/>
            <w:noWrap w:val="0"/>
            <w:vAlign w:val="center"/>
          </w:tcPr>
          <w:p w14:paraId="48B7EEDF">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前台</w:t>
            </w:r>
          </w:p>
        </w:tc>
        <w:tc>
          <w:tcPr>
            <w:tcW w:w="941" w:type="dxa"/>
            <w:noWrap w:val="0"/>
            <w:vAlign w:val="center"/>
          </w:tcPr>
          <w:p w14:paraId="03ECE477">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2</w:t>
            </w:r>
          </w:p>
        </w:tc>
        <w:tc>
          <w:tcPr>
            <w:tcW w:w="2453" w:type="dxa"/>
            <w:noWrap w:val="0"/>
            <w:vAlign w:val="center"/>
          </w:tcPr>
          <w:p w14:paraId="27D384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1.年龄在50周岁以下，女性，身体健康，能胜任前台工作。</w:t>
            </w:r>
          </w:p>
        </w:tc>
        <w:tc>
          <w:tcPr>
            <w:tcW w:w="1990" w:type="dxa"/>
            <w:noWrap w:val="0"/>
            <w:vAlign w:val="center"/>
          </w:tcPr>
          <w:p w14:paraId="6AD8B68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是（提供承诺函，格式自拟）</w:t>
            </w:r>
          </w:p>
        </w:tc>
      </w:tr>
      <w:tr w14:paraId="58A6A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05" w:type="dxa"/>
            <w:vMerge w:val="continue"/>
            <w:noWrap w:val="0"/>
            <w:vAlign w:val="top"/>
          </w:tcPr>
          <w:p w14:paraId="0F953C46">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805" w:type="dxa"/>
            <w:noWrap w:val="0"/>
            <w:vAlign w:val="top"/>
          </w:tcPr>
          <w:p w14:paraId="29DC8B5C">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合计</w:t>
            </w:r>
          </w:p>
        </w:tc>
        <w:tc>
          <w:tcPr>
            <w:tcW w:w="1230" w:type="dxa"/>
            <w:noWrap w:val="0"/>
            <w:vAlign w:val="top"/>
          </w:tcPr>
          <w:p w14:paraId="37C310F5">
            <w:pPr>
              <w:spacing w:line="560" w:lineRule="exact"/>
              <w:jc w:val="center"/>
              <w:rPr>
                <w:rFonts w:hint="default" w:ascii="仿宋_GB2312" w:hAnsi="仿宋_GB2312" w:eastAsia="仿宋_GB2312" w:cs="仿宋_GB2312"/>
                <w:color w:val="000000"/>
                <w:sz w:val="24"/>
                <w:szCs w:val="24"/>
                <w:vertAlign w:val="baseline"/>
                <w:lang w:val="en-US" w:eastAsia="zh-CN"/>
              </w:rPr>
            </w:pPr>
          </w:p>
        </w:tc>
        <w:tc>
          <w:tcPr>
            <w:tcW w:w="941" w:type="dxa"/>
            <w:noWrap w:val="0"/>
            <w:vAlign w:val="top"/>
          </w:tcPr>
          <w:p w14:paraId="70B3AFE8">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66</w:t>
            </w:r>
          </w:p>
        </w:tc>
        <w:tc>
          <w:tcPr>
            <w:tcW w:w="2453" w:type="dxa"/>
            <w:noWrap w:val="0"/>
            <w:vAlign w:val="top"/>
          </w:tcPr>
          <w:p w14:paraId="6D39F5CA">
            <w:pPr>
              <w:spacing w:line="560" w:lineRule="exact"/>
              <w:jc w:val="center"/>
              <w:rPr>
                <w:rFonts w:hint="default" w:ascii="仿宋_GB2312" w:hAnsi="仿宋_GB2312" w:eastAsia="仿宋_GB2312" w:cs="仿宋_GB2312"/>
                <w:color w:val="000000"/>
                <w:sz w:val="24"/>
                <w:szCs w:val="24"/>
                <w:vertAlign w:val="baseline"/>
                <w:lang w:val="en-US" w:eastAsia="zh-CN"/>
              </w:rPr>
            </w:pPr>
          </w:p>
        </w:tc>
        <w:tc>
          <w:tcPr>
            <w:tcW w:w="1990" w:type="dxa"/>
            <w:noWrap w:val="0"/>
            <w:vAlign w:val="center"/>
          </w:tcPr>
          <w:p w14:paraId="5DC6B13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4"/>
                <w:szCs w:val="24"/>
                <w:vertAlign w:val="baseline"/>
                <w:lang w:val="en-US" w:eastAsia="zh-CN"/>
              </w:rPr>
            </w:pPr>
          </w:p>
        </w:tc>
      </w:tr>
    </w:tbl>
    <w:p w14:paraId="15989EAA">
      <w:pPr>
        <w:pStyle w:val="18"/>
        <w:numPr>
          <w:ilvl w:val="0"/>
          <w:numId w:val="0"/>
        </w:numPr>
        <w:rPr>
          <w:rFonts w:hint="default"/>
        </w:rPr>
      </w:pPr>
    </w:p>
    <w:tbl>
      <w:tblPr>
        <w:tblStyle w:val="54"/>
        <w:tblW w:w="7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766"/>
        <w:gridCol w:w="1319"/>
        <w:gridCol w:w="1011"/>
        <w:gridCol w:w="1806"/>
        <w:gridCol w:w="2100"/>
      </w:tblGrid>
      <w:tr w14:paraId="35FE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center"/>
          </w:tcPr>
          <w:p w14:paraId="556E2F6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包号</w:t>
            </w:r>
          </w:p>
        </w:tc>
        <w:tc>
          <w:tcPr>
            <w:tcW w:w="766" w:type="dxa"/>
            <w:noWrap w:val="0"/>
            <w:vAlign w:val="center"/>
          </w:tcPr>
          <w:p w14:paraId="62E02AE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序号</w:t>
            </w:r>
          </w:p>
        </w:tc>
        <w:tc>
          <w:tcPr>
            <w:tcW w:w="1319" w:type="dxa"/>
            <w:noWrap w:val="0"/>
            <w:vAlign w:val="center"/>
          </w:tcPr>
          <w:p w14:paraId="145EE6C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岗位名称</w:t>
            </w:r>
          </w:p>
        </w:tc>
        <w:tc>
          <w:tcPr>
            <w:tcW w:w="1011" w:type="dxa"/>
            <w:noWrap w:val="0"/>
            <w:vAlign w:val="center"/>
          </w:tcPr>
          <w:p w14:paraId="2ED7564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数量</w:t>
            </w:r>
          </w:p>
          <w:p w14:paraId="618F93A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（人）</w:t>
            </w:r>
          </w:p>
        </w:tc>
        <w:tc>
          <w:tcPr>
            <w:tcW w:w="1806" w:type="dxa"/>
            <w:noWrap w:val="0"/>
            <w:vAlign w:val="center"/>
          </w:tcPr>
          <w:p w14:paraId="4042D3C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岗位要求</w:t>
            </w:r>
          </w:p>
        </w:tc>
        <w:tc>
          <w:tcPr>
            <w:tcW w:w="2100" w:type="dxa"/>
            <w:noWrap w:val="0"/>
            <w:vAlign w:val="center"/>
          </w:tcPr>
          <w:p w14:paraId="2BE36B5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证明材料要求</w:t>
            </w:r>
          </w:p>
        </w:tc>
      </w:tr>
      <w:tr w14:paraId="00C3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98" w:type="dxa"/>
            <w:vMerge w:val="restart"/>
            <w:noWrap w:val="0"/>
            <w:vAlign w:val="center"/>
          </w:tcPr>
          <w:p w14:paraId="3684C759">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b/>
                <w:bCs/>
                <w:color w:val="000000"/>
                <w:sz w:val="24"/>
                <w:szCs w:val="24"/>
                <w:vertAlign w:val="baseline"/>
                <w:lang w:val="en-US" w:eastAsia="zh-CN"/>
              </w:rPr>
              <w:t>包2</w:t>
            </w:r>
          </w:p>
        </w:tc>
        <w:tc>
          <w:tcPr>
            <w:tcW w:w="766" w:type="dxa"/>
            <w:vMerge w:val="restart"/>
            <w:noWrap w:val="0"/>
            <w:vAlign w:val="center"/>
          </w:tcPr>
          <w:p w14:paraId="4530EAC3">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w:t>
            </w:r>
          </w:p>
        </w:tc>
        <w:tc>
          <w:tcPr>
            <w:tcW w:w="1319" w:type="dxa"/>
            <w:vMerge w:val="restart"/>
            <w:noWrap w:val="0"/>
            <w:vAlign w:val="center"/>
          </w:tcPr>
          <w:p w14:paraId="27D2EBF0">
            <w:pPr>
              <w:spacing w:line="560" w:lineRule="exact"/>
              <w:jc w:val="center"/>
              <w:rPr>
                <w:rFonts w:hint="default" w:ascii="仿宋_GB2312" w:hAnsi="仿宋_GB2312" w:eastAsia="仿宋_GB2312" w:cs="仿宋_GB2312"/>
                <w:color w:val="000000"/>
                <w:sz w:val="24"/>
                <w:szCs w:val="24"/>
                <w:shd w:val="clear" w:color="auto" w:fill="auto"/>
                <w:lang w:val="en"/>
              </w:rPr>
            </w:pPr>
            <w:r>
              <w:rPr>
                <w:rFonts w:hint="default" w:ascii="仿宋_GB2312" w:hAnsi="仿宋_GB2312" w:eastAsia="仿宋_GB2312" w:cs="仿宋_GB2312"/>
                <w:color w:val="000000"/>
                <w:sz w:val="24"/>
                <w:szCs w:val="24"/>
                <w:shd w:val="clear" w:color="auto" w:fill="auto"/>
                <w:lang w:val="en"/>
              </w:rPr>
              <w:t>项目经理</w:t>
            </w:r>
          </w:p>
        </w:tc>
        <w:tc>
          <w:tcPr>
            <w:tcW w:w="1011" w:type="dxa"/>
            <w:vMerge w:val="restart"/>
            <w:noWrap w:val="0"/>
            <w:vAlign w:val="center"/>
          </w:tcPr>
          <w:p w14:paraId="070B2A50">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w:t>
            </w:r>
          </w:p>
        </w:tc>
        <w:tc>
          <w:tcPr>
            <w:tcW w:w="1806" w:type="dxa"/>
            <w:noWrap w:val="0"/>
            <w:vAlign w:val="center"/>
          </w:tcPr>
          <w:p w14:paraId="2FB872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1.年龄在50周岁以下；</w:t>
            </w:r>
          </w:p>
        </w:tc>
        <w:tc>
          <w:tcPr>
            <w:tcW w:w="2100" w:type="dxa"/>
            <w:noWrap w:val="0"/>
            <w:vAlign w:val="center"/>
          </w:tcPr>
          <w:p w14:paraId="044FF11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是（提供身份证）</w:t>
            </w:r>
          </w:p>
        </w:tc>
      </w:tr>
      <w:tr w14:paraId="27A5A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98" w:type="dxa"/>
            <w:vMerge w:val="continue"/>
            <w:noWrap w:val="0"/>
            <w:vAlign w:val="center"/>
          </w:tcPr>
          <w:p w14:paraId="5295879D">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766" w:type="dxa"/>
            <w:vMerge w:val="continue"/>
            <w:noWrap w:val="0"/>
            <w:vAlign w:val="center"/>
          </w:tcPr>
          <w:p w14:paraId="05789ABD">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319" w:type="dxa"/>
            <w:vMerge w:val="continue"/>
            <w:noWrap w:val="0"/>
            <w:vAlign w:val="center"/>
          </w:tcPr>
          <w:p w14:paraId="10196F81">
            <w:pPr>
              <w:spacing w:line="560" w:lineRule="exact"/>
              <w:jc w:val="center"/>
              <w:rPr>
                <w:rFonts w:hint="default" w:ascii="仿宋_GB2312" w:hAnsi="仿宋_GB2312" w:eastAsia="仿宋_GB2312" w:cs="仿宋_GB2312"/>
                <w:color w:val="000000"/>
                <w:sz w:val="24"/>
                <w:szCs w:val="24"/>
                <w:shd w:val="clear" w:color="auto" w:fill="auto"/>
                <w:lang w:val="en"/>
              </w:rPr>
            </w:pPr>
          </w:p>
        </w:tc>
        <w:tc>
          <w:tcPr>
            <w:tcW w:w="1011" w:type="dxa"/>
            <w:vMerge w:val="continue"/>
            <w:noWrap w:val="0"/>
            <w:vAlign w:val="center"/>
          </w:tcPr>
          <w:p w14:paraId="61A77B82">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806" w:type="dxa"/>
            <w:noWrap w:val="0"/>
            <w:vAlign w:val="center"/>
          </w:tcPr>
          <w:p w14:paraId="3B96CAF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2.本科以上学历；</w:t>
            </w:r>
          </w:p>
        </w:tc>
        <w:tc>
          <w:tcPr>
            <w:tcW w:w="2100" w:type="dxa"/>
            <w:noWrap w:val="0"/>
            <w:vAlign w:val="center"/>
          </w:tcPr>
          <w:p w14:paraId="7BD17B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是（提供学历证明）</w:t>
            </w:r>
          </w:p>
        </w:tc>
      </w:tr>
      <w:tr w14:paraId="3B4E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98" w:type="dxa"/>
            <w:vMerge w:val="continue"/>
            <w:noWrap w:val="0"/>
            <w:vAlign w:val="center"/>
          </w:tcPr>
          <w:p w14:paraId="142AF3FD">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766" w:type="dxa"/>
            <w:vMerge w:val="continue"/>
            <w:noWrap w:val="0"/>
            <w:vAlign w:val="center"/>
          </w:tcPr>
          <w:p w14:paraId="61971683">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319" w:type="dxa"/>
            <w:vMerge w:val="continue"/>
            <w:noWrap w:val="0"/>
            <w:vAlign w:val="center"/>
          </w:tcPr>
          <w:p w14:paraId="0C54FFA0">
            <w:pPr>
              <w:spacing w:line="560" w:lineRule="exact"/>
              <w:jc w:val="center"/>
              <w:rPr>
                <w:rFonts w:hint="default" w:ascii="仿宋_GB2312" w:hAnsi="仿宋_GB2312" w:eastAsia="仿宋_GB2312" w:cs="仿宋_GB2312"/>
                <w:color w:val="000000"/>
                <w:sz w:val="24"/>
                <w:szCs w:val="24"/>
                <w:shd w:val="clear" w:color="auto" w:fill="auto"/>
                <w:lang w:val="en"/>
              </w:rPr>
            </w:pPr>
          </w:p>
        </w:tc>
        <w:tc>
          <w:tcPr>
            <w:tcW w:w="1011" w:type="dxa"/>
            <w:vMerge w:val="continue"/>
            <w:noWrap w:val="0"/>
            <w:vAlign w:val="center"/>
          </w:tcPr>
          <w:p w14:paraId="4DD1825F">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806" w:type="dxa"/>
            <w:noWrap w:val="0"/>
            <w:vAlign w:val="center"/>
          </w:tcPr>
          <w:p w14:paraId="6FBECC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3.具有3年以上类似项目管理经验。</w:t>
            </w:r>
          </w:p>
        </w:tc>
        <w:tc>
          <w:tcPr>
            <w:tcW w:w="2100" w:type="dxa"/>
            <w:noWrap w:val="0"/>
            <w:vAlign w:val="center"/>
          </w:tcPr>
          <w:p w14:paraId="37E73A0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（需提供服务合同和加盖采购单位公章的证明材料）</w:t>
            </w:r>
          </w:p>
        </w:tc>
      </w:tr>
      <w:tr w14:paraId="5E82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798" w:type="dxa"/>
            <w:vMerge w:val="continue"/>
            <w:noWrap w:val="0"/>
            <w:vAlign w:val="center"/>
          </w:tcPr>
          <w:p w14:paraId="4ED078CC">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766" w:type="dxa"/>
            <w:vMerge w:val="restart"/>
            <w:noWrap w:val="0"/>
            <w:vAlign w:val="center"/>
          </w:tcPr>
          <w:p w14:paraId="6DAAAE71">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w:t>
            </w:r>
          </w:p>
        </w:tc>
        <w:tc>
          <w:tcPr>
            <w:tcW w:w="1319" w:type="dxa"/>
            <w:vMerge w:val="restart"/>
            <w:noWrap w:val="0"/>
            <w:vAlign w:val="center"/>
          </w:tcPr>
          <w:p w14:paraId="4D7CA230">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综合维修人员</w:t>
            </w:r>
          </w:p>
        </w:tc>
        <w:tc>
          <w:tcPr>
            <w:tcW w:w="1011" w:type="dxa"/>
            <w:vMerge w:val="restart"/>
            <w:noWrap w:val="0"/>
            <w:vAlign w:val="center"/>
          </w:tcPr>
          <w:p w14:paraId="1CEF9008">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7</w:t>
            </w:r>
          </w:p>
        </w:tc>
        <w:tc>
          <w:tcPr>
            <w:tcW w:w="1806" w:type="dxa"/>
            <w:noWrap w:val="0"/>
            <w:vAlign w:val="center"/>
          </w:tcPr>
          <w:p w14:paraId="20528F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1.年龄在50周岁以下；</w:t>
            </w:r>
          </w:p>
        </w:tc>
        <w:tc>
          <w:tcPr>
            <w:tcW w:w="2100" w:type="dxa"/>
            <w:noWrap w:val="0"/>
            <w:vAlign w:val="center"/>
          </w:tcPr>
          <w:p w14:paraId="75E4209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shd w:val="clear" w:color="auto" w:fill="auto"/>
                <w:lang w:val="en-US" w:eastAsia="zh-CN"/>
              </w:rPr>
            </w:pPr>
            <w:r>
              <w:rPr>
                <w:rFonts w:hint="eastAsia" w:ascii="仿宋_GB2312" w:hAnsi="仿宋_GB2312" w:eastAsia="仿宋_GB2312" w:cs="仿宋_GB2312"/>
                <w:color w:val="000000"/>
                <w:sz w:val="24"/>
                <w:szCs w:val="24"/>
                <w:vertAlign w:val="baseline"/>
                <w:lang w:val="en-US" w:eastAsia="zh-CN"/>
              </w:rPr>
              <w:t>是（提供身份证）</w:t>
            </w:r>
          </w:p>
        </w:tc>
      </w:tr>
      <w:tr w14:paraId="483E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continue"/>
            <w:noWrap w:val="0"/>
            <w:vAlign w:val="center"/>
          </w:tcPr>
          <w:p w14:paraId="2E367C2C">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766" w:type="dxa"/>
            <w:vMerge w:val="continue"/>
            <w:noWrap w:val="0"/>
            <w:vAlign w:val="center"/>
          </w:tcPr>
          <w:p w14:paraId="6DACE819">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319" w:type="dxa"/>
            <w:vMerge w:val="continue"/>
            <w:noWrap w:val="0"/>
            <w:vAlign w:val="center"/>
          </w:tcPr>
          <w:p w14:paraId="5080F878">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011" w:type="dxa"/>
            <w:vMerge w:val="continue"/>
            <w:noWrap w:val="0"/>
            <w:vAlign w:val="center"/>
          </w:tcPr>
          <w:p w14:paraId="71B21977">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806" w:type="dxa"/>
            <w:noWrap w:val="0"/>
            <w:vAlign w:val="center"/>
          </w:tcPr>
          <w:p w14:paraId="4513EF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2.专科以上学历；</w:t>
            </w:r>
          </w:p>
        </w:tc>
        <w:tc>
          <w:tcPr>
            <w:tcW w:w="2100" w:type="dxa"/>
            <w:noWrap w:val="0"/>
            <w:vAlign w:val="center"/>
          </w:tcPr>
          <w:p w14:paraId="2FD9357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shd w:val="clear" w:color="auto" w:fill="auto"/>
                <w:lang w:val="en-US" w:eastAsia="zh-CN"/>
              </w:rPr>
            </w:pPr>
            <w:r>
              <w:rPr>
                <w:rFonts w:hint="eastAsia" w:ascii="仿宋_GB2312" w:hAnsi="仿宋_GB2312" w:eastAsia="仿宋_GB2312" w:cs="仿宋_GB2312"/>
                <w:color w:val="000000"/>
                <w:sz w:val="24"/>
                <w:szCs w:val="24"/>
                <w:vertAlign w:val="baseline"/>
                <w:lang w:val="en-US" w:eastAsia="zh-CN"/>
              </w:rPr>
              <w:t>是（提供学历证明）</w:t>
            </w:r>
          </w:p>
        </w:tc>
      </w:tr>
      <w:tr w14:paraId="6B1A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continue"/>
            <w:noWrap w:val="0"/>
            <w:vAlign w:val="center"/>
          </w:tcPr>
          <w:p w14:paraId="772C2348">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766" w:type="dxa"/>
            <w:vMerge w:val="continue"/>
            <w:noWrap w:val="0"/>
            <w:vAlign w:val="center"/>
          </w:tcPr>
          <w:p w14:paraId="13A48803">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319" w:type="dxa"/>
            <w:vMerge w:val="continue"/>
            <w:noWrap w:val="0"/>
            <w:vAlign w:val="center"/>
          </w:tcPr>
          <w:p w14:paraId="264FF6AE">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011" w:type="dxa"/>
            <w:vMerge w:val="continue"/>
            <w:noWrap w:val="0"/>
            <w:vAlign w:val="center"/>
          </w:tcPr>
          <w:p w14:paraId="03E1138E">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806" w:type="dxa"/>
            <w:noWrap w:val="0"/>
            <w:vAlign w:val="center"/>
          </w:tcPr>
          <w:p w14:paraId="4BEF9B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3.具有3年以上类似项目管理经验；</w:t>
            </w:r>
          </w:p>
        </w:tc>
        <w:tc>
          <w:tcPr>
            <w:tcW w:w="2100" w:type="dxa"/>
            <w:noWrap w:val="0"/>
            <w:vAlign w:val="center"/>
          </w:tcPr>
          <w:p w14:paraId="66C5197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shd w:val="clear" w:color="auto" w:fill="auto"/>
                <w:lang w:val="en-US" w:eastAsia="zh-CN"/>
              </w:rPr>
            </w:pPr>
            <w:r>
              <w:rPr>
                <w:rFonts w:hint="eastAsia" w:ascii="仿宋_GB2312" w:hAnsi="仿宋_GB2312" w:eastAsia="仿宋_GB2312" w:cs="仿宋_GB2312"/>
                <w:color w:val="000000"/>
                <w:sz w:val="24"/>
                <w:szCs w:val="24"/>
                <w:vertAlign w:val="baseline"/>
                <w:lang w:val="en-US" w:eastAsia="zh-CN"/>
              </w:rPr>
              <w:t>是（需提供服务合同和加盖采购单位公章的证明材料）</w:t>
            </w:r>
          </w:p>
        </w:tc>
      </w:tr>
      <w:tr w14:paraId="0833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continue"/>
            <w:noWrap w:val="0"/>
            <w:vAlign w:val="center"/>
          </w:tcPr>
          <w:p w14:paraId="5CC87B6B">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766" w:type="dxa"/>
            <w:vMerge w:val="continue"/>
            <w:noWrap w:val="0"/>
            <w:vAlign w:val="center"/>
          </w:tcPr>
          <w:p w14:paraId="7BDF34FC">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319" w:type="dxa"/>
            <w:vMerge w:val="continue"/>
            <w:noWrap w:val="0"/>
            <w:vAlign w:val="center"/>
          </w:tcPr>
          <w:p w14:paraId="28887133">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011" w:type="dxa"/>
            <w:vMerge w:val="continue"/>
            <w:noWrap w:val="0"/>
            <w:vAlign w:val="center"/>
          </w:tcPr>
          <w:p w14:paraId="048C79E7">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806" w:type="dxa"/>
            <w:noWrap w:val="0"/>
            <w:vAlign w:val="center"/>
          </w:tcPr>
          <w:p w14:paraId="197658D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4.</w:t>
            </w:r>
            <w:r>
              <w:rPr>
                <w:rFonts w:hint="default" w:ascii="仿宋_GB2312" w:hAnsi="仿宋_GB2312" w:eastAsia="仿宋_GB2312" w:cs="仿宋_GB2312"/>
                <w:color w:val="000000"/>
                <w:sz w:val="24"/>
                <w:szCs w:val="24"/>
                <w:vertAlign w:val="baseline"/>
                <w:lang w:val="en-US" w:eastAsia="zh-CN"/>
              </w:rPr>
              <w:t>至少有1人具有政府行政部门颁发的</w:t>
            </w:r>
            <w:r>
              <w:rPr>
                <w:rFonts w:hint="eastAsia" w:ascii="仿宋_GB2312" w:hAnsi="仿宋_GB2312" w:eastAsia="仿宋_GB2312" w:cs="仿宋_GB2312"/>
                <w:color w:val="000000"/>
                <w:sz w:val="24"/>
                <w:szCs w:val="24"/>
                <w:vertAlign w:val="baseline"/>
                <w:lang w:val="en-US" w:eastAsia="zh-CN"/>
              </w:rPr>
              <w:t>有效</w:t>
            </w:r>
            <w:r>
              <w:rPr>
                <w:rFonts w:hint="default" w:ascii="仿宋_GB2312" w:hAnsi="仿宋_GB2312" w:eastAsia="仿宋_GB2312" w:cs="仿宋_GB2312"/>
                <w:color w:val="000000"/>
                <w:sz w:val="24"/>
                <w:szCs w:val="24"/>
                <w:vertAlign w:val="baseline"/>
                <w:lang w:val="en-US" w:eastAsia="zh-CN"/>
              </w:rPr>
              <w:t>电气或机电类中级及以上职称证书</w:t>
            </w:r>
            <w:r>
              <w:rPr>
                <w:rFonts w:hint="eastAsia" w:ascii="仿宋_GB2312" w:hAnsi="仿宋_GB2312" w:eastAsia="仿宋_GB2312" w:cs="仿宋_GB2312"/>
                <w:color w:val="000000"/>
                <w:sz w:val="24"/>
                <w:szCs w:val="24"/>
                <w:vertAlign w:val="baseline"/>
                <w:lang w:val="en-US" w:eastAsia="zh-CN"/>
              </w:rPr>
              <w:t>。</w:t>
            </w:r>
          </w:p>
        </w:tc>
        <w:tc>
          <w:tcPr>
            <w:tcW w:w="2100" w:type="dxa"/>
            <w:noWrap w:val="0"/>
            <w:vAlign w:val="center"/>
          </w:tcPr>
          <w:p w14:paraId="0B5F270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是（提供职称证书）</w:t>
            </w:r>
          </w:p>
        </w:tc>
      </w:tr>
      <w:tr w14:paraId="53FA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continue"/>
            <w:noWrap w:val="0"/>
            <w:vAlign w:val="center"/>
          </w:tcPr>
          <w:p w14:paraId="7170F8FD">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766" w:type="dxa"/>
            <w:vMerge w:val="continue"/>
            <w:noWrap w:val="0"/>
            <w:vAlign w:val="center"/>
          </w:tcPr>
          <w:p w14:paraId="0719A091">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319" w:type="dxa"/>
            <w:vMerge w:val="continue"/>
            <w:noWrap w:val="0"/>
            <w:vAlign w:val="center"/>
          </w:tcPr>
          <w:p w14:paraId="3DE886FA">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011" w:type="dxa"/>
            <w:vMerge w:val="continue"/>
            <w:noWrap w:val="0"/>
            <w:vAlign w:val="center"/>
          </w:tcPr>
          <w:p w14:paraId="6237ED78">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806" w:type="dxa"/>
            <w:noWrap w:val="0"/>
            <w:vAlign w:val="center"/>
          </w:tcPr>
          <w:p w14:paraId="32D40D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5.至少1人具备电工从业资格</w:t>
            </w:r>
          </w:p>
        </w:tc>
        <w:tc>
          <w:tcPr>
            <w:tcW w:w="2100" w:type="dxa"/>
            <w:noWrap w:val="0"/>
            <w:vAlign w:val="center"/>
          </w:tcPr>
          <w:p w14:paraId="14FCB0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是【提供政府部门考核发放的有效“特种作业操作证（电工）”（高压电工作业）】。</w:t>
            </w:r>
          </w:p>
        </w:tc>
      </w:tr>
      <w:tr w14:paraId="2FB10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continue"/>
            <w:noWrap w:val="0"/>
            <w:vAlign w:val="center"/>
          </w:tcPr>
          <w:p w14:paraId="4E6E2D04">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766" w:type="dxa"/>
            <w:vMerge w:val="restart"/>
            <w:noWrap w:val="0"/>
            <w:vAlign w:val="center"/>
          </w:tcPr>
          <w:p w14:paraId="05DDC3BB">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3</w:t>
            </w:r>
          </w:p>
        </w:tc>
        <w:tc>
          <w:tcPr>
            <w:tcW w:w="1319" w:type="dxa"/>
            <w:vMerge w:val="restart"/>
            <w:noWrap w:val="0"/>
            <w:vAlign w:val="center"/>
          </w:tcPr>
          <w:p w14:paraId="7793DAFE">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绿化养护人员</w:t>
            </w:r>
          </w:p>
        </w:tc>
        <w:tc>
          <w:tcPr>
            <w:tcW w:w="1011" w:type="dxa"/>
            <w:vMerge w:val="restart"/>
            <w:noWrap w:val="0"/>
            <w:vAlign w:val="center"/>
          </w:tcPr>
          <w:p w14:paraId="37732F3A">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3</w:t>
            </w:r>
          </w:p>
        </w:tc>
        <w:tc>
          <w:tcPr>
            <w:tcW w:w="1806" w:type="dxa"/>
            <w:noWrap w:val="0"/>
            <w:vAlign w:val="center"/>
          </w:tcPr>
          <w:p w14:paraId="5FD7FBF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1.年龄在50周岁以下；</w:t>
            </w:r>
          </w:p>
        </w:tc>
        <w:tc>
          <w:tcPr>
            <w:tcW w:w="2100" w:type="dxa"/>
            <w:noWrap w:val="0"/>
            <w:vAlign w:val="center"/>
          </w:tcPr>
          <w:p w14:paraId="2ABBCF7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是（提供身份证）</w:t>
            </w:r>
          </w:p>
        </w:tc>
      </w:tr>
      <w:tr w14:paraId="0851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continue"/>
            <w:noWrap w:val="0"/>
            <w:vAlign w:val="center"/>
          </w:tcPr>
          <w:p w14:paraId="7924B267">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766" w:type="dxa"/>
            <w:vMerge w:val="continue"/>
            <w:noWrap w:val="0"/>
            <w:vAlign w:val="center"/>
          </w:tcPr>
          <w:p w14:paraId="39C5FD8A">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319" w:type="dxa"/>
            <w:vMerge w:val="continue"/>
            <w:noWrap w:val="0"/>
            <w:vAlign w:val="center"/>
          </w:tcPr>
          <w:p w14:paraId="435F6D22">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011" w:type="dxa"/>
            <w:vMerge w:val="continue"/>
            <w:noWrap w:val="0"/>
            <w:vAlign w:val="center"/>
          </w:tcPr>
          <w:p w14:paraId="09622639">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806" w:type="dxa"/>
            <w:noWrap w:val="0"/>
            <w:vAlign w:val="center"/>
          </w:tcPr>
          <w:p w14:paraId="7567DCD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2.具有1年以上类似项目管理经验；</w:t>
            </w:r>
          </w:p>
        </w:tc>
        <w:tc>
          <w:tcPr>
            <w:tcW w:w="2100" w:type="dxa"/>
            <w:noWrap w:val="0"/>
            <w:vAlign w:val="center"/>
          </w:tcPr>
          <w:p w14:paraId="1DECAB8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是（需提供服务合同和加盖采购单位公章的证明材料）</w:t>
            </w:r>
          </w:p>
        </w:tc>
      </w:tr>
      <w:tr w14:paraId="78F05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continue"/>
            <w:noWrap w:val="0"/>
            <w:vAlign w:val="center"/>
          </w:tcPr>
          <w:p w14:paraId="5AB9A711">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766" w:type="dxa"/>
            <w:vMerge w:val="continue"/>
            <w:noWrap w:val="0"/>
            <w:vAlign w:val="center"/>
          </w:tcPr>
          <w:p w14:paraId="1400C609">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319" w:type="dxa"/>
            <w:vMerge w:val="continue"/>
            <w:noWrap w:val="0"/>
            <w:vAlign w:val="center"/>
          </w:tcPr>
          <w:p w14:paraId="2516DC1D">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011" w:type="dxa"/>
            <w:vMerge w:val="continue"/>
            <w:noWrap w:val="0"/>
            <w:vAlign w:val="center"/>
          </w:tcPr>
          <w:p w14:paraId="192608E1">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806" w:type="dxa"/>
            <w:noWrap w:val="0"/>
            <w:vAlign w:val="center"/>
          </w:tcPr>
          <w:p w14:paraId="7E5F6A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3.</w:t>
            </w:r>
            <w:r>
              <w:rPr>
                <w:rFonts w:hint="default" w:ascii="仿宋_GB2312" w:hAnsi="仿宋_GB2312" w:eastAsia="仿宋_GB2312" w:cs="仿宋_GB2312"/>
                <w:color w:val="000000"/>
                <w:sz w:val="24"/>
                <w:szCs w:val="24"/>
                <w:vertAlign w:val="baseline"/>
                <w:lang w:val="en-US" w:eastAsia="zh-CN"/>
              </w:rPr>
              <w:t>至少2人具有政府行政部门颁发的</w:t>
            </w:r>
            <w:r>
              <w:rPr>
                <w:rFonts w:hint="eastAsia" w:ascii="仿宋_GB2312" w:hAnsi="仿宋_GB2312" w:eastAsia="仿宋_GB2312" w:cs="仿宋_GB2312"/>
                <w:color w:val="000000"/>
                <w:sz w:val="24"/>
                <w:szCs w:val="24"/>
                <w:vertAlign w:val="baseline"/>
                <w:lang w:val="en-US" w:eastAsia="zh-CN"/>
              </w:rPr>
              <w:t>有效</w:t>
            </w:r>
            <w:r>
              <w:rPr>
                <w:rFonts w:hint="default" w:ascii="仿宋_GB2312" w:hAnsi="仿宋_GB2312" w:eastAsia="仿宋_GB2312" w:cs="仿宋_GB2312"/>
                <w:color w:val="000000"/>
                <w:sz w:val="24"/>
                <w:szCs w:val="24"/>
                <w:vertAlign w:val="baseline"/>
                <w:lang w:val="en-US" w:eastAsia="zh-CN"/>
              </w:rPr>
              <w:t>园林类（风景园林、景观设计、园艺等</w:t>
            </w:r>
            <w:r>
              <w:rPr>
                <w:rFonts w:hint="eastAsia" w:ascii="仿宋_GB2312" w:hAnsi="仿宋_GB2312" w:eastAsia="仿宋_GB2312" w:cs="仿宋_GB2312"/>
                <w:color w:val="000000"/>
                <w:sz w:val="24"/>
                <w:szCs w:val="24"/>
                <w:vertAlign w:val="baseline"/>
                <w:lang w:val="en-US" w:eastAsia="zh-CN"/>
              </w:rPr>
              <w:t>专业</w:t>
            </w:r>
            <w:r>
              <w:rPr>
                <w:rFonts w:hint="default" w:ascii="仿宋_GB2312" w:hAnsi="仿宋_GB2312" w:eastAsia="仿宋_GB2312" w:cs="仿宋_GB2312"/>
                <w:color w:val="000000"/>
                <w:sz w:val="24"/>
                <w:szCs w:val="24"/>
                <w:vertAlign w:val="baseline"/>
                <w:lang w:val="en-US" w:eastAsia="zh-CN"/>
              </w:rPr>
              <w:t>）职称证书</w:t>
            </w:r>
            <w:r>
              <w:rPr>
                <w:rFonts w:hint="eastAsia" w:ascii="仿宋_GB2312" w:hAnsi="仿宋_GB2312" w:eastAsia="仿宋_GB2312" w:cs="仿宋_GB2312"/>
                <w:color w:val="000000"/>
                <w:sz w:val="24"/>
                <w:szCs w:val="24"/>
                <w:vertAlign w:val="baseline"/>
                <w:lang w:val="en-US" w:eastAsia="zh-CN"/>
              </w:rPr>
              <w:t>。</w:t>
            </w:r>
          </w:p>
        </w:tc>
        <w:tc>
          <w:tcPr>
            <w:tcW w:w="2100" w:type="dxa"/>
            <w:noWrap w:val="0"/>
            <w:vAlign w:val="center"/>
          </w:tcPr>
          <w:p w14:paraId="1430E5B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是（提供职称证书）</w:t>
            </w:r>
          </w:p>
        </w:tc>
      </w:tr>
      <w:tr w14:paraId="2C007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continue"/>
            <w:noWrap w:val="0"/>
            <w:vAlign w:val="center"/>
          </w:tcPr>
          <w:p w14:paraId="30273EFA">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766" w:type="dxa"/>
            <w:noWrap w:val="0"/>
            <w:vAlign w:val="center"/>
          </w:tcPr>
          <w:p w14:paraId="1C50706A">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4</w:t>
            </w:r>
          </w:p>
        </w:tc>
        <w:tc>
          <w:tcPr>
            <w:tcW w:w="1319" w:type="dxa"/>
            <w:noWrap w:val="0"/>
            <w:vAlign w:val="center"/>
          </w:tcPr>
          <w:p w14:paraId="66843CE9">
            <w:pPr>
              <w:spacing w:line="560" w:lineRule="exact"/>
              <w:jc w:val="center"/>
              <w:rPr>
                <w:rFonts w:hint="eastAsia"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保洁</w:t>
            </w:r>
          </w:p>
        </w:tc>
        <w:tc>
          <w:tcPr>
            <w:tcW w:w="1011" w:type="dxa"/>
            <w:noWrap w:val="0"/>
            <w:vAlign w:val="center"/>
          </w:tcPr>
          <w:p w14:paraId="39ED5FBE">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36</w:t>
            </w:r>
          </w:p>
        </w:tc>
        <w:tc>
          <w:tcPr>
            <w:tcW w:w="1806" w:type="dxa"/>
            <w:noWrap w:val="0"/>
            <w:vAlign w:val="center"/>
          </w:tcPr>
          <w:p w14:paraId="2B2C1C0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1.</w:t>
            </w:r>
            <w:r>
              <w:rPr>
                <w:rFonts w:hint="default" w:ascii="仿宋_GB2312" w:hAnsi="仿宋_GB2312" w:eastAsia="仿宋_GB2312" w:cs="仿宋_GB2312"/>
                <w:color w:val="000000"/>
                <w:sz w:val="24"/>
                <w:szCs w:val="24"/>
                <w:vertAlign w:val="baseline"/>
                <w:lang w:val="en-US" w:eastAsia="zh-CN"/>
              </w:rPr>
              <w:t>男年龄60周岁</w:t>
            </w:r>
            <w:r>
              <w:rPr>
                <w:rFonts w:hint="eastAsia" w:ascii="仿宋_GB2312" w:hAnsi="仿宋_GB2312" w:eastAsia="仿宋_GB2312" w:cs="仿宋_GB2312"/>
                <w:color w:val="000000"/>
                <w:sz w:val="24"/>
                <w:szCs w:val="24"/>
                <w:vertAlign w:val="baseline"/>
                <w:lang w:val="en-US" w:eastAsia="zh-CN"/>
              </w:rPr>
              <w:t>以下</w:t>
            </w:r>
            <w:r>
              <w:rPr>
                <w:rFonts w:hint="default" w:ascii="仿宋_GB2312" w:hAnsi="仿宋_GB2312" w:eastAsia="仿宋_GB2312" w:cs="仿宋_GB2312"/>
                <w:color w:val="000000"/>
                <w:sz w:val="24"/>
                <w:szCs w:val="24"/>
                <w:vertAlign w:val="baseline"/>
                <w:lang w:val="en-US" w:eastAsia="zh-CN"/>
              </w:rPr>
              <w:t>、女年龄55周岁</w:t>
            </w:r>
            <w:r>
              <w:rPr>
                <w:rFonts w:hint="eastAsia" w:ascii="仿宋_GB2312" w:hAnsi="仿宋_GB2312" w:eastAsia="仿宋_GB2312" w:cs="仿宋_GB2312"/>
                <w:color w:val="000000"/>
                <w:sz w:val="24"/>
                <w:szCs w:val="24"/>
                <w:vertAlign w:val="baseline"/>
                <w:lang w:val="en-US" w:eastAsia="zh-CN"/>
              </w:rPr>
              <w:t>以下，身体健康，能胜任保洁工作。</w:t>
            </w:r>
          </w:p>
        </w:tc>
        <w:tc>
          <w:tcPr>
            <w:tcW w:w="2100" w:type="dxa"/>
            <w:noWrap w:val="0"/>
            <w:vAlign w:val="center"/>
          </w:tcPr>
          <w:p w14:paraId="0C9C0E0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是（提供承诺函，格式自拟）</w:t>
            </w:r>
          </w:p>
        </w:tc>
      </w:tr>
      <w:tr w14:paraId="632D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continue"/>
            <w:noWrap w:val="0"/>
            <w:vAlign w:val="center"/>
          </w:tcPr>
          <w:p w14:paraId="4E9BFE5F">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766" w:type="dxa"/>
            <w:noWrap w:val="0"/>
            <w:vAlign w:val="center"/>
          </w:tcPr>
          <w:p w14:paraId="726D90BE">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5</w:t>
            </w:r>
          </w:p>
        </w:tc>
        <w:tc>
          <w:tcPr>
            <w:tcW w:w="1319" w:type="dxa"/>
            <w:noWrap w:val="0"/>
            <w:vAlign w:val="center"/>
          </w:tcPr>
          <w:p w14:paraId="3578F552">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宿管人员</w:t>
            </w:r>
          </w:p>
        </w:tc>
        <w:tc>
          <w:tcPr>
            <w:tcW w:w="1011" w:type="dxa"/>
            <w:noWrap w:val="0"/>
            <w:vAlign w:val="center"/>
          </w:tcPr>
          <w:p w14:paraId="10A2B056">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16</w:t>
            </w:r>
          </w:p>
        </w:tc>
        <w:tc>
          <w:tcPr>
            <w:tcW w:w="1806" w:type="dxa"/>
            <w:noWrap w:val="0"/>
            <w:vAlign w:val="center"/>
          </w:tcPr>
          <w:p w14:paraId="1D77B29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2"/>
                <w:sz w:val="24"/>
                <w:szCs w:val="24"/>
                <w:vertAlign w:val="baseline"/>
                <w:lang w:val="en-US" w:eastAsia="zh-CN" w:bidi="ar-SA"/>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1.年龄在60周岁以下，身体健康，能胜任宿管工作。</w:t>
            </w:r>
          </w:p>
        </w:tc>
        <w:tc>
          <w:tcPr>
            <w:tcW w:w="2100" w:type="dxa"/>
            <w:noWrap w:val="0"/>
            <w:vAlign w:val="center"/>
          </w:tcPr>
          <w:p w14:paraId="38AF29E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是（提供承诺函，格式自拟）</w:t>
            </w:r>
          </w:p>
        </w:tc>
      </w:tr>
      <w:tr w14:paraId="5228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798" w:type="dxa"/>
            <w:vMerge w:val="continue"/>
            <w:noWrap w:val="0"/>
            <w:vAlign w:val="center"/>
          </w:tcPr>
          <w:p w14:paraId="232B319F">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766" w:type="dxa"/>
            <w:noWrap w:val="0"/>
            <w:vAlign w:val="center"/>
          </w:tcPr>
          <w:p w14:paraId="0D3FEC59">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6</w:t>
            </w:r>
          </w:p>
        </w:tc>
        <w:tc>
          <w:tcPr>
            <w:tcW w:w="1319" w:type="dxa"/>
            <w:noWrap w:val="0"/>
            <w:vAlign w:val="center"/>
          </w:tcPr>
          <w:p w14:paraId="7CE9AE26">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项目副经理</w:t>
            </w:r>
          </w:p>
        </w:tc>
        <w:tc>
          <w:tcPr>
            <w:tcW w:w="1011" w:type="dxa"/>
            <w:noWrap w:val="0"/>
            <w:vAlign w:val="center"/>
          </w:tcPr>
          <w:p w14:paraId="76859597">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1</w:t>
            </w:r>
          </w:p>
        </w:tc>
        <w:tc>
          <w:tcPr>
            <w:tcW w:w="1806" w:type="dxa"/>
            <w:noWrap w:val="0"/>
            <w:vAlign w:val="center"/>
          </w:tcPr>
          <w:p w14:paraId="42A718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1.年龄在50周岁以下；专科以上学历；具有3年以上类似项目管理经验。</w:t>
            </w:r>
          </w:p>
        </w:tc>
        <w:tc>
          <w:tcPr>
            <w:tcW w:w="2100" w:type="dxa"/>
            <w:noWrap w:val="0"/>
            <w:vAlign w:val="center"/>
          </w:tcPr>
          <w:p w14:paraId="6A5641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是（提供身份证、学历证明、服务合同和加盖采购单位公章的证明材料）</w:t>
            </w:r>
          </w:p>
        </w:tc>
      </w:tr>
      <w:tr w14:paraId="25F98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continue"/>
            <w:noWrap w:val="0"/>
            <w:vAlign w:val="top"/>
          </w:tcPr>
          <w:p w14:paraId="529D4C3C">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766" w:type="dxa"/>
            <w:noWrap w:val="0"/>
            <w:vAlign w:val="top"/>
          </w:tcPr>
          <w:p w14:paraId="6196BA5A">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7</w:t>
            </w:r>
          </w:p>
        </w:tc>
        <w:tc>
          <w:tcPr>
            <w:tcW w:w="1319" w:type="dxa"/>
            <w:noWrap w:val="0"/>
            <w:vAlign w:val="center"/>
          </w:tcPr>
          <w:p w14:paraId="67E22B27">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仓库管理员</w:t>
            </w:r>
          </w:p>
        </w:tc>
        <w:tc>
          <w:tcPr>
            <w:tcW w:w="1011" w:type="dxa"/>
            <w:noWrap w:val="0"/>
            <w:vAlign w:val="center"/>
          </w:tcPr>
          <w:p w14:paraId="73AC4C23">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w:t>
            </w:r>
          </w:p>
        </w:tc>
        <w:tc>
          <w:tcPr>
            <w:tcW w:w="1806" w:type="dxa"/>
            <w:noWrap w:val="0"/>
            <w:vAlign w:val="center"/>
          </w:tcPr>
          <w:p w14:paraId="5E6FC5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1.年龄在60周岁以下，身体健康，能胜任本职工作。</w:t>
            </w:r>
          </w:p>
        </w:tc>
        <w:tc>
          <w:tcPr>
            <w:tcW w:w="2100" w:type="dxa"/>
            <w:noWrap w:val="0"/>
            <w:vAlign w:val="center"/>
          </w:tcPr>
          <w:p w14:paraId="6A7EDE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是（提供承诺函，格式自拟）</w:t>
            </w:r>
          </w:p>
        </w:tc>
      </w:tr>
      <w:tr w14:paraId="1148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continue"/>
            <w:noWrap w:val="0"/>
            <w:vAlign w:val="top"/>
          </w:tcPr>
          <w:p w14:paraId="4B44C097">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766" w:type="dxa"/>
            <w:noWrap w:val="0"/>
            <w:vAlign w:val="top"/>
          </w:tcPr>
          <w:p w14:paraId="5546E623">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8</w:t>
            </w:r>
          </w:p>
        </w:tc>
        <w:tc>
          <w:tcPr>
            <w:tcW w:w="1319" w:type="dxa"/>
            <w:noWrap w:val="0"/>
            <w:vAlign w:val="center"/>
          </w:tcPr>
          <w:p w14:paraId="78DB0AA1">
            <w:pPr>
              <w:spacing w:line="560" w:lineRule="exact"/>
              <w:jc w:val="center"/>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澡堂服务</w:t>
            </w:r>
          </w:p>
        </w:tc>
        <w:tc>
          <w:tcPr>
            <w:tcW w:w="1011" w:type="dxa"/>
            <w:noWrap w:val="0"/>
            <w:vAlign w:val="center"/>
          </w:tcPr>
          <w:p w14:paraId="5961CAA6">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w:t>
            </w:r>
          </w:p>
        </w:tc>
        <w:tc>
          <w:tcPr>
            <w:tcW w:w="1806" w:type="dxa"/>
            <w:noWrap w:val="0"/>
            <w:vAlign w:val="center"/>
          </w:tcPr>
          <w:p w14:paraId="03FBEF2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1.</w:t>
            </w:r>
            <w:r>
              <w:rPr>
                <w:rFonts w:hint="default" w:ascii="仿宋_GB2312" w:hAnsi="仿宋_GB2312" w:eastAsia="仿宋_GB2312" w:cs="仿宋_GB2312"/>
                <w:color w:val="000000"/>
                <w:sz w:val="24"/>
                <w:szCs w:val="24"/>
                <w:vertAlign w:val="baseline"/>
                <w:lang w:val="en-US" w:eastAsia="zh-CN"/>
              </w:rPr>
              <w:t>男</w:t>
            </w:r>
            <w:r>
              <w:rPr>
                <w:rFonts w:hint="eastAsia" w:ascii="仿宋_GB2312" w:hAnsi="仿宋_GB2312" w:eastAsia="仿宋_GB2312" w:cs="仿宋_GB2312"/>
                <w:color w:val="000000"/>
                <w:sz w:val="24"/>
                <w:szCs w:val="24"/>
                <w:vertAlign w:val="baseline"/>
                <w:lang w:val="en-US" w:eastAsia="zh-CN"/>
              </w:rPr>
              <w:t>，1名，</w:t>
            </w:r>
            <w:r>
              <w:rPr>
                <w:rFonts w:hint="default" w:ascii="仿宋_GB2312" w:hAnsi="仿宋_GB2312" w:eastAsia="仿宋_GB2312" w:cs="仿宋_GB2312"/>
                <w:color w:val="000000"/>
                <w:sz w:val="24"/>
                <w:szCs w:val="24"/>
                <w:vertAlign w:val="baseline"/>
                <w:lang w:val="en-US" w:eastAsia="zh-CN"/>
              </w:rPr>
              <w:t>年龄60周岁</w:t>
            </w:r>
            <w:r>
              <w:rPr>
                <w:rFonts w:hint="eastAsia" w:ascii="仿宋_GB2312" w:hAnsi="仿宋_GB2312" w:eastAsia="仿宋_GB2312" w:cs="仿宋_GB2312"/>
                <w:color w:val="000000"/>
                <w:sz w:val="24"/>
                <w:szCs w:val="24"/>
                <w:vertAlign w:val="baseline"/>
                <w:lang w:val="en-US" w:eastAsia="zh-CN"/>
              </w:rPr>
              <w:t>以下；</w:t>
            </w:r>
            <w:r>
              <w:rPr>
                <w:rFonts w:hint="default" w:ascii="仿宋_GB2312" w:hAnsi="仿宋_GB2312" w:eastAsia="仿宋_GB2312" w:cs="仿宋_GB2312"/>
                <w:color w:val="000000"/>
                <w:sz w:val="24"/>
                <w:szCs w:val="24"/>
                <w:vertAlign w:val="baseline"/>
                <w:lang w:val="en-US" w:eastAsia="zh-CN"/>
              </w:rPr>
              <w:t>女</w:t>
            </w:r>
            <w:r>
              <w:rPr>
                <w:rFonts w:hint="eastAsia" w:ascii="仿宋_GB2312" w:hAnsi="仿宋_GB2312" w:eastAsia="仿宋_GB2312" w:cs="仿宋_GB2312"/>
                <w:color w:val="000000"/>
                <w:sz w:val="24"/>
                <w:szCs w:val="24"/>
                <w:vertAlign w:val="baseline"/>
                <w:lang w:val="en-US" w:eastAsia="zh-CN"/>
              </w:rPr>
              <w:t>，1名，</w:t>
            </w:r>
            <w:r>
              <w:rPr>
                <w:rFonts w:hint="default" w:ascii="仿宋_GB2312" w:hAnsi="仿宋_GB2312" w:eastAsia="仿宋_GB2312" w:cs="仿宋_GB2312"/>
                <w:color w:val="000000"/>
                <w:sz w:val="24"/>
                <w:szCs w:val="24"/>
                <w:vertAlign w:val="baseline"/>
                <w:lang w:val="en-US" w:eastAsia="zh-CN"/>
              </w:rPr>
              <w:t>年龄55周岁</w:t>
            </w:r>
            <w:r>
              <w:rPr>
                <w:rFonts w:hint="eastAsia" w:ascii="仿宋_GB2312" w:hAnsi="仿宋_GB2312" w:eastAsia="仿宋_GB2312" w:cs="仿宋_GB2312"/>
                <w:color w:val="000000"/>
                <w:sz w:val="24"/>
                <w:szCs w:val="24"/>
                <w:vertAlign w:val="baseline"/>
                <w:lang w:val="en-US" w:eastAsia="zh-CN"/>
              </w:rPr>
              <w:t>以下；身体健康，能胜任本职工作。</w:t>
            </w:r>
          </w:p>
        </w:tc>
        <w:tc>
          <w:tcPr>
            <w:tcW w:w="2100" w:type="dxa"/>
            <w:noWrap w:val="0"/>
            <w:vAlign w:val="center"/>
          </w:tcPr>
          <w:p w14:paraId="32AA4A9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是（提供承诺函，格式自拟）</w:t>
            </w:r>
          </w:p>
        </w:tc>
      </w:tr>
      <w:tr w14:paraId="1E6B4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continue"/>
            <w:noWrap w:val="0"/>
            <w:vAlign w:val="top"/>
          </w:tcPr>
          <w:p w14:paraId="113EF51C">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766" w:type="dxa"/>
            <w:noWrap w:val="0"/>
            <w:vAlign w:val="top"/>
          </w:tcPr>
          <w:p w14:paraId="6190C436">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合计</w:t>
            </w:r>
          </w:p>
        </w:tc>
        <w:tc>
          <w:tcPr>
            <w:tcW w:w="1319" w:type="dxa"/>
            <w:noWrap w:val="0"/>
            <w:vAlign w:val="top"/>
          </w:tcPr>
          <w:p w14:paraId="2C17A7EB">
            <w:pPr>
              <w:spacing w:line="560" w:lineRule="exact"/>
              <w:jc w:val="center"/>
              <w:rPr>
                <w:rFonts w:hint="default" w:ascii="仿宋_GB2312" w:hAnsi="仿宋_GB2312" w:eastAsia="仿宋_GB2312" w:cs="仿宋_GB2312"/>
                <w:color w:val="000000"/>
                <w:sz w:val="24"/>
                <w:szCs w:val="24"/>
                <w:vertAlign w:val="baseline"/>
                <w:lang w:val="en-US" w:eastAsia="zh-CN"/>
              </w:rPr>
            </w:pPr>
          </w:p>
        </w:tc>
        <w:tc>
          <w:tcPr>
            <w:tcW w:w="1011" w:type="dxa"/>
            <w:noWrap w:val="0"/>
            <w:vAlign w:val="top"/>
          </w:tcPr>
          <w:p w14:paraId="5D848F65">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67</w:t>
            </w:r>
          </w:p>
        </w:tc>
        <w:tc>
          <w:tcPr>
            <w:tcW w:w="1806" w:type="dxa"/>
            <w:noWrap w:val="0"/>
            <w:vAlign w:val="top"/>
          </w:tcPr>
          <w:p w14:paraId="6BBB78C3">
            <w:pPr>
              <w:spacing w:line="560" w:lineRule="exact"/>
              <w:jc w:val="center"/>
              <w:rPr>
                <w:rFonts w:hint="default" w:ascii="仿宋_GB2312" w:hAnsi="仿宋_GB2312" w:eastAsia="仿宋_GB2312" w:cs="仿宋_GB2312"/>
                <w:color w:val="000000"/>
                <w:sz w:val="24"/>
                <w:szCs w:val="24"/>
                <w:vertAlign w:val="baseline"/>
                <w:lang w:val="en-US" w:eastAsia="zh-CN"/>
              </w:rPr>
            </w:pPr>
          </w:p>
        </w:tc>
        <w:tc>
          <w:tcPr>
            <w:tcW w:w="2100" w:type="dxa"/>
            <w:noWrap w:val="0"/>
            <w:vAlign w:val="center"/>
          </w:tcPr>
          <w:p w14:paraId="46C56F2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4"/>
                <w:szCs w:val="24"/>
                <w:vertAlign w:val="baseline"/>
                <w:lang w:val="en-US" w:eastAsia="zh-CN"/>
              </w:rPr>
            </w:pPr>
          </w:p>
        </w:tc>
      </w:tr>
    </w:tbl>
    <w:p w14:paraId="69165F44">
      <w:pPr>
        <w:spacing w:line="240" w:lineRule="atLeast"/>
        <w:jc w:val="center"/>
        <w:rPr>
          <w:rFonts w:ascii="华文楷体" w:hAnsi="华文楷体" w:eastAsia="华文楷体" w:cs="华文楷体"/>
          <w:b/>
          <w:color w:val="auto"/>
          <w:sz w:val="36"/>
          <w:szCs w:val="36"/>
        </w:rPr>
      </w:pPr>
    </w:p>
    <w:tbl>
      <w:tblPr>
        <w:tblStyle w:val="54"/>
        <w:tblW w:w="7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805"/>
        <w:gridCol w:w="1230"/>
        <w:gridCol w:w="1011"/>
        <w:gridCol w:w="1849"/>
        <w:gridCol w:w="2100"/>
      </w:tblGrid>
      <w:tr w14:paraId="7611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center"/>
          </w:tcPr>
          <w:p w14:paraId="2885103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包号</w:t>
            </w:r>
          </w:p>
        </w:tc>
        <w:tc>
          <w:tcPr>
            <w:tcW w:w="805" w:type="dxa"/>
            <w:noWrap w:val="0"/>
            <w:vAlign w:val="center"/>
          </w:tcPr>
          <w:p w14:paraId="34699C0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序号</w:t>
            </w:r>
          </w:p>
        </w:tc>
        <w:tc>
          <w:tcPr>
            <w:tcW w:w="1230" w:type="dxa"/>
            <w:noWrap w:val="0"/>
            <w:vAlign w:val="center"/>
          </w:tcPr>
          <w:p w14:paraId="0D2F72C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岗位名称</w:t>
            </w:r>
          </w:p>
        </w:tc>
        <w:tc>
          <w:tcPr>
            <w:tcW w:w="1011" w:type="dxa"/>
            <w:noWrap w:val="0"/>
            <w:vAlign w:val="center"/>
          </w:tcPr>
          <w:p w14:paraId="5942B88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数量</w:t>
            </w:r>
          </w:p>
          <w:p w14:paraId="6ECF9BD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（人）</w:t>
            </w:r>
          </w:p>
        </w:tc>
        <w:tc>
          <w:tcPr>
            <w:tcW w:w="1849" w:type="dxa"/>
            <w:noWrap w:val="0"/>
            <w:vAlign w:val="center"/>
          </w:tcPr>
          <w:p w14:paraId="0E4BF8C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岗位要求</w:t>
            </w:r>
          </w:p>
        </w:tc>
        <w:tc>
          <w:tcPr>
            <w:tcW w:w="2100" w:type="dxa"/>
            <w:noWrap w:val="0"/>
            <w:vAlign w:val="center"/>
          </w:tcPr>
          <w:p w14:paraId="34B8024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证明材料要求</w:t>
            </w:r>
          </w:p>
        </w:tc>
      </w:tr>
      <w:tr w14:paraId="23301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05" w:type="dxa"/>
            <w:vMerge w:val="restart"/>
            <w:noWrap w:val="0"/>
            <w:vAlign w:val="center"/>
          </w:tcPr>
          <w:p w14:paraId="2E554A5C">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b/>
                <w:bCs/>
                <w:color w:val="000000"/>
                <w:sz w:val="24"/>
                <w:szCs w:val="24"/>
                <w:vertAlign w:val="baseline"/>
                <w:lang w:val="en-US" w:eastAsia="zh-CN"/>
              </w:rPr>
              <w:t>包3</w:t>
            </w:r>
          </w:p>
        </w:tc>
        <w:tc>
          <w:tcPr>
            <w:tcW w:w="805" w:type="dxa"/>
            <w:vMerge w:val="restart"/>
            <w:noWrap w:val="0"/>
            <w:vAlign w:val="center"/>
          </w:tcPr>
          <w:p w14:paraId="08FC13F9">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w:t>
            </w:r>
          </w:p>
        </w:tc>
        <w:tc>
          <w:tcPr>
            <w:tcW w:w="1230" w:type="dxa"/>
            <w:vMerge w:val="restart"/>
            <w:noWrap w:val="0"/>
            <w:vAlign w:val="center"/>
          </w:tcPr>
          <w:p w14:paraId="76316C1D">
            <w:pPr>
              <w:spacing w:line="560" w:lineRule="exact"/>
              <w:jc w:val="center"/>
              <w:rPr>
                <w:rFonts w:hint="default" w:ascii="仿宋_GB2312" w:hAnsi="仿宋_GB2312" w:eastAsia="仿宋_GB2312" w:cs="仿宋_GB2312"/>
                <w:color w:val="000000"/>
                <w:sz w:val="24"/>
                <w:szCs w:val="24"/>
                <w:shd w:val="clear" w:color="auto" w:fill="auto"/>
                <w:lang w:val="en"/>
              </w:rPr>
            </w:pPr>
            <w:r>
              <w:rPr>
                <w:rFonts w:hint="default" w:ascii="仿宋_GB2312" w:hAnsi="仿宋_GB2312" w:eastAsia="仿宋_GB2312" w:cs="仿宋_GB2312"/>
                <w:color w:val="000000"/>
                <w:sz w:val="24"/>
                <w:szCs w:val="24"/>
                <w:shd w:val="clear" w:color="auto" w:fill="auto"/>
                <w:lang w:val="en"/>
              </w:rPr>
              <w:t>项目经理</w:t>
            </w:r>
          </w:p>
        </w:tc>
        <w:tc>
          <w:tcPr>
            <w:tcW w:w="1011" w:type="dxa"/>
            <w:vMerge w:val="restart"/>
            <w:noWrap w:val="0"/>
            <w:vAlign w:val="center"/>
          </w:tcPr>
          <w:p w14:paraId="3748AA4E">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w:t>
            </w:r>
          </w:p>
        </w:tc>
        <w:tc>
          <w:tcPr>
            <w:tcW w:w="1849" w:type="dxa"/>
            <w:noWrap w:val="0"/>
            <w:vAlign w:val="center"/>
          </w:tcPr>
          <w:p w14:paraId="39C577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1.年龄在50周岁以下；</w:t>
            </w:r>
          </w:p>
        </w:tc>
        <w:tc>
          <w:tcPr>
            <w:tcW w:w="2100" w:type="dxa"/>
            <w:noWrap w:val="0"/>
            <w:vAlign w:val="center"/>
          </w:tcPr>
          <w:p w14:paraId="01E6447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是（提供身份证）</w:t>
            </w:r>
          </w:p>
        </w:tc>
      </w:tr>
      <w:tr w14:paraId="2C6A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05" w:type="dxa"/>
            <w:vMerge w:val="continue"/>
            <w:noWrap w:val="0"/>
            <w:vAlign w:val="center"/>
          </w:tcPr>
          <w:p w14:paraId="63191736">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805" w:type="dxa"/>
            <w:vMerge w:val="continue"/>
            <w:noWrap w:val="0"/>
            <w:vAlign w:val="center"/>
          </w:tcPr>
          <w:p w14:paraId="7062554B">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230" w:type="dxa"/>
            <w:vMerge w:val="continue"/>
            <w:noWrap w:val="0"/>
            <w:vAlign w:val="center"/>
          </w:tcPr>
          <w:p w14:paraId="19A369EC">
            <w:pPr>
              <w:spacing w:line="560" w:lineRule="exact"/>
              <w:jc w:val="center"/>
              <w:rPr>
                <w:rFonts w:hint="default" w:ascii="仿宋_GB2312" w:hAnsi="仿宋_GB2312" w:eastAsia="仿宋_GB2312" w:cs="仿宋_GB2312"/>
                <w:color w:val="000000"/>
                <w:sz w:val="24"/>
                <w:szCs w:val="24"/>
                <w:shd w:val="clear" w:color="auto" w:fill="auto"/>
                <w:lang w:val="en"/>
              </w:rPr>
            </w:pPr>
          </w:p>
        </w:tc>
        <w:tc>
          <w:tcPr>
            <w:tcW w:w="1011" w:type="dxa"/>
            <w:vMerge w:val="continue"/>
            <w:noWrap w:val="0"/>
            <w:vAlign w:val="center"/>
          </w:tcPr>
          <w:p w14:paraId="213BA952">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849" w:type="dxa"/>
            <w:noWrap w:val="0"/>
            <w:vAlign w:val="center"/>
          </w:tcPr>
          <w:p w14:paraId="2626182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2.本科以上学历；</w:t>
            </w:r>
          </w:p>
        </w:tc>
        <w:tc>
          <w:tcPr>
            <w:tcW w:w="2100" w:type="dxa"/>
            <w:noWrap w:val="0"/>
            <w:vAlign w:val="center"/>
          </w:tcPr>
          <w:p w14:paraId="0FD0021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是（提供学历证明）</w:t>
            </w:r>
          </w:p>
        </w:tc>
      </w:tr>
      <w:tr w14:paraId="032F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5" w:type="dxa"/>
            <w:vMerge w:val="continue"/>
            <w:noWrap w:val="0"/>
            <w:vAlign w:val="center"/>
          </w:tcPr>
          <w:p w14:paraId="0347E6F1">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805" w:type="dxa"/>
            <w:vMerge w:val="continue"/>
            <w:noWrap w:val="0"/>
            <w:vAlign w:val="center"/>
          </w:tcPr>
          <w:p w14:paraId="6645E4DF">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230" w:type="dxa"/>
            <w:vMerge w:val="continue"/>
            <w:noWrap w:val="0"/>
            <w:vAlign w:val="center"/>
          </w:tcPr>
          <w:p w14:paraId="1B91A5D2">
            <w:pPr>
              <w:spacing w:line="560" w:lineRule="exact"/>
              <w:jc w:val="center"/>
              <w:rPr>
                <w:rFonts w:hint="default" w:ascii="仿宋_GB2312" w:hAnsi="仿宋_GB2312" w:eastAsia="仿宋_GB2312" w:cs="仿宋_GB2312"/>
                <w:color w:val="000000"/>
                <w:sz w:val="24"/>
                <w:szCs w:val="24"/>
                <w:shd w:val="clear" w:color="auto" w:fill="auto"/>
                <w:lang w:val="en"/>
              </w:rPr>
            </w:pPr>
          </w:p>
        </w:tc>
        <w:tc>
          <w:tcPr>
            <w:tcW w:w="1011" w:type="dxa"/>
            <w:vMerge w:val="continue"/>
            <w:noWrap w:val="0"/>
            <w:vAlign w:val="center"/>
          </w:tcPr>
          <w:p w14:paraId="0621C61F">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849" w:type="dxa"/>
            <w:noWrap w:val="0"/>
            <w:vAlign w:val="center"/>
          </w:tcPr>
          <w:p w14:paraId="7335E0C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3.具有3年以上类似项目管理经验</w:t>
            </w:r>
          </w:p>
        </w:tc>
        <w:tc>
          <w:tcPr>
            <w:tcW w:w="2100" w:type="dxa"/>
            <w:noWrap w:val="0"/>
            <w:vAlign w:val="center"/>
          </w:tcPr>
          <w:p w14:paraId="2AE1CB3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（需提供服务合同和加盖采购单位公章的证明材料）</w:t>
            </w:r>
          </w:p>
        </w:tc>
      </w:tr>
      <w:tr w14:paraId="299B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05" w:type="dxa"/>
            <w:vMerge w:val="continue"/>
            <w:noWrap w:val="0"/>
            <w:vAlign w:val="center"/>
          </w:tcPr>
          <w:p w14:paraId="2908D2B0">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805" w:type="dxa"/>
            <w:vMerge w:val="restart"/>
            <w:noWrap w:val="0"/>
            <w:vAlign w:val="center"/>
          </w:tcPr>
          <w:p w14:paraId="1EA950CD">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w:t>
            </w:r>
          </w:p>
        </w:tc>
        <w:tc>
          <w:tcPr>
            <w:tcW w:w="1230" w:type="dxa"/>
            <w:vMerge w:val="restart"/>
            <w:noWrap w:val="0"/>
            <w:vAlign w:val="center"/>
          </w:tcPr>
          <w:p w14:paraId="662FF652">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综合维修人员</w:t>
            </w:r>
          </w:p>
        </w:tc>
        <w:tc>
          <w:tcPr>
            <w:tcW w:w="1011" w:type="dxa"/>
            <w:vMerge w:val="restart"/>
            <w:noWrap w:val="0"/>
            <w:vAlign w:val="center"/>
          </w:tcPr>
          <w:p w14:paraId="77F3B362">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4</w:t>
            </w:r>
          </w:p>
        </w:tc>
        <w:tc>
          <w:tcPr>
            <w:tcW w:w="1849" w:type="dxa"/>
            <w:noWrap w:val="0"/>
            <w:vAlign w:val="center"/>
          </w:tcPr>
          <w:p w14:paraId="091F8B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1.年龄在50周岁以下；</w:t>
            </w:r>
          </w:p>
        </w:tc>
        <w:tc>
          <w:tcPr>
            <w:tcW w:w="2100" w:type="dxa"/>
            <w:noWrap w:val="0"/>
            <w:vAlign w:val="center"/>
          </w:tcPr>
          <w:p w14:paraId="58DBA8C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shd w:val="clear" w:color="auto" w:fill="auto"/>
                <w:lang w:val="en-US" w:eastAsia="zh-CN"/>
              </w:rPr>
            </w:pPr>
            <w:r>
              <w:rPr>
                <w:rFonts w:hint="eastAsia" w:ascii="仿宋_GB2312" w:hAnsi="仿宋_GB2312" w:eastAsia="仿宋_GB2312" w:cs="仿宋_GB2312"/>
                <w:color w:val="000000"/>
                <w:sz w:val="24"/>
                <w:szCs w:val="24"/>
                <w:vertAlign w:val="baseline"/>
                <w:lang w:val="en-US" w:eastAsia="zh-CN"/>
              </w:rPr>
              <w:t>是（提供身份证）</w:t>
            </w:r>
          </w:p>
        </w:tc>
      </w:tr>
      <w:tr w14:paraId="132C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noWrap w:val="0"/>
            <w:vAlign w:val="center"/>
          </w:tcPr>
          <w:p w14:paraId="2F0FFA74">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805" w:type="dxa"/>
            <w:vMerge w:val="continue"/>
            <w:noWrap w:val="0"/>
            <w:vAlign w:val="center"/>
          </w:tcPr>
          <w:p w14:paraId="7BFD0FFE">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230" w:type="dxa"/>
            <w:vMerge w:val="continue"/>
            <w:noWrap w:val="0"/>
            <w:vAlign w:val="center"/>
          </w:tcPr>
          <w:p w14:paraId="2904FC50">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011" w:type="dxa"/>
            <w:vMerge w:val="continue"/>
            <w:noWrap w:val="0"/>
            <w:vAlign w:val="center"/>
          </w:tcPr>
          <w:p w14:paraId="2025B644">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849" w:type="dxa"/>
            <w:noWrap w:val="0"/>
            <w:vAlign w:val="center"/>
          </w:tcPr>
          <w:p w14:paraId="261E7C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2.专科以上学历；</w:t>
            </w:r>
          </w:p>
        </w:tc>
        <w:tc>
          <w:tcPr>
            <w:tcW w:w="2100" w:type="dxa"/>
            <w:noWrap w:val="0"/>
            <w:vAlign w:val="center"/>
          </w:tcPr>
          <w:p w14:paraId="04CC316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shd w:val="clear" w:color="auto" w:fill="auto"/>
                <w:lang w:val="en-US" w:eastAsia="zh-CN"/>
              </w:rPr>
            </w:pPr>
            <w:r>
              <w:rPr>
                <w:rFonts w:hint="eastAsia" w:ascii="仿宋_GB2312" w:hAnsi="仿宋_GB2312" w:eastAsia="仿宋_GB2312" w:cs="仿宋_GB2312"/>
                <w:color w:val="000000"/>
                <w:sz w:val="24"/>
                <w:szCs w:val="24"/>
                <w:vertAlign w:val="baseline"/>
                <w:lang w:val="en-US" w:eastAsia="zh-CN"/>
              </w:rPr>
              <w:t>是（提供学历证明）</w:t>
            </w:r>
          </w:p>
        </w:tc>
      </w:tr>
      <w:tr w14:paraId="47BA6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noWrap w:val="0"/>
            <w:vAlign w:val="center"/>
          </w:tcPr>
          <w:p w14:paraId="234BD00C">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805" w:type="dxa"/>
            <w:vMerge w:val="continue"/>
            <w:noWrap w:val="0"/>
            <w:vAlign w:val="center"/>
          </w:tcPr>
          <w:p w14:paraId="094AC56C">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230" w:type="dxa"/>
            <w:vMerge w:val="continue"/>
            <w:noWrap w:val="0"/>
            <w:vAlign w:val="center"/>
          </w:tcPr>
          <w:p w14:paraId="79590D47">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011" w:type="dxa"/>
            <w:vMerge w:val="continue"/>
            <w:noWrap w:val="0"/>
            <w:vAlign w:val="center"/>
          </w:tcPr>
          <w:p w14:paraId="34FB3248">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849" w:type="dxa"/>
            <w:noWrap w:val="0"/>
            <w:vAlign w:val="center"/>
          </w:tcPr>
          <w:p w14:paraId="72644E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3.具有3年以上类似项目管理经验</w:t>
            </w:r>
          </w:p>
        </w:tc>
        <w:tc>
          <w:tcPr>
            <w:tcW w:w="2100" w:type="dxa"/>
            <w:noWrap w:val="0"/>
            <w:vAlign w:val="center"/>
          </w:tcPr>
          <w:p w14:paraId="2CBBD61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shd w:val="clear" w:color="auto" w:fill="auto"/>
                <w:lang w:val="en-US" w:eastAsia="zh-CN"/>
              </w:rPr>
            </w:pPr>
            <w:r>
              <w:rPr>
                <w:rFonts w:hint="eastAsia" w:ascii="仿宋_GB2312" w:hAnsi="仿宋_GB2312" w:eastAsia="仿宋_GB2312" w:cs="仿宋_GB2312"/>
                <w:color w:val="000000"/>
                <w:sz w:val="24"/>
                <w:szCs w:val="24"/>
                <w:vertAlign w:val="baseline"/>
                <w:lang w:val="en-US" w:eastAsia="zh-CN"/>
              </w:rPr>
              <w:t>是（需提供服务合同和加盖采购单位公章的证明材料）</w:t>
            </w:r>
          </w:p>
        </w:tc>
      </w:tr>
      <w:tr w14:paraId="01618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noWrap w:val="0"/>
            <w:vAlign w:val="center"/>
          </w:tcPr>
          <w:p w14:paraId="1C9A46B2">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805" w:type="dxa"/>
            <w:vMerge w:val="continue"/>
            <w:noWrap w:val="0"/>
            <w:vAlign w:val="center"/>
          </w:tcPr>
          <w:p w14:paraId="039C7DE5">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230" w:type="dxa"/>
            <w:vMerge w:val="continue"/>
            <w:noWrap w:val="0"/>
            <w:vAlign w:val="center"/>
          </w:tcPr>
          <w:p w14:paraId="448178DF">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011" w:type="dxa"/>
            <w:vMerge w:val="continue"/>
            <w:noWrap w:val="0"/>
            <w:vAlign w:val="center"/>
          </w:tcPr>
          <w:p w14:paraId="191C3CA0">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849" w:type="dxa"/>
            <w:noWrap w:val="0"/>
            <w:vAlign w:val="center"/>
          </w:tcPr>
          <w:p w14:paraId="4DB448C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4.</w:t>
            </w:r>
            <w:r>
              <w:rPr>
                <w:rFonts w:hint="default" w:ascii="仿宋_GB2312" w:hAnsi="仿宋_GB2312" w:eastAsia="仿宋_GB2312" w:cs="仿宋_GB2312"/>
                <w:color w:val="000000"/>
                <w:sz w:val="24"/>
                <w:szCs w:val="24"/>
                <w:vertAlign w:val="baseline"/>
                <w:lang w:val="en-US" w:eastAsia="zh-CN"/>
              </w:rPr>
              <w:t>至少有1人具有政府行政部门颁发的</w:t>
            </w:r>
            <w:r>
              <w:rPr>
                <w:rFonts w:hint="eastAsia" w:ascii="仿宋_GB2312" w:hAnsi="仿宋_GB2312" w:eastAsia="仿宋_GB2312" w:cs="仿宋_GB2312"/>
                <w:color w:val="000000"/>
                <w:sz w:val="24"/>
                <w:szCs w:val="24"/>
                <w:vertAlign w:val="baseline"/>
                <w:lang w:val="en-US" w:eastAsia="zh-CN"/>
              </w:rPr>
              <w:t>有效</w:t>
            </w:r>
            <w:r>
              <w:rPr>
                <w:rFonts w:hint="default" w:ascii="仿宋_GB2312" w:hAnsi="仿宋_GB2312" w:eastAsia="仿宋_GB2312" w:cs="仿宋_GB2312"/>
                <w:color w:val="000000"/>
                <w:sz w:val="24"/>
                <w:szCs w:val="24"/>
                <w:vertAlign w:val="baseline"/>
                <w:lang w:val="en-US" w:eastAsia="zh-CN"/>
              </w:rPr>
              <w:t>电气或机电类中级及以上职称证书</w:t>
            </w:r>
          </w:p>
        </w:tc>
        <w:tc>
          <w:tcPr>
            <w:tcW w:w="2100" w:type="dxa"/>
            <w:noWrap w:val="0"/>
            <w:vAlign w:val="center"/>
          </w:tcPr>
          <w:p w14:paraId="056D7B1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是（提供职称证书）</w:t>
            </w:r>
          </w:p>
        </w:tc>
      </w:tr>
      <w:tr w14:paraId="49B2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noWrap w:val="0"/>
            <w:vAlign w:val="center"/>
          </w:tcPr>
          <w:p w14:paraId="5EA0DE46">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805" w:type="dxa"/>
            <w:vMerge w:val="continue"/>
            <w:noWrap w:val="0"/>
            <w:vAlign w:val="center"/>
          </w:tcPr>
          <w:p w14:paraId="14270BB1">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230" w:type="dxa"/>
            <w:vMerge w:val="continue"/>
            <w:noWrap w:val="0"/>
            <w:vAlign w:val="center"/>
          </w:tcPr>
          <w:p w14:paraId="382F5875">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011" w:type="dxa"/>
            <w:vMerge w:val="continue"/>
            <w:noWrap w:val="0"/>
            <w:vAlign w:val="center"/>
          </w:tcPr>
          <w:p w14:paraId="33DDE180">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849" w:type="dxa"/>
            <w:noWrap w:val="0"/>
            <w:vAlign w:val="center"/>
          </w:tcPr>
          <w:p w14:paraId="56D668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5.至少1人具备电工从业资格</w:t>
            </w:r>
          </w:p>
        </w:tc>
        <w:tc>
          <w:tcPr>
            <w:tcW w:w="2100" w:type="dxa"/>
            <w:noWrap w:val="0"/>
            <w:vAlign w:val="center"/>
          </w:tcPr>
          <w:p w14:paraId="22D64DD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是【提供政府部门考核发放的有效“特种作业操作证（电工）”（高压电工作业）】。</w:t>
            </w:r>
          </w:p>
        </w:tc>
      </w:tr>
      <w:tr w14:paraId="5585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noWrap w:val="0"/>
            <w:vAlign w:val="center"/>
          </w:tcPr>
          <w:p w14:paraId="7C6874CF">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805" w:type="dxa"/>
            <w:vMerge w:val="restart"/>
            <w:noWrap w:val="0"/>
            <w:vAlign w:val="center"/>
          </w:tcPr>
          <w:p w14:paraId="5E6600B0">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3</w:t>
            </w:r>
          </w:p>
        </w:tc>
        <w:tc>
          <w:tcPr>
            <w:tcW w:w="1230" w:type="dxa"/>
            <w:vMerge w:val="restart"/>
            <w:noWrap w:val="0"/>
            <w:vAlign w:val="center"/>
          </w:tcPr>
          <w:p w14:paraId="1B4DA2C2">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绿化养护人员</w:t>
            </w:r>
          </w:p>
        </w:tc>
        <w:tc>
          <w:tcPr>
            <w:tcW w:w="1011" w:type="dxa"/>
            <w:vMerge w:val="restart"/>
            <w:noWrap w:val="0"/>
            <w:vAlign w:val="center"/>
          </w:tcPr>
          <w:p w14:paraId="7A9C6812">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w:t>
            </w:r>
          </w:p>
        </w:tc>
        <w:tc>
          <w:tcPr>
            <w:tcW w:w="1849" w:type="dxa"/>
            <w:noWrap w:val="0"/>
            <w:vAlign w:val="center"/>
          </w:tcPr>
          <w:p w14:paraId="5EE16D3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1.年龄在50周岁以下；</w:t>
            </w:r>
          </w:p>
        </w:tc>
        <w:tc>
          <w:tcPr>
            <w:tcW w:w="2100" w:type="dxa"/>
            <w:noWrap w:val="0"/>
            <w:vAlign w:val="center"/>
          </w:tcPr>
          <w:p w14:paraId="0FF02EC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是（提供身份证）</w:t>
            </w:r>
          </w:p>
        </w:tc>
      </w:tr>
      <w:tr w14:paraId="34ED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noWrap w:val="0"/>
            <w:vAlign w:val="center"/>
          </w:tcPr>
          <w:p w14:paraId="22F2F575">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805" w:type="dxa"/>
            <w:vMerge w:val="continue"/>
            <w:noWrap w:val="0"/>
            <w:vAlign w:val="center"/>
          </w:tcPr>
          <w:p w14:paraId="34B10C47">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230" w:type="dxa"/>
            <w:vMerge w:val="continue"/>
            <w:noWrap w:val="0"/>
            <w:vAlign w:val="center"/>
          </w:tcPr>
          <w:p w14:paraId="2F57F2BC">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011" w:type="dxa"/>
            <w:vMerge w:val="continue"/>
            <w:noWrap w:val="0"/>
            <w:vAlign w:val="center"/>
          </w:tcPr>
          <w:p w14:paraId="44058A52">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849" w:type="dxa"/>
            <w:noWrap w:val="0"/>
            <w:vAlign w:val="center"/>
          </w:tcPr>
          <w:p w14:paraId="6173CA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2.具有1年以上类似项目管理经验；</w:t>
            </w:r>
          </w:p>
        </w:tc>
        <w:tc>
          <w:tcPr>
            <w:tcW w:w="2100" w:type="dxa"/>
            <w:noWrap w:val="0"/>
            <w:vAlign w:val="center"/>
          </w:tcPr>
          <w:p w14:paraId="7FF914F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是（需提供服务合同和加盖采购单位公章的证明材料）</w:t>
            </w:r>
          </w:p>
        </w:tc>
      </w:tr>
      <w:tr w14:paraId="5454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noWrap w:val="0"/>
            <w:vAlign w:val="center"/>
          </w:tcPr>
          <w:p w14:paraId="0CC0729D">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805" w:type="dxa"/>
            <w:vMerge w:val="continue"/>
            <w:noWrap w:val="0"/>
            <w:vAlign w:val="center"/>
          </w:tcPr>
          <w:p w14:paraId="754B3769">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230" w:type="dxa"/>
            <w:vMerge w:val="continue"/>
            <w:noWrap w:val="0"/>
            <w:vAlign w:val="center"/>
          </w:tcPr>
          <w:p w14:paraId="7E49B6E1">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011" w:type="dxa"/>
            <w:vMerge w:val="continue"/>
            <w:noWrap w:val="0"/>
            <w:vAlign w:val="center"/>
          </w:tcPr>
          <w:p w14:paraId="5F5E89EB">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849" w:type="dxa"/>
            <w:noWrap w:val="0"/>
            <w:vAlign w:val="center"/>
          </w:tcPr>
          <w:p w14:paraId="67292F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3.</w:t>
            </w:r>
            <w:r>
              <w:rPr>
                <w:rFonts w:hint="default" w:ascii="仿宋_GB2312" w:hAnsi="仿宋_GB2312" w:eastAsia="仿宋_GB2312" w:cs="仿宋_GB2312"/>
                <w:color w:val="000000"/>
                <w:sz w:val="24"/>
                <w:szCs w:val="24"/>
                <w:vertAlign w:val="baseline"/>
                <w:lang w:val="en-US" w:eastAsia="zh-CN"/>
              </w:rPr>
              <w:t>2人</w:t>
            </w:r>
            <w:r>
              <w:rPr>
                <w:rFonts w:hint="eastAsia" w:ascii="仿宋_GB2312" w:hAnsi="仿宋_GB2312" w:eastAsia="仿宋_GB2312" w:cs="仿宋_GB2312"/>
                <w:color w:val="000000"/>
                <w:sz w:val="24"/>
                <w:szCs w:val="24"/>
                <w:vertAlign w:val="baseline"/>
                <w:lang w:val="en-US" w:eastAsia="zh-CN"/>
              </w:rPr>
              <w:t>均</w:t>
            </w:r>
            <w:r>
              <w:rPr>
                <w:rFonts w:hint="default" w:ascii="仿宋_GB2312" w:hAnsi="仿宋_GB2312" w:eastAsia="仿宋_GB2312" w:cs="仿宋_GB2312"/>
                <w:color w:val="000000"/>
                <w:sz w:val="24"/>
                <w:szCs w:val="24"/>
                <w:vertAlign w:val="baseline"/>
                <w:lang w:val="en-US" w:eastAsia="zh-CN"/>
              </w:rPr>
              <w:t>具有政府行政部门颁发的</w:t>
            </w:r>
            <w:r>
              <w:rPr>
                <w:rFonts w:hint="eastAsia" w:ascii="仿宋_GB2312" w:hAnsi="仿宋_GB2312" w:eastAsia="仿宋_GB2312" w:cs="仿宋_GB2312"/>
                <w:color w:val="000000"/>
                <w:sz w:val="24"/>
                <w:szCs w:val="24"/>
                <w:vertAlign w:val="baseline"/>
                <w:lang w:val="en-US" w:eastAsia="zh-CN"/>
              </w:rPr>
              <w:t>有效</w:t>
            </w:r>
            <w:r>
              <w:rPr>
                <w:rFonts w:hint="default" w:ascii="仿宋_GB2312" w:hAnsi="仿宋_GB2312" w:eastAsia="仿宋_GB2312" w:cs="仿宋_GB2312"/>
                <w:color w:val="000000"/>
                <w:sz w:val="24"/>
                <w:szCs w:val="24"/>
                <w:vertAlign w:val="baseline"/>
                <w:lang w:val="en-US" w:eastAsia="zh-CN"/>
              </w:rPr>
              <w:t>园林类（风景园林、景观设计、园艺等</w:t>
            </w:r>
            <w:r>
              <w:rPr>
                <w:rFonts w:hint="eastAsia" w:ascii="仿宋_GB2312" w:hAnsi="仿宋_GB2312" w:eastAsia="仿宋_GB2312" w:cs="仿宋_GB2312"/>
                <w:color w:val="000000"/>
                <w:sz w:val="24"/>
                <w:szCs w:val="24"/>
                <w:vertAlign w:val="baseline"/>
                <w:lang w:val="en-US" w:eastAsia="zh-CN"/>
              </w:rPr>
              <w:t>专业</w:t>
            </w:r>
            <w:r>
              <w:rPr>
                <w:rFonts w:hint="default" w:ascii="仿宋_GB2312" w:hAnsi="仿宋_GB2312" w:eastAsia="仿宋_GB2312" w:cs="仿宋_GB2312"/>
                <w:color w:val="000000"/>
                <w:sz w:val="24"/>
                <w:szCs w:val="24"/>
                <w:vertAlign w:val="baseline"/>
                <w:lang w:val="en-US" w:eastAsia="zh-CN"/>
              </w:rPr>
              <w:t>）职称证书</w:t>
            </w:r>
            <w:r>
              <w:rPr>
                <w:rFonts w:hint="eastAsia" w:ascii="仿宋_GB2312" w:hAnsi="仿宋_GB2312" w:eastAsia="仿宋_GB2312" w:cs="仿宋_GB2312"/>
                <w:color w:val="000000"/>
                <w:sz w:val="24"/>
                <w:szCs w:val="24"/>
                <w:vertAlign w:val="baseline"/>
                <w:lang w:val="en-US" w:eastAsia="zh-CN"/>
              </w:rPr>
              <w:t>。</w:t>
            </w:r>
          </w:p>
        </w:tc>
        <w:tc>
          <w:tcPr>
            <w:tcW w:w="2100" w:type="dxa"/>
            <w:noWrap w:val="0"/>
            <w:vAlign w:val="center"/>
          </w:tcPr>
          <w:p w14:paraId="1FDABD8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是（提供职称证书）</w:t>
            </w:r>
          </w:p>
        </w:tc>
      </w:tr>
      <w:tr w14:paraId="1727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noWrap w:val="0"/>
            <w:vAlign w:val="center"/>
          </w:tcPr>
          <w:p w14:paraId="7DB377E8">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805" w:type="dxa"/>
            <w:noWrap w:val="0"/>
            <w:vAlign w:val="center"/>
          </w:tcPr>
          <w:p w14:paraId="59CD393D">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4</w:t>
            </w:r>
          </w:p>
        </w:tc>
        <w:tc>
          <w:tcPr>
            <w:tcW w:w="1230" w:type="dxa"/>
            <w:noWrap w:val="0"/>
            <w:vAlign w:val="center"/>
          </w:tcPr>
          <w:p w14:paraId="42E18688">
            <w:pPr>
              <w:spacing w:line="560" w:lineRule="exact"/>
              <w:jc w:val="center"/>
              <w:rPr>
                <w:rFonts w:hint="eastAsia"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保洁</w:t>
            </w:r>
          </w:p>
        </w:tc>
        <w:tc>
          <w:tcPr>
            <w:tcW w:w="1011" w:type="dxa"/>
            <w:noWrap w:val="0"/>
            <w:vAlign w:val="center"/>
          </w:tcPr>
          <w:p w14:paraId="7520FCF2">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19</w:t>
            </w:r>
          </w:p>
        </w:tc>
        <w:tc>
          <w:tcPr>
            <w:tcW w:w="1849" w:type="dxa"/>
            <w:noWrap w:val="0"/>
            <w:vAlign w:val="center"/>
          </w:tcPr>
          <w:p w14:paraId="49C80AA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1.</w:t>
            </w:r>
            <w:r>
              <w:rPr>
                <w:rFonts w:hint="default" w:ascii="仿宋_GB2312" w:hAnsi="仿宋_GB2312" w:eastAsia="仿宋_GB2312" w:cs="仿宋_GB2312"/>
                <w:color w:val="000000"/>
                <w:sz w:val="24"/>
                <w:szCs w:val="24"/>
                <w:vertAlign w:val="baseline"/>
                <w:lang w:val="en-US" w:eastAsia="zh-CN"/>
              </w:rPr>
              <w:t>男年龄60周岁</w:t>
            </w:r>
            <w:r>
              <w:rPr>
                <w:rFonts w:hint="eastAsia" w:ascii="仿宋_GB2312" w:hAnsi="仿宋_GB2312" w:eastAsia="仿宋_GB2312" w:cs="仿宋_GB2312"/>
                <w:color w:val="000000"/>
                <w:sz w:val="24"/>
                <w:szCs w:val="24"/>
                <w:vertAlign w:val="baseline"/>
                <w:lang w:val="en-US" w:eastAsia="zh-CN"/>
              </w:rPr>
              <w:t>以下</w:t>
            </w:r>
            <w:r>
              <w:rPr>
                <w:rFonts w:hint="default" w:ascii="仿宋_GB2312" w:hAnsi="仿宋_GB2312" w:eastAsia="仿宋_GB2312" w:cs="仿宋_GB2312"/>
                <w:color w:val="000000"/>
                <w:sz w:val="24"/>
                <w:szCs w:val="24"/>
                <w:vertAlign w:val="baseline"/>
                <w:lang w:val="en-US" w:eastAsia="zh-CN"/>
              </w:rPr>
              <w:t>、女年龄55周岁</w:t>
            </w:r>
            <w:r>
              <w:rPr>
                <w:rFonts w:hint="eastAsia" w:ascii="仿宋_GB2312" w:hAnsi="仿宋_GB2312" w:eastAsia="仿宋_GB2312" w:cs="仿宋_GB2312"/>
                <w:color w:val="000000"/>
                <w:sz w:val="24"/>
                <w:szCs w:val="24"/>
                <w:vertAlign w:val="baseline"/>
                <w:lang w:val="en-US" w:eastAsia="zh-CN"/>
              </w:rPr>
              <w:t>以下，身体健康，能胜任保洁工作。</w:t>
            </w:r>
          </w:p>
        </w:tc>
        <w:tc>
          <w:tcPr>
            <w:tcW w:w="2100" w:type="dxa"/>
            <w:noWrap w:val="0"/>
            <w:vAlign w:val="center"/>
          </w:tcPr>
          <w:p w14:paraId="37500D1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是（提供承诺函，格式自拟）</w:t>
            </w:r>
          </w:p>
        </w:tc>
      </w:tr>
      <w:tr w14:paraId="0C64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noWrap w:val="0"/>
            <w:vAlign w:val="center"/>
          </w:tcPr>
          <w:p w14:paraId="304B944B">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805" w:type="dxa"/>
            <w:noWrap w:val="0"/>
            <w:vAlign w:val="center"/>
          </w:tcPr>
          <w:p w14:paraId="684A6334">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5</w:t>
            </w:r>
          </w:p>
        </w:tc>
        <w:tc>
          <w:tcPr>
            <w:tcW w:w="1230" w:type="dxa"/>
            <w:noWrap w:val="0"/>
            <w:vAlign w:val="center"/>
          </w:tcPr>
          <w:p w14:paraId="0B397F29">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宿管人员</w:t>
            </w:r>
          </w:p>
        </w:tc>
        <w:tc>
          <w:tcPr>
            <w:tcW w:w="1011" w:type="dxa"/>
            <w:noWrap w:val="0"/>
            <w:vAlign w:val="center"/>
          </w:tcPr>
          <w:p w14:paraId="2EFB7960">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6</w:t>
            </w:r>
          </w:p>
        </w:tc>
        <w:tc>
          <w:tcPr>
            <w:tcW w:w="1849" w:type="dxa"/>
            <w:noWrap w:val="0"/>
            <w:vAlign w:val="center"/>
          </w:tcPr>
          <w:p w14:paraId="2D4A3B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2"/>
                <w:sz w:val="24"/>
                <w:szCs w:val="24"/>
                <w:vertAlign w:val="baseline"/>
                <w:lang w:val="en-US" w:eastAsia="zh-CN" w:bidi="ar-SA"/>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1.年龄在60周岁以下，身体健康，能胜任宿管工作。</w:t>
            </w:r>
          </w:p>
        </w:tc>
        <w:tc>
          <w:tcPr>
            <w:tcW w:w="2100" w:type="dxa"/>
            <w:noWrap w:val="0"/>
            <w:vAlign w:val="center"/>
          </w:tcPr>
          <w:p w14:paraId="365FAA1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是（提供承诺函，格式自拟）</w:t>
            </w:r>
          </w:p>
        </w:tc>
      </w:tr>
      <w:tr w14:paraId="76E73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05" w:type="dxa"/>
            <w:vMerge w:val="continue"/>
            <w:noWrap w:val="0"/>
            <w:vAlign w:val="center"/>
          </w:tcPr>
          <w:p w14:paraId="08E29E08">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805" w:type="dxa"/>
            <w:vMerge w:val="restart"/>
            <w:noWrap w:val="0"/>
            <w:vAlign w:val="center"/>
          </w:tcPr>
          <w:p w14:paraId="4DBF5AB3">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6</w:t>
            </w:r>
          </w:p>
        </w:tc>
        <w:tc>
          <w:tcPr>
            <w:tcW w:w="1230" w:type="dxa"/>
            <w:vMerge w:val="restart"/>
            <w:noWrap w:val="0"/>
            <w:vAlign w:val="center"/>
          </w:tcPr>
          <w:p w14:paraId="458965CF">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项目副经理</w:t>
            </w:r>
          </w:p>
        </w:tc>
        <w:tc>
          <w:tcPr>
            <w:tcW w:w="1011" w:type="dxa"/>
            <w:vMerge w:val="restart"/>
            <w:noWrap w:val="0"/>
            <w:vAlign w:val="center"/>
          </w:tcPr>
          <w:p w14:paraId="4D70A9F1">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1</w:t>
            </w:r>
          </w:p>
        </w:tc>
        <w:tc>
          <w:tcPr>
            <w:tcW w:w="1849" w:type="dxa"/>
            <w:noWrap w:val="0"/>
            <w:vAlign w:val="center"/>
          </w:tcPr>
          <w:p w14:paraId="6BC57E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1.年龄在50周岁以下；</w:t>
            </w:r>
          </w:p>
        </w:tc>
        <w:tc>
          <w:tcPr>
            <w:tcW w:w="2100" w:type="dxa"/>
            <w:noWrap w:val="0"/>
            <w:vAlign w:val="center"/>
          </w:tcPr>
          <w:p w14:paraId="5D1ECB4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是（提供身份证）</w:t>
            </w:r>
          </w:p>
        </w:tc>
      </w:tr>
      <w:tr w14:paraId="5BB70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noWrap w:val="0"/>
            <w:vAlign w:val="top"/>
          </w:tcPr>
          <w:p w14:paraId="57FC0619">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805" w:type="dxa"/>
            <w:vMerge w:val="continue"/>
            <w:noWrap w:val="0"/>
            <w:vAlign w:val="top"/>
          </w:tcPr>
          <w:p w14:paraId="52786647">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230" w:type="dxa"/>
            <w:vMerge w:val="continue"/>
            <w:noWrap w:val="0"/>
            <w:vAlign w:val="center"/>
          </w:tcPr>
          <w:p w14:paraId="7C7BAF67">
            <w:pPr>
              <w:spacing w:line="560" w:lineRule="exact"/>
              <w:jc w:val="center"/>
              <w:rPr>
                <w:rFonts w:hint="default" w:ascii="仿宋_GB2312" w:hAnsi="仿宋_GB2312" w:eastAsia="仿宋_GB2312" w:cs="仿宋_GB2312"/>
                <w:color w:val="000000"/>
                <w:sz w:val="24"/>
                <w:szCs w:val="24"/>
                <w:vertAlign w:val="baseline"/>
                <w:lang w:val="en-US" w:eastAsia="zh-CN"/>
              </w:rPr>
            </w:pPr>
          </w:p>
        </w:tc>
        <w:tc>
          <w:tcPr>
            <w:tcW w:w="1011" w:type="dxa"/>
            <w:vMerge w:val="continue"/>
            <w:noWrap w:val="0"/>
            <w:vAlign w:val="center"/>
          </w:tcPr>
          <w:p w14:paraId="5E883D6C">
            <w:pPr>
              <w:spacing w:line="560" w:lineRule="exact"/>
              <w:jc w:val="center"/>
              <w:rPr>
                <w:rFonts w:hint="default" w:ascii="仿宋_GB2312" w:hAnsi="仿宋_GB2312" w:eastAsia="仿宋_GB2312" w:cs="仿宋_GB2312"/>
                <w:color w:val="000000"/>
                <w:sz w:val="24"/>
                <w:szCs w:val="24"/>
                <w:vertAlign w:val="baseline"/>
                <w:lang w:val="en-US" w:eastAsia="zh-CN"/>
              </w:rPr>
            </w:pPr>
          </w:p>
        </w:tc>
        <w:tc>
          <w:tcPr>
            <w:tcW w:w="1849" w:type="dxa"/>
            <w:noWrap w:val="0"/>
            <w:vAlign w:val="center"/>
          </w:tcPr>
          <w:p w14:paraId="2CEC38D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2.专科以上学历；</w:t>
            </w:r>
          </w:p>
        </w:tc>
        <w:tc>
          <w:tcPr>
            <w:tcW w:w="2100" w:type="dxa"/>
            <w:noWrap w:val="0"/>
            <w:vAlign w:val="center"/>
          </w:tcPr>
          <w:p w14:paraId="5D9DCF0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是（提供学历证明）</w:t>
            </w:r>
          </w:p>
        </w:tc>
      </w:tr>
      <w:tr w14:paraId="27B1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noWrap w:val="0"/>
            <w:vAlign w:val="top"/>
          </w:tcPr>
          <w:p w14:paraId="58724661">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805" w:type="dxa"/>
            <w:vMerge w:val="continue"/>
            <w:noWrap w:val="0"/>
            <w:vAlign w:val="top"/>
          </w:tcPr>
          <w:p w14:paraId="1B43E9CB">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1230" w:type="dxa"/>
            <w:vMerge w:val="continue"/>
            <w:noWrap w:val="0"/>
            <w:vAlign w:val="center"/>
          </w:tcPr>
          <w:p w14:paraId="7F81065A">
            <w:pPr>
              <w:spacing w:line="560" w:lineRule="exact"/>
              <w:jc w:val="center"/>
              <w:rPr>
                <w:rFonts w:hint="default" w:ascii="仿宋_GB2312" w:hAnsi="仿宋_GB2312" w:eastAsia="仿宋_GB2312" w:cs="仿宋_GB2312"/>
                <w:color w:val="000000"/>
                <w:sz w:val="24"/>
                <w:szCs w:val="24"/>
                <w:vertAlign w:val="baseline"/>
                <w:lang w:val="en-US" w:eastAsia="zh-CN"/>
              </w:rPr>
            </w:pPr>
          </w:p>
        </w:tc>
        <w:tc>
          <w:tcPr>
            <w:tcW w:w="1011" w:type="dxa"/>
            <w:vMerge w:val="continue"/>
            <w:noWrap w:val="0"/>
            <w:vAlign w:val="center"/>
          </w:tcPr>
          <w:p w14:paraId="1B27C1BF">
            <w:pPr>
              <w:spacing w:line="560" w:lineRule="exact"/>
              <w:jc w:val="center"/>
              <w:rPr>
                <w:rFonts w:hint="default" w:ascii="仿宋_GB2312" w:hAnsi="仿宋_GB2312" w:eastAsia="仿宋_GB2312" w:cs="仿宋_GB2312"/>
                <w:color w:val="000000"/>
                <w:sz w:val="24"/>
                <w:szCs w:val="24"/>
                <w:vertAlign w:val="baseline"/>
                <w:lang w:val="en-US" w:eastAsia="zh-CN"/>
              </w:rPr>
            </w:pPr>
          </w:p>
        </w:tc>
        <w:tc>
          <w:tcPr>
            <w:tcW w:w="1849" w:type="dxa"/>
            <w:noWrap w:val="0"/>
            <w:vAlign w:val="center"/>
          </w:tcPr>
          <w:p w14:paraId="15F918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w:t>
            </w:r>
            <w:r>
              <w:rPr>
                <w:rFonts w:hint="eastAsia" w:ascii="仿宋_GB2312" w:hAnsi="仿宋_GB2312" w:eastAsia="仿宋_GB2312" w:cs="仿宋_GB2312"/>
                <w:color w:val="000000"/>
                <w:sz w:val="24"/>
                <w:szCs w:val="24"/>
                <w:vertAlign w:val="baseline"/>
                <w:lang w:val="en-US" w:eastAsia="zh-CN"/>
              </w:rPr>
              <w:t>3.具有3年以上类似项目管理经验</w:t>
            </w:r>
          </w:p>
        </w:tc>
        <w:tc>
          <w:tcPr>
            <w:tcW w:w="2100" w:type="dxa"/>
            <w:noWrap w:val="0"/>
            <w:vAlign w:val="center"/>
          </w:tcPr>
          <w:p w14:paraId="559AEB3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（需提供服务合同和加盖采购单位公章的证明材料）</w:t>
            </w:r>
          </w:p>
        </w:tc>
      </w:tr>
      <w:tr w14:paraId="1EE7E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noWrap w:val="0"/>
            <w:vAlign w:val="top"/>
          </w:tcPr>
          <w:p w14:paraId="5918B2C9">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805" w:type="dxa"/>
            <w:noWrap w:val="0"/>
            <w:vAlign w:val="top"/>
          </w:tcPr>
          <w:p w14:paraId="268ADA06">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合计</w:t>
            </w:r>
          </w:p>
        </w:tc>
        <w:tc>
          <w:tcPr>
            <w:tcW w:w="1230" w:type="dxa"/>
            <w:noWrap w:val="0"/>
            <w:vAlign w:val="top"/>
          </w:tcPr>
          <w:p w14:paraId="2CB0D843">
            <w:pPr>
              <w:spacing w:line="560" w:lineRule="exact"/>
              <w:jc w:val="center"/>
              <w:rPr>
                <w:rFonts w:hint="default" w:ascii="仿宋_GB2312" w:hAnsi="仿宋_GB2312" w:eastAsia="仿宋_GB2312" w:cs="仿宋_GB2312"/>
                <w:color w:val="000000"/>
                <w:sz w:val="24"/>
                <w:szCs w:val="24"/>
                <w:vertAlign w:val="baseline"/>
                <w:lang w:val="en-US" w:eastAsia="zh-CN"/>
              </w:rPr>
            </w:pPr>
          </w:p>
        </w:tc>
        <w:tc>
          <w:tcPr>
            <w:tcW w:w="1011" w:type="dxa"/>
            <w:noWrap w:val="0"/>
            <w:vAlign w:val="top"/>
          </w:tcPr>
          <w:p w14:paraId="53168CA8">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33</w:t>
            </w:r>
          </w:p>
        </w:tc>
        <w:tc>
          <w:tcPr>
            <w:tcW w:w="1849" w:type="dxa"/>
            <w:noWrap w:val="0"/>
            <w:vAlign w:val="top"/>
          </w:tcPr>
          <w:p w14:paraId="5E2238EC">
            <w:pPr>
              <w:spacing w:line="560" w:lineRule="exact"/>
              <w:jc w:val="center"/>
              <w:rPr>
                <w:rFonts w:hint="default" w:ascii="仿宋_GB2312" w:hAnsi="仿宋_GB2312" w:eastAsia="仿宋_GB2312" w:cs="仿宋_GB2312"/>
                <w:color w:val="000000"/>
                <w:sz w:val="24"/>
                <w:szCs w:val="24"/>
                <w:vertAlign w:val="baseline"/>
                <w:lang w:val="en-US" w:eastAsia="zh-CN"/>
              </w:rPr>
            </w:pPr>
          </w:p>
        </w:tc>
        <w:tc>
          <w:tcPr>
            <w:tcW w:w="2100" w:type="dxa"/>
            <w:noWrap w:val="0"/>
            <w:vAlign w:val="center"/>
          </w:tcPr>
          <w:p w14:paraId="167B6CF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4"/>
                <w:szCs w:val="24"/>
                <w:vertAlign w:val="baseline"/>
                <w:lang w:val="en-US" w:eastAsia="zh-CN"/>
              </w:rPr>
            </w:pPr>
          </w:p>
        </w:tc>
      </w:tr>
    </w:tbl>
    <w:p w14:paraId="5483D7A0">
      <w:pPr>
        <w:numPr>
          <w:ilvl w:val="0"/>
          <w:numId w:val="0"/>
        </w:numPr>
        <w:spacing w:line="240" w:lineRule="atLeast"/>
        <w:ind w:firstLine="643" w:firstLineChars="200"/>
        <w:jc w:val="left"/>
        <w:outlineLvl w:val="2"/>
        <w:rPr>
          <w:rFonts w:ascii="仿宋_GB2312" w:eastAsia="仿宋_GB2312"/>
          <w:b/>
          <w:bCs/>
          <w:sz w:val="32"/>
          <w:szCs w:val="40"/>
        </w:rPr>
      </w:pPr>
      <w:r>
        <w:rPr>
          <w:rFonts w:hint="eastAsia" w:ascii="仿宋_GB2312" w:eastAsia="仿宋_GB2312"/>
          <w:b/>
          <w:bCs/>
          <w:sz w:val="32"/>
          <w:szCs w:val="40"/>
          <w:lang w:val="en-US" w:eastAsia="zh-CN"/>
        </w:rPr>
        <w:t>3、</w:t>
      </w:r>
      <w:r>
        <w:rPr>
          <w:rFonts w:hint="eastAsia" w:ascii="仿宋_GB2312" w:eastAsia="仿宋_GB2312"/>
          <w:b/>
          <w:bCs/>
          <w:sz w:val="32"/>
          <w:szCs w:val="40"/>
        </w:rPr>
        <w:t>需投入设备</w:t>
      </w:r>
      <w:r>
        <w:rPr>
          <w:rFonts w:hint="eastAsia" w:ascii="仿宋_GB2312" w:eastAsia="仿宋_GB2312"/>
          <w:b/>
          <w:bCs/>
          <w:sz w:val="32"/>
          <w:szCs w:val="40"/>
          <w:lang w:eastAsia="zh-CN"/>
        </w:rPr>
        <w:t>、物料</w:t>
      </w:r>
      <w:r>
        <w:rPr>
          <w:rFonts w:hint="eastAsia" w:ascii="仿宋_GB2312" w:eastAsia="仿宋_GB2312"/>
          <w:b/>
          <w:bCs/>
          <w:sz w:val="32"/>
          <w:szCs w:val="40"/>
        </w:rPr>
        <w:t>一览表（本表数量为最小数量，投标人可根据实际情况增加）</w:t>
      </w:r>
      <w:r>
        <w:rPr>
          <w:rFonts w:ascii="仿宋_GB2312" w:eastAsia="仿宋_GB2312"/>
          <w:b/>
          <w:bCs/>
          <w:sz w:val="32"/>
          <w:szCs w:val="40"/>
        </w:rPr>
        <w:t>：</w:t>
      </w:r>
    </w:p>
    <w:p w14:paraId="3001982C">
      <w:pPr>
        <w:pStyle w:val="18"/>
      </w:pPr>
    </w:p>
    <w:tbl>
      <w:tblPr>
        <w:tblStyle w:val="53"/>
        <w:tblW w:w="0" w:type="auto"/>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979"/>
        <w:gridCol w:w="2543"/>
        <w:gridCol w:w="767"/>
        <w:gridCol w:w="2744"/>
      </w:tblGrid>
      <w:tr w14:paraId="19FA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61402FDE">
            <w:pPr>
              <w:pStyle w:val="17"/>
              <w:spacing w:line="360" w:lineRule="auto"/>
              <w:jc w:val="center"/>
              <w:rPr>
                <w:rFonts w:hint="eastAsia" w:ascii="黑体" w:hAnsi="黑体" w:eastAsia="黑体" w:cs="黑体"/>
                <w:color w:val="000000"/>
                <w:kern w:val="2"/>
                <w:sz w:val="28"/>
                <w:szCs w:val="28"/>
                <w:highlight w:val="none"/>
                <w:lang w:val="en-US" w:eastAsia="zh-CN" w:bidi="ar-SA"/>
              </w:rPr>
            </w:pPr>
            <w:r>
              <w:rPr>
                <w:rFonts w:hint="eastAsia" w:ascii="黑体" w:hAnsi="黑体" w:eastAsia="黑体" w:cs="黑体"/>
                <w:color w:val="000000"/>
                <w:kern w:val="2"/>
                <w:sz w:val="28"/>
                <w:szCs w:val="28"/>
                <w:highlight w:val="none"/>
                <w:lang w:val="en-US" w:eastAsia="zh-CN" w:bidi="ar-SA"/>
              </w:rPr>
              <w:t>序号</w:t>
            </w:r>
          </w:p>
        </w:tc>
        <w:tc>
          <w:tcPr>
            <w:tcW w:w="1979" w:type="dxa"/>
            <w:vAlign w:val="center"/>
          </w:tcPr>
          <w:p w14:paraId="17918B7F">
            <w:pPr>
              <w:pStyle w:val="17"/>
              <w:spacing w:line="360" w:lineRule="auto"/>
              <w:jc w:val="center"/>
              <w:rPr>
                <w:rFonts w:hint="eastAsia" w:ascii="黑体" w:hAnsi="黑体" w:eastAsia="黑体" w:cs="黑体"/>
                <w:color w:val="000000"/>
                <w:kern w:val="2"/>
                <w:sz w:val="28"/>
                <w:szCs w:val="28"/>
                <w:highlight w:val="none"/>
                <w:lang w:val="en-US" w:eastAsia="zh-CN" w:bidi="ar-SA"/>
              </w:rPr>
            </w:pPr>
            <w:r>
              <w:rPr>
                <w:rFonts w:hint="eastAsia" w:ascii="黑体" w:hAnsi="黑体" w:eastAsia="黑体" w:cs="黑体"/>
                <w:color w:val="000000"/>
                <w:kern w:val="2"/>
                <w:sz w:val="28"/>
                <w:szCs w:val="28"/>
                <w:highlight w:val="none"/>
                <w:lang w:val="en-US" w:eastAsia="zh-CN" w:bidi="ar-SA"/>
              </w:rPr>
              <w:t>名称</w:t>
            </w:r>
          </w:p>
        </w:tc>
        <w:tc>
          <w:tcPr>
            <w:tcW w:w="2543" w:type="dxa"/>
            <w:vAlign w:val="center"/>
          </w:tcPr>
          <w:p w14:paraId="57AC95E3">
            <w:pPr>
              <w:pStyle w:val="17"/>
              <w:spacing w:line="360" w:lineRule="auto"/>
              <w:jc w:val="center"/>
              <w:rPr>
                <w:rFonts w:hint="eastAsia" w:ascii="黑体" w:hAnsi="黑体" w:eastAsia="黑体" w:cs="黑体"/>
                <w:color w:val="000000"/>
                <w:kern w:val="2"/>
                <w:sz w:val="28"/>
                <w:szCs w:val="28"/>
                <w:highlight w:val="none"/>
                <w:lang w:val="en-US" w:eastAsia="zh-CN" w:bidi="ar-SA"/>
              </w:rPr>
            </w:pPr>
            <w:r>
              <w:rPr>
                <w:rFonts w:hint="eastAsia" w:ascii="黑体" w:hAnsi="黑体" w:eastAsia="黑体" w:cs="黑体"/>
                <w:color w:val="000000"/>
                <w:kern w:val="2"/>
                <w:sz w:val="28"/>
                <w:szCs w:val="28"/>
                <w:highlight w:val="none"/>
                <w:lang w:val="en-US" w:eastAsia="zh-CN" w:bidi="ar-SA"/>
              </w:rPr>
              <w:t>数量</w:t>
            </w:r>
          </w:p>
        </w:tc>
        <w:tc>
          <w:tcPr>
            <w:tcW w:w="767" w:type="dxa"/>
            <w:vAlign w:val="center"/>
          </w:tcPr>
          <w:p w14:paraId="36A6638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基本</w:t>
            </w:r>
          </w:p>
          <w:p w14:paraId="7069788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rPr>
            </w:pPr>
            <w:r>
              <w:rPr>
                <w:rFonts w:hint="eastAsia" w:ascii="黑体" w:hAnsi="黑体" w:eastAsia="黑体" w:cs="黑体"/>
                <w:sz w:val="28"/>
                <w:szCs w:val="28"/>
                <w:highlight w:val="none"/>
                <w:lang w:val="en-US" w:eastAsia="zh-CN"/>
              </w:rPr>
              <w:t>要求</w:t>
            </w:r>
          </w:p>
        </w:tc>
        <w:tc>
          <w:tcPr>
            <w:tcW w:w="2744" w:type="dxa"/>
            <w:vAlign w:val="top"/>
          </w:tcPr>
          <w:p w14:paraId="4B11CEA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黑体" w:hAnsi="黑体" w:eastAsia="黑体" w:cs="黑体"/>
                <w:sz w:val="28"/>
                <w:szCs w:val="28"/>
                <w:highlight w:val="none"/>
                <w:lang w:val="en-US" w:eastAsia="zh-CN"/>
              </w:rPr>
            </w:pPr>
          </w:p>
          <w:p w14:paraId="7A76272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rPr>
            </w:pPr>
            <w:r>
              <w:rPr>
                <w:rFonts w:hint="default" w:ascii="黑体" w:hAnsi="黑体" w:eastAsia="黑体" w:cs="黑体"/>
                <w:sz w:val="28"/>
                <w:szCs w:val="28"/>
                <w:highlight w:val="none"/>
                <w:lang w:val="en-US" w:eastAsia="zh-CN"/>
              </w:rPr>
              <w:t>证明材料要求</w:t>
            </w:r>
          </w:p>
        </w:tc>
      </w:tr>
      <w:tr w14:paraId="38928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777881B9">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1</w:t>
            </w:r>
          </w:p>
        </w:tc>
        <w:tc>
          <w:tcPr>
            <w:tcW w:w="1979" w:type="dxa"/>
            <w:vAlign w:val="center"/>
          </w:tcPr>
          <w:p w14:paraId="1D65D459">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喷香机、香料</w:t>
            </w:r>
          </w:p>
        </w:tc>
        <w:tc>
          <w:tcPr>
            <w:tcW w:w="2543" w:type="dxa"/>
            <w:vAlign w:val="center"/>
          </w:tcPr>
          <w:p w14:paraId="0C45B3D3">
            <w:pPr>
              <w:pStyle w:val="17"/>
              <w:spacing w:line="360" w:lineRule="auto"/>
              <w:jc w:val="center"/>
              <w:rPr>
                <w:rFonts w:hint="eastAsia" w:ascii="仿宋" w:hAnsi="仿宋" w:eastAsia="仿宋_GB2312" w:cs="仿宋"/>
                <w:sz w:val="28"/>
                <w:szCs w:val="28"/>
                <w:lang w:eastAsia="zh-CN"/>
              </w:rPr>
            </w:pPr>
            <w:r>
              <w:rPr>
                <w:rFonts w:hint="default" w:ascii="仿宋_GB2312" w:hAnsi="仿宋_GB2312" w:eastAsia="仿宋_GB2312" w:cs="仿宋_GB2312"/>
                <w:color w:val="000000"/>
                <w:sz w:val="28"/>
                <w:szCs w:val="28"/>
                <w:lang w:val="en-US" w:eastAsia="zh-CN"/>
              </w:rPr>
              <w:t>★</w:t>
            </w:r>
            <w:r>
              <w:rPr>
                <w:rFonts w:hint="eastAsia" w:ascii="仿宋" w:hAnsi="仿宋" w:eastAsia="仿宋" w:cs="仿宋"/>
                <w:sz w:val="28"/>
                <w:szCs w:val="28"/>
                <w:lang w:eastAsia="zh-CN"/>
              </w:rPr>
              <w:t>满足采购人需求</w:t>
            </w:r>
          </w:p>
        </w:tc>
        <w:tc>
          <w:tcPr>
            <w:tcW w:w="767" w:type="dxa"/>
            <w:vAlign w:val="center"/>
          </w:tcPr>
          <w:p w14:paraId="6156C0E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rPr>
            </w:pPr>
            <w:r>
              <w:rPr>
                <w:rFonts w:hint="eastAsia" w:ascii="仿宋_GB2312" w:hAnsi="仿宋_GB2312" w:eastAsia="仿宋_GB2312" w:cs="仿宋_GB2312"/>
                <w:color w:val="000000"/>
                <w:sz w:val="28"/>
                <w:szCs w:val="28"/>
                <w:vertAlign w:val="baseline"/>
                <w:lang w:val="en-US" w:eastAsia="zh-CN"/>
              </w:rPr>
              <w:t>/</w:t>
            </w:r>
          </w:p>
        </w:tc>
        <w:tc>
          <w:tcPr>
            <w:tcW w:w="2744" w:type="dxa"/>
            <w:vAlign w:val="center"/>
          </w:tcPr>
          <w:p w14:paraId="12FFF45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rPr>
            </w:pPr>
            <w:r>
              <w:rPr>
                <w:rFonts w:hint="eastAsia" w:ascii="仿宋_GB2312" w:hAnsi="仿宋_GB2312" w:eastAsia="仿宋_GB2312" w:cs="仿宋_GB2312"/>
                <w:color w:val="000000"/>
                <w:sz w:val="28"/>
                <w:szCs w:val="28"/>
                <w:vertAlign w:val="baseline"/>
                <w:lang w:val="en-US" w:eastAsia="zh-CN"/>
              </w:rPr>
              <w:t>是</w:t>
            </w:r>
            <w:r>
              <w:rPr>
                <w:rFonts w:hint="default" w:ascii="仿宋_GB2312" w:hAnsi="仿宋_GB2312" w:eastAsia="仿宋_GB2312" w:cs="仿宋_GB2312"/>
                <w:color w:val="000000"/>
                <w:sz w:val="28"/>
                <w:szCs w:val="28"/>
                <w:vertAlign w:val="baseline"/>
                <w:lang w:val="en-US" w:eastAsia="zh-CN"/>
              </w:rPr>
              <w:t>（提供承诺函</w:t>
            </w:r>
            <w:r>
              <w:rPr>
                <w:rFonts w:hint="eastAsia" w:ascii="仿宋_GB2312" w:hAnsi="仿宋_GB2312" w:eastAsia="仿宋_GB2312" w:cs="仿宋_GB2312"/>
                <w:color w:val="000000"/>
                <w:sz w:val="28"/>
                <w:szCs w:val="28"/>
                <w:vertAlign w:val="baseline"/>
                <w:lang w:val="en-US" w:eastAsia="zh-CN"/>
              </w:rPr>
              <w:t>，格式自拟</w:t>
            </w:r>
            <w:r>
              <w:rPr>
                <w:rFonts w:hint="default" w:ascii="仿宋_GB2312" w:hAnsi="仿宋_GB2312" w:eastAsia="仿宋_GB2312" w:cs="仿宋_GB2312"/>
                <w:color w:val="000000"/>
                <w:sz w:val="28"/>
                <w:szCs w:val="28"/>
                <w:vertAlign w:val="baseline"/>
                <w:lang w:val="en-US" w:eastAsia="zh-CN"/>
              </w:rPr>
              <w:t>）</w:t>
            </w:r>
          </w:p>
        </w:tc>
      </w:tr>
      <w:tr w14:paraId="6C40E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2151286F">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2</w:t>
            </w:r>
          </w:p>
        </w:tc>
        <w:tc>
          <w:tcPr>
            <w:tcW w:w="1979" w:type="dxa"/>
            <w:vAlign w:val="center"/>
          </w:tcPr>
          <w:p w14:paraId="5D1D7158">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卫生纸</w:t>
            </w:r>
          </w:p>
        </w:tc>
        <w:tc>
          <w:tcPr>
            <w:tcW w:w="2543" w:type="dxa"/>
            <w:vAlign w:val="center"/>
          </w:tcPr>
          <w:p w14:paraId="28ED6FFA">
            <w:pPr>
              <w:pStyle w:val="17"/>
              <w:spacing w:line="360" w:lineRule="auto"/>
              <w:jc w:val="center"/>
              <w:rPr>
                <w:rFonts w:hint="eastAsia" w:ascii="仿宋" w:hAnsi="仿宋" w:eastAsia="仿宋" w:cs="仿宋"/>
                <w:sz w:val="28"/>
                <w:szCs w:val="28"/>
              </w:rPr>
            </w:pPr>
            <w:r>
              <w:rPr>
                <w:rFonts w:hint="default" w:ascii="仿宋_GB2312" w:hAnsi="仿宋_GB2312" w:eastAsia="仿宋_GB2312" w:cs="仿宋_GB2312"/>
                <w:color w:val="000000"/>
                <w:sz w:val="28"/>
                <w:szCs w:val="28"/>
                <w:lang w:val="en-US" w:eastAsia="zh-CN"/>
              </w:rPr>
              <w:t>★</w:t>
            </w:r>
            <w:r>
              <w:rPr>
                <w:rFonts w:hint="eastAsia" w:ascii="仿宋" w:hAnsi="仿宋" w:eastAsia="仿宋" w:cs="仿宋"/>
                <w:sz w:val="28"/>
                <w:szCs w:val="28"/>
                <w:lang w:eastAsia="zh-CN"/>
              </w:rPr>
              <w:t>满足采购人需求</w:t>
            </w:r>
          </w:p>
        </w:tc>
        <w:tc>
          <w:tcPr>
            <w:tcW w:w="767" w:type="dxa"/>
            <w:vAlign w:val="center"/>
          </w:tcPr>
          <w:p w14:paraId="47B37E7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rPr>
            </w:pPr>
            <w:r>
              <w:rPr>
                <w:rFonts w:hint="eastAsia" w:ascii="仿宋_GB2312" w:hAnsi="仿宋_GB2312" w:eastAsia="仿宋_GB2312" w:cs="仿宋_GB2312"/>
                <w:color w:val="000000"/>
                <w:sz w:val="28"/>
                <w:szCs w:val="28"/>
                <w:vertAlign w:val="baseline"/>
                <w:lang w:val="en-US" w:eastAsia="zh-CN"/>
              </w:rPr>
              <w:t>/</w:t>
            </w:r>
          </w:p>
        </w:tc>
        <w:tc>
          <w:tcPr>
            <w:tcW w:w="2744" w:type="dxa"/>
            <w:vAlign w:val="center"/>
          </w:tcPr>
          <w:p w14:paraId="4A7B2B9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_GB2312" w:hAnsi="仿宋_GB2312" w:eastAsia="仿宋_GB2312" w:cs="仿宋_GB2312"/>
                <w:color w:val="000000"/>
                <w:sz w:val="28"/>
                <w:szCs w:val="28"/>
                <w:vertAlign w:val="baseline"/>
                <w:lang w:val="en-US" w:eastAsia="zh-CN"/>
              </w:rPr>
              <w:t>是</w:t>
            </w:r>
            <w:r>
              <w:rPr>
                <w:rFonts w:hint="default" w:ascii="仿宋_GB2312" w:hAnsi="仿宋_GB2312" w:eastAsia="仿宋_GB2312" w:cs="仿宋_GB2312"/>
                <w:color w:val="000000"/>
                <w:sz w:val="28"/>
                <w:szCs w:val="28"/>
                <w:vertAlign w:val="baseline"/>
                <w:lang w:val="en-US" w:eastAsia="zh-CN"/>
              </w:rPr>
              <w:t>（提供承诺函</w:t>
            </w:r>
            <w:r>
              <w:rPr>
                <w:rFonts w:hint="eastAsia" w:ascii="仿宋_GB2312" w:hAnsi="仿宋_GB2312" w:eastAsia="仿宋_GB2312" w:cs="仿宋_GB2312"/>
                <w:color w:val="000000"/>
                <w:sz w:val="28"/>
                <w:szCs w:val="28"/>
                <w:vertAlign w:val="baseline"/>
                <w:lang w:val="en-US" w:eastAsia="zh-CN"/>
              </w:rPr>
              <w:t>，格式自拟</w:t>
            </w:r>
            <w:r>
              <w:rPr>
                <w:rFonts w:hint="default" w:ascii="仿宋_GB2312" w:hAnsi="仿宋_GB2312" w:eastAsia="仿宋_GB2312" w:cs="仿宋_GB2312"/>
                <w:color w:val="000000"/>
                <w:sz w:val="28"/>
                <w:szCs w:val="28"/>
                <w:vertAlign w:val="baseline"/>
                <w:lang w:val="en-US" w:eastAsia="zh-CN"/>
              </w:rPr>
              <w:t>）</w:t>
            </w:r>
          </w:p>
        </w:tc>
      </w:tr>
      <w:tr w14:paraId="3631A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60417EA4">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3</w:t>
            </w:r>
          </w:p>
        </w:tc>
        <w:tc>
          <w:tcPr>
            <w:tcW w:w="1979" w:type="dxa"/>
            <w:vAlign w:val="center"/>
          </w:tcPr>
          <w:p w14:paraId="777B092A">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植物、花盆</w:t>
            </w:r>
          </w:p>
        </w:tc>
        <w:tc>
          <w:tcPr>
            <w:tcW w:w="2543" w:type="dxa"/>
            <w:vAlign w:val="center"/>
          </w:tcPr>
          <w:p w14:paraId="41FA395F">
            <w:pPr>
              <w:pStyle w:val="17"/>
              <w:spacing w:line="360" w:lineRule="auto"/>
              <w:jc w:val="center"/>
              <w:rPr>
                <w:rFonts w:hint="eastAsia" w:ascii="仿宋" w:hAnsi="仿宋" w:eastAsia="仿宋" w:cs="仿宋"/>
                <w:sz w:val="28"/>
                <w:szCs w:val="28"/>
              </w:rPr>
            </w:pPr>
            <w:r>
              <w:rPr>
                <w:rFonts w:hint="default" w:ascii="仿宋_GB2312" w:hAnsi="仿宋_GB2312" w:eastAsia="仿宋_GB2312" w:cs="仿宋_GB2312"/>
                <w:color w:val="000000"/>
                <w:sz w:val="28"/>
                <w:szCs w:val="28"/>
                <w:lang w:val="en-US" w:eastAsia="zh-CN"/>
              </w:rPr>
              <w:t>★</w:t>
            </w:r>
            <w:r>
              <w:rPr>
                <w:rFonts w:hint="eastAsia" w:ascii="仿宋" w:hAnsi="仿宋" w:eastAsia="仿宋" w:cs="仿宋"/>
                <w:sz w:val="28"/>
                <w:szCs w:val="28"/>
                <w:lang w:eastAsia="zh-CN"/>
              </w:rPr>
              <w:t>满足采购人需求</w:t>
            </w:r>
          </w:p>
        </w:tc>
        <w:tc>
          <w:tcPr>
            <w:tcW w:w="767" w:type="dxa"/>
            <w:vAlign w:val="center"/>
          </w:tcPr>
          <w:p w14:paraId="63E7BC6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rPr>
            </w:pPr>
            <w:r>
              <w:rPr>
                <w:rFonts w:hint="eastAsia" w:ascii="仿宋_GB2312" w:hAnsi="仿宋_GB2312" w:eastAsia="仿宋_GB2312" w:cs="仿宋_GB2312"/>
                <w:color w:val="000000"/>
                <w:sz w:val="28"/>
                <w:szCs w:val="28"/>
                <w:vertAlign w:val="baseline"/>
                <w:lang w:val="en-US" w:eastAsia="zh-CN"/>
              </w:rPr>
              <w:t>/</w:t>
            </w:r>
          </w:p>
        </w:tc>
        <w:tc>
          <w:tcPr>
            <w:tcW w:w="2744" w:type="dxa"/>
            <w:vAlign w:val="center"/>
          </w:tcPr>
          <w:p w14:paraId="1D25C3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8"/>
                <w:szCs w:val="28"/>
              </w:rPr>
            </w:pPr>
            <w:r>
              <w:rPr>
                <w:rFonts w:hint="eastAsia" w:ascii="仿宋_GB2312" w:hAnsi="仿宋_GB2312" w:eastAsia="仿宋_GB2312" w:cs="仿宋_GB2312"/>
                <w:color w:val="000000"/>
                <w:sz w:val="28"/>
                <w:szCs w:val="28"/>
                <w:vertAlign w:val="baseline"/>
                <w:lang w:val="en-US" w:eastAsia="zh-CN"/>
              </w:rPr>
              <w:t>是</w:t>
            </w:r>
            <w:r>
              <w:rPr>
                <w:rFonts w:hint="default" w:ascii="仿宋_GB2312" w:hAnsi="仿宋_GB2312" w:eastAsia="仿宋_GB2312" w:cs="仿宋_GB2312"/>
                <w:color w:val="000000"/>
                <w:sz w:val="28"/>
                <w:szCs w:val="28"/>
                <w:vertAlign w:val="baseline"/>
                <w:lang w:val="en-US" w:eastAsia="zh-CN"/>
              </w:rPr>
              <w:t>（提供承诺函</w:t>
            </w:r>
            <w:r>
              <w:rPr>
                <w:rFonts w:hint="eastAsia" w:ascii="仿宋_GB2312" w:hAnsi="仿宋_GB2312" w:eastAsia="仿宋_GB2312" w:cs="仿宋_GB2312"/>
                <w:color w:val="000000"/>
                <w:sz w:val="28"/>
                <w:szCs w:val="28"/>
                <w:vertAlign w:val="baseline"/>
                <w:lang w:val="en-US" w:eastAsia="zh-CN"/>
              </w:rPr>
              <w:t>，格式自拟</w:t>
            </w:r>
            <w:r>
              <w:rPr>
                <w:rFonts w:hint="default" w:ascii="仿宋_GB2312" w:hAnsi="仿宋_GB2312" w:eastAsia="仿宋_GB2312" w:cs="仿宋_GB2312"/>
                <w:color w:val="000000"/>
                <w:sz w:val="28"/>
                <w:szCs w:val="28"/>
                <w:vertAlign w:val="baseline"/>
                <w:lang w:val="en-US" w:eastAsia="zh-CN"/>
              </w:rPr>
              <w:t>）</w:t>
            </w:r>
          </w:p>
        </w:tc>
      </w:tr>
      <w:tr w14:paraId="028E9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1BA35367">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4</w:t>
            </w:r>
          </w:p>
        </w:tc>
        <w:tc>
          <w:tcPr>
            <w:tcW w:w="1979" w:type="dxa"/>
            <w:vAlign w:val="center"/>
          </w:tcPr>
          <w:p w14:paraId="78042C05">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扫地车</w:t>
            </w:r>
          </w:p>
        </w:tc>
        <w:tc>
          <w:tcPr>
            <w:tcW w:w="2543" w:type="dxa"/>
            <w:vAlign w:val="center"/>
          </w:tcPr>
          <w:p w14:paraId="106345AC">
            <w:pPr>
              <w:pStyle w:val="17"/>
              <w:spacing w:line="360" w:lineRule="auto"/>
              <w:jc w:val="center"/>
              <w:rPr>
                <w:rFonts w:hint="eastAsia" w:ascii="仿宋" w:hAnsi="仿宋" w:eastAsia="仿宋" w:cs="仿宋"/>
                <w:sz w:val="28"/>
                <w:szCs w:val="28"/>
              </w:rPr>
            </w:pPr>
            <w:r>
              <w:rPr>
                <w:rFonts w:hint="default" w:ascii="仿宋_GB2312" w:hAnsi="仿宋_GB2312" w:eastAsia="仿宋_GB2312" w:cs="仿宋_GB2312"/>
                <w:color w:val="000000"/>
                <w:sz w:val="28"/>
                <w:szCs w:val="28"/>
                <w:lang w:val="en-US" w:eastAsia="zh-CN"/>
              </w:rPr>
              <w:t>★</w:t>
            </w:r>
            <w:r>
              <w:rPr>
                <w:rFonts w:hint="eastAsia" w:ascii="仿宋" w:hAnsi="仿宋" w:eastAsia="仿宋" w:cs="仿宋"/>
                <w:sz w:val="28"/>
                <w:szCs w:val="28"/>
              </w:rPr>
              <w:t>1台</w:t>
            </w:r>
          </w:p>
        </w:tc>
        <w:tc>
          <w:tcPr>
            <w:tcW w:w="767" w:type="dxa"/>
            <w:vAlign w:val="center"/>
          </w:tcPr>
          <w:p w14:paraId="2EF1FFC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rPr>
            </w:pPr>
            <w:r>
              <w:rPr>
                <w:rFonts w:hint="eastAsia" w:ascii="仿宋_GB2312" w:hAnsi="仿宋_GB2312" w:eastAsia="仿宋_GB2312" w:cs="仿宋_GB2312"/>
                <w:color w:val="000000"/>
                <w:sz w:val="28"/>
                <w:szCs w:val="28"/>
                <w:vertAlign w:val="baseline"/>
                <w:lang w:val="en-US" w:eastAsia="zh-CN"/>
              </w:rPr>
              <w:t>/</w:t>
            </w:r>
          </w:p>
        </w:tc>
        <w:tc>
          <w:tcPr>
            <w:tcW w:w="2744" w:type="dxa"/>
            <w:vAlign w:val="center"/>
          </w:tcPr>
          <w:p w14:paraId="449CEA8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_GB2312" w:hAnsi="仿宋_GB2312" w:eastAsia="仿宋_GB2312" w:cs="仿宋_GB2312"/>
                <w:color w:val="000000"/>
                <w:sz w:val="28"/>
                <w:szCs w:val="28"/>
                <w:vertAlign w:val="baseline"/>
                <w:lang w:val="en-US" w:eastAsia="zh-CN"/>
              </w:rPr>
              <w:t>是</w:t>
            </w:r>
            <w:r>
              <w:rPr>
                <w:rFonts w:hint="default" w:ascii="仿宋_GB2312" w:hAnsi="仿宋_GB2312" w:eastAsia="仿宋_GB2312" w:cs="仿宋_GB2312"/>
                <w:color w:val="000000"/>
                <w:sz w:val="28"/>
                <w:szCs w:val="28"/>
                <w:vertAlign w:val="baseline"/>
                <w:lang w:val="en-US" w:eastAsia="zh-CN"/>
              </w:rPr>
              <w:t>（提供承诺函</w:t>
            </w:r>
            <w:r>
              <w:rPr>
                <w:rFonts w:hint="eastAsia" w:ascii="仿宋_GB2312" w:hAnsi="仿宋_GB2312" w:eastAsia="仿宋_GB2312" w:cs="仿宋_GB2312"/>
                <w:color w:val="000000"/>
                <w:sz w:val="28"/>
                <w:szCs w:val="28"/>
                <w:vertAlign w:val="baseline"/>
                <w:lang w:val="en-US" w:eastAsia="zh-CN"/>
              </w:rPr>
              <w:t>，格式自拟</w:t>
            </w:r>
            <w:r>
              <w:rPr>
                <w:rFonts w:hint="default" w:ascii="仿宋_GB2312" w:hAnsi="仿宋_GB2312" w:eastAsia="仿宋_GB2312" w:cs="仿宋_GB2312"/>
                <w:color w:val="000000"/>
                <w:sz w:val="28"/>
                <w:szCs w:val="28"/>
                <w:vertAlign w:val="baseline"/>
                <w:lang w:val="en-US" w:eastAsia="zh-CN"/>
              </w:rPr>
              <w:t>）</w:t>
            </w:r>
          </w:p>
        </w:tc>
      </w:tr>
      <w:tr w14:paraId="4935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2F66170A">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5</w:t>
            </w:r>
          </w:p>
        </w:tc>
        <w:tc>
          <w:tcPr>
            <w:tcW w:w="1979" w:type="dxa"/>
            <w:vAlign w:val="center"/>
          </w:tcPr>
          <w:p w14:paraId="2BED86EE">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洒水车</w:t>
            </w:r>
          </w:p>
        </w:tc>
        <w:tc>
          <w:tcPr>
            <w:tcW w:w="2543" w:type="dxa"/>
            <w:vAlign w:val="center"/>
          </w:tcPr>
          <w:p w14:paraId="21479BCE">
            <w:pPr>
              <w:pStyle w:val="17"/>
              <w:spacing w:line="360" w:lineRule="auto"/>
              <w:jc w:val="center"/>
              <w:rPr>
                <w:rFonts w:hint="eastAsia" w:ascii="仿宋" w:hAnsi="仿宋" w:eastAsia="仿宋" w:cs="仿宋"/>
                <w:sz w:val="28"/>
                <w:szCs w:val="28"/>
              </w:rPr>
            </w:pPr>
            <w:r>
              <w:rPr>
                <w:rFonts w:hint="default" w:ascii="仿宋_GB2312" w:hAnsi="仿宋_GB2312" w:eastAsia="仿宋_GB2312" w:cs="仿宋_GB2312"/>
                <w:color w:val="000000"/>
                <w:sz w:val="28"/>
                <w:szCs w:val="28"/>
                <w:lang w:val="en-US" w:eastAsia="zh-CN"/>
              </w:rPr>
              <w:t>★</w:t>
            </w:r>
            <w:r>
              <w:rPr>
                <w:rFonts w:hint="eastAsia" w:ascii="仿宋" w:hAnsi="仿宋" w:eastAsia="仿宋" w:cs="仿宋"/>
                <w:sz w:val="28"/>
                <w:szCs w:val="28"/>
              </w:rPr>
              <w:t>1台</w:t>
            </w:r>
          </w:p>
        </w:tc>
        <w:tc>
          <w:tcPr>
            <w:tcW w:w="767" w:type="dxa"/>
            <w:vAlign w:val="center"/>
          </w:tcPr>
          <w:p w14:paraId="5660A25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rPr>
            </w:pPr>
            <w:r>
              <w:rPr>
                <w:rFonts w:hint="eastAsia" w:ascii="仿宋_GB2312" w:hAnsi="仿宋_GB2312" w:eastAsia="仿宋_GB2312" w:cs="仿宋_GB2312"/>
                <w:color w:val="000000"/>
                <w:sz w:val="28"/>
                <w:szCs w:val="28"/>
                <w:vertAlign w:val="baseline"/>
                <w:lang w:val="en-US" w:eastAsia="zh-CN"/>
              </w:rPr>
              <w:t>/</w:t>
            </w:r>
          </w:p>
        </w:tc>
        <w:tc>
          <w:tcPr>
            <w:tcW w:w="2744" w:type="dxa"/>
            <w:vAlign w:val="center"/>
          </w:tcPr>
          <w:p w14:paraId="5C38BF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8"/>
                <w:szCs w:val="28"/>
              </w:rPr>
            </w:pPr>
            <w:r>
              <w:rPr>
                <w:rFonts w:hint="eastAsia" w:ascii="仿宋_GB2312" w:hAnsi="仿宋_GB2312" w:eastAsia="仿宋_GB2312" w:cs="仿宋_GB2312"/>
                <w:color w:val="000000"/>
                <w:sz w:val="28"/>
                <w:szCs w:val="28"/>
                <w:vertAlign w:val="baseline"/>
                <w:lang w:val="en-US" w:eastAsia="zh-CN"/>
              </w:rPr>
              <w:t>是</w:t>
            </w:r>
            <w:r>
              <w:rPr>
                <w:rFonts w:hint="default" w:ascii="仿宋_GB2312" w:hAnsi="仿宋_GB2312" w:eastAsia="仿宋_GB2312" w:cs="仿宋_GB2312"/>
                <w:color w:val="000000"/>
                <w:sz w:val="28"/>
                <w:szCs w:val="28"/>
                <w:vertAlign w:val="baseline"/>
                <w:lang w:val="en-US" w:eastAsia="zh-CN"/>
              </w:rPr>
              <w:t>（提供承诺函</w:t>
            </w:r>
            <w:r>
              <w:rPr>
                <w:rFonts w:hint="eastAsia" w:ascii="仿宋_GB2312" w:hAnsi="仿宋_GB2312" w:eastAsia="仿宋_GB2312" w:cs="仿宋_GB2312"/>
                <w:color w:val="000000"/>
                <w:sz w:val="28"/>
                <w:szCs w:val="28"/>
                <w:vertAlign w:val="baseline"/>
                <w:lang w:val="en-US" w:eastAsia="zh-CN"/>
              </w:rPr>
              <w:t>，格式自拟</w:t>
            </w:r>
            <w:r>
              <w:rPr>
                <w:rFonts w:hint="default" w:ascii="仿宋_GB2312" w:hAnsi="仿宋_GB2312" w:eastAsia="仿宋_GB2312" w:cs="仿宋_GB2312"/>
                <w:color w:val="000000"/>
                <w:sz w:val="28"/>
                <w:szCs w:val="28"/>
                <w:vertAlign w:val="baseline"/>
                <w:lang w:val="en-US" w:eastAsia="zh-CN"/>
              </w:rPr>
              <w:t>）</w:t>
            </w:r>
          </w:p>
        </w:tc>
      </w:tr>
      <w:tr w14:paraId="03436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3EC02353">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6</w:t>
            </w:r>
          </w:p>
        </w:tc>
        <w:tc>
          <w:tcPr>
            <w:tcW w:w="1979" w:type="dxa"/>
            <w:vAlign w:val="center"/>
          </w:tcPr>
          <w:p w14:paraId="075179F9">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高压水枪</w:t>
            </w:r>
          </w:p>
        </w:tc>
        <w:tc>
          <w:tcPr>
            <w:tcW w:w="2543" w:type="dxa"/>
            <w:vAlign w:val="center"/>
          </w:tcPr>
          <w:p w14:paraId="5A8AC726">
            <w:pPr>
              <w:pStyle w:val="17"/>
              <w:spacing w:line="360" w:lineRule="auto"/>
              <w:jc w:val="center"/>
              <w:rPr>
                <w:rFonts w:hint="eastAsia" w:ascii="仿宋" w:hAnsi="仿宋" w:eastAsia="仿宋" w:cs="仿宋"/>
                <w:sz w:val="28"/>
                <w:szCs w:val="28"/>
              </w:rPr>
            </w:pPr>
            <w:r>
              <w:rPr>
                <w:rFonts w:hint="default" w:ascii="仿宋_GB2312" w:hAnsi="仿宋_GB2312" w:eastAsia="仿宋_GB2312" w:cs="仿宋_GB2312"/>
                <w:color w:val="000000"/>
                <w:sz w:val="28"/>
                <w:szCs w:val="28"/>
                <w:lang w:val="en-US" w:eastAsia="zh-CN"/>
              </w:rPr>
              <w:t>★</w:t>
            </w:r>
            <w:r>
              <w:rPr>
                <w:rFonts w:hint="eastAsia" w:ascii="仿宋" w:hAnsi="仿宋" w:eastAsia="仿宋" w:cs="仿宋"/>
                <w:sz w:val="28"/>
                <w:szCs w:val="28"/>
              </w:rPr>
              <w:t>1台</w:t>
            </w:r>
          </w:p>
        </w:tc>
        <w:tc>
          <w:tcPr>
            <w:tcW w:w="767" w:type="dxa"/>
            <w:vAlign w:val="center"/>
          </w:tcPr>
          <w:p w14:paraId="4BCE858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rPr>
            </w:pPr>
            <w:r>
              <w:rPr>
                <w:rFonts w:hint="eastAsia" w:ascii="仿宋_GB2312" w:hAnsi="仿宋_GB2312" w:eastAsia="仿宋_GB2312" w:cs="仿宋_GB2312"/>
                <w:color w:val="000000"/>
                <w:sz w:val="28"/>
                <w:szCs w:val="28"/>
                <w:vertAlign w:val="baseline"/>
                <w:lang w:val="en-US" w:eastAsia="zh-CN"/>
              </w:rPr>
              <w:t>/</w:t>
            </w:r>
          </w:p>
        </w:tc>
        <w:tc>
          <w:tcPr>
            <w:tcW w:w="2744" w:type="dxa"/>
            <w:vAlign w:val="center"/>
          </w:tcPr>
          <w:p w14:paraId="41B6E97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_GB2312" w:hAnsi="仿宋_GB2312" w:eastAsia="仿宋_GB2312" w:cs="仿宋_GB2312"/>
                <w:color w:val="000000"/>
                <w:sz w:val="28"/>
                <w:szCs w:val="28"/>
                <w:vertAlign w:val="baseline"/>
                <w:lang w:val="en-US" w:eastAsia="zh-CN"/>
              </w:rPr>
              <w:t>是</w:t>
            </w:r>
            <w:r>
              <w:rPr>
                <w:rFonts w:hint="default" w:ascii="仿宋_GB2312" w:hAnsi="仿宋_GB2312" w:eastAsia="仿宋_GB2312" w:cs="仿宋_GB2312"/>
                <w:color w:val="000000"/>
                <w:sz w:val="28"/>
                <w:szCs w:val="28"/>
                <w:vertAlign w:val="baseline"/>
                <w:lang w:val="en-US" w:eastAsia="zh-CN"/>
              </w:rPr>
              <w:t>（提供承诺函</w:t>
            </w:r>
            <w:r>
              <w:rPr>
                <w:rFonts w:hint="eastAsia" w:ascii="仿宋_GB2312" w:hAnsi="仿宋_GB2312" w:eastAsia="仿宋_GB2312" w:cs="仿宋_GB2312"/>
                <w:color w:val="000000"/>
                <w:sz w:val="28"/>
                <w:szCs w:val="28"/>
                <w:vertAlign w:val="baseline"/>
                <w:lang w:val="en-US" w:eastAsia="zh-CN"/>
              </w:rPr>
              <w:t>，格式自拟</w:t>
            </w:r>
            <w:r>
              <w:rPr>
                <w:rFonts w:hint="default" w:ascii="仿宋_GB2312" w:hAnsi="仿宋_GB2312" w:eastAsia="仿宋_GB2312" w:cs="仿宋_GB2312"/>
                <w:color w:val="000000"/>
                <w:sz w:val="28"/>
                <w:szCs w:val="28"/>
                <w:vertAlign w:val="baseline"/>
                <w:lang w:val="en-US" w:eastAsia="zh-CN"/>
              </w:rPr>
              <w:t>）</w:t>
            </w:r>
          </w:p>
        </w:tc>
      </w:tr>
      <w:tr w14:paraId="4B94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158BFA2A">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7</w:t>
            </w:r>
          </w:p>
        </w:tc>
        <w:tc>
          <w:tcPr>
            <w:tcW w:w="1979" w:type="dxa"/>
            <w:vAlign w:val="center"/>
          </w:tcPr>
          <w:p w14:paraId="60357A22">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绿化维护药剂</w:t>
            </w:r>
          </w:p>
        </w:tc>
        <w:tc>
          <w:tcPr>
            <w:tcW w:w="2543" w:type="dxa"/>
            <w:vAlign w:val="center"/>
          </w:tcPr>
          <w:p w14:paraId="5F67D71C">
            <w:pPr>
              <w:spacing w:line="360" w:lineRule="auto"/>
              <w:jc w:val="center"/>
              <w:rPr>
                <w:rFonts w:hint="eastAsia" w:ascii="仿宋" w:hAnsi="仿宋" w:eastAsia="仿宋" w:cs="仿宋"/>
                <w:sz w:val="28"/>
                <w:szCs w:val="28"/>
              </w:rPr>
            </w:pPr>
            <w:r>
              <w:rPr>
                <w:rFonts w:hint="default" w:ascii="仿宋_GB2312" w:hAnsi="仿宋_GB2312" w:eastAsia="仿宋_GB2312" w:cs="仿宋_GB2312"/>
                <w:color w:val="000000"/>
                <w:sz w:val="28"/>
                <w:szCs w:val="28"/>
                <w:lang w:val="en-US" w:eastAsia="zh-CN"/>
              </w:rPr>
              <w:t>★</w:t>
            </w:r>
            <w:r>
              <w:rPr>
                <w:rFonts w:hint="eastAsia" w:ascii="仿宋" w:hAnsi="仿宋" w:eastAsia="仿宋" w:cs="仿宋"/>
                <w:sz w:val="28"/>
                <w:szCs w:val="28"/>
                <w:lang w:eastAsia="zh-CN"/>
              </w:rPr>
              <w:t>满足采购人需求</w:t>
            </w:r>
          </w:p>
        </w:tc>
        <w:tc>
          <w:tcPr>
            <w:tcW w:w="767" w:type="dxa"/>
            <w:vAlign w:val="center"/>
          </w:tcPr>
          <w:p w14:paraId="05CD0AC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rPr>
            </w:pPr>
            <w:r>
              <w:rPr>
                <w:rFonts w:hint="eastAsia" w:ascii="仿宋_GB2312" w:hAnsi="仿宋_GB2312" w:eastAsia="仿宋_GB2312" w:cs="仿宋_GB2312"/>
                <w:color w:val="000000"/>
                <w:sz w:val="28"/>
                <w:szCs w:val="28"/>
                <w:vertAlign w:val="baseline"/>
                <w:lang w:val="en-US" w:eastAsia="zh-CN"/>
              </w:rPr>
              <w:t>/</w:t>
            </w:r>
          </w:p>
        </w:tc>
        <w:tc>
          <w:tcPr>
            <w:tcW w:w="2744" w:type="dxa"/>
            <w:vAlign w:val="center"/>
          </w:tcPr>
          <w:p w14:paraId="6EF0636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8"/>
                <w:szCs w:val="28"/>
              </w:rPr>
            </w:pPr>
            <w:r>
              <w:rPr>
                <w:rFonts w:hint="eastAsia" w:ascii="仿宋_GB2312" w:hAnsi="仿宋_GB2312" w:eastAsia="仿宋_GB2312" w:cs="仿宋_GB2312"/>
                <w:color w:val="000000"/>
                <w:sz w:val="28"/>
                <w:szCs w:val="28"/>
                <w:vertAlign w:val="baseline"/>
                <w:lang w:val="en-US" w:eastAsia="zh-CN"/>
              </w:rPr>
              <w:t>是</w:t>
            </w:r>
            <w:r>
              <w:rPr>
                <w:rFonts w:hint="default" w:ascii="仿宋_GB2312" w:hAnsi="仿宋_GB2312" w:eastAsia="仿宋_GB2312" w:cs="仿宋_GB2312"/>
                <w:color w:val="000000"/>
                <w:sz w:val="28"/>
                <w:szCs w:val="28"/>
                <w:vertAlign w:val="baseline"/>
                <w:lang w:val="en-US" w:eastAsia="zh-CN"/>
              </w:rPr>
              <w:t>（提供承诺函</w:t>
            </w:r>
            <w:r>
              <w:rPr>
                <w:rFonts w:hint="eastAsia" w:ascii="仿宋_GB2312" w:hAnsi="仿宋_GB2312" w:eastAsia="仿宋_GB2312" w:cs="仿宋_GB2312"/>
                <w:color w:val="000000"/>
                <w:sz w:val="28"/>
                <w:szCs w:val="28"/>
                <w:vertAlign w:val="baseline"/>
                <w:lang w:val="en-US" w:eastAsia="zh-CN"/>
              </w:rPr>
              <w:t>，格式自拟</w:t>
            </w:r>
            <w:r>
              <w:rPr>
                <w:rFonts w:hint="default" w:ascii="仿宋_GB2312" w:hAnsi="仿宋_GB2312" w:eastAsia="仿宋_GB2312" w:cs="仿宋_GB2312"/>
                <w:color w:val="000000"/>
                <w:sz w:val="28"/>
                <w:szCs w:val="28"/>
                <w:vertAlign w:val="baseline"/>
                <w:lang w:val="en-US" w:eastAsia="zh-CN"/>
              </w:rPr>
              <w:t>）</w:t>
            </w:r>
          </w:p>
        </w:tc>
      </w:tr>
      <w:tr w14:paraId="1D2B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189A1D7F">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8</w:t>
            </w:r>
          </w:p>
        </w:tc>
        <w:tc>
          <w:tcPr>
            <w:tcW w:w="1979" w:type="dxa"/>
            <w:vAlign w:val="center"/>
          </w:tcPr>
          <w:p w14:paraId="0FEAB65E">
            <w:pPr>
              <w:pStyle w:val="17"/>
              <w:spacing w:line="360" w:lineRule="auto"/>
              <w:jc w:val="left"/>
              <w:rPr>
                <w:rFonts w:hint="eastAsia" w:ascii="仿宋" w:hAnsi="仿宋" w:eastAsia="仿宋" w:cs="仿宋"/>
                <w:sz w:val="28"/>
                <w:szCs w:val="28"/>
              </w:rPr>
            </w:pPr>
            <w:r>
              <w:rPr>
                <w:rFonts w:hint="eastAsia" w:ascii="仿宋" w:hAnsi="仿宋" w:eastAsia="仿宋" w:cs="仿宋"/>
                <w:sz w:val="28"/>
                <w:szCs w:val="28"/>
              </w:rPr>
              <w:t>保洁用具（垃圾袋、檀香、卫生球、消杀药水等）</w:t>
            </w:r>
          </w:p>
        </w:tc>
        <w:tc>
          <w:tcPr>
            <w:tcW w:w="2543" w:type="dxa"/>
            <w:vAlign w:val="center"/>
          </w:tcPr>
          <w:p w14:paraId="14258F7C">
            <w:pPr>
              <w:spacing w:line="360" w:lineRule="auto"/>
              <w:jc w:val="center"/>
              <w:rPr>
                <w:rFonts w:hint="eastAsia" w:ascii="仿宋" w:hAnsi="仿宋" w:eastAsia="仿宋" w:cs="仿宋"/>
                <w:sz w:val="28"/>
                <w:szCs w:val="28"/>
              </w:rPr>
            </w:pPr>
            <w:r>
              <w:rPr>
                <w:rFonts w:hint="default" w:ascii="仿宋_GB2312" w:hAnsi="仿宋_GB2312" w:eastAsia="仿宋_GB2312" w:cs="仿宋_GB2312"/>
                <w:color w:val="000000"/>
                <w:sz w:val="28"/>
                <w:szCs w:val="28"/>
                <w:lang w:val="en-US" w:eastAsia="zh-CN"/>
              </w:rPr>
              <w:t>★</w:t>
            </w:r>
            <w:r>
              <w:rPr>
                <w:rFonts w:hint="eastAsia" w:ascii="仿宋" w:hAnsi="仿宋" w:eastAsia="仿宋" w:cs="仿宋"/>
                <w:sz w:val="28"/>
                <w:szCs w:val="28"/>
                <w:lang w:eastAsia="zh-CN"/>
              </w:rPr>
              <w:t>满足采购人需求</w:t>
            </w:r>
          </w:p>
        </w:tc>
        <w:tc>
          <w:tcPr>
            <w:tcW w:w="767" w:type="dxa"/>
            <w:vAlign w:val="center"/>
          </w:tcPr>
          <w:p w14:paraId="38DA3C6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rPr>
            </w:pPr>
            <w:r>
              <w:rPr>
                <w:rFonts w:hint="eastAsia" w:ascii="仿宋_GB2312" w:hAnsi="仿宋_GB2312" w:eastAsia="仿宋_GB2312" w:cs="仿宋_GB2312"/>
                <w:color w:val="000000"/>
                <w:sz w:val="28"/>
                <w:szCs w:val="28"/>
                <w:vertAlign w:val="baseline"/>
                <w:lang w:val="en-US" w:eastAsia="zh-CN"/>
              </w:rPr>
              <w:t>/</w:t>
            </w:r>
          </w:p>
        </w:tc>
        <w:tc>
          <w:tcPr>
            <w:tcW w:w="2744" w:type="dxa"/>
            <w:vAlign w:val="center"/>
          </w:tcPr>
          <w:p w14:paraId="64BB87E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_GB2312" w:hAnsi="仿宋_GB2312" w:eastAsia="仿宋_GB2312" w:cs="仿宋_GB2312"/>
                <w:color w:val="000000"/>
                <w:sz w:val="28"/>
                <w:szCs w:val="28"/>
                <w:vertAlign w:val="baseline"/>
                <w:lang w:val="en-US" w:eastAsia="zh-CN"/>
              </w:rPr>
              <w:t>是</w:t>
            </w:r>
            <w:r>
              <w:rPr>
                <w:rFonts w:hint="default" w:ascii="仿宋_GB2312" w:hAnsi="仿宋_GB2312" w:eastAsia="仿宋_GB2312" w:cs="仿宋_GB2312"/>
                <w:color w:val="000000"/>
                <w:sz w:val="28"/>
                <w:szCs w:val="28"/>
                <w:vertAlign w:val="baseline"/>
                <w:lang w:val="en-US" w:eastAsia="zh-CN"/>
              </w:rPr>
              <w:t>（提供承诺函</w:t>
            </w:r>
            <w:r>
              <w:rPr>
                <w:rFonts w:hint="eastAsia" w:ascii="仿宋_GB2312" w:hAnsi="仿宋_GB2312" w:eastAsia="仿宋_GB2312" w:cs="仿宋_GB2312"/>
                <w:color w:val="000000"/>
                <w:sz w:val="28"/>
                <w:szCs w:val="28"/>
                <w:vertAlign w:val="baseline"/>
                <w:lang w:val="en-US" w:eastAsia="zh-CN"/>
              </w:rPr>
              <w:t>，格式自拟</w:t>
            </w:r>
            <w:r>
              <w:rPr>
                <w:rFonts w:hint="default" w:ascii="仿宋_GB2312" w:hAnsi="仿宋_GB2312" w:eastAsia="仿宋_GB2312" w:cs="仿宋_GB2312"/>
                <w:color w:val="000000"/>
                <w:sz w:val="28"/>
                <w:szCs w:val="28"/>
                <w:vertAlign w:val="baseline"/>
                <w:lang w:val="en-US" w:eastAsia="zh-CN"/>
              </w:rPr>
              <w:t>）</w:t>
            </w:r>
          </w:p>
        </w:tc>
      </w:tr>
      <w:tr w14:paraId="6646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05FB1343">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9</w:t>
            </w:r>
          </w:p>
        </w:tc>
        <w:tc>
          <w:tcPr>
            <w:tcW w:w="1979" w:type="dxa"/>
            <w:vAlign w:val="center"/>
          </w:tcPr>
          <w:p w14:paraId="2065BA73">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吸尘器</w:t>
            </w:r>
          </w:p>
        </w:tc>
        <w:tc>
          <w:tcPr>
            <w:tcW w:w="2543" w:type="dxa"/>
            <w:vAlign w:val="center"/>
          </w:tcPr>
          <w:p w14:paraId="0B3BABDB">
            <w:pPr>
              <w:pStyle w:val="17"/>
              <w:spacing w:line="360" w:lineRule="auto"/>
              <w:jc w:val="center"/>
              <w:rPr>
                <w:rFonts w:hint="eastAsia" w:ascii="仿宋" w:hAnsi="仿宋" w:eastAsia="仿宋" w:cs="仿宋"/>
                <w:sz w:val="28"/>
                <w:szCs w:val="28"/>
              </w:rPr>
            </w:pPr>
            <w:r>
              <w:rPr>
                <w:rFonts w:hint="default" w:ascii="仿宋_GB2312" w:hAnsi="仿宋_GB2312" w:eastAsia="仿宋_GB2312" w:cs="仿宋_GB2312"/>
                <w:color w:val="000000"/>
                <w:sz w:val="28"/>
                <w:szCs w:val="28"/>
                <w:lang w:val="en-US" w:eastAsia="zh-CN"/>
              </w:rPr>
              <w:t>★</w:t>
            </w:r>
            <w:r>
              <w:rPr>
                <w:rFonts w:hint="eastAsia" w:ascii="仿宋" w:hAnsi="仿宋" w:eastAsia="仿宋" w:cs="仿宋"/>
                <w:sz w:val="28"/>
                <w:szCs w:val="28"/>
              </w:rPr>
              <w:t>2台</w:t>
            </w:r>
          </w:p>
        </w:tc>
        <w:tc>
          <w:tcPr>
            <w:tcW w:w="767" w:type="dxa"/>
            <w:vAlign w:val="center"/>
          </w:tcPr>
          <w:p w14:paraId="5CCCE07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rPr>
            </w:pPr>
            <w:r>
              <w:rPr>
                <w:rFonts w:hint="eastAsia" w:ascii="仿宋_GB2312" w:hAnsi="仿宋_GB2312" w:eastAsia="仿宋_GB2312" w:cs="仿宋_GB2312"/>
                <w:color w:val="000000"/>
                <w:sz w:val="28"/>
                <w:szCs w:val="28"/>
                <w:vertAlign w:val="baseline"/>
                <w:lang w:val="en-US" w:eastAsia="zh-CN"/>
              </w:rPr>
              <w:t>/</w:t>
            </w:r>
          </w:p>
        </w:tc>
        <w:tc>
          <w:tcPr>
            <w:tcW w:w="2744" w:type="dxa"/>
            <w:vAlign w:val="center"/>
          </w:tcPr>
          <w:p w14:paraId="765EE7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8"/>
                <w:szCs w:val="28"/>
              </w:rPr>
            </w:pPr>
            <w:r>
              <w:rPr>
                <w:rFonts w:hint="eastAsia" w:ascii="仿宋_GB2312" w:hAnsi="仿宋_GB2312" w:eastAsia="仿宋_GB2312" w:cs="仿宋_GB2312"/>
                <w:color w:val="000000"/>
                <w:sz w:val="28"/>
                <w:szCs w:val="28"/>
                <w:vertAlign w:val="baseline"/>
                <w:lang w:val="en-US" w:eastAsia="zh-CN"/>
              </w:rPr>
              <w:t>是</w:t>
            </w:r>
            <w:r>
              <w:rPr>
                <w:rFonts w:hint="default" w:ascii="仿宋_GB2312" w:hAnsi="仿宋_GB2312" w:eastAsia="仿宋_GB2312" w:cs="仿宋_GB2312"/>
                <w:color w:val="000000"/>
                <w:sz w:val="28"/>
                <w:szCs w:val="28"/>
                <w:vertAlign w:val="baseline"/>
                <w:lang w:val="en-US" w:eastAsia="zh-CN"/>
              </w:rPr>
              <w:t>（提供承诺函</w:t>
            </w:r>
            <w:r>
              <w:rPr>
                <w:rFonts w:hint="eastAsia" w:ascii="仿宋_GB2312" w:hAnsi="仿宋_GB2312" w:eastAsia="仿宋_GB2312" w:cs="仿宋_GB2312"/>
                <w:color w:val="000000"/>
                <w:sz w:val="28"/>
                <w:szCs w:val="28"/>
                <w:vertAlign w:val="baseline"/>
                <w:lang w:val="en-US" w:eastAsia="zh-CN"/>
              </w:rPr>
              <w:t>，格式自拟</w:t>
            </w:r>
            <w:r>
              <w:rPr>
                <w:rFonts w:hint="default" w:ascii="仿宋_GB2312" w:hAnsi="仿宋_GB2312" w:eastAsia="仿宋_GB2312" w:cs="仿宋_GB2312"/>
                <w:color w:val="000000"/>
                <w:sz w:val="28"/>
                <w:szCs w:val="28"/>
                <w:vertAlign w:val="baseline"/>
                <w:lang w:val="en-US" w:eastAsia="zh-CN"/>
              </w:rPr>
              <w:t>）</w:t>
            </w:r>
          </w:p>
        </w:tc>
      </w:tr>
    </w:tbl>
    <w:p w14:paraId="7C9154D1">
      <w:pPr>
        <w:spacing w:line="240" w:lineRule="atLeast"/>
        <w:jc w:val="center"/>
        <w:rPr>
          <w:rFonts w:ascii="华文楷体" w:hAnsi="华文楷体" w:eastAsia="华文楷体" w:cs="华文楷体"/>
          <w:b/>
          <w:color w:val="auto"/>
          <w:sz w:val="36"/>
          <w:szCs w:val="36"/>
        </w:rPr>
      </w:pPr>
    </w:p>
    <w:p w14:paraId="765C8CEB">
      <w:pPr>
        <w:spacing w:line="240" w:lineRule="atLeast"/>
        <w:jc w:val="left"/>
        <w:outlineLvl w:val="0"/>
        <w:rPr>
          <w:rFonts w:hint="default" w:ascii="仿宋_GB2312" w:eastAsia="仿宋_GB2312"/>
          <w:b/>
          <w:bCs/>
          <w:sz w:val="32"/>
          <w:szCs w:val="40"/>
          <w:lang w:val="en-US" w:eastAsia="zh-CN"/>
        </w:rPr>
      </w:pPr>
      <w:r>
        <w:rPr>
          <w:rFonts w:hint="eastAsia" w:ascii="仿宋_GB2312" w:eastAsia="仿宋_GB2312"/>
          <w:b/>
          <w:bCs/>
          <w:sz w:val="32"/>
          <w:szCs w:val="40"/>
          <w:lang w:val="en-US" w:eastAsia="zh-CN"/>
        </w:rPr>
        <w:t>三、项目管理要求</w:t>
      </w:r>
    </w:p>
    <w:p w14:paraId="0778043E">
      <w:pPr>
        <w:pStyle w:val="13"/>
      </w:pPr>
    </w:p>
    <w:p w14:paraId="327824D8">
      <w:pPr>
        <w:spacing w:line="240" w:lineRule="atLeast"/>
        <w:ind w:firstLine="640" w:firstLineChars="200"/>
        <w:jc w:val="left"/>
        <w:rPr>
          <w:rFonts w:hint="default" w:ascii="仿宋_GB2312" w:eastAsia="仿宋_GB2312"/>
          <w:sz w:val="32"/>
          <w:szCs w:val="40"/>
        </w:rPr>
      </w:pPr>
      <w:r>
        <w:rPr>
          <w:rFonts w:ascii="仿宋_GB2312" w:eastAsia="仿宋_GB2312"/>
          <w:sz w:val="32"/>
          <w:szCs w:val="40"/>
          <w:lang w:val="en-US" w:eastAsia="zh-CN"/>
        </w:rPr>
        <w:t>1.</w:t>
      </w:r>
      <w:r>
        <w:rPr>
          <w:rFonts w:ascii="仿宋_GB2312" w:eastAsia="仿宋_GB2312"/>
          <w:sz w:val="32"/>
          <w:szCs w:val="40"/>
        </w:rPr>
        <w:t>遵守相关法律法规的规定，为本项目配备足额且符合要求的管理及服务员工。员工工资不得低于郑州市及开封市最低标准，依法订立、变更、解除、终止劳动合同等各项手续，机构设置健全，内部管理规范，社会信誉良好；员工在任何时间</w:t>
      </w:r>
      <w:r>
        <w:rPr>
          <w:rFonts w:ascii="仿宋_GB2312" w:eastAsia="仿宋_GB2312"/>
          <w:sz w:val="32"/>
          <w:szCs w:val="40"/>
          <w:lang w:val="en-US" w:eastAsia="zh-CN"/>
        </w:rPr>
        <w:t>、任何地点</w:t>
      </w:r>
      <w:r>
        <w:rPr>
          <w:rFonts w:ascii="仿宋_GB2312" w:eastAsia="仿宋_GB2312"/>
          <w:sz w:val="32"/>
          <w:szCs w:val="40"/>
        </w:rPr>
        <w:t>发生的医疗费、抚恤费、善后费、其他相关费用及相关争议处理，均由</w:t>
      </w:r>
      <w:r>
        <w:rPr>
          <w:rFonts w:ascii="仿宋_GB2312" w:eastAsia="仿宋_GB2312"/>
          <w:sz w:val="32"/>
          <w:szCs w:val="40"/>
          <w:lang w:eastAsia="zh-CN"/>
        </w:rPr>
        <w:t>中标人</w:t>
      </w:r>
      <w:r>
        <w:rPr>
          <w:rFonts w:ascii="仿宋_GB2312" w:eastAsia="仿宋_GB2312"/>
          <w:sz w:val="32"/>
          <w:szCs w:val="40"/>
        </w:rPr>
        <w:t>承担，与</w:t>
      </w:r>
      <w:r>
        <w:rPr>
          <w:rFonts w:ascii="仿宋_GB2312" w:eastAsia="仿宋_GB2312"/>
          <w:sz w:val="32"/>
          <w:szCs w:val="40"/>
          <w:lang w:eastAsia="zh-CN"/>
        </w:rPr>
        <w:t>采购人</w:t>
      </w:r>
      <w:r>
        <w:rPr>
          <w:rFonts w:ascii="仿宋_GB2312" w:eastAsia="仿宋_GB2312"/>
          <w:sz w:val="32"/>
          <w:szCs w:val="40"/>
        </w:rPr>
        <w:t>无任何关联。</w:t>
      </w:r>
    </w:p>
    <w:p w14:paraId="5F1F1A17">
      <w:pPr>
        <w:spacing w:line="240" w:lineRule="atLeast"/>
        <w:ind w:firstLine="640" w:firstLineChars="200"/>
        <w:jc w:val="left"/>
        <w:rPr>
          <w:rFonts w:hint="default" w:ascii="仿宋_GB2312" w:eastAsia="仿宋_GB2312"/>
          <w:sz w:val="32"/>
          <w:szCs w:val="40"/>
        </w:rPr>
      </w:pPr>
      <w:r>
        <w:rPr>
          <w:rFonts w:ascii="仿宋_GB2312" w:eastAsia="仿宋_GB2312"/>
          <w:sz w:val="32"/>
          <w:szCs w:val="40"/>
        </w:rPr>
        <w:t>2</w:t>
      </w:r>
      <w:r>
        <w:rPr>
          <w:rFonts w:ascii="仿宋_GB2312" w:eastAsia="仿宋_GB2312"/>
          <w:sz w:val="32"/>
          <w:szCs w:val="40"/>
          <w:lang w:val="en-US" w:eastAsia="zh-CN"/>
        </w:rPr>
        <w:t>.</w:t>
      </w:r>
      <w:r>
        <w:rPr>
          <w:rFonts w:ascii="仿宋_GB2312" w:eastAsia="仿宋_GB2312"/>
          <w:sz w:val="32"/>
          <w:szCs w:val="40"/>
        </w:rPr>
        <w:t>建立健全各项规章制度。建立完整的技术、设备档案，有定期巡回检查、维修保养、日常运行档案记录；有明确的岗位职责，考核制度完善有效，重要制度规定上墙公示；值班记录、检查记录、巡视记录等各项记录详实、规范、完备；及时向</w:t>
      </w:r>
      <w:r>
        <w:rPr>
          <w:rFonts w:ascii="仿宋_GB2312" w:eastAsia="仿宋_GB2312"/>
          <w:sz w:val="32"/>
          <w:szCs w:val="40"/>
          <w:lang w:eastAsia="zh-CN"/>
        </w:rPr>
        <w:t>采购人</w:t>
      </w:r>
      <w:r>
        <w:rPr>
          <w:rFonts w:ascii="仿宋_GB2312" w:eastAsia="仿宋_GB2312"/>
          <w:sz w:val="32"/>
          <w:szCs w:val="40"/>
        </w:rPr>
        <w:t>相关部门通报人员、物资变动、运作情况；制定完备的安全制度及设备设施安全运行管理制度；落实安全运行岗位责任制。落实防范措施，参加招标人组织的各类治安、消防演练等，有切实可行的处置紧急事件工作预案和工作程序。</w:t>
      </w:r>
    </w:p>
    <w:p w14:paraId="5E342F3F">
      <w:pPr>
        <w:spacing w:line="240" w:lineRule="atLeast"/>
        <w:ind w:firstLine="640" w:firstLineChars="200"/>
        <w:jc w:val="left"/>
        <w:rPr>
          <w:rFonts w:hint="default" w:ascii="仿宋_GB2312" w:eastAsia="仿宋_GB2312"/>
          <w:sz w:val="32"/>
          <w:szCs w:val="40"/>
        </w:rPr>
      </w:pPr>
      <w:r>
        <w:rPr>
          <w:rFonts w:ascii="仿宋_GB2312" w:eastAsia="仿宋_GB2312"/>
          <w:sz w:val="32"/>
          <w:szCs w:val="40"/>
          <w:lang w:val="en-US" w:eastAsia="zh-CN"/>
        </w:rPr>
        <w:t>3.</w:t>
      </w:r>
      <w:r>
        <w:rPr>
          <w:rFonts w:ascii="仿宋_GB2312" w:eastAsia="仿宋_GB2312"/>
          <w:sz w:val="32"/>
          <w:szCs w:val="40"/>
        </w:rPr>
        <w:t>有完整的人事、劳资、财务管理系统，依法支付员工薪酬和办理员工保险。建立规范的财务管理制度，建立健全各种财务帐目，严格执行财务制度，账目清晰，专款专用；建立员工档案，人事档案交</w:t>
      </w:r>
      <w:r>
        <w:rPr>
          <w:rFonts w:ascii="仿宋_GB2312" w:eastAsia="仿宋_GB2312"/>
          <w:sz w:val="32"/>
          <w:szCs w:val="40"/>
          <w:lang w:eastAsia="zh-CN"/>
        </w:rPr>
        <w:t>采购人</w:t>
      </w:r>
      <w:r>
        <w:rPr>
          <w:rFonts w:ascii="仿宋_GB2312" w:eastAsia="仿宋_GB2312"/>
          <w:sz w:val="32"/>
          <w:szCs w:val="40"/>
        </w:rPr>
        <w:t>备案，每月向</w:t>
      </w:r>
      <w:r>
        <w:rPr>
          <w:rFonts w:ascii="仿宋_GB2312" w:eastAsia="仿宋_GB2312"/>
          <w:sz w:val="32"/>
          <w:szCs w:val="40"/>
          <w:lang w:eastAsia="zh-CN"/>
        </w:rPr>
        <w:t>采购人</w:t>
      </w:r>
      <w:r>
        <w:rPr>
          <w:rFonts w:ascii="仿宋_GB2312" w:eastAsia="仿宋_GB2312"/>
          <w:sz w:val="32"/>
          <w:szCs w:val="40"/>
        </w:rPr>
        <w:t>报备其员工花名册、员工信息表、有效身份证明复印件、健康证明等必要信息。</w:t>
      </w:r>
    </w:p>
    <w:p w14:paraId="40F4ABFF">
      <w:pPr>
        <w:spacing w:line="240" w:lineRule="atLeast"/>
        <w:ind w:firstLine="640" w:firstLineChars="200"/>
        <w:jc w:val="left"/>
        <w:rPr>
          <w:rFonts w:hint="default" w:ascii="仿宋_GB2312" w:eastAsia="仿宋_GB2312"/>
          <w:sz w:val="32"/>
          <w:szCs w:val="40"/>
        </w:rPr>
      </w:pPr>
      <w:r>
        <w:rPr>
          <w:rFonts w:ascii="仿宋_GB2312" w:eastAsia="仿宋_GB2312"/>
          <w:sz w:val="32"/>
          <w:szCs w:val="40"/>
          <w:lang w:val="en-US" w:eastAsia="zh-CN"/>
        </w:rPr>
        <w:t>4.</w:t>
      </w:r>
      <w:r>
        <w:rPr>
          <w:rFonts w:ascii="仿宋_GB2312" w:eastAsia="仿宋_GB2312"/>
          <w:sz w:val="32"/>
          <w:szCs w:val="40"/>
        </w:rPr>
        <w:t>专业技术人员均持证上岗。各类人员配置充足、相对稳定，满足工作需要，人员档案情况记录准确全面，备案可查；各类工作人员服装统一、整齐、佩带统一的标识，工作纪律严明，言谈举止文明大方，服务态度热情、规范；相关人员必须具备相关知识与防范技能，熟悉服务质量标准、熟悉服务应急预案，每年岗位培训不少于8小时；保证服务的质量和水平；如遇突发事件或临时性任务时能积极配合</w:t>
      </w:r>
      <w:r>
        <w:rPr>
          <w:rFonts w:hint="eastAsia" w:ascii="仿宋_GB2312" w:eastAsia="仿宋_GB2312"/>
          <w:sz w:val="32"/>
          <w:szCs w:val="40"/>
          <w:lang w:eastAsia="zh-CN"/>
        </w:rPr>
        <w:t>采购人</w:t>
      </w:r>
      <w:r>
        <w:rPr>
          <w:rFonts w:ascii="仿宋_GB2312" w:eastAsia="仿宋_GB2312"/>
          <w:sz w:val="32"/>
          <w:szCs w:val="40"/>
        </w:rPr>
        <w:t>按时完成任务。</w:t>
      </w:r>
    </w:p>
    <w:p w14:paraId="7CCD4CF4">
      <w:pPr>
        <w:spacing w:line="240" w:lineRule="atLeast"/>
        <w:ind w:firstLine="640" w:firstLineChars="200"/>
        <w:jc w:val="left"/>
        <w:rPr>
          <w:rFonts w:hint="default" w:ascii="仿宋_GB2312" w:eastAsia="仿宋_GB2312"/>
          <w:sz w:val="32"/>
          <w:szCs w:val="40"/>
        </w:rPr>
      </w:pPr>
      <w:r>
        <w:rPr>
          <w:rFonts w:ascii="仿宋_GB2312" w:eastAsia="仿宋_GB2312"/>
          <w:sz w:val="32"/>
          <w:szCs w:val="40"/>
          <w:lang w:val="en-US" w:eastAsia="zh-CN"/>
        </w:rPr>
        <w:t>5.</w:t>
      </w:r>
      <w:r>
        <w:rPr>
          <w:rFonts w:ascii="仿宋_GB2312" w:eastAsia="仿宋_GB2312"/>
          <w:sz w:val="32"/>
          <w:szCs w:val="40"/>
        </w:rPr>
        <w:t>严格执行物资采购制度和仓库管理制度，做到账物相符，仓库整洁规范，物料摆放有序，存储安全。各项物料、工具配置齐全充足，满足工作需要。配备清洁剂、相关卫生除害用品、运输车辆、维修工具、公共保洁工具、日常办公用具及辅助用品。</w:t>
      </w:r>
    </w:p>
    <w:p w14:paraId="7533BD0C">
      <w:pPr>
        <w:spacing w:line="240" w:lineRule="atLeast"/>
        <w:ind w:firstLine="640" w:firstLineChars="200"/>
        <w:jc w:val="left"/>
        <w:rPr>
          <w:rFonts w:hint="default" w:ascii="仿宋_GB2312" w:eastAsia="仿宋_GB2312"/>
          <w:sz w:val="32"/>
          <w:szCs w:val="40"/>
        </w:rPr>
      </w:pPr>
      <w:r>
        <w:rPr>
          <w:rFonts w:ascii="仿宋_GB2312" w:eastAsia="仿宋_GB2312"/>
          <w:sz w:val="32"/>
          <w:szCs w:val="40"/>
          <w:lang w:val="en-US" w:eastAsia="zh-CN"/>
        </w:rPr>
        <w:t>6.</w:t>
      </w:r>
      <w:r>
        <w:rPr>
          <w:rFonts w:ascii="仿宋_GB2312" w:eastAsia="仿宋_GB2312"/>
          <w:sz w:val="32"/>
          <w:szCs w:val="40"/>
        </w:rPr>
        <w:t>接受</w:t>
      </w:r>
      <w:r>
        <w:rPr>
          <w:rFonts w:ascii="仿宋_GB2312" w:eastAsia="仿宋_GB2312"/>
          <w:sz w:val="32"/>
          <w:szCs w:val="40"/>
          <w:lang w:eastAsia="zh-CN"/>
        </w:rPr>
        <w:t>采购人</w:t>
      </w:r>
      <w:r>
        <w:rPr>
          <w:rFonts w:ascii="仿宋_GB2312" w:eastAsia="仿宋_GB2312"/>
          <w:sz w:val="32"/>
          <w:szCs w:val="40"/>
        </w:rPr>
        <w:t>的工作监督与指导，遵守并执行</w:t>
      </w:r>
      <w:r>
        <w:rPr>
          <w:rFonts w:ascii="仿宋_GB2312" w:eastAsia="仿宋_GB2312"/>
          <w:sz w:val="32"/>
          <w:szCs w:val="40"/>
          <w:lang w:eastAsia="zh-CN"/>
        </w:rPr>
        <w:t>采购人</w:t>
      </w:r>
      <w:r>
        <w:rPr>
          <w:rFonts w:ascii="仿宋_GB2312" w:eastAsia="仿宋_GB2312"/>
          <w:sz w:val="32"/>
          <w:szCs w:val="40"/>
        </w:rPr>
        <w:t>管理规定和制度。服从</w:t>
      </w:r>
      <w:r>
        <w:rPr>
          <w:rFonts w:ascii="仿宋_GB2312" w:eastAsia="仿宋_GB2312"/>
          <w:sz w:val="32"/>
          <w:szCs w:val="40"/>
          <w:lang w:eastAsia="zh-CN"/>
        </w:rPr>
        <w:t>采购人</w:t>
      </w:r>
      <w:r>
        <w:rPr>
          <w:rFonts w:ascii="仿宋_GB2312" w:eastAsia="仿宋_GB2312"/>
          <w:sz w:val="32"/>
          <w:szCs w:val="40"/>
        </w:rPr>
        <w:t>的管理，主动配合和支持工作；如</w:t>
      </w:r>
      <w:r>
        <w:rPr>
          <w:rFonts w:ascii="仿宋_GB2312" w:eastAsia="仿宋_GB2312"/>
          <w:sz w:val="32"/>
          <w:szCs w:val="40"/>
          <w:lang w:eastAsia="zh-CN"/>
        </w:rPr>
        <w:t>采购人</w:t>
      </w:r>
      <w:r>
        <w:rPr>
          <w:rFonts w:ascii="仿宋_GB2312" w:eastAsia="仿宋_GB2312"/>
          <w:sz w:val="32"/>
          <w:szCs w:val="40"/>
        </w:rPr>
        <w:t>管理制度或管理方式发生调整，只要未超出合同规定的工作范围，必须接受；如对其中内容存有重大争议，双方可协商解决。</w:t>
      </w:r>
    </w:p>
    <w:p w14:paraId="1F2CA482">
      <w:pPr>
        <w:spacing w:line="240" w:lineRule="atLeast"/>
        <w:jc w:val="left"/>
        <w:outlineLvl w:val="0"/>
        <w:rPr>
          <w:rFonts w:hint="default" w:ascii="仿宋_GB2312" w:eastAsia="仿宋_GB2312"/>
          <w:b/>
          <w:bCs/>
          <w:sz w:val="32"/>
          <w:szCs w:val="40"/>
          <w:lang w:val="en-US" w:eastAsia="zh-CN"/>
        </w:rPr>
      </w:pPr>
      <w:r>
        <w:rPr>
          <w:rFonts w:hint="eastAsia" w:ascii="仿宋_GB2312" w:eastAsia="仿宋_GB2312"/>
          <w:b/>
          <w:bCs/>
          <w:sz w:val="32"/>
          <w:szCs w:val="40"/>
          <w:lang w:val="en-US" w:eastAsia="zh-CN"/>
        </w:rPr>
        <w:t>四、服务标准与要求</w:t>
      </w:r>
    </w:p>
    <w:p w14:paraId="4B1BBB06">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val="en-US" w:eastAsia="zh-CN"/>
        </w:rPr>
        <w:t>采购</w:t>
      </w:r>
      <w:r>
        <w:rPr>
          <w:rFonts w:ascii="仿宋_GB2312" w:eastAsia="仿宋_GB2312"/>
          <w:sz w:val="32"/>
          <w:szCs w:val="40"/>
          <w:lang w:eastAsia="zh-CN"/>
        </w:rPr>
        <w:t>物业服务质量要按照《河南应用技术职业学院物业考核办法》规定，达到考核标准，具体服务标准与要求如下：</w:t>
      </w:r>
    </w:p>
    <w:p w14:paraId="4B677B96">
      <w:pPr>
        <w:spacing w:line="240" w:lineRule="atLeast"/>
        <w:ind w:firstLine="643" w:firstLineChars="200"/>
        <w:jc w:val="left"/>
        <w:rPr>
          <w:rFonts w:hint="default" w:ascii="仿宋_GB2312" w:eastAsia="仿宋_GB2312"/>
          <w:b/>
          <w:bCs/>
          <w:sz w:val="32"/>
          <w:szCs w:val="40"/>
          <w:lang w:eastAsia="zh-CN"/>
        </w:rPr>
      </w:pPr>
      <w:r>
        <w:rPr>
          <w:rFonts w:hint="eastAsia" w:ascii="仿宋_GB2312" w:eastAsia="仿宋_GB2312"/>
          <w:b/>
          <w:bCs/>
          <w:sz w:val="32"/>
          <w:szCs w:val="40"/>
          <w:lang w:val="en-US" w:eastAsia="zh-CN"/>
        </w:rPr>
        <w:t>（一）</w:t>
      </w:r>
      <w:r>
        <w:rPr>
          <w:rFonts w:ascii="仿宋_GB2312" w:eastAsia="仿宋_GB2312"/>
          <w:b/>
          <w:bCs/>
          <w:sz w:val="32"/>
          <w:szCs w:val="40"/>
          <w:lang w:eastAsia="zh-CN"/>
        </w:rPr>
        <w:t>教学、办公区保洁工作要求</w:t>
      </w:r>
    </w:p>
    <w:p w14:paraId="2A769D58">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1.楼宇大厅保洁</w:t>
      </w:r>
    </w:p>
    <w:p w14:paraId="1C3D1915">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（1）每天上午和下午上班前分两次重点清理大厅,平时每两小时保洁一次,重点清理地面和电梯轿箱内的垃圾杂物。</w:t>
      </w:r>
    </w:p>
    <w:p w14:paraId="27D1B5CF">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（2）用扫把清扫大厅地面垃圾,用长柄刷沾洗洁精清除地面污渍,后用拖把拖地面一次。每天循环拖抹、推尘。</w:t>
      </w:r>
    </w:p>
    <w:p w14:paraId="1812739A">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（3）清扫电梯轿箱后,用湿拖把拖轿箱内地板两遍。</w:t>
      </w:r>
    </w:p>
    <w:p w14:paraId="5FAC1B26">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（4）用干毛巾和不锈钢油轻抹大厅内各种不锈钢制品,包括门柱、镶字、电梯厅门、轿箱等。</w:t>
      </w:r>
    </w:p>
    <w:p w14:paraId="5839AD8B">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（5）用湿毛巾拧干后,擦抹大厅门窗框、防火门、消防栓柜、内墙面等设施。</w:t>
      </w:r>
    </w:p>
    <w:p w14:paraId="4E3EF734">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（6）做好垃圾分类工作，每日清理垃圾筒一次，洗净后放回原处。</w:t>
      </w:r>
    </w:p>
    <w:p w14:paraId="4A0983E1">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（7）负责垃圾清运工作，垃圾及时清运到垃圾中转站。</w:t>
      </w:r>
    </w:p>
    <w:p w14:paraId="60C050C7">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（8）用湿拖把拖2-3遍台阶,出入口的台阶每周用洗洁精冲刷一次。</w:t>
      </w:r>
    </w:p>
    <w:p w14:paraId="661D7FC8">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（9）用干净毛巾擦拭玻璃门,并每周清刮一次。</w:t>
      </w:r>
    </w:p>
    <w:p w14:paraId="5F8E8D35">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2</w:t>
      </w:r>
      <w:r>
        <w:rPr>
          <w:rFonts w:ascii="仿宋_GB2312" w:eastAsia="仿宋_GB2312"/>
          <w:sz w:val="32"/>
          <w:szCs w:val="40"/>
          <w:lang w:val="en-US" w:eastAsia="zh-CN"/>
        </w:rPr>
        <w:t>.</w:t>
      </w:r>
      <w:r>
        <w:rPr>
          <w:rFonts w:ascii="仿宋_GB2312" w:eastAsia="仿宋_GB2312"/>
          <w:sz w:val="32"/>
          <w:szCs w:val="40"/>
          <w:lang w:eastAsia="zh-CN"/>
        </w:rPr>
        <w:t>楼层通道地面保洁</w:t>
      </w:r>
    </w:p>
    <w:p w14:paraId="66657203">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（1）每天上午对各楼层通道地面拖抹、推尘、吸尘一次；不间断巡视巡视保洁。</w:t>
      </w:r>
    </w:p>
    <w:p w14:paraId="68F064FF">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（2）每月用长柄手刷沾去污粉对污渍较重的地面彻底清刷一次。</w:t>
      </w:r>
    </w:p>
    <w:p w14:paraId="302D93C9">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（3）步梯台阶、扶手、不锈钢栏杆等每日拖洗、擦拭1次。</w:t>
      </w:r>
    </w:p>
    <w:p w14:paraId="28FF6429">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（4）门、窗玻璃、窗台每周擦拭1次。</w:t>
      </w:r>
    </w:p>
    <w:p w14:paraId="4B9A8337">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（5）每月用拧干的湿毛巾抹净墙根部分踢脚线。</w:t>
      </w:r>
    </w:p>
    <w:p w14:paraId="0D52C235">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3</w:t>
      </w:r>
      <w:r>
        <w:rPr>
          <w:rFonts w:ascii="仿宋_GB2312" w:eastAsia="仿宋_GB2312"/>
          <w:sz w:val="32"/>
          <w:szCs w:val="40"/>
          <w:lang w:val="en-US" w:eastAsia="zh-CN"/>
        </w:rPr>
        <w:t>.</w:t>
      </w:r>
      <w:r>
        <w:rPr>
          <w:rFonts w:ascii="仿宋_GB2312" w:eastAsia="仿宋_GB2312"/>
          <w:sz w:val="32"/>
          <w:szCs w:val="40"/>
          <w:lang w:eastAsia="zh-CN"/>
        </w:rPr>
        <w:t>公共卫生间保洁</w:t>
      </w:r>
    </w:p>
    <w:p w14:paraId="34473B52">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（1）每天上、下午上班前分两次重点清理,并不断巡视,保持清洁。</w:t>
      </w:r>
    </w:p>
    <w:p w14:paraId="326F329C">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（2）如条件许可,清洁时,关闭卫生间,暂不让公众使用,但必须放置告示牌,打开窗户通风。</w:t>
      </w:r>
    </w:p>
    <w:p w14:paraId="2AFB5BCC">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（3）用水冲洗大小便器,并用夾子夹出小便器内烟头等杂物。</w:t>
      </w:r>
    </w:p>
    <w:p w14:paraId="65EE2489">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（4）用厕所刷沾洁厕精洗刷大小便器,然后用清水冲净。</w:t>
      </w:r>
    </w:p>
    <w:p w14:paraId="13C8DC1F">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（5）用湿毛巾和洗洁精擦洗面盆、大理石台面、墙面、门窗。</w:t>
      </w:r>
    </w:p>
    <w:p w14:paraId="5950D798">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（6）先将湿毛巾拧干擦镜面、窗玻璃,然后再用干毛巾擦净。</w:t>
      </w:r>
    </w:p>
    <w:p w14:paraId="25896830">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（7）清洗垃圾桶和烟灰缸，并内外擦干。</w:t>
      </w:r>
    </w:p>
    <w:p w14:paraId="756173EF">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（8）用湿拖把拖干净地面,然后再用干拖把拖干。</w:t>
      </w:r>
    </w:p>
    <w:p w14:paraId="233D24E4">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（9）喷适量香水或空气清新剂,小便斗内放樟脑丸,或直接用杀菌清洁剂彻底地对卫生间进行清洁,就可以不用香水或空气清新剂（由采购人提供相应设备材料）。</w:t>
      </w:r>
    </w:p>
    <w:p w14:paraId="5D9F8463">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（10）每2小时保洁1次,主要清理纸篓垃圾、地面垃圾、地面积水和水迹等。</w:t>
      </w:r>
    </w:p>
    <w:p w14:paraId="2C9083FC">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（11）每周抹抽气风口1次，消毒大洗1次。</w:t>
      </w:r>
    </w:p>
    <w:p w14:paraId="7D9A72E1">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4</w:t>
      </w:r>
      <w:r>
        <w:rPr>
          <w:rFonts w:ascii="仿宋_GB2312" w:eastAsia="仿宋_GB2312"/>
          <w:sz w:val="32"/>
          <w:szCs w:val="40"/>
          <w:lang w:val="en-US" w:eastAsia="zh-CN"/>
        </w:rPr>
        <w:t>.</w:t>
      </w:r>
      <w:r>
        <w:rPr>
          <w:rFonts w:ascii="仿宋_GB2312" w:eastAsia="仿宋_GB2312"/>
          <w:sz w:val="32"/>
          <w:szCs w:val="40"/>
          <w:lang w:eastAsia="zh-CN"/>
        </w:rPr>
        <w:t>院区保洁</w:t>
      </w:r>
    </w:p>
    <w:p w14:paraId="33C8B539">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（1）道路路面及周围花砖地面、楼宇周围花砖地面等：保持路面目视干净，无瓜果皮壳、纸屑等杂物、无积水、无污渍、无烟蒂；</w:t>
      </w:r>
    </w:p>
    <w:p w14:paraId="5E0A0ED6">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（2）路牌、标识、指示牌、宣传栏、观瞻物、石凳、石桌、路灯灯杆：目视表面无明显积尘、无污迹、无乱张贴；</w:t>
      </w:r>
    </w:p>
    <w:p w14:paraId="6ED27D89">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（3）校区内垃圾及时清理，保持垃圾桶周围干净，桶内外无污迹。</w:t>
      </w:r>
    </w:p>
    <w:p w14:paraId="5F79CDE7">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（4）定期灭蚊、蝇、鼠、蟑等，确保无滋生源。</w:t>
      </w:r>
    </w:p>
    <w:p w14:paraId="4DCAB87B">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（5）垃圾箱、垃圾筒：箱体内外四壁干净无污渍、箱口箱内外无垃圾、无异味、箱筒外表干净、无污渍、发现有异味及时处理；</w:t>
      </w:r>
    </w:p>
    <w:p w14:paraId="49B5F946">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（6）排水明沟：无明显泥沙、污垢；</w:t>
      </w:r>
    </w:p>
    <w:p w14:paraId="14CFCAE2">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（7）雨水井、污水井：底部无沉淀物，内壁无粘附物，井盖无污迹；每月检查1次，视检查情况及时清掏；</w:t>
      </w:r>
    </w:p>
    <w:p w14:paraId="5477CE6F">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（8）按师生活动频度安排日常保洁频度，不产生卫生死角，要求保洁对象无杂物、污迹、灰尘、臭味、异味、积水等。</w:t>
      </w:r>
    </w:p>
    <w:p w14:paraId="3193F379">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（9）照明设施、标牌：无积尘、无污迹、透明度好；</w:t>
      </w:r>
    </w:p>
    <w:p w14:paraId="39BF0B11">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（10）如遇雪天及时清扫，小雪清扫不超过2小时，中雪清扫不超过3小时，大雪清扫不超过4个小时。</w:t>
      </w:r>
    </w:p>
    <w:p w14:paraId="5FC3C34F">
      <w:pPr>
        <w:spacing w:line="240" w:lineRule="atLeast"/>
        <w:ind w:firstLine="643" w:firstLineChars="200"/>
        <w:jc w:val="left"/>
        <w:rPr>
          <w:rFonts w:hint="default" w:ascii="仿宋_GB2312" w:eastAsia="仿宋_GB2312"/>
          <w:b/>
          <w:bCs/>
          <w:sz w:val="32"/>
          <w:szCs w:val="40"/>
          <w:lang w:eastAsia="zh-CN"/>
        </w:rPr>
      </w:pPr>
      <w:r>
        <w:rPr>
          <w:rFonts w:hint="eastAsia" w:ascii="仿宋_GB2312" w:eastAsia="仿宋_GB2312"/>
          <w:b/>
          <w:bCs/>
          <w:sz w:val="32"/>
          <w:szCs w:val="40"/>
          <w:lang w:eastAsia="zh-CN"/>
        </w:rPr>
        <w:t>（</w:t>
      </w:r>
      <w:r>
        <w:rPr>
          <w:rFonts w:hint="eastAsia" w:ascii="仿宋_GB2312" w:eastAsia="仿宋_GB2312"/>
          <w:b/>
          <w:bCs/>
          <w:sz w:val="32"/>
          <w:szCs w:val="40"/>
          <w:lang w:val="en-US" w:eastAsia="zh-CN"/>
        </w:rPr>
        <w:t>二</w:t>
      </w:r>
      <w:r>
        <w:rPr>
          <w:rFonts w:hint="eastAsia" w:ascii="仿宋_GB2312" w:eastAsia="仿宋_GB2312"/>
          <w:b/>
          <w:bCs/>
          <w:sz w:val="32"/>
          <w:szCs w:val="40"/>
          <w:lang w:eastAsia="zh-CN"/>
        </w:rPr>
        <w:t>）</w:t>
      </w:r>
      <w:r>
        <w:rPr>
          <w:rFonts w:ascii="仿宋_GB2312" w:eastAsia="仿宋_GB2312"/>
          <w:b/>
          <w:bCs/>
          <w:sz w:val="32"/>
          <w:szCs w:val="40"/>
          <w:lang w:eastAsia="zh-CN"/>
        </w:rPr>
        <w:t>公寓保洁工作要求</w:t>
      </w:r>
    </w:p>
    <w:p w14:paraId="35746A32">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1</w:t>
      </w:r>
      <w:r>
        <w:rPr>
          <w:rFonts w:ascii="仿宋_GB2312" w:eastAsia="仿宋_GB2312"/>
          <w:sz w:val="32"/>
          <w:szCs w:val="40"/>
          <w:lang w:val="en-US" w:eastAsia="zh-CN"/>
        </w:rPr>
        <w:t>.</w:t>
      </w:r>
      <w:r>
        <w:rPr>
          <w:rFonts w:ascii="仿宋_GB2312" w:eastAsia="仿宋_GB2312"/>
          <w:sz w:val="32"/>
          <w:szCs w:val="40"/>
          <w:lang w:eastAsia="zh-CN"/>
        </w:rPr>
        <w:t>楼内门厅、走廊每日清洁1次，并不间断巡视保洁，做到无纸屑、无蛛网、灰尘，无积水痰迹、杂物;楼寓内公共场所窗户每周擦拭1次，保证干净明亮、无痕迹。</w:t>
      </w:r>
    </w:p>
    <w:p w14:paraId="1C4E5810">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2.指示牌每日擦拭1次，保持无尘土印迹，表面光滑，无尘土。</w:t>
      </w:r>
    </w:p>
    <w:p w14:paraId="1FA5C734">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3</w:t>
      </w:r>
      <w:r>
        <w:rPr>
          <w:rFonts w:ascii="仿宋_GB2312" w:eastAsia="仿宋_GB2312"/>
          <w:sz w:val="32"/>
          <w:szCs w:val="40"/>
          <w:lang w:val="en-US" w:eastAsia="zh-CN"/>
        </w:rPr>
        <w:t>.</w:t>
      </w:r>
      <w:r>
        <w:rPr>
          <w:rFonts w:ascii="仿宋_GB2312" w:eastAsia="仿宋_GB2312"/>
          <w:sz w:val="32"/>
          <w:szCs w:val="40"/>
          <w:lang w:eastAsia="zh-CN"/>
        </w:rPr>
        <w:t>洗衣房地面、墙面、窗户窗台每日清洁1次，做到无尘土、无积水、无杂物，并不间断巡视保洁。</w:t>
      </w:r>
    </w:p>
    <w:p w14:paraId="27EF9473">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4</w:t>
      </w:r>
      <w:r>
        <w:rPr>
          <w:rFonts w:ascii="仿宋_GB2312" w:eastAsia="仿宋_GB2312"/>
          <w:sz w:val="32"/>
          <w:szCs w:val="40"/>
          <w:lang w:val="en-US" w:eastAsia="zh-CN"/>
        </w:rPr>
        <w:t>.</w:t>
      </w:r>
      <w:r>
        <w:rPr>
          <w:rFonts w:ascii="仿宋_GB2312" w:eastAsia="仿宋_GB2312"/>
          <w:sz w:val="32"/>
          <w:szCs w:val="40"/>
          <w:lang w:eastAsia="zh-CN"/>
        </w:rPr>
        <w:t>大厅设施每日擦拭1次，保证表面无积尘、水迹，确保无垃圾、无积尘、无水迹。</w:t>
      </w:r>
    </w:p>
    <w:p w14:paraId="08713A6F">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5</w:t>
      </w:r>
      <w:r>
        <w:rPr>
          <w:rFonts w:ascii="仿宋_GB2312" w:eastAsia="仿宋_GB2312"/>
          <w:sz w:val="32"/>
          <w:szCs w:val="40"/>
          <w:lang w:val="en-US" w:eastAsia="zh-CN"/>
        </w:rPr>
        <w:t>.</w:t>
      </w:r>
      <w:r>
        <w:rPr>
          <w:rFonts w:ascii="仿宋_GB2312" w:eastAsia="仿宋_GB2312"/>
          <w:sz w:val="32"/>
          <w:szCs w:val="40"/>
          <w:lang w:eastAsia="zh-CN"/>
        </w:rPr>
        <w:t>每日对步梯、扶手擦拭1次，做到地面无尘土，扶手无积尘、无水迹。</w:t>
      </w:r>
    </w:p>
    <w:p w14:paraId="5A49D980">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6</w:t>
      </w:r>
      <w:r>
        <w:rPr>
          <w:rFonts w:ascii="仿宋_GB2312" w:eastAsia="仿宋_GB2312"/>
          <w:sz w:val="32"/>
          <w:szCs w:val="40"/>
          <w:lang w:val="en-US" w:eastAsia="zh-CN"/>
        </w:rPr>
        <w:t>.</w:t>
      </w:r>
      <w:r>
        <w:rPr>
          <w:rFonts w:ascii="仿宋_GB2312" w:eastAsia="仿宋_GB2312"/>
          <w:sz w:val="32"/>
          <w:szCs w:val="40"/>
          <w:lang w:eastAsia="zh-CN"/>
        </w:rPr>
        <w:t>做好公寓门前台阶及周边卫生保洁工作，维护停车区自行车摆放秩序。</w:t>
      </w:r>
    </w:p>
    <w:p w14:paraId="066893FB">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7</w:t>
      </w:r>
      <w:r>
        <w:rPr>
          <w:rFonts w:ascii="仿宋_GB2312" w:eastAsia="仿宋_GB2312"/>
          <w:sz w:val="32"/>
          <w:szCs w:val="40"/>
          <w:lang w:val="en-US" w:eastAsia="zh-CN"/>
        </w:rPr>
        <w:t>.</w:t>
      </w:r>
      <w:r>
        <w:rPr>
          <w:rFonts w:ascii="仿宋_GB2312" w:eastAsia="仿宋_GB2312"/>
          <w:sz w:val="32"/>
          <w:szCs w:val="40"/>
          <w:lang w:eastAsia="zh-CN"/>
        </w:rPr>
        <w:t>根据季节不定期的进行喷、洒药物。降低"四害”密度,达到国家标准。</w:t>
      </w:r>
    </w:p>
    <w:p w14:paraId="7368E89A">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8</w:t>
      </w:r>
      <w:r>
        <w:rPr>
          <w:rFonts w:ascii="仿宋_GB2312" w:eastAsia="仿宋_GB2312"/>
          <w:sz w:val="32"/>
          <w:szCs w:val="40"/>
          <w:lang w:val="en-US" w:eastAsia="zh-CN"/>
        </w:rPr>
        <w:t>.</w:t>
      </w:r>
      <w:r>
        <w:rPr>
          <w:rFonts w:ascii="仿宋_GB2312" w:eastAsia="仿宋_GB2312"/>
          <w:sz w:val="32"/>
          <w:szCs w:val="40"/>
          <w:lang w:eastAsia="zh-CN"/>
        </w:rPr>
        <w:t>做好垃圾分类工作，每日对楼内垃圾桶清理、清洗1次，垃圾桶表面擦拭干净，做到干净整洁，垃圾日产日清，垃圾及时清运到垃圾中转站。</w:t>
      </w:r>
    </w:p>
    <w:p w14:paraId="5470D194">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9</w:t>
      </w:r>
      <w:r>
        <w:rPr>
          <w:rFonts w:ascii="仿宋_GB2312" w:eastAsia="仿宋_GB2312"/>
          <w:sz w:val="32"/>
          <w:szCs w:val="40"/>
          <w:lang w:val="en-US" w:eastAsia="zh-CN"/>
        </w:rPr>
        <w:t>.</w:t>
      </w:r>
      <w:r>
        <w:rPr>
          <w:rFonts w:ascii="仿宋_GB2312" w:eastAsia="仿宋_GB2312"/>
          <w:sz w:val="32"/>
          <w:szCs w:val="40"/>
          <w:lang w:eastAsia="zh-CN"/>
        </w:rPr>
        <w:t>每周打扫地下室1次，做到地面无垃圾、无积水，墙面无蜘蛛网，无污物等。</w:t>
      </w:r>
    </w:p>
    <w:p w14:paraId="6AA28061">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10</w:t>
      </w:r>
      <w:r>
        <w:rPr>
          <w:rFonts w:ascii="仿宋_GB2312" w:eastAsia="仿宋_GB2312"/>
          <w:sz w:val="32"/>
          <w:szCs w:val="40"/>
          <w:lang w:val="en-US" w:eastAsia="zh-CN"/>
        </w:rPr>
        <w:t>.</w:t>
      </w:r>
      <w:r>
        <w:rPr>
          <w:rFonts w:ascii="仿宋_GB2312" w:eastAsia="仿宋_GB2312"/>
          <w:sz w:val="32"/>
          <w:szCs w:val="40"/>
          <w:lang w:eastAsia="zh-CN"/>
        </w:rPr>
        <w:t>配合</w:t>
      </w:r>
      <w:r>
        <w:rPr>
          <w:rFonts w:hint="eastAsia" w:ascii="仿宋_GB2312" w:eastAsia="仿宋_GB2312"/>
          <w:sz w:val="32"/>
          <w:szCs w:val="40"/>
          <w:lang w:eastAsia="zh-CN"/>
        </w:rPr>
        <w:t>采购人</w:t>
      </w:r>
      <w:r>
        <w:rPr>
          <w:rFonts w:ascii="仿宋_GB2312" w:eastAsia="仿宋_GB2312"/>
          <w:sz w:val="32"/>
          <w:szCs w:val="40"/>
          <w:lang w:eastAsia="zh-CN"/>
        </w:rPr>
        <w:t>工作安排做好卫生保障工作。</w:t>
      </w:r>
    </w:p>
    <w:p w14:paraId="3F9880F7">
      <w:pPr>
        <w:spacing w:line="240" w:lineRule="atLeast"/>
        <w:ind w:firstLine="643" w:firstLineChars="200"/>
        <w:jc w:val="left"/>
        <w:rPr>
          <w:rFonts w:hint="default" w:ascii="仿宋_GB2312" w:eastAsia="仿宋_GB2312"/>
          <w:b/>
          <w:bCs/>
          <w:sz w:val="32"/>
          <w:szCs w:val="40"/>
          <w:lang w:eastAsia="zh-CN"/>
        </w:rPr>
      </w:pPr>
      <w:r>
        <w:rPr>
          <w:rFonts w:hint="eastAsia" w:ascii="仿宋_GB2312" w:eastAsia="仿宋_GB2312"/>
          <w:b/>
          <w:bCs/>
          <w:sz w:val="32"/>
          <w:szCs w:val="40"/>
          <w:lang w:eastAsia="zh-CN"/>
        </w:rPr>
        <w:t>（</w:t>
      </w:r>
      <w:r>
        <w:rPr>
          <w:rFonts w:hint="eastAsia" w:ascii="仿宋_GB2312" w:eastAsia="仿宋_GB2312"/>
          <w:b/>
          <w:bCs/>
          <w:sz w:val="32"/>
          <w:szCs w:val="40"/>
          <w:lang w:val="en-US" w:eastAsia="zh-CN"/>
        </w:rPr>
        <w:t>三</w:t>
      </w:r>
      <w:r>
        <w:rPr>
          <w:rFonts w:hint="eastAsia" w:ascii="仿宋_GB2312" w:eastAsia="仿宋_GB2312"/>
          <w:b/>
          <w:bCs/>
          <w:sz w:val="32"/>
          <w:szCs w:val="40"/>
          <w:lang w:eastAsia="zh-CN"/>
        </w:rPr>
        <w:t>）</w:t>
      </w:r>
      <w:r>
        <w:rPr>
          <w:rFonts w:ascii="仿宋_GB2312" w:eastAsia="仿宋_GB2312"/>
          <w:b/>
          <w:bCs/>
          <w:sz w:val="32"/>
          <w:szCs w:val="40"/>
          <w:lang w:eastAsia="zh-CN"/>
        </w:rPr>
        <w:t>公寓安全工作要求</w:t>
      </w:r>
    </w:p>
    <w:p w14:paraId="667A5503">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1</w:t>
      </w:r>
      <w:r>
        <w:rPr>
          <w:rFonts w:ascii="仿宋_GB2312" w:eastAsia="仿宋_GB2312"/>
          <w:sz w:val="32"/>
          <w:szCs w:val="40"/>
          <w:lang w:val="en-US" w:eastAsia="zh-CN"/>
        </w:rPr>
        <w:t>.宿管员</w:t>
      </w:r>
      <w:r>
        <w:rPr>
          <w:rFonts w:ascii="仿宋_GB2312" w:eastAsia="仿宋_GB2312"/>
          <w:sz w:val="32"/>
          <w:szCs w:val="40"/>
          <w:lang w:eastAsia="zh-CN"/>
        </w:rPr>
        <w:t>值班工作要求:对出入公寓人员进行检查管理，做好无证人员出入登记工作,严禁收旧物、推销商或携带易燃易爆品等人员进入；进出物品必须进行询问登记。</w:t>
      </w:r>
    </w:p>
    <w:p w14:paraId="4A6BF17C">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2</w:t>
      </w:r>
      <w:r>
        <w:rPr>
          <w:rFonts w:ascii="仿宋_GB2312" w:eastAsia="仿宋_GB2312"/>
          <w:sz w:val="32"/>
          <w:szCs w:val="40"/>
          <w:lang w:val="en-US" w:eastAsia="zh-CN"/>
        </w:rPr>
        <w:t>.</w:t>
      </w:r>
      <w:r>
        <w:rPr>
          <w:rFonts w:ascii="仿宋_GB2312" w:eastAsia="仿宋_GB2312"/>
          <w:sz w:val="32"/>
          <w:szCs w:val="40"/>
          <w:lang w:eastAsia="zh-CN"/>
        </w:rPr>
        <w:t>值班要求:对公寓实行每天24小时值班制度。</w:t>
      </w:r>
    </w:p>
    <w:p w14:paraId="7466B30C">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3.巡逻人员巡查时，应多看多听,发现可疑人员或可疑情况应跟踪调查,并呼叫队友,遇突发事件时应头脑冷静,及时采取措施。在制止不文明行为时,应礼貌劝止,不得发生争吵等不文明行为。坚持公寓楼内门窗及设备等重点部位下班后的检查制度。</w:t>
      </w:r>
    </w:p>
    <w:p w14:paraId="02899DBE">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val="en-US" w:eastAsia="zh-CN"/>
        </w:rPr>
        <w:t>4.</w:t>
      </w:r>
      <w:r>
        <w:rPr>
          <w:rFonts w:ascii="仿宋_GB2312" w:eastAsia="仿宋_GB2312"/>
          <w:sz w:val="32"/>
          <w:szCs w:val="40"/>
          <w:lang w:eastAsia="zh-CN"/>
        </w:rPr>
        <w:t>水、电、照明、建筑物等出现问题及时处理，并向有关部门报修。</w:t>
      </w:r>
    </w:p>
    <w:p w14:paraId="5BC85C97">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val="en-US" w:eastAsia="zh-CN"/>
        </w:rPr>
        <w:t>5.</w:t>
      </w:r>
      <w:r>
        <w:rPr>
          <w:rFonts w:ascii="仿宋_GB2312" w:eastAsia="仿宋_GB2312"/>
          <w:sz w:val="32"/>
          <w:szCs w:val="40"/>
          <w:lang w:eastAsia="zh-CN"/>
        </w:rPr>
        <w:t>汛期期间做好地下室防雨漏和防倒灌的工作。</w:t>
      </w:r>
    </w:p>
    <w:p w14:paraId="1D10E2EE">
      <w:pPr>
        <w:spacing w:line="240" w:lineRule="atLeast"/>
        <w:ind w:firstLine="643" w:firstLineChars="200"/>
        <w:jc w:val="left"/>
        <w:rPr>
          <w:rFonts w:hint="default" w:ascii="仿宋_GB2312" w:eastAsia="仿宋_GB2312"/>
          <w:b/>
          <w:bCs/>
          <w:sz w:val="32"/>
          <w:szCs w:val="40"/>
          <w:lang w:val="en-US" w:eastAsia="zh-CN"/>
        </w:rPr>
      </w:pPr>
      <w:r>
        <w:rPr>
          <w:rFonts w:hint="eastAsia" w:ascii="仿宋_GB2312" w:eastAsia="仿宋_GB2312"/>
          <w:b/>
          <w:bCs/>
          <w:sz w:val="32"/>
          <w:szCs w:val="40"/>
          <w:lang w:val="en-US" w:eastAsia="zh-CN"/>
        </w:rPr>
        <w:t>（四）</w:t>
      </w:r>
      <w:r>
        <w:rPr>
          <w:rFonts w:ascii="仿宋_GB2312" w:eastAsia="仿宋_GB2312"/>
          <w:b/>
          <w:bCs/>
          <w:sz w:val="32"/>
          <w:szCs w:val="40"/>
          <w:lang w:val="en-US" w:eastAsia="zh-CN"/>
        </w:rPr>
        <w:t>消防工作要求</w:t>
      </w:r>
    </w:p>
    <w:p w14:paraId="71DEABEA">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1</w:t>
      </w:r>
      <w:r>
        <w:rPr>
          <w:rFonts w:ascii="仿宋_GB2312" w:eastAsia="仿宋_GB2312"/>
          <w:sz w:val="32"/>
          <w:szCs w:val="40"/>
          <w:lang w:val="en-US" w:eastAsia="zh-CN"/>
        </w:rPr>
        <w:t>.</w:t>
      </w:r>
      <w:r>
        <w:rPr>
          <w:rFonts w:ascii="仿宋_GB2312" w:eastAsia="仿宋_GB2312"/>
          <w:sz w:val="32"/>
          <w:szCs w:val="40"/>
          <w:lang w:eastAsia="zh-CN"/>
        </w:rPr>
        <w:t>加强对火源、水源、电源、电器设备及易燃、易爆等危险品和防火重点部位的管理。楼内严禁使用任何明火，严禁吸烟。</w:t>
      </w:r>
    </w:p>
    <w:p w14:paraId="77EEF000">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2</w:t>
      </w:r>
      <w:r>
        <w:rPr>
          <w:rFonts w:ascii="仿宋_GB2312" w:eastAsia="仿宋_GB2312"/>
          <w:sz w:val="32"/>
          <w:szCs w:val="40"/>
          <w:lang w:val="en-US" w:eastAsia="zh-CN"/>
        </w:rPr>
        <w:t>.</w:t>
      </w:r>
      <w:r>
        <w:rPr>
          <w:rFonts w:ascii="仿宋_GB2312" w:eastAsia="仿宋_GB2312"/>
          <w:sz w:val="32"/>
          <w:szCs w:val="40"/>
          <w:lang w:eastAsia="zh-CN"/>
        </w:rPr>
        <w:t>加强安全检查,下班后每天要对公寓楼的水电门窗进行检查。并且要定期对安全工作进行自查,发现隐患当场解决,解决不了上报有关部门协商解决。</w:t>
      </w:r>
    </w:p>
    <w:p w14:paraId="687F5EEE">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3</w:t>
      </w:r>
      <w:r>
        <w:rPr>
          <w:rFonts w:ascii="仿宋_GB2312" w:eastAsia="仿宋_GB2312"/>
          <w:sz w:val="32"/>
          <w:szCs w:val="40"/>
          <w:lang w:val="en-US" w:eastAsia="zh-CN"/>
        </w:rPr>
        <w:t>.</w:t>
      </w:r>
      <w:r>
        <w:rPr>
          <w:rFonts w:ascii="仿宋_GB2312" w:eastAsia="仿宋_GB2312"/>
          <w:sz w:val="32"/>
          <w:szCs w:val="40"/>
          <w:lang w:eastAsia="zh-CN"/>
        </w:rPr>
        <w:t>发现消防隐患要及时向采购人相关部门报告，遇到火灾火险要在第一时间开启楼内各个安全通道,关闭防火门，协助做好疏散工作。</w:t>
      </w:r>
    </w:p>
    <w:p w14:paraId="11165262">
      <w:pPr>
        <w:spacing w:line="240" w:lineRule="atLeast"/>
        <w:ind w:firstLine="643" w:firstLineChars="200"/>
        <w:jc w:val="left"/>
        <w:rPr>
          <w:rFonts w:hint="default" w:ascii="仿宋_GB2312" w:eastAsia="仿宋_GB2312"/>
          <w:b/>
          <w:bCs/>
          <w:sz w:val="32"/>
          <w:szCs w:val="40"/>
          <w:lang w:val="en-US" w:eastAsia="zh-CN"/>
        </w:rPr>
      </w:pPr>
      <w:r>
        <w:rPr>
          <w:rFonts w:hint="eastAsia" w:ascii="仿宋_GB2312" w:eastAsia="仿宋_GB2312"/>
          <w:b/>
          <w:bCs/>
          <w:sz w:val="32"/>
          <w:szCs w:val="40"/>
          <w:lang w:val="en-US" w:eastAsia="zh-CN"/>
        </w:rPr>
        <w:t>（</w:t>
      </w:r>
      <w:r>
        <w:rPr>
          <w:rFonts w:ascii="仿宋_GB2312" w:eastAsia="仿宋_GB2312"/>
          <w:b/>
          <w:bCs/>
          <w:sz w:val="32"/>
          <w:szCs w:val="40"/>
          <w:lang w:val="en-US" w:eastAsia="zh-CN"/>
        </w:rPr>
        <w:t>五</w:t>
      </w:r>
      <w:r>
        <w:rPr>
          <w:rFonts w:hint="eastAsia" w:ascii="仿宋_GB2312" w:eastAsia="仿宋_GB2312"/>
          <w:b/>
          <w:bCs/>
          <w:sz w:val="32"/>
          <w:szCs w:val="40"/>
          <w:lang w:val="en-US" w:eastAsia="zh-CN"/>
        </w:rPr>
        <w:t>）</w:t>
      </w:r>
      <w:r>
        <w:rPr>
          <w:rFonts w:ascii="仿宋_GB2312" w:eastAsia="仿宋_GB2312"/>
          <w:b/>
          <w:bCs/>
          <w:sz w:val="32"/>
          <w:szCs w:val="40"/>
          <w:lang w:val="en-US" w:eastAsia="zh-CN"/>
        </w:rPr>
        <w:t>设施设备维修维护工作及具体要求</w:t>
      </w:r>
    </w:p>
    <w:p w14:paraId="3694E903">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1</w:t>
      </w:r>
      <w:r>
        <w:rPr>
          <w:rFonts w:ascii="仿宋_GB2312" w:eastAsia="仿宋_GB2312"/>
          <w:sz w:val="32"/>
          <w:szCs w:val="40"/>
          <w:lang w:val="en-US" w:eastAsia="zh-CN"/>
        </w:rPr>
        <w:t>.</w:t>
      </w:r>
      <w:r>
        <w:rPr>
          <w:rFonts w:ascii="仿宋_GB2312" w:eastAsia="仿宋_GB2312"/>
          <w:sz w:val="32"/>
          <w:szCs w:val="40"/>
          <w:lang w:eastAsia="zh-CN"/>
        </w:rPr>
        <w:t>基础设施：校内所有房屋、连廊、围墙、路面、车棚、运动场、篮球场及其配套设施的维修与维护。要求：定期检修、及时维修，确保各项设施状况良好；加强日常管理，确保设施安全。建筑物外观、各种指示标识完好、清洁，记录完整。确保物业房屋、门窗的完好和正常使用。建筑物及附属设施按计划维修、维护，建立维修回访记录制度切记录完整。每年向采购单位提交建筑物年度维修养护计划，每月向采购单位提交建筑物月度维修养护计划。</w:t>
      </w:r>
    </w:p>
    <w:p w14:paraId="1058E3A3">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2</w:t>
      </w:r>
      <w:r>
        <w:rPr>
          <w:rFonts w:ascii="仿宋_GB2312" w:eastAsia="仿宋_GB2312"/>
          <w:sz w:val="32"/>
          <w:szCs w:val="40"/>
          <w:lang w:val="en-US" w:eastAsia="zh-CN"/>
        </w:rPr>
        <w:t>.</w:t>
      </w:r>
      <w:r>
        <w:rPr>
          <w:rFonts w:ascii="仿宋_GB2312" w:eastAsia="仿宋_GB2312"/>
          <w:sz w:val="32"/>
          <w:szCs w:val="40"/>
          <w:lang w:eastAsia="zh-CN"/>
        </w:rPr>
        <w:t>供配电系统：校内服务区域内所有照明设施、用电线路、办公家用电器以及其他用电设施的维修维护。要求：按国家规范对供电系统进行严格管理，建立严格的维修制度和配电房管理制度，建立各项维修维护档案，确保供电器设备运行良好，做到安全、合理、节约用电；供电运行和维修人员必须持证上岗；建立 24 小时运行维修值班制度，及时排除故障；确保供气管及设施完好无损；管理和维护好避雷接地的设备设施；制定切实可行的供配电应急预案，设备态标识明显。大型活动等特殊情况，服从安排，积极配合</w:t>
      </w:r>
      <w:r>
        <w:rPr>
          <w:rFonts w:hint="eastAsia" w:ascii="仿宋_GB2312" w:eastAsia="仿宋_GB2312"/>
          <w:sz w:val="32"/>
          <w:szCs w:val="40"/>
          <w:lang w:eastAsia="zh-CN"/>
        </w:rPr>
        <w:t>采购人</w:t>
      </w:r>
      <w:r>
        <w:rPr>
          <w:rFonts w:ascii="仿宋_GB2312" w:eastAsia="仿宋_GB2312"/>
          <w:sz w:val="32"/>
          <w:szCs w:val="40"/>
          <w:lang w:eastAsia="zh-CN"/>
        </w:rPr>
        <w:t>工作。照明系统外观整洁无缺损松落和安全隐患，光源完好率、无蚊虫、蜘蛛网、积尘等。</w:t>
      </w:r>
    </w:p>
    <w:p w14:paraId="27A7CC18">
      <w:pPr>
        <w:spacing w:line="240" w:lineRule="atLeast"/>
        <w:ind w:firstLine="640" w:firstLineChars="200"/>
        <w:jc w:val="left"/>
        <w:rPr>
          <w:rFonts w:hint="default" w:ascii="仿宋_GB2312" w:eastAsia="仿宋_GB2312"/>
          <w:sz w:val="32"/>
          <w:szCs w:val="40"/>
          <w:lang w:eastAsia="zh-CN"/>
        </w:rPr>
      </w:pPr>
      <w:r>
        <w:rPr>
          <w:sz w:val="32"/>
        </w:rPr>
        <mc:AlternateContent>
          <mc:Choice Requires="wps">
            <w:drawing>
              <wp:anchor distT="0" distB="0" distL="114300" distR="114300" simplePos="0" relativeHeight="251667456" behindDoc="0" locked="0" layoutInCell="1" allowOverlap="1">
                <wp:simplePos x="0" y="0"/>
                <wp:positionH relativeFrom="column">
                  <wp:posOffset>1294765</wp:posOffset>
                </wp:positionH>
                <wp:positionV relativeFrom="paragraph">
                  <wp:posOffset>1052830</wp:posOffset>
                </wp:positionV>
                <wp:extent cx="635" cy="635"/>
                <wp:effectExtent l="0" t="0" r="0" b="0"/>
                <wp:wrapNone/>
                <wp:docPr id="1" name="墨迹 1"/>
                <wp:cNvGraphicFramePr>
                  <a:graphicFrameLocks xmlns:a="http://schemas.openxmlformats.org/drawingml/2006/main" noGrp="1"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17">
                          <w14:nvContentPartPr>
                            <w14:cNvPr id="1" name="墨迹 1"/>
                            <w14:cNvContentPartPr>
                              <a14:cpLocks xmlns:a14="http://schemas.microsoft.com/office/drawing/2010/main" noGrp="1" noChangeAspect="1"/>
                            </w14:cNvContentPartPr>
                          </w14:nvContentPartPr>
                          <w14:xfrm>
                            <a:off x="2435860" y="6447155"/>
                            <a:ext cx="635" cy="635"/>
                          </w14:xfrm>
                        </w14:contentPart>
                      </mc:Choice>
                    </mc:AlternateContent>
                  </a:graphicData>
                </a:graphic>
              </wp:anchor>
            </w:drawing>
          </mc:Choice>
          <mc:Fallback>
            <w:pict>
              <v:shape id="_x0000_s1026" o:spid="_x0000_s1026" o:spt="75" style="position:absolute;left:0pt;margin-left:101.95pt;margin-top:82.9pt;height:0.05pt;width:0.05pt;z-index:251667456;mso-width-relative:page;mso-height-relative:page;" coordsize="21600,21600" o:gfxdata="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">
                <v:imagedata r:id="rId18" o:title=""/>
                <o:lock v:ext="edit"/>
              </v:shape>
            </w:pict>
          </mc:Fallback>
        </mc:AlternateContent>
      </w:r>
      <w:r>
        <w:rPr>
          <w:rFonts w:ascii="仿宋_GB2312" w:eastAsia="仿宋_GB2312"/>
          <w:sz w:val="32"/>
          <w:szCs w:val="40"/>
          <w:lang w:eastAsia="zh-CN"/>
        </w:rPr>
        <w:t>3</w:t>
      </w:r>
      <w:r>
        <w:rPr>
          <w:rFonts w:ascii="仿宋_GB2312" w:eastAsia="仿宋_GB2312"/>
          <w:sz w:val="32"/>
          <w:szCs w:val="40"/>
          <w:lang w:val="en-US" w:eastAsia="zh-CN"/>
        </w:rPr>
        <w:t>.</w:t>
      </w:r>
      <w:r>
        <w:rPr>
          <w:rFonts w:ascii="仿宋_GB2312" w:eastAsia="仿宋_GB2312"/>
          <w:sz w:val="32"/>
          <w:szCs w:val="40"/>
          <w:lang w:eastAsia="zh-CN"/>
        </w:rPr>
        <w:t>给排水系统：校内供水设施、供水管线、用水终端、化粪池、排污管线。包括无塔泵房、供水设备、净化水设备、喷泉设备、绿化用水管网各种给排水设备和管线、雨污水管线等。要求：负责做好相关设备、设备用房及相关管线的日常管理、清洁保养、定期检修、快速维修，建立 24 小时运行维修值班制度，及时排除故障；确保安全正常运行保证给排水系统正常运行使用；建立正常供水管理制度，定期检测水质，保证水质符合国家标准，防止跑、冒、滴、漏，对供水系统管路、水泵、水箱、阀门等进行日常维护和定期检修，水箱保持清洁卫生并定期消毒，定期对水泵房及机电设备进行检查、保养、维修、保证室内外排水系统通畅，及时发现并解决故障。切实做好暑假防汛减灾工作。</w:t>
      </w:r>
    </w:p>
    <w:p w14:paraId="76B4EF53">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4.其他方面：包括全校浴池管理、使用与维修养护，各种门窗、家具、电器、照明灯具等设设备。要求定期检修、快速维修，确保安全正常运行。供水、供电、锅炉等主要设施设备需要天 24 小时值守，确保安全正常运行。</w:t>
      </w:r>
    </w:p>
    <w:p w14:paraId="7F6B2402">
      <w:pPr>
        <w:spacing w:line="240" w:lineRule="atLeast"/>
        <w:ind w:firstLine="643" w:firstLineChars="200"/>
        <w:jc w:val="left"/>
        <w:rPr>
          <w:rFonts w:hint="default" w:ascii="仿宋_GB2312" w:eastAsia="仿宋_GB2312"/>
          <w:b/>
          <w:bCs/>
          <w:sz w:val="32"/>
          <w:szCs w:val="40"/>
          <w:lang w:eastAsia="zh-CN"/>
        </w:rPr>
      </w:pPr>
      <w:r>
        <w:rPr>
          <w:rFonts w:hint="eastAsia" w:ascii="仿宋_GB2312" w:eastAsia="仿宋_GB2312"/>
          <w:b/>
          <w:bCs/>
          <w:sz w:val="32"/>
          <w:szCs w:val="40"/>
          <w:lang w:val="en-US" w:eastAsia="zh-CN"/>
        </w:rPr>
        <w:t>（</w:t>
      </w:r>
      <w:r>
        <w:rPr>
          <w:rFonts w:ascii="仿宋_GB2312" w:eastAsia="仿宋_GB2312"/>
          <w:b/>
          <w:bCs/>
          <w:sz w:val="32"/>
          <w:szCs w:val="40"/>
          <w:lang w:val="en-US" w:eastAsia="zh-CN"/>
        </w:rPr>
        <w:t>六</w:t>
      </w:r>
      <w:r>
        <w:rPr>
          <w:rFonts w:hint="eastAsia" w:ascii="仿宋_GB2312" w:eastAsia="仿宋_GB2312"/>
          <w:b/>
          <w:bCs/>
          <w:sz w:val="32"/>
          <w:szCs w:val="40"/>
          <w:lang w:val="en-US" w:eastAsia="zh-CN"/>
        </w:rPr>
        <w:t>）</w:t>
      </w:r>
      <w:r>
        <w:rPr>
          <w:rFonts w:ascii="仿宋_GB2312" w:eastAsia="仿宋_GB2312"/>
          <w:b/>
          <w:bCs/>
          <w:sz w:val="32"/>
          <w:szCs w:val="40"/>
          <w:lang w:eastAsia="zh-CN"/>
        </w:rPr>
        <w:t>园林绿化工作及具体要求</w:t>
      </w:r>
    </w:p>
    <w:p w14:paraId="13368F14">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1</w:t>
      </w:r>
      <w:r>
        <w:rPr>
          <w:rFonts w:ascii="仿宋_GB2312" w:eastAsia="仿宋_GB2312"/>
          <w:sz w:val="32"/>
          <w:szCs w:val="40"/>
          <w:lang w:val="en-US" w:eastAsia="zh-CN"/>
        </w:rPr>
        <w:t>.</w:t>
      </w:r>
      <w:r>
        <w:rPr>
          <w:rFonts w:ascii="仿宋_GB2312" w:eastAsia="仿宋_GB2312"/>
          <w:sz w:val="32"/>
          <w:szCs w:val="40"/>
          <w:lang w:eastAsia="zh-CN"/>
        </w:rPr>
        <w:t>保证服务期内，确保校园四季常绿，草坪部分干净整洁。</w:t>
      </w:r>
    </w:p>
    <w:p w14:paraId="1C75044B">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2</w:t>
      </w:r>
      <w:r>
        <w:rPr>
          <w:rFonts w:ascii="仿宋_GB2312" w:eastAsia="仿宋_GB2312"/>
          <w:sz w:val="32"/>
          <w:szCs w:val="40"/>
          <w:lang w:val="en-US" w:eastAsia="zh-CN"/>
        </w:rPr>
        <w:t>.</w:t>
      </w:r>
      <w:r>
        <w:rPr>
          <w:rFonts w:ascii="仿宋_GB2312" w:eastAsia="仿宋_GB2312"/>
          <w:sz w:val="32"/>
          <w:szCs w:val="40"/>
          <w:lang w:eastAsia="zh-CN"/>
        </w:rPr>
        <w:t>负责校内花草、树木的浇水、御寒、施肥、打药及补种工作。</w:t>
      </w:r>
    </w:p>
    <w:p w14:paraId="342383BD">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3</w:t>
      </w:r>
      <w:r>
        <w:rPr>
          <w:rFonts w:ascii="仿宋_GB2312" w:eastAsia="仿宋_GB2312"/>
          <w:sz w:val="32"/>
          <w:szCs w:val="40"/>
          <w:lang w:val="en-US" w:eastAsia="zh-CN"/>
        </w:rPr>
        <w:t>.</w:t>
      </w:r>
      <w:r>
        <w:rPr>
          <w:rFonts w:ascii="仿宋_GB2312" w:eastAsia="仿宋_GB2312"/>
          <w:sz w:val="32"/>
          <w:szCs w:val="40"/>
          <w:lang w:eastAsia="zh-CN"/>
        </w:rPr>
        <w:t>负责校内花草、树木的修剪美化及修剪后的卫生清理工作。</w:t>
      </w:r>
    </w:p>
    <w:p w14:paraId="3DB3C5CC">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4</w:t>
      </w:r>
      <w:r>
        <w:rPr>
          <w:rFonts w:ascii="仿宋_GB2312" w:eastAsia="仿宋_GB2312"/>
          <w:sz w:val="32"/>
          <w:szCs w:val="40"/>
          <w:lang w:val="en-US" w:eastAsia="zh-CN"/>
        </w:rPr>
        <w:t>.</w:t>
      </w:r>
      <w:r>
        <w:rPr>
          <w:rFonts w:ascii="仿宋_GB2312" w:eastAsia="仿宋_GB2312"/>
          <w:sz w:val="32"/>
          <w:szCs w:val="40"/>
          <w:lang w:eastAsia="zh-CN"/>
        </w:rPr>
        <w:t>负责全校校园内杂草的清除工作。</w:t>
      </w:r>
    </w:p>
    <w:p w14:paraId="49B158BB">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5</w:t>
      </w:r>
      <w:r>
        <w:rPr>
          <w:rFonts w:ascii="仿宋_GB2312" w:eastAsia="仿宋_GB2312"/>
          <w:sz w:val="32"/>
          <w:szCs w:val="40"/>
          <w:lang w:val="en-US" w:eastAsia="zh-CN"/>
        </w:rPr>
        <w:t>.</w:t>
      </w:r>
      <w:r>
        <w:rPr>
          <w:rFonts w:ascii="仿宋_GB2312" w:eastAsia="仿宋_GB2312"/>
          <w:sz w:val="32"/>
          <w:szCs w:val="40"/>
          <w:lang w:eastAsia="zh-CN"/>
        </w:rPr>
        <w:t>负责楼内外盆栽花木的修剪与维护，以及换季花草的栽培与补种。</w:t>
      </w:r>
    </w:p>
    <w:p w14:paraId="2CD7CC33">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6</w:t>
      </w:r>
      <w:r>
        <w:rPr>
          <w:rFonts w:ascii="仿宋_GB2312" w:eastAsia="仿宋_GB2312"/>
          <w:sz w:val="32"/>
          <w:szCs w:val="40"/>
          <w:lang w:val="en-US" w:eastAsia="zh-CN"/>
        </w:rPr>
        <w:t>.</w:t>
      </w:r>
      <w:r>
        <w:rPr>
          <w:rFonts w:ascii="仿宋_GB2312" w:eastAsia="仿宋_GB2312"/>
          <w:sz w:val="32"/>
          <w:szCs w:val="40"/>
          <w:lang w:eastAsia="zh-CN"/>
        </w:rPr>
        <w:t>做好树木枯枝的处理，消除安全隐患，杜绝事故发生。</w:t>
      </w:r>
    </w:p>
    <w:p w14:paraId="5AFF9387">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7</w:t>
      </w:r>
      <w:r>
        <w:rPr>
          <w:rFonts w:ascii="仿宋_GB2312" w:eastAsia="仿宋_GB2312"/>
          <w:sz w:val="32"/>
          <w:szCs w:val="40"/>
          <w:lang w:val="en-US" w:eastAsia="zh-CN"/>
        </w:rPr>
        <w:t>.</w:t>
      </w:r>
      <w:r>
        <w:rPr>
          <w:rFonts w:ascii="仿宋_GB2312" w:eastAsia="仿宋_GB2312"/>
          <w:sz w:val="32"/>
          <w:szCs w:val="40"/>
          <w:lang w:eastAsia="zh-CN"/>
        </w:rPr>
        <w:t>配置有专业技术证件的绿化工作人员进行指导。</w:t>
      </w:r>
    </w:p>
    <w:p w14:paraId="550CC71C">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8</w:t>
      </w:r>
      <w:r>
        <w:rPr>
          <w:rFonts w:ascii="仿宋_GB2312" w:eastAsia="仿宋_GB2312"/>
          <w:sz w:val="32"/>
          <w:szCs w:val="40"/>
          <w:lang w:val="en-US" w:eastAsia="zh-CN"/>
        </w:rPr>
        <w:t>.</w:t>
      </w:r>
      <w:r>
        <w:rPr>
          <w:rFonts w:ascii="仿宋_GB2312" w:eastAsia="仿宋_GB2312"/>
          <w:sz w:val="32"/>
          <w:szCs w:val="40"/>
          <w:lang w:eastAsia="zh-CN"/>
        </w:rPr>
        <w:t>服务期间树木发生死亡，负责补种相同规格品种的树木。</w:t>
      </w:r>
    </w:p>
    <w:p w14:paraId="6122FE7A">
      <w:pPr>
        <w:spacing w:line="240" w:lineRule="atLeast"/>
        <w:ind w:firstLine="643" w:firstLineChars="200"/>
        <w:jc w:val="left"/>
        <w:rPr>
          <w:rFonts w:hint="default" w:ascii="仿宋_GB2312" w:eastAsia="仿宋_GB2312"/>
          <w:b/>
          <w:bCs/>
          <w:sz w:val="32"/>
          <w:szCs w:val="40"/>
          <w:lang w:val="en-US"/>
        </w:rPr>
      </w:pPr>
      <w:r>
        <w:rPr>
          <w:rFonts w:hint="eastAsia" w:ascii="仿宋_GB2312" w:eastAsia="仿宋_GB2312"/>
          <w:b/>
          <w:bCs/>
          <w:sz w:val="32"/>
          <w:szCs w:val="40"/>
          <w:lang w:val="en-US" w:eastAsia="zh-CN"/>
        </w:rPr>
        <w:t>（</w:t>
      </w:r>
      <w:r>
        <w:rPr>
          <w:rFonts w:ascii="仿宋_GB2312" w:eastAsia="仿宋_GB2312"/>
          <w:b/>
          <w:bCs/>
          <w:sz w:val="32"/>
          <w:szCs w:val="40"/>
          <w:lang w:val="en-US"/>
        </w:rPr>
        <w:t>七</w:t>
      </w:r>
      <w:r>
        <w:rPr>
          <w:rFonts w:hint="eastAsia" w:ascii="仿宋_GB2312" w:eastAsia="仿宋_GB2312"/>
          <w:b/>
          <w:bCs/>
          <w:sz w:val="32"/>
          <w:szCs w:val="40"/>
          <w:lang w:val="en-US" w:eastAsia="zh-CN"/>
        </w:rPr>
        <w:t>）</w:t>
      </w:r>
      <w:r>
        <w:rPr>
          <w:rFonts w:ascii="仿宋_GB2312" w:eastAsia="仿宋_GB2312"/>
          <w:b/>
          <w:bCs/>
          <w:sz w:val="32"/>
          <w:szCs w:val="40"/>
          <w:lang w:val="en-US"/>
        </w:rPr>
        <w:t>司机工作及具体要求</w:t>
      </w:r>
    </w:p>
    <w:p w14:paraId="12D53594">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1</w:t>
      </w:r>
      <w:r>
        <w:rPr>
          <w:rFonts w:ascii="仿宋_GB2312" w:eastAsia="仿宋_GB2312"/>
          <w:sz w:val="32"/>
          <w:szCs w:val="40"/>
          <w:lang w:val="en-US" w:eastAsia="zh-CN"/>
        </w:rPr>
        <w:t>.</w:t>
      </w:r>
      <w:r>
        <w:rPr>
          <w:rFonts w:ascii="仿宋_GB2312" w:eastAsia="仿宋_GB2312"/>
          <w:sz w:val="32"/>
          <w:szCs w:val="40"/>
          <w:lang w:eastAsia="zh-CN"/>
        </w:rPr>
        <w:t>负责驾驶车辆，确保安全、准时按时完成出车任务。</w:t>
      </w:r>
    </w:p>
    <w:p w14:paraId="50296FF7">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2</w:t>
      </w:r>
      <w:r>
        <w:rPr>
          <w:rFonts w:ascii="仿宋_GB2312" w:eastAsia="仿宋_GB2312"/>
          <w:sz w:val="32"/>
          <w:szCs w:val="40"/>
          <w:lang w:val="en-US" w:eastAsia="zh-CN"/>
        </w:rPr>
        <w:t>.</w:t>
      </w:r>
      <w:r>
        <w:rPr>
          <w:rFonts w:ascii="仿宋_GB2312" w:eastAsia="仿宋_GB2312"/>
          <w:sz w:val="32"/>
          <w:szCs w:val="40"/>
          <w:lang w:eastAsia="zh-CN"/>
        </w:rPr>
        <w:t>严格遵守交通规则，确保行车过程中的安全。在驾驶过程中应当时刻保持警觉，预防交通事故的发生。</w:t>
      </w:r>
    </w:p>
    <w:p w14:paraId="70CAFA61">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3</w:t>
      </w:r>
      <w:r>
        <w:rPr>
          <w:rFonts w:ascii="仿宋_GB2312" w:eastAsia="仿宋_GB2312"/>
          <w:sz w:val="32"/>
          <w:szCs w:val="40"/>
          <w:lang w:val="en-US" w:eastAsia="zh-CN"/>
        </w:rPr>
        <w:t>.</w:t>
      </w:r>
      <w:r>
        <w:rPr>
          <w:rFonts w:ascii="仿宋_GB2312" w:eastAsia="仿宋_GB2312"/>
          <w:sz w:val="32"/>
          <w:szCs w:val="40"/>
          <w:lang w:eastAsia="zh-CN"/>
        </w:rPr>
        <w:t>负责对车辆进行日常维护和保养，定期检查车辆油、水、轮胎等，确保车辆处于良好的运行状态。在发现车辆故障或问题时，应及时上报并安排维修。</w:t>
      </w:r>
    </w:p>
    <w:p w14:paraId="52C5283D">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4</w:t>
      </w:r>
      <w:r>
        <w:rPr>
          <w:rFonts w:ascii="仿宋_GB2312" w:eastAsia="仿宋_GB2312"/>
          <w:sz w:val="32"/>
          <w:szCs w:val="40"/>
          <w:lang w:val="en-US" w:eastAsia="zh-CN"/>
        </w:rPr>
        <w:t>.</w:t>
      </w:r>
      <w:r>
        <w:rPr>
          <w:rFonts w:ascii="仿宋_GB2312" w:eastAsia="仿宋_GB2312"/>
          <w:sz w:val="32"/>
          <w:szCs w:val="40"/>
          <w:lang w:eastAsia="zh-CN"/>
        </w:rPr>
        <w:t>熟悉所驾驶车辆的性能和操作规程，能够处理基本的车辆故障。在行车过程中遇到紧急情况，应能够冷静应对，采取正确的措施。</w:t>
      </w:r>
    </w:p>
    <w:p w14:paraId="46807F7A">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5</w:t>
      </w:r>
      <w:r>
        <w:rPr>
          <w:rFonts w:ascii="仿宋_GB2312" w:eastAsia="仿宋_GB2312"/>
          <w:sz w:val="32"/>
          <w:szCs w:val="40"/>
          <w:lang w:val="en-US" w:eastAsia="zh-CN"/>
        </w:rPr>
        <w:t>.</w:t>
      </w:r>
      <w:r>
        <w:rPr>
          <w:rFonts w:ascii="仿宋_GB2312" w:eastAsia="仿宋_GB2312"/>
          <w:sz w:val="32"/>
          <w:szCs w:val="40"/>
          <w:lang w:eastAsia="zh-CN"/>
        </w:rPr>
        <w:t>准确记录行车日志，包括出车时间、目的地、里程数等信息。在遇到特殊情况时，应及时向上级汇报并征求指示。</w:t>
      </w:r>
    </w:p>
    <w:p w14:paraId="4FBE24AB">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6</w:t>
      </w:r>
      <w:r>
        <w:rPr>
          <w:rFonts w:ascii="仿宋_GB2312" w:eastAsia="仿宋_GB2312"/>
          <w:sz w:val="32"/>
          <w:szCs w:val="40"/>
          <w:lang w:val="en-US" w:eastAsia="zh-CN"/>
        </w:rPr>
        <w:t>.</w:t>
      </w:r>
      <w:r>
        <w:rPr>
          <w:rFonts w:ascii="仿宋_GB2312" w:eastAsia="仿宋_GB2312"/>
          <w:sz w:val="32"/>
          <w:szCs w:val="40"/>
          <w:lang w:eastAsia="zh-CN"/>
        </w:rPr>
        <w:t>不出车时，协助进行其他与车辆相关的工作，如车辆清洁、整理等。</w:t>
      </w:r>
    </w:p>
    <w:p w14:paraId="7A75FEF4">
      <w:pPr>
        <w:rPr>
          <w:rFonts w:hint="eastAsia"/>
          <w:sz w:val="44"/>
          <w:szCs w:val="36"/>
          <w:highlight w:val="none"/>
          <w:lang w:val="en-US" w:eastAsia="zh-CN"/>
        </w:rPr>
      </w:pPr>
      <w:r>
        <w:rPr>
          <w:rFonts w:hint="eastAsia"/>
          <w:sz w:val="44"/>
          <w:szCs w:val="36"/>
          <w:highlight w:val="none"/>
          <w:lang w:val="en-US" w:eastAsia="zh-CN"/>
        </w:rPr>
        <w:br w:type="page"/>
      </w:r>
    </w:p>
    <w:p w14:paraId="02110A02">
      <w:pPr>
        <w:spacing w:line="240" w:lineRule="atLeast"/>
        <w:jc w:val="left"/>
        <w:outlineLvl w:val="0"/>
        <w:rPr>
          <w:rFonts w:hint="eastAsia" w:ascii="仿宋_GB2312" w:eastAsia="仿宋_GB2312"/>
          <w:b/>
          <w:bCs/>
          <w:sz w:val="32"/>
          <w:szCs w:val="40"/>
          <w:lang w:val="en-US" w:eastAsia="zh-CN"/>
        </w:rPr>
      </w:pPr>
      <w:r>
        <w:rPr>
          <w:rFonts w:hint="eastAsia" w:ascii="仿宋_GB2312" w:eastAsia="仿宋_GB2312"/>
          <w:b/>
          <w:bCs/>
          <w:sz w:val="32"/>
          <w:szCs w:val="40"/>
          <w:lang w:val="en-US" w:eastAsia="zh-CN"/>
        </w:rPr>
        <w:t>五、物业管理服务考核办法</w:t>
      </w:r>
    </w:p>
    <w:p w14:paraId="17D23AB9">
      <w:pPr>
        <w:spacing w:line="240" w:lineRule="atLeast"/>
        <w:ind w:firstLine="640" w:firstLineChars="200"/>
        <w:jc w:val="left"/>
        <w:rPr>
          <w:rFonts w:ascii="仿宋_GB2312" w:eastAsia="仿宋_GB2312"/>
          <w:sz w:val="32"/>
          <w:szCs w:val="40"/>
          <w:lang w:eastAsia="zh-CN"/>
        </w:rPr>
      </w:pPr>
      <w:r>
        <w:rPr>
          <w:rFonts w:ascii="仿宋_GB2312" w:eastAsia="仿宋_GB2312"/>
          <w:sz w:val="32"/>
          <w:szCs w:val="40"/>
          <w:lang w:eastAsia="zh-CN"/>
        </w:rPr>
        <w:t>为提高物业管理的服务质量和工作效率，使物业管理的工作制度化、规范化、科学化，促使物业管理企业按照物管要求切实履行物业合同和落实管理措施，为师生提供更优质和完善的 服务，</w:t>
      </w:r>
      <w:r>
        <w:rPr>
          <w:rFonts w:hint="eastAsia" w:ascii="仿宋_GB2312" w:eastAsia="仿宋_GB2312"/>
          <w:sz w:val="32"/>
          <w:szCs w:val="40"/>
          <w:lang w:eastAsia="zh-CN"/>
        </w:rPr>
        <w:t>中标人</w:t>
      </w:r>
      <w:r>
        <w:rPr>
          <w:rFonts w:ascii="仿宋_GB2312" w:eastAsia="仿宋_GB2312"/>
          <w:sz w:val="32"/>
          <w:szCs w:val="40"/>
          <w:lang w:eastAsia="zh-CN"/>
        </w:rPr>
        <w:t>所有的工作除应按</w:t>
      </w:r>
      <w:r>
        <w:rPr>
          <w:rFonts w:hint="eastAsia" w:ascii="仿宋_GB2312" w:eastAsia="仿宋_GB2312"/>
          <w:sz w:val="32"/>
          <w:szCs w:val="40"/>
          <w:lang w:eastAsia="zh-CN"/>
        </w:rPr>
        <w:t>中标人</w:t>
      </w:r>
      <w:r>
        <w:rPr>
          <w:rFonts w:ascii="仿宋_GB2312" w:eastAsia="仿宋_GB2312"/>
          <w:sz w:val="32"/>
          <w:szCs w:val="40"/>
          <w:lang w:eastAsia="zh-CN"/>
        </w:rPr>
        <w:t>的内部流程实施外，还应接受</w:t>
      </w:r>
      <w:r>
        <w:rPr>
          <w:rFonts w:hint="eastAsia" w:ascii="仿宋_GB2312" w:eastAsia="仿宋_GB2312"/>
          <w:sz w:val="32"/>
          <w:szCs w:val="40"/>
          <w:lang w:eastAsia="zh-CN"/>
        </w:rPr>
        <w:t>采购人</w:t>
      </w:r>
      <w:r>
        <w:rPr>
          <w:rFonts w:ascii="仿宋_GB2312" w:eastAsia="仿宋_GB2312"/>
          <w:sz w:val="32"/>
          <w:szCs w:val="40"/>
          <w:lang w:eastAsia="zh-CN"/>
        </w:rPr>
        <w:t>的监督检查。</w:t>
      </w:r>
    </w:p>
    <w:p w14:paraId="1B725816">
      <w:pPr>
        <w:spacing w:line="240" w:lineRule="atLeast"/>
        <w:ind w:firstLine="640" w:firstLineChars="200"/>
        <w:jc w:val="left"/>
        <w:rPr>
          <w:rFonts w:ascii="仿宋_GB2312" w:eastAsia="仿宋_GB2312"/>
          <w:sz w:val="32"/>
          <w:szCs w:val="40"/>
          <w:lang w:eastAsia="zh-CN"/>
        </w:rPr>
      </w:pPr>
      <w:r>
        <w:rPr>
          <w:rFonts w:hint="eastAsia" w:ascii="仿宋_GB2312" w:eastAsia="仿宋_GB2312"/>
          <w:sz w:val="32"/>
          <w:szCs w:val="40"/>
          <w:lang w:val="en-US" w:eastAsia="zh-CN"/>
        </w:rPr>
        <w:t>采购人</w:t>
      </w:r>
      <w:r>
        <w:rPr>
          <w:rFonts w:ascii="仿宋_GB2312" w:eastAsia="仿宋_GB2312"/>
          <w:sz w:val="32"/>
          <w:szCs w:val="40"/>
          <w:lang w:eastAsia="zh-CN"/>
        </w:rPr>
        <w:t>对</w:t>
      </w:r>
      <w:r>
        <w:rPr>
          <w:rFonts w:hint="eastAsia" w:ascii="仿宋_GB2312" w:eastAsia="仿宋_GB2312"/>
          <w:sz w:val="32"/>
          <w:szCs w:val="40"/>
          <w:lang w:val="en-US" w:eastAsia="zh-CN"/>
        </w:rPr>
        <w:t>中标人的</w:t>
      </w:r>
      <w:r>
        <w:rPr>
          <w:rFonts w:ascii="仿宋_GB2312" w:eastAsia="仿宋_GB2312"/>
          <w:sz w:val="32"/>
          <w:szCs w:val="40"/>
          <w:lang w:eastAsia="zh-CN"/>
        </w:rPr>
        <w:t>物业管理服务工作进行定期或不定期抽查检查，如质量未达到目标，</w:t>
      </w:r>
      <w:r>
        <w:rPr>
          <w:rFonts w:hint="eastAsia" w:ascii="仿宋_GB2312" w:eastAsia="仿宋_GB2312"/>
          <w:sz w:val="32"/>
          <w:szCs w:val="40"/>
          <w:lang w:eastAsia="zh-CN"/>
        </w:rPr>
        <w:t>采购人</w:t>
      </w:r>
      <w:r>
        <w:rPr>
          <w:rFonts w:ascii="仿宋_GB2312" w:eastAsia="仿宋_GB2312"/>
          <w:sz w:val="32"/>
          <w:szCs w:val="40"/>
          <w:lang w:eastAsia="zh-CN"/>
        </w:rPr>
        <w:t>有权提出合理的整改意见。</w:t>
      </w:r>
      <w:r>
        <w:rPr>
          <w:rFonts w:hint="eastAsia" w:ascii="仿宋_GB2312" w:eastAsia="仿宋_GB2312"/>
          <w:sz w:val="32"/>
          <w:szCs w:val="40"/>
          <w:lang w:eastAsia="zh-CN"/>
        </w:rPr>
        <w:t>采购人</w:t>
      </w:r>
      <w:r>
        <w:rPr>
          <w:rFonts w:ascii="仿宋_GB2312" w:eastAsia="仿宋_GB2312"/>
          <w:sz w:val="32"/>
          <w:szCs w:val="40"/>
          <w:lang w:eastAsia="zh-CN"/>
        </w:rPr>
        <w:t>对</w:t>
      </w:r>
      <w:r>
        <w:rPr>
          <w:rFonts w:hint="eastAsia" w:ascii="仿宋_GB2312" w:eastAsia="仿宋_GB2312"/>
          <w:sz w:val="32"/>
          <w:szCs w:val="40"/>
          <w:lang w:eastAsia="zh-CN"/>
        </w:rPr>
        <w:t>中标人</w:t>
      </w:r>
      <w:r>
        <w:rPr>
          <w:rFonts w:ascii="仿宋_GB2312" w:eastAsia="仿宋_GB2312"/>
          <w:sz w:val="32"/>
          <w:szCs w:val="40"/>
          <w:lang w:eastAsia="zh-CN"/>
        </w:rPr>
        <w:t>的综合评定结果应及时通知</w:t>
      </w:r>
      <w:r>
        <w:rPr>
          <w:rFonts w:hint="eastAsia" w:ascii="仿宋_GB2312" w:eastAsia="仿宋_GB2312"/>
          <w:sz w:val="32"/>
          <w:szCs w:val="40"/>
          <w:lang w:eastAsia="zh-CN"/>
        </w:rPr>
        <w:t>中标人</w:t>
      </w:r>
      <w:r>
        <w:rPr>
          <w:rFonts w:ascii="仿宋_GB2312" w:eastAsia="仿宋_GB2312"/>
          <w:sz w:val="32"/>
          <w:szCs w:val="40"/>
          <w:lang w:eastAsia="zh-CN"/>
        </w:rPr>
        <w:t>，并对有关需要改进的事项进行二次监督，促使其整改到位。对于拒不整改的，</w:t>
      </w:r>
      <w:r>
        <w:rPr>
          <w:rFonts w:hint="eastAsia" w:ascii="仿宋_GB2312" w:eastAsia="仿宋_GB2312"/>
          <w:sz w:val="32"/>
          <w:szCs w:val="40"/>
          <w:lang w:eastAsia="zh-CN"/>
        </w:rPr>
        <w:t>采购人</w:t>
      </w:r>
      <w:r>
        <w:rPr>
          <w:rFonts w:ascii="仿宋_GB2312" w:eastAsia="仿宋_GB2312"/>
          <w:sz w:val="32"/>
          <w:szCs w:val="40"/>
          <w:lang w:eastAsia="zh-CN"/>
        </w:rPr>
        <w:t>有权自行聘请其他公司进行整改(</w:t>
      </w:r>
      <w:r>
        <w:rPr>
          <w:rFonts w:hint="eastAsia" w:ascii="仿宋_GB2312" w:eastAsia="仿宋_GB2312"/>
          <w:sz w:val="32"/>
          <w:szCs w:val="40"/>
          <w:lang w:eastAsia="zh-CN"/>
        </w:rPr>
        <w:t>采购人</w:t>
      </w:r>
      <w:r>
        <w:rPr>
          <w:rFonts w:ascii="仿宋_GB2312" w:eastAsia="仿宋_GB2312"/>
          <w:sz w:val="32"/>
          <w:szCs w:val="40"/>
          <w:lang w:eastAsia="zh-CN"/>
        </w:rPr>
        <w:t>聘请临时人员费用标准如下：人员工资按200元/人每日计算；人员工资不足一日按一日计 算)。整改费用从当月</w:t>
      </w:r>
      <w:r>
        <w:rPr>
          <w:rFonts w:hint="eastAsia" w:ascii="仿宋_GB2312" w:eastAsia="仿宋_GB2312"/>
          <w:sz w:val="32"/>
          <w:szCs w:val="40"/>
          <w:lang w:eastAsia="zh-CN"/>
        </w:rPr>
        <w:t>中标人</w:t>
      </w:r>
      <w:r>
        <w:rPr>
          <w:rFonts w:ascii="仿宋_GB2312" w:eastAsia="仿宋_GB2312"/>
          <w:sz w:val="32"/>
          <w:szCs w:val="40"/>
          <w:lang w:eastAsia="zh-CN"/>
        </w:rPr>
        <w:t>物业管理费用中扣除。</w:t>
      </w:r>
    </w:p>
    <w:p w14:paraId="40F7CAE2">
      <w:pPr>
        <w:ind w:firstLine="482"/>
        <w:rPr>
          <w:rFonts w:hint="default"/>
          <w:b/>
          <w:bCs/>
          <w:sz w:val="28"/>
          <w:szCs w:val="28"/>
          <w:lang w:val="en-US" w:eastAsia="zh-CN"/>
        </w:rPr>
      </w:pPr>
      <w:r>
        <w:rPr>
          <w:rFonts w:hint="eastAsia"/>
          <w:b/>
          <w:bCs/>
          <w:sz w:val="28"/>
          <w:szCs w:val="28"/>
          <w:lang w:val="en-US" w:eastAsia="zh-CN"/>
        </w:rPr>
        <w:t>1.项目技术规范和服务标准</w:t>
      </w:r>
    </w:p>
    <w:tbl>
      <w:tblPr>
        <w:tblStyle w:val="53"/>
        <w:tblW w:w="0" w:type="auto"/>
        <w:jc w:val="center"/>
        <w:tblLayout w:type="fixed"/>
        <w:tblCellMar>
          <w:top w:w="0" w:type="dxa"/>
          <w:left w:w="10" w:type="dxa"/>
          <w:bottom w:w="0" w:type="dxa"/>
          <w:right w:w="10" w:type="dxa"/>
        </w:tblCellMar>
      </w:tblPr>
      <w:tblGrid>
        <w:gridCol w:w="1151"/>
        <w:gridCol w:w="6948"/>
      </w:tblGrid>
      <w:tr w14:paraId="2CF64F36">
        <w:tblPrEx>
          <w:tblCellMar>
            <w:top w:w="0" w:type="dxa"/>
            <w:left w:w="10" w:type="dxa"/>
            <w:bottom w:w="0" w:type="dxa"/>
            <w:right w:w="10" w:type="dxa"/>
          </w:tblCellMar>
        </w:tblPrEx>
        <w:trPr>
          <w:trHeight w:val="23" w:hRule="atLeast"/>
          <w:jc w:val="center"/>
        </w:trPr>
        <w:tc>
          <w:tcPr>
            <w:tcW w:w="1151" w:type="dxa"/>
            <w:tcBorders>
              <w:top w:val="single" w:color="auto" w:sz="4" w:space="0"/>
              <w:left w:val="single" w:color="auto" w:sz="4" w:space="0"/>
            </w:tcBorders>
            <w:shd w:val="clear" w:color="auto" w:fill="FFFFFF"/>
            <w:vAlign w:val="bottom"/>
          </w:tcPr>
          <w:p w14:paraId="08EAC8EB">
            <w:pPr>
              <w:widowControl w:val="0"/>
              <w:adjustRightInd w:val="0"/>
              <w:snapToGrid w:val="0"/>
              <w:jc w:val="center"/>
              <w:rPr>
                <w:rFonts w:ascii="宋体" w:hAnsi="宋体" w:eastAsia="宋体" w:cs="宋体"/>
                <w:kern w:val="0"/>
                <w:sz w:val="24"/>
                <w:szCs w:val="24"/>
                <w:lang w:bidi="zh-TW"/>
              </w:rPr>
            </w:pPr>
            <w:r>
              <w:rPr>
                <w:rFonts w:ascii="宋体" w:hAnsi="宋体" w:eastAsia="宋体" w:cs="宋体"/>
                <w:kern w:val="0"/>
                <w:sz w:val="24"/>
                <w:szCs w:val="24"/>
                <w:lang w:bidi="zh-TW"/>
              </w:rPr>
              <w:t>项目</w:t>
            </w:r>
          </w:p>
        </w:tc>
        <w:tc>
          <w:tcPr>
            <w:tcW w:w="6948" w:type="dxa"/>
            <w:tcBorders>
              <w:top w:val="single" w:color="auto" w:sz="4" w:space="0"/>
              <w:left w:val="single" w:color="auto" w:sz="4" w:space="0"/>
              <w:right w:val="single" w:color="auto" w:sz="4" w:space="0"/>
            </w:tcBorders>
            <w:shd w:val="clear" w:color="auto" w:fill="FFFFFF"/>
            <w:vAlign w:val="bottom"/>
          </w:tcPr>
          <w:p w14:paraId="44FF42BE">
            <w:pPr>
              <w:widowControl w:val="0"/>
              <w:adjustRightInd w:val="0"/>
              <w:snapToGrid w:val="0"/>
              <w:jc w:val="center"/>
              <w:rPr>
                <w:rFonts w:ascii="宋体" w:hAnsi="宋体" w:eastAsia="宋体" w:cs="宋体"/>
                <w:kern w:val="0"/>
                <w:sz w:val="24"/>
                <w:szCs w:val="24"/>
                <w:lang w:bidi="zh-TW"/>
              </w:rPr>
            </w:pPr>
            <w:r>
              <w:rPr>
                <w:b/>
                <w:bCs/>
                <w:sz w:val="24"/>
                <w:szCs w:val="24"/>
                <w:lang w:eastAsia="zh-CN"/>
              </w:rPr>
              <w:t>服务</w:t>
            </w:r>
            <w:r>
              <w:rPr>
                <w:rFonts w:hint="eastAsia"/>
                <w:b/>
                <w:bCs/>
                <w:sz w:val="24"/>
                <w:szCs w:val="24"/>
                <w:lang w:val="en-US" w:eastAsia="zh-CN"/>
              </w:rPr>
              <w:t>标准</w:t>
            </w:r>
          </w:p>
        </w:tc>
      </w:tr>
      <w:tr w14:paraId="2F99DFA1">
        <w:tblPrEx>
          <w:tblCellMar>
            <w:top w:w="0" w:type="dxa"/>
            <w:left w:w="10" w:type="dxa"/>
            <w:bottom w:w="0" w:type="dxa"/>
            <w:right w:w="10" w:type="dxa"/>
          </w:tblCellMar>
        </w:tblPrEx>
        <w:trPr>
          <w:trHeight w:val="23" w:hRule="atLeast"/>
          <w:jc w:val="center"/>
        </w:trPr>
        <w:tc>
          <w:tcPr>
            <w:tcW w:w="1151" w:type="dxa"/>
            <w:tcBorders>
              <w:top w:val="single" w:color="auto" w:sz="4" w:space="0"/>
              <w:left w:val="single" w:color="auto" w:sz="4" w:space="0"/>
              <w:bottom w:val="single" w:color="auto" w:sz="4" w:space="0"/>
            </w:tcBorders>
            <w:shd w:val="clear" w:color="auto" w:fill="FFFFFF"/>
            <w:vAlign w:val="center"/>
          </w:tcPr>
          <w:p w14:paraId="67BE1F7A">
            <w:pPr>
              <w:widowControl w:val="0"/>
              <w:adjustRightInd w:val="0"/>
              <w:snapToGrid w:val="0"/>
              <w:jc w:val="center"/>
              <w:rPr>
                <w:rFonts w:ascii="宋体" w:hAnsi="宋体" w:eastAsia="宋体" w:cs="宋体"/>
                <w:kern w:val="0"/>
                <w:sz w:val="24"/>
                <w:szCs w:val="24"/>
                <w:lang w:bidi="zh-TW"/>
              </w:rPr>
            </w:pPr>
            <w:r>
              <w:rPr>
                <w:rFonts w:ascii="宋体" w:hAnsi="宋体" w:eastAsia="宋体" w:cs="宋体"/>
                <w:kern w:val="0"/>
                <w:sz w:val="24"/>
                <w:szCs w:val="24"/>
                <w:lang w:bidi="zh-TW"/>
              </w:rPr>
              <w:t>保</w:t>
            </w:r>
          </w:p>
          <w:p w14:paraId="3FE760E1">
            <w:pPr>
              <w:widowControl w:val="0"/>
              <w:adjustRightInd w:val="0"/>
              <w:snapToGrid w:val="0"/>
              <w:jc w:val="center"/>
              <w:rPr>
                <w:rFonts w:ascii="宋体" w:hAnsi="宋体" w:eastAsia="宋体" w:cs="宋体"/>
                <w:kern w:val="0"/>
                <w:sz w:val="24"/>
                <w:szCs w:val="24"/>
                <w:lang w:bidi="zh-TW"/>
              </w:rPr>
            </w:pPr>
            <w:r>
              <w:rPr>
                <w:rFonts w:ascii="宋体" w:hAnsi="宋体" w:eastAsia="宋体" w:cs="宋体"/>
                <w:kern w:val="0"/>
                <w:sz w:val="24"/>
                <w:szCs w:val="24"/>
                <w:lang w:bidi="zh-TW"/>
              </w:rPr>
              <w:t>洁</w:t>
            </w:r>
          </w:p>
          <w:p w14:paraId="242BD065">
            <w:pPr>
              <w:widowControl w:val="0"/>
              <w:adjustRightInd w:val="0"/>
              <w:snapToGrid w:val="0"/>
              <w:jc w:val="center"/>
              <w:rPr>
                <w:rFonts w:ascii="宋体" w:hAnsi="宋体" w:eastAsia="宋体" w:cs="宋体"/>
                <w:kern w:val="0"/>
                <w:sz w:val="24"/>
                <w:szCs w:val="24"/>
                <w:lang w:bidi="zh-TW"/>
              </w:rPr>
            </w:pPr>
            <w:r>
              <w:rPr>
                <w:rFonts w:ascii="宋体" w:hAnsi="宋体" w:eastAsia="宋体" w:cs="宋体"/>
                <w:kern w:val="0"/>
                <w:sz w:val="24"/>
                <w:szCs w:val="24"/>
                <w:lang w:bidi="zh-TW"/>
              </w:rPr>
              <w:t>及</w:t>
            </w:r>
          </w:p>
          <w:p w14:paraId="6CE1FD96">
            <w:pPr>
              <w:widowControl w:val="0"/>
              <w:adjustRightInd w:val="0"/>
              <w:snapToGrid w:val="0"/>
              <w:jc w:val="center"/>
              <w:rPr>
                <w:rFonts w:ascii="宋体" w:hAnsi="宋体" w:eastAsia="宋体" w:cs="宋体"/>
                <w:kern w:val="0"/>
                <w:sz w:val="24"/>
                <w:szCs w:val="24"/>
                <w:lang w:bidi="zh-TW"/>
              </w:rPr>
            </w:pPr>
            <w:r>
              <w:rPr>
                <w:rFonts w:ascii="宋体" w:hAnsi="宋体" w:eastAsia="宋体" w:cs="宋体"/>
                <w:kern w:val="0"/>
                <w:sz w:val="24"/>
                <w:szCs w:val="24"/>
                <w:lang w:bidi="zh-TW"/>
              </w:rPr>
              <w:t>服</w:t>
            </w:r>
          </w:p>
          <w:p w14:paraId="5060E5FB">
            <w:pPr>
              <w:widowControl w:val="0"/>
              <w:adjustRightInd w:val="0"/>
              <w:snapToGrid w:val="0"/>
              <w:jc w:val="center"/>
              <w:rPr>
                <w:rFonts w:ascii="宋体" w:hAnsi="宋体" w:eastAsia="宋体" w:cs="宋体"/>
                <w:kern w:val="0"/>
                <w:sz w:val="24"/>
                <w:szCs w:val="24"/>
                <w:lang w:bidi="zh-TW"/>
              </w:rPr>
            </w:pPr>
            <w:r>
              <w:rPr>
                <w:rFonts w:ascii="宋体" w:hAnsi="宋体" w:eastAsia="宋体" w:cs="宋体"/>
                <w:kern w:val="0"/>
                <w:sz w:val="24"/>
                <w:szCs w:val="24"/>
                <w:lang w:bidi="zh-TW"/>
              </w:rPr>
              <w:t>务</w:t>
            </w:r>
          </w:p>
        </w:tc>
        <w:tc>
          <w:tcPr>
            <w:tcW w:w="6948" w:type="dxa"/>
            <w:tcBorders>
              <w:top w:val="single" w:color="auto" w:sz="4" w:space="0"/>
              <w:left w:val="single" w:color="auto" w:sz="4" w:space="0"/>
              <w:bottom w:val="single" w:color="auto" w:sz="4" w:space="0"/>
              <w:right w:val="single" w:color="auto" w:sz="4" w:space="0"/>
            </w:tcBorders>
            <w:shd w:val="clear" w:color="auto" w:fill="FFFFFF"/>
          </w:tcPr>
          <w:p w14:paraId="5E5A05E7">
            <w:pPr>
              <w:widowControl w:val="0"/>
              <w:adjustRightInd w:val="0"/>
              <w:snapToGrid w:val="0"/>
              <w:ind w:firstLine="480" w:firstLineChars="200"/>
              <w:jc w:val="left"/>
              <w:rPr>
                <w:rFonts w:ascii="宋体" w:hAnsi="宋体" w:eastAsia="宋体" w:cs="宋体"/>
                <w:kern w:val="0"/>
                <w:sz w:val="24"/>
                <w:szCs w:val="24"/>
                <w:lang w:bidi="zh-TW"/>
              </w:rPr>
            </w:pPr>
            <w:r>
              <w:rPr>
                <w:rFonts w:ascii="宋体" w:hAnsi="宋体" w:eastAsia="宋体" w:cs="宋体"/>
                <w:kern w:val="0"/>
                <w:sz w:val="24"/>
                <w:szCs w:val="24"/>
                <w:lang w:val="en-US" w:eastAsia="zh-CN" w:bidi="zh-TW"/>
              </w:rPr>
              <w:t>1.</w:t>
            </w:r>
            <w:r>
              <w:rPr>
                <w:rFonts w:ascii="宋体" w:hAnsi="宋体" w:eastAsia="宋体" w:cs="宋体"/>
                <w:kern w:val="0"/>
                <w:sz w:val="24"/>
                <w:szCs w:val="24"/>
                <w:lang w:bidi="zh-TW"/>
              </w:rPr>
              <w:t>人员要求</w:t>
            </w:r>
          </w:p>
          <w:p w14:paraId="2E956748">
            <w:pPr>
              <w:widowControl w:val="0"/>
              <w:adjustRightInd w:val="0"/>
              <w:snapToGrid w:val="0"/>
              <w:ind w:firstLine="480" w:firstLineChars="200"/>
              <w:jc w:val="left"/>
              <w:rPr>
                <w:rFonts w:ascii="宋体" w:hAnsi="宋体" w:eastAsia="宋体" w:cs="宋体"/>
                <w:kern w:val="0"/>
                <w:sz w:val="24"/>
                <w:szCs w:val="24"/>
                <w:lang w:bidi="zh-TW"/>
              </w:rPr>
            </w:pPr>
            <w:r>
              <w:rPr>
                <w:rFonts w:ascii="宋体" w:hAnsi="宋体" w:eastAsia="宋体" w:cs="宋体"/>
                <w:kern w:val="0"/>
                <w:sz w:val="24"/>
                <w:szCs w:val="24"/>
                <w:lang w:bidi="zh-TW"/>
              </w:rPr>
              <w:t>工作认真负责并定期接受培训。上岗时佩戴统一标志，按需求穿戴统一制服，仪容仪表规范整齐。文明工作，训练有素，言语规范，认真负责。</w:t>
            </w:r>
          </w:p>
          <w:p w14:paraId="01B8CF5E">
            <w:pPr>
              <w:widowControl w:val="0"/>
              <w:adjustRightInd w:val="0"/>
              <w:snapToGrid w:val="0"/>
              <w:ind w:firstLine="480" w:firstLineChars="200"/>
              <w:jc w:val="left"/>
              <w:rPr>
                <w:rFonts w:ascii="宋体" w:hAnsi="宋体" w:eastAsia="宋体" w:cs="宋体"/>
                <w:kern w:val="0"/>
                <w:sz w:val="24"/>
                <w:szCs w:val="24"/>
                <w:lang w:bidi="zh-TW"/>
              </w:rPr>
            </w:pPr>
            <w:r>
              <w:rPr>
                <w:rFonts w:ascii="宋体" w:hAnsi="宋体" w:eastAsia="宋体" w:cs="宋体"/>
                <w:kern w:val="0"/>
                <w:sz w:val="24"/>
                <w:szCs w:val="24"/>
                <w:lang w:bidi="zh-TW"/>
              </w:rPr>
              <w:t>室内（公共区域）</w:t>
            </w:r>
          </w:p>
          <w:p w14:paraId="7CF2EA68">
            <w:pPr>
              <w:widowControl w:val="0"/>
              <w:adjustRightInd w:val="0"/>
              <w:snapToGrid w:val="0"/>
              <w:ind w:firstLine="480" w:firstLineChars="200"/>
              <w:jc w:val="left"/>
              <w:rPr>
                <w:rFonts w:ascii="宋体" w:hAnsi="宋体" w:eastAsia="宋体" w:cs="宋体"/>
                <w:kern w:val="0"/>
                <w:sz w:val="24"/>
                <w:szCs w:val="24"/>
                <w:lang w:bidi="zh-TW"/>
              </w:rPr>
            </w:pPr>
            <w:r>
              <w:rPr>
                <w:rFonts w:ascii="宋体" w:hAnsi="宋体" w:eastAsia="宋体" w:cs="宋体"/>
                <w:kern w:val="0"/>
                <w:sz w:val="24"/>
                <w:szCs w:val="24"/>
                <w:lang w:bidi="zh-TW"/>
              </w:rPr>
              <w:t>楼道地面、楼梯每日拖洗一次，巡回保洁，无积灰、污迹、垃圾、水。开关盒、 表箱盖：2米以下每日擦抹一次；2米以上每周一次，无灰尘、污迹。扶手、门：每日 擦抹一次，无灰尘、污迹。天花板、公共楼道灯、会议室和活动室吊灯：每季除尘一 次，无明显积灰、虫网。玻璃：每季清洁一次，无明显积灰、污迹。卫生间每天至少 拖洗一次，保持地面清洁、无杂物、无积水、无毛发、无异味、便池、水池下水道要 畅通。墙面四周及阴角做到无水迹、无蜘蛛网；镜子及金属部分：应保持干净，无浮 尘、污渍、手印、水迹、无锈斑；天花板上无污渍、无漏水或有小水泡等现象，保持 干净、清洁，完好无损；确保运作正常；配备洗手液，每日检査，发现用完及时补充。 瓷砖：2米以下每日擦抹一次；2米以上每月清洁一次，无明显积灰、水渍。</w:t>
            </w:r>
          </w:p>
          <w:p w14:paraId="005F1588">
            <w:pPr>
              <w:widowControl w:val="0"/>
              <w:adjustRightInd w:val="0"/>
              <w:snapToGrid w:val="0"/>
              <w:ind w:firstLine="480" w:firstLineChars="200"/>
              <w:jc w:val="left"/>
              <w:rPr>
                <w:rFonts w:ascii="宋体" w:hAnsi="宋体" w:eastAsia="宋体" w:cs="宋体"/>
                <w:kern w:val="0"/>
                <w:sz w:val="24"/>
                <w:szCs w:val="24"/>
                <w:lang w:bidi="zh-TW"/>
              </w:rPr>
            </w:pPr>
            <w:r>
              <w:rPr>
                <w:rFonts w:ascii="宋体" w:hAnsi="宋体" w:eastAsia="宋体" w:cs="宋体"/>
                <w:kern w:val="0"/>
                <w:sz w:val="24"/>
                <w:szCs w:val="24"/>
                <w:lang w:val="en-US" w:eastAsia="zh-CN" w:bidi="zh-TW"/>
              </w:rPr>
              <w:t>3.</w:t>
            </w:r>
            <w:r>
              <w:rPr>
                <w:rFonts w:ascii="宋体" w:hAnsi="宋体" w:eastAsia="宋体" w:cs="宋体"/>
                <w:kern w:val="0"/>
                <w:sz w:val="24"/>
                <w:szCs w:val="24"/>
                <w:lang w:bidi="zh-TW"/>
              </w:rPr>
              <w:t>室外</w:t>
            </w:r>
          </w:p>
          <w:p w14:paraId="5A6BD46A">
            <w:pPr>
              <w:widowControl w:val="0"/>
              <w:adjustRightInd w:val="0"/>
              <w:snapToGrid w:val="0"/>
              <w:ind w:firstLine="480" w:firstLineChars="200"/>
              <w:jc w:val="left"/>
              <w:rPr>
                <w:rFonts w:ascii="宋体" w:hAnsi="宋体" w:eastAsia="宋体" w:cs="宋体"/>
                <w:kern w:val="0"/>
                <w:sz w:val="24"/>
                <w:szCs w:val="24"/>
                <w:lang w:bidi="zh-TW"/>
              </w:rPr>
            </w:pPr>
            <w:r>
              <w:rPr>
                <w:rFonts w:ascii="宋体" w:hAnsi="宋体" w:eastAsia="宋体" w:cs="宋体"/>
                <w:kern w:val="0"/>
                <w:sz w:val="24"/>
                <w:szCs w:val="24"/>
                <w:lang w:bidi="zh-TW"/>
              </w:rPr>
              <w:t>道路地面、绿地、门窗档遮雨棚顶（视线所到之处）：每日清扫一次，并巡回保 洁，无明显暴露垃圾、卫生死角；院内硬化地面无痰渍、污渍、纸片、塑料袋、烟头 等。</w:t>
            </w:r>
          </w:p>
          <w:p w14:paraId="17C09DD0">
            <w:pPr>
              <w:widowControl w:val="0"/>
              <w:adjustRightInd w:val="0"/>
              <w:snapToGrid w:val="0"/>
              <w:ind w:firstLine="480" w:firstLineChars="200"/>
              <w:jc w:val="left"/>
              <w:rPr>
                <w:rFonts w:ascii="宋体" w:hAnsi="宋体" w:eastAsia="宋体" w:cs="宋体"/>
                <w:kern w:val="0"/>
                <w:sz w:val="24"/>
                <w:szCs w:val="24"/>
                <w:lang w:bidi="zh-TW"/>
              </w:rPr>
            </w:pPr>
            <w:r>
              <w:rPr>
                <w:rFonts w:ascii="宋体" w:hAnsi="宋体" w:eastAsia="宋体" w:cs="宋体"/>
                <w:kern w:val="0"/>
                <w:sz w:val="24"/>
                <w:szCs w:val="24"/>
                <w:lang w:bidi="zh-TW"/>
              </w:rPr>
              <w:t>花坛：每天擦抹一次，无积灰、无污迹、无纸片、无塑料袋、无烟头。</w:t>
            </w:r>
          </w:p>
          <w:p w14:paraId="7F80D1B5">
            <w:pPr>
              <w:widowControl w:val="0"/>
              <w:adjustRightInd w:val="0"/>
              <w:snapToGrid w:val="0"/>
              <w:ind w:firstLine="480" w:firstLineChars="200"/>
              <w:jc w:val="left"/>
              <w:rPr>
                <w:rFonts w:ascii="宋体" w:hAnsi="宋体" w:eastAsia="宋体" w:cs="宋体"/>
                <w:kern w:val="0"/>
                <w:sz w:val="24"/>
                <w:szCs w:val="24"/>
                <w:lang w:bidi="zh-TW"/>
              </w:rPr>
            </w:pPr>
            <w:r>
              <w:rPr>
                <w:rFonts w:ascii="宋体" w:hAnsi="宋体" w:eastAsia="宋体" w:cs="宋体"/>
                <w:kern w:val="0"/>
                <w:sz w:val="24"/>
                <w:szCs w:val="24"/>
                <w:lang w:bidi="zh-TW"/>
              </w:rPr>
              <w:t>垃圾收集：对垃圾每天进行清除、外运，做到垃圾日产日清，保持垃圾全部进垃 圾箱，保持箱外无垃圾。</w:t>
            </w:r>
          </w:p>
          <w:p w14:paraId="4F9DC7D6">
            <w:pPr>
              <w:widowControl w:val="0"/>
              <w:adjustRightInd w:val="0"/>
              <w:snapToGrid w:val="0"/>
              <w:ind w:firstLine="480" w:firstLineChars="200"/>
              <w:jc w:val="left"/>
              <w:rPr>
                <w:rFonts w:ascii="宋体" w:hAnsi="宋体" w:eastAsia="宋体" w:cs="宋体"/>
                <w:kern w:val="0"/>
                <w:sz w:val="24"/>
                <w:szCs w:val="24"/>
                <w:lang w:bidi="zh-TW"/>
              </w:rPr>
            </w:pPr>
            <w:r>
              <w:rPr>
                <w:rFonts w:ascii="宋体" w:hAnsi="宋体" w:eastAsia="宋体" w:cs="宋体"/>
                <w:kern w:val="0"/>
                <w:sz w:val="24"/>
                <w:szCs w:val="24"/>
                <w:lang w:bidi="zh-TW"/>
              </w:rPr>
              <w:t>垃圾桶（箱）：配备足量垃圾箱（筒），对垃圾箱（桶）每天清刷，做到箱（桶） 体清洁无污迹、无异味、无损坏。</w:t>
            </w:r>
          </w:p>
          <w:p w14:paraId="74C62433">
            <w:pPr>
              <w:widowControl w:val="0"/>
              <w:adjustRightInd w:val="0"/>
              <w:snapToGrid w:val="0"/>
              <w:ind w:firstLine="480" w:firstLineChars="200"/>
              <w:jc w:val="left"/>
              <w:rPr>
                <w:rFonts w:ascii="宋体" w:hAnsi="宋体" w:eastAsia="宋体" w:cs="宋体"/>
                <w:kern w:val="0"/>
                <w:sz w:val="24"/>
                <w:szCs w:val="24"/>
                <w:lang w:bidi="zh-TW"/>
              </w:rPr>
            </w:pPr>
            <w:r>
              <w:rPr>
                <w:rFonts w:ascii="宋体" w:hAnsi="宋体" w:eastAsia="宋体" w:cs="宋体"/>
                <w:kern w:val="0"/>
                <w:sz w:val="24"/>
                <w:szCs w:val="24"/>
                <w:lang w:bidi="zh-TW"/>
              </w:rPr>
              <w:t>大门：每月擦拭一次，无灰尘、无污迹。</w:t>
            </w:r>
          </w:p>
          <w:p w14:paraId="06E49BAF">
            <w:pPr>
              <w:widowControl w:val="0"/>
              <w:adjustRightInd w:val="0"/>
              <w:snapToGrid w:val="0"/>
              <w:ind w:firstLine="480" w:firstLineChars="200"/>
              <w:jc w:val="left"/>
              <w:rPr>
                <w:rFonts w:ascii="宋体" w:hAnsi="宋体" w:eastAsia="宋体" w:cs="宋体"/>
                <w:kern w:val="0"/>
                <w:sz w:val="24"/>
                <w:szCs w:val="24"/>
                <w:lang w:bidi="zh-TW"/>
              </w:rPr>
            </w:pPr>
            <w:r>
              <w:rPr>
                <w:rFonts w:ascii="宋体" w:hAnsi="宋体" w:eastAsia="宋体" w:cs="宋体"/>
                <w:kern w:val="0"/>
                <w:sz w:val="24"/>
                <w:szCs w:val="24"/>
                <w:lang w:bidi="zh-TW"/>
              </w:rPr>
              <w:t>窖井（含集水井）每半年清理一次 内壁无粘附物、井底无沉淀物。</w:t>
            </w:r>
          </w:p>
          <w:p w14:paraId="2AC76A27">
            <w:pPr>
              <w:widowControl w:val="0"/>
              <w:adjustRightInd w:val="0"/>
              <w:snapToGrid w:val="0"/>
              <w:ind w:firstLine="480" w:firstLineChars="200"/>
              <w:jc w:val="left"/>
              <w:rPr>
                <w:rFonts w:ascii="宋体" w:hAnsi="宋体" w:eastAsia="宋体" w:cs="宋体"/>
                <w:kern w:val="0"/>
                <w:sz w:val="24"/>
                <w:szCs w:val="24"/>
                <w:lang w:bidi="zh-TW"/>
              </w:rPr>
            </w:pPr>
            <w:r>
              <w:rPr>
                <w:rFonts w:ascii="宋体" w:hAnsi="宋体" w:eastAsia="宋体" w:cs="宋体"/>
                <w:kern w:val="0"/>
                <w:sz w:val="24"/>
                <w:szCs w:val="24"/>
                <w:lang w:bidi="zh-TW"/>
              </w:rPr>
              <w:t>明沟：每周清扫一次，无明显垃圾，无堵塞。</w:t>
            </w:r>
          </w:p>
          <w:p w14:paraId="3799A530">
            <w:pPr>
              <w:widowControl w:val="0"/>
              <w:adjustRightInd w:val="0"/>
              <w:snapToGrid w:val="0"/>
              <w:ind w:firstLine="480" w:firstLineChars="200"/>
              <w:jc w:val="left"/>
              <w:rPr>
                <w:rFonts w:ascii="宋体" w:hAnsi="宋体" w:eastAsia="宋体" w:cs="宋体"/>
                <w:kern w:val="0"/>
                <w:sz w:val="24"/>
                <w:szCs w:val="24"/>
                <w:lang w:bidi="zh-TW"/>
              </w:rPr>
            </w:pPr>
            <w:r>
              <w:rPr>
                <w:rFonts w:ascii="宋体" w:hAnsi="宋体" w:eastAsia="宋体" w:cs="宋体"/>
                <w:kern w:val="0"/>
                <w:sz w:val="24"/>
                <w:szCs w:val="24"/>
                <w:lang w:bidi="zh-TW"/>
              </w:rPr>
              <w:t>消毒灭害：窖井、明沟、垃圾房喷洒药水，每季一次（6、7、8、9月每月喷洒一 次），每年灭鼠、灭蟬螂三次，无明显蚊蝇滋生地、鼠迹。</w:t>
            </w:r>
          </w:p>
          <w:p w14:paraId="721EFE84">
            <w:pPr>
              <w:widowControl w:val="0"/>
              <w:adjustRightInd w:val="0"/>
              <w:snapToGrid w:val="0"/>
              <w:ind w:firstLine="480" w:firstLineChars="200"/>
              <w:jc w:val="left"/>
              <w:rPr>
                <w:rFonts w:ascii="宋体" w:hAnsi="宋体" w:eastAsia="宋体" w:cs="宋体"/>
                <w:kern w:val="0"/>
                <w:sz w:val="24"/>
                <w:szCs w:val="24"/>
                <w:lang w:bidi="zh-TW"/>
              </w:rPr>
            </w:pPr>
            <w:r>
              <w:rPr>
                <w:rFonts w:ascii="宋体" w:hAnsi="宋体" w:eastAsia="宋体" w:cs="宋体"/>
                <w:kern w:val="0"/>
                <w:sz w:val="24"/>
                <w:szCs w:val="24"/>
                <w:lang w:bidi="zh-TW"/>
              </w:rPr>
              <w:t>室内外楼梯、不锈钢扶手：每月清洗一次，无积灰、污迹、垃圾。可上去的屋顶 和雨水沟不定期清扫，要求无积水、无垃圾。校园内树上垃圾如塑料袋等每月清理一 次。</w:t>
            </w:r>
          </w:p>
          <w:p w14:paraId="633216A1">
            <w:pPr>
              <w:widowControl w:val="0"/>
              <w:adjustRightInd w:val="0"/>
              <w:snapToGrid w:val="0"/>
              <w:ind w:firstLine="480" w:firstLineChars="200"/>
              <w:jc w:val="left"/>
              <w:rPr>
                <w:rFonts w:ascii="宋体" w:hAnsi="宋体" w:eastAsia="宋体" w:cs="宋体"/>
                <w:kern w:val="0"/>
                <w:sz w:val="24"/>
                <w:szCs w:val="24"/>
                <w:lang w:bidi="zh-TW"/>
              </w:rPr>
            </w:pPr>
            <w:r>
              <w:rPr>
                <w:rFonts w:ascii="宋体" w:hAnsi="宋体" w:eastAsia="宋体" w:cs="宋体"/>
                <w:kern w:val="0"/>
                <w:sz w:val="24"/>
                <w:szCs w:val="24"/>
                <w:lang w:val="en-US" w:eastAsia="zh-CN" w:bidi="zh-TW"/>
              </w:rPr>
              <w:t>4.</w:t>
            </w:r>
            <w:r>
              <w:rPr>
                <w:rFonts w:ascii="宋体" w:hAnsi="宋体" w:eastAsia="宋体" w:cs="宋体"/>
                <w:kern w:val="0"/>
                <w:sz w:val="24"/>
                <w:szCs w:val="24"/>
                <w:lang w:bidi="zh-TW"/>
              </w:rPr>
              <w:t>其他</w:t>
            </w:r>
          </w:p>
          <w:p w14:paraId="2A4FF36F">
            <w:pPr>
              <w:widowControl w:val="0"/>
              <w:adjustRightInd w:val="0"/>
              <w:snapToGrid w:val="0"/>
              <w:ind w:firstLine="480" w:firstLineChars="200"/>
              <w:jc w:val="left"/>
              <w:rPr>
                <w:rFonts w:ascii="宋体" w:hAnsi="宋体" w:eastAsia="宋体" w:cs="宋体"/>
                <w:kern w:val="0"/>
                <w:sz w:val="24"/>
                <w:szCs w:val="24"/>
                <w:lang w:bidi="zh-TW"/>
              </w:rPr>
            </w:pPr>
            <w:r>
              <w:rPr>
                <w:rFonts w:ascii="宋体" w:hAnsi="宋体" w:eastAsia="宋体" w:cs="宋体"/>
                <w:kern w:val="0"/>
                <w:sz w:val="24"/>
                <w:szCs w:val="24"/>
                <w:lang w:bidi="zh-TW"/>
              </w:rPr>
              <w:t>全院每月一次大扫除。</w:t>
            </w:r>
          </w:p>
          <w:p w14:paraId="4080232C">
            <w:pPr>
              <w:widowControl w:val="0"/>
              <w:adjustRightInd w:val="0"/>
              <w:snapToGrid w:val="0"/>
              <w:ind w:firstLine="480" w:firstLineChars="200"/>
              <w:jc w:val="left"/>
              <w:rPr>
                <w:rFonts w:ascii="宋体" w:hAnsi="宋体" w:eastAsia="宋体" w:cs="宋体"/>
                <w:kern w:val="0"/>
                <w:sz w:val="24"/>
                <w:szCs w:val="24"/>
                <w:lang w:bidi="zh-TW"/>
              </w:rPr>
            </w:pPr>
            <w:r>
              <w:rPr>
                <w:rFonts w:ascii="宋体" w:hAnsi="宋体" w:eastAsia="宋体" w:cs="宋体"/>
                <w:kern w:val="0"/>
                <w:sz w:val="24"/>
                <w:szCs w:val="24"/>
                <w:lang w:bidi="zh-TW"/>
              </w:rPr>
              <w:t>工作纪律：保洁员在工作期间要接受</w:t>
            </w:r>
            <w:r>
              <w:rPr>
                <w:rFonts w:hint="eastAsia" w:ascii="宋体" w:hAnsi="宋体" w:eastAsia="宋体" w:cs="宋体"/>
                <w:kern w:val="0"/>
                <w:sz w:val="24"/>
                <w:szCs w:val="24"/>
                <w:lang w:eastAsia="zh-CN" w:bidi="zh-TW"/>
              </w:rPr>
              <w:t>采购人</w:t>
            </w:r>
            <w:r>
              <w:rPr>
                <w:rFonts w:ascii="宋体" w:hAnsi="宋体" w:eastAsia="宋体" w:cs="宋体"/>
                <w:kern w:val="0"/>
                <w:sz w:val="24"/>
                <w:szCs w:val="24"/>
                <w:lang w:bidi="zh-TW"/>
              </w:rPr>
              <w:t>的领导和监督，遵守</w:t>
            </w:r>
            <w:r>
              <w:rPr>
                <w:rFonts w:hint="eastAsia" w:ascii="宋体" w:hAnsi="宋体" w:eastAsia="宋体" w:cs="宋体"/>
                <w:kern w:val="0"/>
                <w:sz w:val="24"/>
                <w:szCs w:val="24"/>
                <w:lang w:eastAsia="zh-CN" w:bidi="zh-TW"/>
              </w:rPr>
              <w:t>采购人</w:t>
            </w:r>
            <w:r>
              <w:rPr>
                <w:rFonts w:ascii="宋体" w:hAnsi="宋体" w:eastAsia="宋体" w:cs="宋体"/>
                <w:kern w:val="0"/>
                <w:sz w:val="24"/>
                <w:szCs w:val="24"/>
                <w:lang w:bidi="zh-TW"/>
              </w:rPr>
              <w:t>的有关规章制 度。</w:t>
            </w:r>
          </w:p>
          <w:p w14:paraId="02247A3D">
            <w:pPr>
              <w:widowControl w:val="0"/>
              <w:adjustRightInd w:val="0"/>
              <w:snapToGrid w:val="0"/>
              <w:ind w:firstLine="480" w:firstLineChars="200"/>
              <w:jc w:val="left"/>
              <w:rPr>
                <w:rFonts w:ascii="宋体" w:hAnsi="宋体" w:eastAsia="宋体" w:cs="宋体"/>
                <w:kern w:val="0"/>
                <w:sz w:val="24"/>
                <w:szCs w:val="24"/>
                <w:lang w:bidi="zh-TW"/>
              </w:rPr>
            </w:pPr>
            <w:r>
              <w:rPr>
                <w:rFonts w:ascii="宋体" w:hAnsi="宋体" w:eastAsia="宋体" w:cs="宋体"/>
                <w:kern w:val="0"/>
                <w:sz w:val="24"/>
                <w:szCs w:val="24"/>
                <w:lang w:bidi="zh-TW"/>
              </w:rPr>
              <w:t>业主帮助：在遇到来院学习的人员需要帮助时，应主动热情。</w:t>
            </w:r>
          </w:p>
          <w:p w14:paraId="0880195F">
            <w:pPr>
              <w:widowControl w:val="0"/>
              <w:adjustRightInd w:val="0"/>
              <w:snapToGrid w:val="0"/>
              <w:ind w:firstLine="480" w:firstLineChars="200"/>
              <w:jc w:val="left"/>
              <w:rPr>
                <w:rFonts w:ascii="宋体" w:hAnsi="宋体" w:eastAsia="宋体" w:cs="宋体"/>
                <w:kern w:val="0"/>
                <w:sz w:val="24"/>
                <w:szCs w:val="24"/>
                <w:lang w:bidi="zh-TW"/>
              </w:rPr>
            </w:pPr>
            <w:r>
              <w:rPr>
                <w:rFonts w:ascii="宋体" w:hAnsi="宋体" w:eastAsia="宋体" w:cs="宋体"/>
                <w:kern w:val="0"/>
                <w:sz w:val="24"/>
                <w:szCs w:val="24"/>
                <w:lang w:bidi="zh-TW"/>
              </w:rPr>
              <w:t>完成学院交办的一些临时工作。</w:t>
            </w:r>
          </w:p>
        </w:tc>
      </w:tr>
      <w:tr w14:paraId="68FA3EE7">
        <w:tblPrEx>
          <w:tblCellMar>
            <w:top w:w="0" w:type="dxa"/>
            <w:left w:w="10" w:type="dxa"/>
            <w:bottom w:w="0" w:type="dxa"/>
            <w:right w:w="10" w:type="dxa"/>
          </w:tblCellMar>
        </w:tblPrEx>
        <w:trPr>
          <w:trHeight w:val="23" w:hRule="atLeast"/>
          <w:jc w:val="center"/>
        </w:trPr>
        <w:tc>
          <w:tcPr>
            <w:tcW w:w="1151" w:type="dxa"/>
            <w:tcBorders>
              <w:top w:val="single" w:color="auto" w:sz="4" w:space="0"/>
              <w:left w:val="single" w:color="auto" w:sz="4" w:space="0"/>
              <w:bottom w:val="single" w:color="auto" w:sz="4" w:space="0"/>
            </w:tcBorders>
            <w:shd w:val="clear" w:color="auto" w:fill="FFFFFF"/>
            <w:vAlign w:val="center"/>
          </w:tcPr>
          <w:p w14:paraId="26B6D314">
            <w:pPr>
              <w:widowControl w:val="0"/>
              <w:adjustRightInd w:val="0"/>
              <w:snapToGrid w:val="0"/>
              <w:jc w:val="left"/>
              <w:rPr>
                <w:rFonts w:ascii="宋体" w:hAnsi="宋体" w:eastAsia="宋体" w:cs="宋体"/>
                <w:kern w:val="0"/>
                <w:sz w:val="24"/>
                <w:szCs w:val="24"/>
                <w:lang w:bidi="zh-TW"/>
              </w:rPr>
            </w:pPr>
            <w:r>
              <w:rPr>
                <w:rFonts w:ascii="宋体" w:hAnsi="宋体" w:eastAsia="宋体" w:cs="宋体"/>
                <w:kern w:val="0"/>
                <w:sz w:val="24"/>
                <w:szCs w:val="24"/>
                <w:lang w:bidi="zh-TW"/>
              </w:rPr>
              <w:t>公寓管理员</w:t>
            </w:r>
          </w:p>
        </w:tc>
        <w:tc>
          <w:tcPr>
            <w:tcW w:w="6948" w:type="dxa"/>
            <w:tcBorders>
              <w:top w:val="single" w:color="auto" w:sz="4" w:space="0"/>
              <w:left w:val="single" w:color="auto" w:sz="4" w:space="0"/>
              <w:bottom w:val="single" w:color="auto" w:sz="4" w:space="0"/>
              <w:right w:val="single" w:color="auto" w:sz="4" w:space="0"/>
            </w:tcBorders>
            <w:shd w:val="clear" w:color="auto" w:fill="FFFFFF"/>
          </w:tcPr>
          <w:p w14:paraId="461266B7">
            <w:pPr>
              <w:widowControl w:val="0"/>
              <w:adjustRightInd w:val="0"/>
              <w:snapToGrid w:val="0"/>
              <w:ind w:firstLine="480" w:firstLineChars="200"/>
              <w:jc w:val="left"/>
              <w:rPr>
                <w:rFonts w:ascii="宋体" w:hAnsi="宋体" w:eastAsia="宋体" w:cs="宋体"/>
                <w:kern w:val="0"/>
                <w:sz w:val="24"/>
                <w:szCs w:val="24"/>
                <w:lang w:bidi="zh-TW"/>
              </w:rPr>
            </w:pPr>
            <w:r>
              <w:rPr>
                <w:rFonts w:ascii="宋体" w:hAnsi="宋体" w:eastAsia="宋体" w:cs="宋体"/>
                <w:kern w:val="0"/>
                <w:sz w:val="24"/>
                <w:szCs w:val="24"/>
                <w:lang w:bidi="zh-TW"/>
              </w:rPr>
              <w:t>1、学生公寓管理员在学生处领导下进行住宿生管理工作，按时上报各种材料， 协助学生处管理好学生宿舍。</w:t>
            </w:r>
          </w:p>
          <w:p w14:paraId="2472A051">
            <w:pPr>
              <w:widowControl w:val="0"/>
              <w:adjustRightInd w:val="0"/>
              <w:snapToGrid w:val="0"/>
              <w:ind w:firstLine="480" w:firstLineChars="200"/>
              <w:jc w:val="left"/>
              <w:rPr>
                <w:rFonts w:ascii="宋体" w:hAnsi="宋体" w:eastAsia="宋体" w:cs="宋体"/>
                <w:kern w:val="0"/>
                <w:sz w:val="24"/>
                <w:szCs w:val="24"/>
                <w:lang w:bidi="zh-TW"/>
              </w:rPr>
            </w:pPr>
            <w:r>
              <w:rPr>
                <w:rFonts w:ascii="宋体" w:hAnsi="宋体" w:eastAsia="宋体" w:cs="宋体"/>
                <w:kern w:val="0"/>
                <w:sz w:val="24"/>
                <w:szCs w:val="24"/>
                <w:lang w:bidi="zh-TW"/>
              </w:rPr>
              <w:t>2、负责外来人员进入公寓的查询与登记，对无有效证件的人员严禁进入学生公 寓。</w:t>
            </w:r>
          </w:p>
          <w:p w14:paraId="5258276E">
            <w:pPr>
              <w:widowControl w:val="0"/>
              <w:adjustRightInd w:val="0"/>
              <w:snapToGrid w:val="0"/>
              <w:ind w:firstLine="480" w:firstLineChars="200"/>
              <w:jc w:val="left"/>
              <w:rPr>
                <w:rFonts w:ascii="宋体" w:hAnsi="宋体" w:eastAsia="宋体" w:cs="宋体"/>
                <w:kern w:val="0"/>
                <w:sz w:val="24"/>
                <w:szCs w:val="24"/>
                <w:lang w:bidi="zh-TW"/>
              </w:rPr>
            </w:pPr>
            <w:r>
              <w:rPr>
                <w:rFonts w:ascii="宋体" w:hAnsi="宋体" w:eastAsia="宋体" w:cs="宋体"/>
                <w:kern w:val="0"/>
                <w:sz w:val="24"/>
                <w:szCs w:val="24"/>
                <w:lang w:bidi="zh-TW"/>
              </w:rPr>
              <w:t xml:space="preserve"> 3、积极组织住宿生开展文娱、体育、宿舍文化建设等有益的活动，积极创建文明</w:t>
            </w:r>
            <w:r>
              <w:rPr>
                <w:rFonts w:ascii="宋体" w:hAnsi="宋体" w:eastAsia="宋体" w:cs="宋体"/>
                <w:kern w:val="0"/>
                <w:sz w:val="24"/>
                <w:szCs w:val="24"/>
                <w:lang w:val="zh-CN" w:eastAsia="zh-CN" w:bidi="zh-TW"/>
              </w:rPr>
              <w:t>宿舍。</w:t>
            </w:r>
          </w:p>
          <w:p w14:paraId="7A015736">
            <w:pPr>
              <w:widowControl w:val="0"/>
              <w:adjustRightInd w:val="0"/>
              <w:snapToGrid w:val="0"/>
              <w:ind w:firstLine="480" w:firstLineChars="200"/>
              <w:jc w:val="left"/>
              <w:rPr>
                <w:rFonts w:ascii="宋体" w:hAnsi="宋体" w:eastAsia="宋体" w:cs="宋体"/>
                <w:kern w:val="0"/>
                <w:sz w:val="24"/>
                <w:szCs w:val="24"/>
                <w:lang w:bidi="zh-TW"/>
              </w:rPr>
            </w:pPr>
            <w:r>
              <w:rPr>
                <w:rFonts w:ascii="宋体" w:hAnsi="宋体" w:eastAsia="宋体" w:cs="宋体"/>
                <w:kern w:val="0"/>
                <w:sz w:val="24"/>
                <w:szCs w:val="24"/>
                <w:lang w:bidi="zh-TW"/>
              </w:rPr>
              <w:t>4、督促住宿学生注意生命财产安全；负责好学生宿舍的防火、防盗工作，对消 防栓、灭火器进行定期性的检査，防止损坏、丢失和被盗现象的发生；发现“四防” 所涉及的问题立即上报学生处、主管部门。</w:t>
            </w:r>
          </w:p>
          <w:p w14:paraId="69261B49">
            <w:pPr>
              <w:widowControl w:val="0"/>
              <w:adjustRightInd w:val="0"/>
              <w:snapToGrid w:val="0"/>
              <w:ind w:firstLine="480" w:firstLineChars="200"/>
              <w:jc w:val="left"/>
              <w:rPr>
                <w:rFonts w:ascii="宋体" w:hAnsi="宋体" w:eastAsia="宋体" w:cs="宋体"/>
                <w:kern w:val="0"/>
                <w:sz w:val="24"/>
                <w:szCs w:val="24"/>
                <w:lang w:bidi="zh-TW"/>
              </w:rPr>
            </w:pPr>
            <w:r>
              <w:rPr>
                <w:rFonts w:ascii="宋体" w:hAnsi="宋体" w:eastAsia="宋体" w:cs="宋体"/>
                <w:kern w:val="0"/>
                <w:sz w:val="24"/>
                <w:szCs w:val="24"/>
                <w:lang w:bidi="zh-TW"/>
              </w:rPr>
              <w:t>5、督促学生搞好宿舍的内务卫生，按时起床、按时上课、按时就寝，对晚归学生 进行登记及时开门放行，如遇火灾、踩踏、重大疾病及学生发生斗殴事件及时上报学 生处和主管部门。</w:t>
            </w:r>
          </w:p>
          <w:p w14:paraId="5CE39601">
            <w:pPr>
              <w:widowControl w:val="0"/>
              <w:adjustRightInd w:val="0"/>
              <w:snapToGrid w:val="0"/>
              <w:ind w:firstLine="480" w:firstLineChars="200"/>
              <w:jc w:val="left"/>
              <w:rPr>
                <w:rFonts w:ascii="宋体" w:hAnsi="宋体" w:eastAsia="宋体" w:cs="宋体"/>
                <w:kern w:val="0"/>
                <w:sz w:val="24"/>
                <w:szCs w:val="24"/>
                <w:lang w:bidi="zh-TW"/>
              </w:rPr>
            </w:pPr>
            <w:r>
              <w:rPr>
                <w:rFonts w:ascii="宋体" w:hAnsi="宋体" w:eastAsia="宋体" w:cs="宋体"/>
                <w:kern w:val="0"/>
                <w:sz w:val="24"/>
                <w:szCs w:val="24"/>
                <w:lang w:bidi="zh-TW"/>
              </w:rPr>
              <w:t>6、保管好学生宿舍钥匙，不随手乱扔、乱放，借用时必须登记。按时开关宿舍 门、熄灯，坚守工作岗位，不得擅自脱岗。</w:t>
            </w:r>
          </w:p>
          <w:p w14:paraId="77A98A51">
            <w:pPr>
              <w:widowControl w:val="0"/>
              <w:adjustRightInd w:val="0"/>
              <w:snapToGrid w:val="0"/>
              <w:ind w:firstLine="480" w:firstLineChars="200"/>
              <w:jc w:val="left"/>
              <w:rPr>
                <w:rFonts w:ascii="宋体" w:hAnsi="宋体" w:eastAsia="宋体" w:cs="宋体"/>
                <w:kern w:val="0"/>
                <w:sz w:val="24"/>
                <w:szCs w:val="24"/>
                <w:lang w:bidi="zh-TW"/>
              </w:rPr>
            </w:pPr>
            <w:r>
              <w:rPr>
                <w:rFonts w:ascii="宋体" w:hAnsi="宋体" w:eastAsia="宋体" w:cs="宋体"/>
                <w:kern w:val="0"/>
                <w:sz w:val="24"/>
                <w:szCs w:val="24"/>
                <w:lang w:bidi="zh-TW"/>
              </w:rPr>
              <w:t>7、坚持每天宿舍巡査制度，如实填写巡査登记表，发现情况及时上报学生处。</w:t>
            </w:r>
          </w:p>
          <w:p w14:paraId="2DCE3F8C">
            <w:pPr>
              <w:widowControl w:val="0"/>
              <w:adjustRightInd w:val="0"/>
              <w:snapToGrid w:val="0"/>
              <w:ind w:firstLine="480" w:firstLineChars="200"/>
              <w:jc w:val="left"/>
              <w:rPr>
                <w:rFonts w:ascii="宋体" w:hAnsi="宋体" w:eastAsia="宋体" w:cs="宋体"/>
                <w:kern w:val="0"/>
                <w:sz w:val="24"/>
                <w:szCs w:val="24"/>
                <w:lang w:bidi="zh-TW"/>
              </w:rPr>
            </w:pPr>
            <w:r>
              <w:rPr>
                <w:rFonts w:ascii="宋体" w:hAnsi="宋体" w:eastAsia="宋体" w:cs="宋体"/>
                <w:kern w:val="0"/>
                <w:sz w:val="24"/>
                <w:szCs w:val="24"/>
                <w:lang w:bidi="zh-TW"/>
              </w:rPr>
              <w:t>8、负责公寓内学生宿舍的住宿情况登记及调整。</w:t>
            </w:r>
          </w:p>
          <w:p w14:paraId="20074330">
            <w:pPr>
              <w:widowControl w:val="0"/>
              <w:adjustRightInd w:val="0"/>
              <w:snapToGrid w:val="0"/>
              <w:ind w:firstLine="480" w:firstLineChars="200"/>
              <w:jc w:val="left"/>
              <w:rPr>
                <w:rFonts w:ascii="宋体" w:hAnsi="宋体" w:eastAsia="宋体" w:cs="宋体"/>
                <w:kern w:val="0"/>
                <w:sz w:val="24"/>
                <w:szCs w:val="24"/>
                <w:lang w:bidi="zh-TW"/>
              </w:rPr>
            </w:pPr>
            <w:r>
              <w:rPr>
                <w:rFonts w:ascii="宋体" w:hAnsi="宋体" w:eastAsia="宋体" w:cs="宋体"/>
                <w:kern w:val="0"/>
                <w:sz w:val="24"/>
                <w:szCs w:val="24"/>
                <w:lang w:bidi="zh-TW"/>
              </w:rPr>
              <w:t>9、学生宿舍出现需要维修的水、电、木工等现象，将学生反映情况详细记录， 并对维修情况进行监督，进行维修合格后签字。对于没有及时维修的，应及时上报。</w:t>
            </w:r>
          </w:p>
          <w:p w14:paraId="5E72BBC0">
            <w:pPr>
              <w:widowControl w:val="0"/>
              <w:adjustRightInd w:val="0"/>
              <w:snapToGrid w:val="0"/>
              <w:ind w:firstLine="480" w:firstLineChars="200"/>
              <w:jc w:val="left"/>
              <w:rPr>
                <w:rFonts w:ascii="宋体" w:hAnsi="宋体" w:eastAsia="宋体" w:cs="宋体"/>
                <w:kern w:val="0"/>
                <w:sz w:val="24"/>
                <w:szCs w:val="24"/>
                <w:lang w:val="en-US" w:eastAsia="zh-CN" w:bidi="zh-TW"/>
              </w:rPr>
            </w:pPr>
            <w:r>
              <w:rPr>
                <w:rFonts w:ascii="宋体" w:hAnsi="宋体" w:eastAsia="宋体" w:cs="宋体"/>
                <w:kern w:val="0"/>
                <w:sz w:val="24"/>
                <w:szCs w:val="24"/>
                <w:lang w:val="en-US" w:eastAsia="zh-CN" w:bidi="zh-TW"/>
              </w:rPr>
              <w:t>10、完成好学院交办的各种其它工作。</w:t>
            </w:r>
          </w:p>
        </w:tc>
      </w:tr>
      <w:tr w14:paraId="197CB9E2">
        <w:tblPrEx>
          <w:tblCellMar>
            <w:top w:w="0" w:type="dxa"/>
            <w:left w:w="10" w:type="dxa"/>
            <w:bottom w:w="0" w:type="dxa"/>
            <w:right w:w="10" w:type="dxa"/>
          </w:tblCellMar>
        </w:tblPrEx>
        <w:trPr>
          <w:trHeight w:val="23" w:hRule="atLeast"/>
          <w:jc w:val="center"/>
        </w:trPr>
        <w:tc>
          <w:tcPr>
            <w:tcW w:w="1151" w:type="dxa"/>
            <w:tcBorders>
              <w:top w:val="single" w:color="auto" w:sz="4" w:space="0"/>
              <w:left w:val="single" w:color="auto" w:sz="4" w:space="0"/>
              <w:bottom w:val="single" w:color="auto" w:sz="4" w:space="0"/>
            </w:tcBorders>
            <w:shd w:val="clear" w:color="auto" w:fill="FFFFFF"/>
            <w:vAlign w:val="center"/>
          </w:tcPr>
          <w:p w14:paraId="5D60B4F9">
            <w:pPr>
              <w:widowControl w:val="0"/>
              <w:adjustRightInd w:val="0"/>
              <w:snapToGrid w:val="0"/>
              <w:jc w:val="left"/>
              <w:rPr>
                <w:rFonts w:ascii="宋体" w:hAnsi="宋体" w:eastAsia="宋体" w:cs="宋体"/>
                <w:kern w:val="0"/>
                <w:sz w:val="24"/>
                <w:szCs w:val="24"/>
                <w:lang w:bidi="zh-TW"/>
              </w:rPr>
            </w:pPr>
            <w:r>
              <w:rPr>
                <w:rFonts w:hint="eastAsia" w:ascii="宋体" w:hAnsi="宋体" w:eastAsia="宋体" w:cs="宋体"/>
                <w:kern w:val="0"/>
                <w:sz w:val="24"/>
                <w:szCs w:val="24"/>
                <w:lang w:val="en-US" w:eastAsia="zh-CN" w:bidi="zh-TW"/>
              </w:rPr>
              <w:t>综合维修</w:t>
            </w:r>
            <w:r>
              <w:rPr>
                <w:rFonts w:ascii="宋体" w:hAnsi="宋体" w:eastAsia="宋体" w:cs="宋体"/>
                <w:kern w:val="0"/>
                <w:sz w:val="24"/>
                <w:szCs w:val="24"/>
                <w:lang w:bidi="zh-TW"/>
              </w:rPr>
              <w:t>工</w:t>
            </w:r>
          </w:p>
        </w:tc>
        <w:tc>
          <w:tcPr>
            <w:tcW w:w="6948" w:type="dxa"/>
            <w:tcBorders>
              <w:top w:val="single" w:color="auto" w:sz="4" w:space="0"/>
              <w:left w:val="single" w:color="auto" w:sz="4" w:space="0"/>
              <w:bottom w:val="single" w:color="auto" w:sz="4" w:space="0"/>
              <w:right w:val="single" w:color="auto" w:sz="4" w:space="0"/>
            </w:tcBorders>
            <w:shd w:val="clear" w:color="auto" w:fill="FFFFFF"/>
          </w:tcPr>
          <w:p w14:paraId="1420023E">
            <w:pPr>
              <w:widowControl w:val="0"/>
              <w:adjustRightInd w:val="0"/>
              <w:snapToGrid w:val="0"/>
              <w:ind w:firstLine="480" w:firstLineChars="200"/>
              <w:jc w:val="left"/>
              <w:rPr>
                <w:rFonts w:ascii="宋体" w:hAnsi="宋体" w:eastAsia="宋体" w:cs="宋体"/>
                <w:kern w:val="0"/>
                <w:sz w:val="24"/>
                <w:szCs w:val="24"/>
                <w:lang w:bidi="zh-TW"/>
              </w:rPr>
            </w:pPr>
            <w:r>
              <w:rPr>
                <w:rFonts w:ascii="宋体" w:hAnsi="宋体" w:eastAsia="宋体" w:cs="宋体"/>
                <w:kern w:val="0"/>
                <w:sz w:val="24"/>
                <w:szCs w:val="24"/>
                <w:lang w:eastAsia="zh-CN" w:bidi="zh-TW"/>
              </w:rPr>
              <w:t>1</w:t>
            </w:r>
            <w:r>
              <w:rPr>
                <w:rFonts w:hint="default" w:ascii="宋体" w:hAnsi="宋体" w:eastAsia="宋体" w:cs="宋体"/>
                <w:kern w:val="0"/>
                <w:sz w:val="24"/>
                <w:szCs w:val="24"/>
                <w:lang w:bidi="zh-TW"/>
              </w:rPr>
              <w:t>.</w:t>
            </w:r>
            <w:r>
              <w:rPr>
                <w:rFonts w:ascii="宋体" w:hAnsi="宋体" w:eastAsia="宋体" w:cs="宋体"/>
                <w:kern w:val="0"/>
                <w:sz w:val="24"/>
                <w:szCs w:val="24"/>
                <w:lang w:eastAsia="zh-CN" w:bidi="zh-TW"/>
              </w:rPr>
              <w:t>热爱本职工作，遵守工作纪律，坚守岗位，不迟到，不早退，有病、有事要提</w:t>
            </w:r>
            <w:r>
              <w:rPr>
                <w:rFonts w:hint="default" w:ascii="宋体" w:hAnsi="宋体" w:eastAsia="宋体" w:cs="宋体"/>
                <w:kern w:val="0"/>
                <w:sz w:val="24"/>
                <w:szCs w:val="24"/>
                <w:lang w:eastAsia="zh-CN" w:bidi="zh-TW"/>
              </w:rPr>
              <w:t xml:space="preserve"> 前请假。工作时间内不干私活，不做与工作无关的事情，严禁喝酒上岗，要穿工作服 上岗，按安全规程操作。</w:t>
            </w:r>
            <w:r>
              <w:rPr>
                <w:rFonts w:hint="default" w:ascii="宋体" w:hAnsi="宋体" w:eastAsia="宋体" w:cs="宋体"/>
                <w:kern w:val="0"/>
                <w:sz w:val="24"/>
                <w:szCs w:val="24"/>
                <w:lang w:eastAsia="zh-CN" w:bidi="zh-TW"/>
              </w:rPr>
              <w:cr/>
            </w:r>
            <w:r>
              <w:rPr>
                <w:rFonts w:hint="eastAsia" w:ascii="宋体" w:hAnsi="宋体" w:eastAsia="宋体" w:cs="宋体"/>
                <w:kern w:val="0"/>
                <w:sz w:val="24"/>
                <w:szCs w:val="24"/>
                <w:lang w:val="en-US" w:eastAsia="zh-CN" w:bidi="zh-TW"/>
              </w:rPr>
              <w:t xml:space="preserve">  </w:t>
            </w:r>
            <w:r>
              <w:rPr>
                <w:rFonts w:hint="default" w:ascii="宋体" w:hAnsi="宋体" w:eastAsia="宋体" w:cs="宋体"/>
                <w:kern w:val="0"/>
                <w:sz w:val="24"/>
                <w:szCs w:val="24"/>
                <w:lang w:bidi="zh-TW"/>
              </w:rPr>
              <w:t>2.</w:t>
            </w:r>
            <w:r>
              <w:rPr>
                <w:rFonts w:hint="default" w:ascii="宋体" w:hAnsi="宋体" w:eastAsia="宋体" w:cs="宋体"/>
                <w:kern w:val="0"/>
                <w:sz w:val="24"/>
                <w:szCs w:val="24"/>
                <w:lang w:eastAsia="zh-CN" w:bidi="zh-TW"/>
              </w:rPr>
              <w:t>负责指定区域（包括室内和公共区域）内的照明灯、插座、电路、电表、等电 器设施的安装，维修保养护及维修更换。</w:t>
            </w:r>
            <w:r>
              <w:rPr>
                <w:rFonts w:hint="default" w:ascii="宋体" w:hAnsi="宋体" w:eastAsia="宋体" w:cs="宋体"/>
                <w:kern w:val="0"/>
                <w:sz w:val="24"/>
                <w:szCs w:val="24"/>
                <w:lang w:eastAsia="zh-CN" w:bidi="zh-TW"/>
              </w:rPr>
              <w:cr/>
            </w:r>
            <w:r>
              <w:rPr>
                <w:rFonts w:hint="eastAsia" w:ascii="宋体" w:hAnsi="宋体" w:eastAsia="宋体" w:cs="宋体"/>
                <w:kern w:val="0"/>
                <w:sz w:val="24"/>
                <w:szCs w:val="24"/>
                <w:lang w:val="en-US" w:eastAsia="zh-CN" w:bidi="zh-TW"/>
              </w:rPr>
              <w:t xml:space="preserve">  </w:t>
            </w:r>
            <w:r>
              <w:rPr>
                <w:rFonts w:hint="default" w:ascii="宋体" w:hAnsi="宋体" w:eastAsia="宋体" w:cs="宋体"/>
                <w:kern w:val="0"/>
                <w:sz w:val="24"/>
                <w:szCs w:val="24"/>
                <w:lang w:bidi="zh-TW"/>
              </w:rPr>
              <w:t>3.</w:t>
            </w:r>
            <w:r>
              <w:rPr>
                <w:rFonts w:hint="default" w:ascii="宋体" w:hAnsi="宋体" w:eastAsia="宋体" w:cs="宋体"/>
                <w:kern w:val="0"/>
                <w:sz w:val="24"/>
                <w:szCs w:val="24"/>
                <w:lang w:eastAsia="zh-CN" w:bidi="zh-TW"/>
              </w:rPr>
              <w:t>每天按时到指定值班室接收当日报修任务，或在报修系统上接受任务，认真核 对报修本上记录的维修项目，做到当日报修当日维修，不偷工减料，维修完毕后将维 修现场清理完毕，不能及时完成的维修项目要说明原因，告知何时解决；维修完成后 通知查看维修</w:t>
            </w:r>
            <w:r>
              <w:rPr>
                <w:rFonts w:ascii="宋体" w:hAnsi="宋体" w:eastAsia="宋体" w:cs="宋体"/>
                <w:kern w:val="0"/>
                <w:sz w:val="24"/>
                <w:szCs w:val="24"/>
                <w:lang w:eastAsia="zh-CN" w:bidi="zh-TW"/>
              </w:rPr>
              <w:t>结果，并在维修记录本上签名。报修工作完成后还要经常在楼内巡回检</w:t>
            </w:r>
            <w:r>
              <w:rPr>
                <w:rFonts w:hint="default" w:ascii="宋体" w:hAnsi="宋体" w:eastAsia="宋体" w:cs="宋体"/>
                <w:kern w:val="0"/>
                <w:sz w:val="24"/>
                <w:szCs w:val="24"/>
                <w:lang w:eastAsia="zh-CN" w:bidi="zh-TW"/>
              </w:rPr>
              <w:t xml:space="preserve"> 査，发现问题及时维修，修复时间原则不能过夜。工程量较大的事件报负责人同意， 处理时间不得超过三天。</w:t>
            </w:r>
            <w:r>
              <w:rPr>
                <w:rFonts w:hint="default" w:ascii="宋体" w:hAnsi="宋体" w:eastAsia="宋体" w:cs="宋体"/>
                <w:kern w:val="0"/>
                <w:sz w:val="24"/>
                <w:szCs w:val="24"/>
                <w:lang w:eastAsia="zh-CN" w:bidi="zh-TW"/>
              </w:rPr>
              <w:cr/>
            </w:r>
            <w:r>
              <w:rPr>
                <w:rFonts w:hint="eastAsia" w:ascii="宋体" w:hAnsi="宋体" w:eastAsia="宋体" w:cs="宋体"/>
                <w:kern w:val="0"/>
                <w:sz w:val="24"/>
                <w:szCs w:val="24"/>
                <w:lang w:val="en-US" w:eastAsia="zh-CN" w:bidi="zh-TW"/>
              </w:rPr>
              <w:t xml:space="preserve">  </w:t>
            </w:r>
            <w:r>
              <w:rPr>
                <w:rFonts w:hint="default" w:ascii="宋体" w:hAnsi="宋体" w:eastAsia="宋体" w:cs="宋体"/>
                <w:kern w:val="0"/>
                <w:sz w:val="24"/>
                <w:szCs w:val="24"/>
                <w:lang w:bidi="zh-TW"/>
              </w:rPr>
              <w:t>4.</w:t>
            </w:r>
            <w:r>
              <w:rPr>
                <w:rFonts w:hint="default" w:ascii="宋体" w:hAnsi="宋体" w:eastAsia="宋体" w:cs="宋体"/>
                <w:kern w:val="0"/>
                <w:sz w:val="24"/>
                <w:szCs w:val="24"/>
                <w:lang w:eastAsia="zh-CN" w:bidi="zh-TW"/>
              </w:rPr>
              <w:t>经常对工作区内用电运行情况进行检查，发现问题及时处理，积极配合主管部 门査处违规用电情况。</w:t>
            </w:r>
            <w:r>
              <w:rPr>
                <w:rFonts w:hint="default" w:ascii="宋体" w:hAnsi="宋体" w:eastAsia="宋体" w:cs="宋体"/>
                <w:kern w:val="0"/>
                <w:sz w:val="24"/>
                <w:szCs w:val="24"/>
                <w:lang w:eastAsia="zh-CN" w:bidi="zh-TW"/>
              </w:rPr>
              <w:cr/>
            </w:r>
            <w:r>
              <w:rPr>
                <w:rFonts w:hint="eastAsia" w:ascii="宋体" w:hAnsi="宋体" w:eastAsia="宋体" w:cs="宋体"/>
                <w:kern w:val="0"/>
                <w:sz w:val="24"/>
                <w:szCs w:val="24"/>
                <w:lang w:val="en-US" w:eastAsia="zh-CN" w:bidi="zh-TW"/>
              </w:rPr>
              <w:t xml:space="preserve">  </w:t>
            </w:r>
            <w:r>
              <w:rPr>
                <w:rFonts w:hint="default" w:ascii="宋体" w:hAnsi="宋体" w:eastAsia="宋体" w:cs="宋体"/>
                <w:kern w:val="0"/>
                <w:sz w:val="24"/>
                <w:szCs w:val="24"/>
                <w:lang w:bidi="zh-TW"/>
              </w:rPr>
              <w:t>5.</w:t>
            </w:r>
            <w:r>
              <w:rPr>
                <w:rFonts w:hint="default" w:ascii="宋体" w:hAnsi="宋体" w:eastAsia="宋体" w:cs="宋体"/>
                <w:kern w:val="0"/>
                <w:sz w:val="24"/>
                <w:szCs w:val="24"/>
                <w:lang w:eastAsia="zh-CN" w:bidi="zh-TW"/>
              </w:rPr>
              <w:t>负责指定区域内电器设施的维修和更换，属自然损坏的给予更换，作好登记并上报，属人为损坏的由当事者照价赔偿并受教育，督促其交费后，方可</w:t>
            </w:r>
            <w:r>
              <w:rPr>
                <w:rFonts w:ascii="宋体" w:hAnsi="宋体" w:eastAsia="宋体" w:cs="宋体"/>
                <w:kern w:val="0"/>
                <w:sz w:val="24"/>
                <w:szCs w:val="24"/>
                <w:lang w:eastAsia="zh-CN" w:bidi="zh-TW"/>
              </w:rPr>
              <w:t>使用</w:t>
            </w:r>
            <w:r>
              <w:rPr>
                <w:rFonts w:hint="default" w:ascii="宋体" w:hAnsi="宋体" w:eastAsia="宋体" w:cs="宋体"/>
                <w:kern w:val="0"/>
                <w:sz w:val="24"/>
                <w:szCs w:val="24"/>
                <w:lang w:eastAsia="zh-CN" w:bidi="zh-TW"/>
              </w:rPr>
              <w:t>。</w:t>
            </w:r>
            <w:r>
              <w:rPr>
                <w:rFonts w:hint="default" w:ascii="宋体" w:hAnsi="宋体" w:eastAsia="宋体" w:cs="宋体"/>
                <w:kern w:val="0"/>
                <w:sz w:val="24"/>
                <w:szCs w:val="24"/>
                <w:lang w:eastAsia="zh-CN" w:bidi="zh-TW"/>
              </w:rPr>
              <w:cr/>
            </w:r>
            <w:r>
              <w:rPr>
                <w:rFonts w:hint="eastAsia" w:ascii="宋体" w:hAnsi="宋体" w:eastAsia="宋体" w:cs="宋体"/>
                <w:kern w:val="0"/>
                <w:sz w:val="24"/>
                <w:szCs w:val="24"/>
                <w:lang w:val="en-US" w:eastAsia="zh-CN" w:bidi="zh-TW"/>
              </w:rPr>
              <w:t xml:space="preserve">   </w:t>
            </w:r>
            <w:r>
              <w:rPr>
                <w:rFonts w:hint="default" w:ascii="宋体" w:hAnsi="宋体" w:eastAsia="宋体" w:cs="宋体"/>
                <w:kern w:val="0"/>
                <w:sz w:val="24"/>
                <w:szCs w:val="24"/>
                <w:lang w:bidi="zh-TW"/>
              </w:rPr>
              <w:t>6.</w:t>
            </w:r>
            <w:r>
              <w:rPr>
                <w:rFonts w:hint="default" w:ascii="宋体" w:hAnsi="宋体" w:eastAsia="宋体" w:cs="宋体"/>
                <w:kern w:val="0"/>
                <w:sz w:val="24"/>
                <w:szCs w:val="24"/>
                <w:lang w:eastAsia="zh-CN" w:bidi="zh-TW"/>
              </w:rPr>
              <w:t>领用的电器维修材料必须要合理使用，做到领用签字，帐物相符，不能公物私用。</w:t>
            </w:r>
          </w:p>
          <w:p w14:paraId="3CCC93E1">
            <w:pPr>
              <w:widowControl w:val="0"/>
              <w:adjustRightInd w:val="0"/>
              <w:snapToGrid w:val="0"/>
              <w:ind w:firstLine="480" w:firstLineChars="200"/>
              <w:jc w:val="left"/>
              <w:rPr>
                <w:rFonts w:hint="default" w:ascii="宋体" w:hAnsi="宋体" w:eastAsia="宋体" w:cs="宋体"/>
                <w:kern w:val="0"/>
                <w:sz w:val="24"/>
                <w:szCs w:val="24"/>
                <w:lang w:bidi="zh-TW"/>
              </w:rPr>
            </w:pPr>
            <w:r>
              <w:rPr>
                <w:rFonts w:ascii="宋体" w:hAnsi="宋体" w:eastAsia="宋体" w:cs="宋体"/>
                <w:kern w:val="0"/>
                <w:sz w:val="24"/>
                <w:szCs w:val="24"/>
                <w:lang w:eastAsia="zh-CN" w:bidi="zh-TW"/>
              </w:rPr>
              <w:t>7</w:t>
            </w:r>
            <w:r>
              <w:rPr>
                <w:rFonts w:hint="default" w:ascii="宋体" w:hAnsi="宋体" w:eastAsia="宋体" w:cs="宋体"/>
                <w:kern w:val="0"/>
                <w:sz w:val="24"/>
                <w:szCs w:val="24"/>
                <w:lang w:bidi="zh-TW"/>
              </w:rPr>
              <w:t>.</w:t>
            </w:r>
            <w:r>
              <w:rPr>
                <w:rFonts w:ascii="宋体" w:hAnsi="宋体" w:eastAsia="宋体" w:cs="宋体"/>
                <w:kern w:val="0"/>
                <w:sz w:val="24"/>
                <w:szCs w:val="24"/>
                <w:lang w:eastAsia="zh-CN" w:bidi="zh-TW"/>
              </w:rPr>
              <w:t>遇到给水阀门坏，下水道管堵塞时，要做到随喊随到，必须及时处理（时间不得超过两小时）。</w:t>
            </w:r>
          </w:p>
          <w:p w14:paraId="49F8012B">
            <w:pPr>
              <w:widowControl w:val="0"/>
              <w:adjustRightInd w:val="0"/>
              <w:snapToGrid w:val="0"/>
              <w:ind w:firstLine="480" w:firstLineChars="200"/>
              <w:jc w:val="left"/>
              <w:rPr>
                <w:rFonts w:hint="default" w:ascii="宋体" w:hAnsi="宋体" w:eastAsia="宋体" w:cs="宋体"/>
                <w:kern w:val="0"/>
                <w:sz w:val="24"/>
                <w:szCs w:val="24"/>
                <w:lang w:bidi="zh-TW"/>
              </w:rPr>
            </w:pPr>
            <w:r>
              <w:rPr>
                <w:rFonts w:ascii="宋体" w:hAnsi="宋体" w:eastAsia="宋体" w:cs="宋体"/>
                <w:kern w:val="0"/>
                <w:sz w:val="24"/>
                <w:szCs w:val="24"/>
                <w:lang w:eastAsia="zh-CN" w:bidi="zh-TW"/>
              </w:rPr>
              <w:t>8</w:t>
            </w:r>
            <w:r>
              <w:rPr>
                <w:rFonts w:hint="default" w:ascii="宋体" w:hAnsi="宋体" w:eastAsia="宋体" w:cs="宋体"/>
                <w:kern w:val="0"/>
                <w:sz w:val="24"/>
                <w:szCs w:val="24"/>
                <w:lang w:bidi="zh-TW"/>
              </w:rPr>
              <w:t>.</w:t>
            </w:r>
            <w:r>
              <w:rPr>
                <w:rFonts w:hint="default" w:ascii="宋体" w:hAnsi="宋体" w:eastAsia="宋体" w:cs="宋体"/>
                <w:kern w:val="0"/>
                <w:sz w:val="24"/>
                <w:szCs w:val="24"/>
                <w:lang w:eastAsia="zh-CN" w:bidi="zh-TW"/>
              </w:rPr>
              <w:t>负责下水管道和水阀门的日常维修工作，属自然损坏的给予修复或更换，作好 登记。属于人为损坏的要查明当事者，并由当事者照价赔偿，报学院备案。</w:t>
            </w:r>
          </w:p>
          <w:p w14:paraId="729AAAB4">
            <w:pPr>
              <w:widowControl w:val="0"/>
              <w:adjustRightInd w:val="0"/>
              <w:snapToGrid w:val="0"/>
              <w:ind w:firstLine="480" w:firstLineChars="200"/>
              <w:jc w:val="left"/>
              <w:rPr>
                <w:rFonts w:hint="default" w:ascii="宋体" w:hAnsi="宋体" w:eastAsia="宋体" w:cs="宋体"/>
                <w:kern w:val="0"/>
                <w:sz w:val="24"/>
                <w:szCs w:val="24"/>
                <w:lang w:bidi="zh-TW"/>
              </w:rPr>
            </w:pPr>
            <w:r>
              <w:rPr>
                <w:rFonts w:ascii="宋体" w:hAnsi="宋体" w:eastAsia="宋体" w:cs="宋体"/>
                <w:kern w:val="0"/>
                <w:sz w:val="24"/>
                <w:szCs w:val="24"/>
                <w:lang w:eastAsia="zh-CN" w:bidi="zh-TW"/>
              </w:rPr>
              <w:t>9</w:t>
            </w:r>
            <w:r>
              <w:rPr>
                <w:rFonts w:hint="default" w:ascii="宋体" w:hAnsi="宋体" w:eastAsia="宋体" w:cs="宋体"/>
                <w:kern w:val="0"/>
                <w:sz w:val="24"/>
                <w:szCs w:val="24"/>
                <w:lang w:bidi="zh-TW"/>
              </w:rPr>
              <w:t>.</w:t>
            </w:r>
            <w:r>
              <w:rPr>
                <w:rFonts w:hint="default" w:ascii="宋体" w:hAnsi="宋体" w:eastAsia="宋体" w:cs="宋体"/>
                <w:kern w:val="0"/>
                <w:sz w:val="24"/>
                <w:szCs w:val="24"/>
                <w:lang w:eastAsia="zh-CN" w:bidi="zh-TW"/>
              </w:rPr>
              <w:t>维修工作本着节约用料的原则，领料时要签字，作到以旧换新，反对浪费。</w:t>
            </w:r>
          </w:p>
          <w:p w14:paraId="288903B9">
            <w:pPr>
              <w:widowControl w:val="0"/>
              <w:adjustRightInd w:val="0"/>
              <w:snapToGrid w:val="0"/>
              <w:ind w:firstLine="480" w:firstLineChars="200"/>
              <w:jc w:val="left"/>
              <w:rPr>
                <w:rFonts w:hint="default" w:ascii="宋体" w:hAnsi="宋体" w:eastAsia="宋体" w:cs="宋体"/>
                <w:kern w:val="0"/>
                <w:sz w:val="24"/>
                <w:szCs w:val="24"/>
                <w:lang w:bidi="zh-TW"/>
              </w:rPr>
            </w:pPr>
            <w:r>
              <w:rPr>
                <w:rFonts w:ascii="宋体" w:hAnsi="宋体" w:eastAsia="宋体" w:cs="宋体"/>
                <w:kern w:val="0"/>
                <w:sz w:val="24"/>
                <w:szCs w:val="24"/>
                <w:lang w:eastAsia="zh-CN" w:bidi="zh-TW"/>
              </w:rPr>
              <w:t>1</w:t>
            </w:r>
            <w:r>
              <w:rPr>
                <w:rFonts w:hint="default" w:ascii="宋体" w:hAnsi="宋体" w:eastAsia="宋体" w:cs="宋体"/>
                <w:kern w:val="0"/>
                <w:sz w:val="24"/>
                <w:szCs w:val="24"/>
                <w:lang w:bidi="zh-TW"/>
              </w:rPr>
              <w:t>0.</w:t>
            </w:r>
            <w:r>
              <w:rPr>
                <w:rFonts w:hint="default" w:ascii="宋体" w:hAnsi="宋体" w:eastAsia="宋体" w:cs="宋体"/>
                <w:kern w:val="0"/>
                <w:sz w:val="24"/>
                <w:szCs w:val="24"/>
                <w:lang w:eastAsia="zh-CN" w:bidi="zh-TW"/>
              </w:rPr>
              <w:t>做好学院安排的夜间值班工作。</w:t>
            </w:r>
          </w:p>
          <w:p w14:paraId="3CB9E34C">
            <w:pPr>
              <w:widowControl w:val="0"/>
              <w:adjustRightInd w:val="0"/>
              <w:snapToGrid w:val="0"/>
              <w:ind w:firstLine="480" w:firstLineChars="200"/>
              <w:jc w:val="left"/>
              <w:rPr>
                <w:rFonts w:ascii="宋体" w:hAnsi="宋体" w:eastAsia="宋体" w:cs="宋体"/>
                <w:kern w:val="0"/>
                <w:sz w:val="24"/>
                <w:szCs w:val="24"/>
                <w:lang w:eastAsia="zh-CN" w:bidi="zh-TW"/>
              </w:rPr>
            </w:pPr>
            <w:r>
              <w:rPr>
                <w:rFonts w:ascii="宋体" w:hAnsi="宋体" w:eastAsia="宋体" w:cs="宋体"/>
                <w:kern w:val="0"/>
                <w:sz w:val="24"/>
                <w:szCs w:val="24"/>
                <w:lang w:eastAsia="zh-CN" w:bidi="zh-TW"/>
              </w:rPr>
              <w:t>1</w:t>
            </w:r>
            <w:r>
              <w:rPr>
                <w:rFonts w:hint="default" w:ascii="宋体" w:hAnsi="宋体" w:eastAsia="宋体" w:cs="宋体"/>
                <w:kern w:val="0"/>
                <w:sz w:val="24"/>
                <w:szCs w:val="24"/>
                <w:lang w:bidi="zh-TW"/>
              </w:rPr>
              <w:t>1.</w:t>
            </w:r>
            <w:r>
              <w:rPr>
                <w:rFonts w:hint="default" w:ascii="宋体" w:hAnsi="宋体" w:eastAsia="宋体" w:cs="宋体"/>
                <w:kern w:val="0"/>
                <w:sz w:val="24"/>
                <w:szCs w:val="24"/>
                <w:lang w:eastAsia="zh-CN" w:bidi="zh-TW"/>
              </w:rPr>
              <w:t>认真完成部门领导交办的其他工作。</w:t>
            </w:r>
          </w:p>
        </w:tc>
      </w:tr>
      <w:tr w14:paraId="1FC7880D">
        <w:tblPrEx>
          <w:tblCellMar>
            <w:top w:w="0" w:type="dxa"/>
            <w:left w:w="10" w:type="dxa"/>
            <w:bottom w:w="0" w:type="dxa"/>
            <w:right w:w="10" w:type="dxa"/>
          </w:tblCellMar>
        </w:tblPrEx>
        <w:trPr>
          <w:trHeight w:val="23" w:hRule="atLeast"/>
          <w:jc w:val="center"/>
        </w:trPr>
        <w:tc>
          <w:tcPr>
            <w:tcW w:w="1151" w:type="dxa"/>
            <w:tcBorders>
              <w:top w:val="single" w:color="auto" w:sz="4" w:space="0"/>
              <w:left w:val="single" w:color="auto" w:sz="4" w:space="0"/>
              <w:bottom w:val="single" w:color="auto" w:sz="4" w:space="0"/>
            </w:tcBorders>
            <w:shd w:val="clear" w:color="auto" w:fill="FFFFFF"/>
            <w:vAlign w:val="center"/>
          </w:tcPr>
          <w:p w14:paraId="149597AF">
            <w:pPr>
              <w:widowControl w:val="0"/>
              <w:adjustRightInd w:val="0"/>
              <w:snapToGrid w:val="0"/>
              <w:jc w:val="left"/>
              <w:rPr>
                <w:rFonts w:ascii="宋体" w:hAnsi="宋体" w:eastAsia="宋体" w:cs="宋体"/>
                <w:kern w:val="0"/>
                <w:sz w:val="24"/>
                <w:szCs w:val="24"/>
                <w:lang w:bidi="zh-TW"/>
              </w:rPr>
            </w:pPr>
            <w:r>
              <w:rPr>
                <w:rFonts w:ascii="宋体" w:hAnsi="宋体" w:eastAsia="宋体" w:cs="宋体"/>
                <w:kern w:val="0"/>
                <w:sz w:val="24"/>
                <w:szCs w:val="24"/>
                <w:lang w:bidi="zh-TW"/>
              </w:rPr>
              <w:t>绿化</w:t>
            </w:r>
            <w:r>
              <w:rPr>
                <w:rFonts w:hint="eastAsia" w:ascii="宋体" w:hAnsi="宋体" w:eastAsia="宋体" w:cs="宋体"/>
                <w:kern w:val="0"/>
                <w:sz w:val="24"/>
                <w:szCs w:val="24"/>
                <w:lang w:val="en-US" w:eastAsia="zh-CN" w:bidi="zh-TW"/>
              </w:rPr>
              <w:t>养护</w:t>
            </w:r>
            <w:r>
              <w:rPr>
                <w:rFonts w:ascii="宋体" w:hAnsi="宋体" w:eastAsia="宋体" w:cs="宋体"/>
                <w:kern w:val="0"/>
                <w:sz w:val="24"/>
                <w:szCs w:val="24"/>
                <w:lang w:bidi="zh-TW"/>
              </w:rPr>
              <w:t>工</w:t>
            </w:r>
          </w:p>
        </w:tc>
        <w:tc>
          <w:tcPr>
            <w:tcW w:w="6948" w:type="dxa"/>
            <w:tcBorders>
              <w:top w:val="single" w:color="auto" w:sz="4" w:space="0"/>
              <w:left w:val="single" w:color="auto" w:sz="4" w:space="0"/>
              <w:bottom w:val="single" w:color="auto" w:sz="4" w:space="0"/>
              <w:right w:val="single" w:color="auto" w:sz="4" w:space="0"/>
            </w:tcBorders>
            <w:shd w:val="clear" w:color="auto" w:fill="FFFFFF"/>
          </w:tcPr>
          <w:p w14:paraId="21B7B7C7">
            <w:pPr>
              <w:widowControl w:val="0"/>
              <w:adjustRightInd w:val="0"/>
              <w:snapToGrid w:val="0"/>
              <w:ind w:firstLine="480" w:firstLineChars="200"/>
              <w:jc w:val="left"/>
              <w:rPr>
                <w:rFonts w:hint="default" w:ascii="宋体" w:hAnsi="宋体" w:eastAsia="宋体" w:cs="宋体"/>
                <w:kern w:val="0"/>
                <w:sz w:val="24"/>
                <w:szCs w:val="24"/>
                <w:lang w:bidi="zh-TW"/>
              </w:rPr>
            </w:pPr>
            <w:r>
              <w:rPr>
                <w:rFonts w:hint="default" w:ascii="宋体" w:hAnsi="宋体" w:eastAsia="宋体" w:cs="宋体"/>
                <w:kern w:val="0"/>
                <w:sz w:val="24"/>
                <w:szCs w:val="24"/>
                <w:lang w:eastAsia="zh-CN" w:bidi="zh-TW"/>
              </w:rPr>
              <w:t>1.</w:t>
            </w:r>
            <w:r>
              <w:rPr>
                <w:rFonts w:hint="default" w:ascii="宋体" w:hAnsi="宋体" w:eastAsia="宋体" w:cs="宋体"/>
                <w:kern w:val="0"/>
                <w:sz w:val="24"/>
                <w:szCs w:val="24"/>
                <w:lang w:eastAsia="zh-CN" w:bidi="zh-TW"/>
              </w:rPr>
              <w:tab/>
            </w:r>
            <w:r>
              <w:rPr>
                <w:rFonts w:hint="default" w:ascii="宋体" w:hAnsi="宋体" w:eastAsia="宋体" w:cs="宋体"/>
                <w:kern w:val="0"/>
                <w:sz w:val="24"/>
                <w:szCs w:val="24"/>
                <w:lang w:eastAsia="zh-CN" w:bidi="zh-TW"/>
              </w:rPr>
              <w:t>热爱本职工作，遵守工作纪律，坚守岗位，不迟到，不早退，有病、有事要提 前请假。工作时间内不干私活，不做与工作无关的事情，严禁喝酒上岗，要穿工作服 上岗，按安全规程操作。</w:t>
            </w:r>
          </w:p>
          <w:p w14:paraId="2FFA02D8">
            <w:pPr>
              <w:widowControl w:val="0"/>
              <w:adjustRightInd w:val="0"/>
              <w:snapToGrid w:val="0"/>
              <w:ind w:firstLine="480" w:firstLineChars="200"/>
              <w:jc w:val="left"/>
              <w:rPr>
                <w:rFonts w:hint="default" w:ascii="宋体" w:hAnsi="宋体" w:eastAsia="宋体" w:cs="宋体"/>
                <w:kern w:val="0"/>
                <w:sz w:val="24"/>
                <w:szCs w:val="24"/>
                <w:lang w:bidi="zh-TW"/>
              </w:rPr>
            </w:pPr>
            <w:r>
              <w:rPr>
                <w:rFonts w:hint="default" w:ascii="宋体" w:hAnsi="宋体" w:eastAsia="宋体" w:cs="宋体"/>
                <w:kern w:val="0"/>
                <w:sz w:val="24"/>
                <w:szCs w:val="24"/>
                <w:lang w:eastAsia="zh-CN" w:bidi="zh-TW"/>
              </w:rPr>
              <w:t>2.</w:t>
            </w:r>
            <w:r>
              <w:rPr>
                <w:rFonts w:hint="default" w:ascii="宋体" w:hAnsi="宋体" w:eastAsia="宋体" w:cs="宋体"/>
                <w:kern w:val="0"/>
                <w:sz w:val="24"/>
                <w:szCs w:val="24"/>
                <w:lang w:eastAsia="zh-CN" w:bidi="zh-TW"/>
              </w:rPr>
              <w:tab/>
            </w:r>
            <w:r>
              <w:rPr>
                <w:rFonts w:hint="default" w:ascii="宋体" w:hAnsi="宋体" w:eastAsia="宋体" w:cs="宋体"/>
                <w:kern w:val="0"/>
                <w:sz w:val="24"/>
                <w:szCs w:val="24"/>
                <w:lang w:eastAsia="zh-CN" w:bidi="zh-TW"/>
              </w:rPr>
              <w:t>服从安排，听从指挥，吃苦耐劳，有扎实、认真、自觉、细致的工作精神，负 责工作职责范围之内的安全。</w:t>
            </w:r>
          </w:p>
          <w:p w14:paraId="1C660C5C">
            <w:pPr>
              <w:widowControl w:val="0"/>
              <w:adjustRightInd w:val="0"/>
              <w:snapToGrid w:val="0"/>
              <w:ind w:firstLine="480" w:firstLineChars="200"/>
              <w:jc w:val="left"/>
              <w:rPr>
                <w:rFonts w:hint="default" w:ascii="宋体" w:hAnsi="宋体" w:eastAsia="宋体" w:cs="宋体"/>
                <w:kern w:val="0"/>
                <w:sz w:val="24"/>
                <w:szCs w:val="24"/>
                <w:lang w:bidi="zh-TW"/>
              </w:rPr>
            </w:pPr>
            <w:r>
              <w:rPr>
                <w:rFonts w:hint="default" w:ascii="宋体" w:hAnsi="宋体" w:eastAsia="宋体" w:cs="宋体"/>
                <w:kern w:val="0"/>
                <w:sz w:val="24"/>
                <w:szCs w:val="24"/>
                <w:lang w:eastAsia="zh-CN" w:bidi="zh-TW"/>
              </w:rPr>
              <w:t>3.</w:t>
            </w:r>
            <w:r>
              <w:rPr>
                <w:rFonts w:hint="default" w:ascii="宋体" w:hAnsi="宋体" w:eastAsia="宋体" w:cs="宋体"/>
                <w:kern w:val="0"/>
                <w:sz w:val="24"/>
                <w:szCs w:val="24"/>
                <w:lang w:eastAsia="zh-CN" w:bidi="zh-TW"/>
              </w:rPr>
              <w:tab/>
            </w:r>
            <w:r>
              <w:rPr>
                <w:rFonts w:hint="default" w:ascii="宋体" w:hAnsi="宋体" w:eastAsia="宋体" w:cs="宋体"/>
                <w:kern w:val="0"/>
                <w:sz w:val="24"/>
                <w:szCs w:val="24"/>
                <w:lang w:eastAsia="zh-CN" w:bidi="zh-TW"/>
              </w:rPr>
              <w:t>根据</w:t>
            </w:r>
            <w:r>
              <w:rPr>
                <w:rFonts w:hint="eastAsia" w:ascii="宋体" w:hAnsi="宋体" w:eastAsia="宋体" w:cs="宋体"/>
                <w:kern w:val="0"/>
                <w:sz w:val="24"/>
                <w:szCs w:val="24"/>
                <w:lang w:eastAsia="zh-CN" w:bidi="zh-TW"/>
              </w:rPr>
              <w:t>采购人</w:t>
            </w:r>
            <w:r>
              <w:rPr>
                <w:rFonts w:hint="default" w:ascii="宋体" w:hAnsi="宋体" w:eastAsia="宋体" w:cs="宋体"/>
                <w:kern w:val="0"/>
                <w:sz w:val="24"/>
                <w:szCs w:val="24"/>
                <w:lang w:eastAsia="zh-CN" w:bidi="zh-TW"/>
              </w:rPr>
              <w:t>总体规划，按不同绿化区域的条件、类别、作用以及植物不同生长习 性，因地制宜、因时制宜地种植各种花卉、树木及草类，搞好校园花木的有机配植。 花草种植要做到配植合理，还要做到四季常青、四季花开。</w:t>
            </w:r>
          </w:p>
          <w:p w14:paraId="712813B1">
            <w:pPr>
              <w:widowControl w:val="0"/>
              <w:adjustRightInd w:val="0"/>
              <w:snapToGrid w:val="0"/>
              <w:ind w:firstLine="480" w:firstLineChars="200"/>
              <w:jc w:val="left"/>
              <w:rPr>
                <w:rFonts w:hint="default" w:ascii="宋体" w:hAnsi="宋体" w:eastAsia="宋体" w:cs="宋体"/>
                <w:kern w:val="0"/>
                <w:sz w:val="24"/>
                <w:szCs w:val="24"/>
                <w:lang w:bidi="zh-TW"/>
              </w:rPr>
            </w:pPr>
            <w:r>
              <w:rPr>
                <w:rFonts w:hint="default" w:ascii="宋体" w:hAnsi="宋体" w:eastAsia="宋体" w:cs="宋体"/>
                <w:kern w:val="0"/>
                <w:sz w:val="24"/>
                <w:szCs w:val="24"/>
                <w:lang w:eastAsia="zh-CN" w:bidi="zh-TW"/>
              </w:rPr>
              <w:t>4.负责花木的常规管理，</w:t>
            </w:r>
            <w:r>
              <w:rPr>
                <w:rFonts w:ascii="宋体" w:hAnsi="宋体" w:eastAsia="宋体" w:cs="宋体"/>
                <w:kern w:val="0"/>
                <w:sz w:val="24"/>
                <w:szCs w:val="24"/>
                <w:lang w:eastAsia="zh-CN" w:bidi="zh-TW"/>
              </w:rPr>
              <w:t>做到栽一株，活一株；种一片，活一片。</w:t>
            </w:r>
          </w:p>
          <w:p w14:paraId="361753D3">
            <w:pPr>
              <w:widowControl w:val="0"/>
              <w:adjustRightInd w:val="0"/>
              <w:snapToGrid w:val="0"/>
              <w:ind w:firstLine="480" w:firstLineChars="200"/>
              <w:jc w:val="left"/>
              <w:rPr>
                <w:rFonts w:hint="default" w:ascii="宋体" w:hAnsi="宋体" w:eastAsia="宋体" w:cs="宋体"/>
                <w:kern w:val="0"/>
                <w:sz w:val="24"/>
                <w:szCs w:val="24"/>
                <w:lang w:bidi="zh-TW"/>
              </w:rPr>
            </w:pPr>
            <w:r>
              <w:rPr>
                <w:rFonts w:hint="default" w:ascii="宋体" w:hAnsi="宋体" w:eastAsia="宋体" w:cs="宋体"/>
                <w:kern w:val="0"/>
                <w:sz w:val="24"/>
                <w:szCs w:val="24"/>
                <w:lang w:eastAsia="zh-CN" w:bidi="zh-TW"/>
              </w:rPr>
              <w:t>5.搞好校园花木的维护保养，做到“四要”：即春要栽、夏要剪、秋要管、冬 要保，还要做到适时施肥、绕水、松土、防冻、防高温等，从而达到绿化美化校园的目的。</w:t>
            </w:r>
          </w:p>
          <w:p w14:paraId="6EEA5E3E">
            <w:pPr>
              <w:widowControl w:val="0"/>
              <w:adjustRightInd w:val="0"/>
              <w:snapToGrid w:val="0"/>
              <w:ind w:firstLine="480" w:firstLineChars="200"/>
              <w:jc w:val="left"/>
              <w:rPr>
                <w:rFonts w:ascii="宋体" w:hAnsi="宋体" w:eastAsia="宋体" w:cs="宋体"/>
                <w:kern w:val="0"/>
                <w:sz w:val="24"/>
                <w:szCs w:val="24"/>
                <w:lang w:bidi="zh-TW"/>
              </w:rPr>
            </w:pPr>
            <w:r>
              <w:rPr>
                <w:rFonts w:hint="default" w:ascii="宋体" w:hAnsi="宋体" w:eastAsia="宋体" w:cs="宋体"/>
                <w:kern w:val="0"/>
                <w:sz w:val="24"/>
                <w:szCs w:val="24"/>
                <w:lang w:eastAsia="zh-CN" w:bidi="zh-TW"/>
              </w:rPr>
              <w:t>6.搞好校园绿化区内的路树、球花、绿篱、花池、花带的修剪、整型，做到形状 逼真，整齐美观，并将修剪下来的枯枝、败叶等杂物进行妥善处理。</w:t>
            </w:r>
          </w:p>
          <w:p w14:paraId="3BED2D62">
            <w:pPr>
              <w:widowControl w:val="0"/>
              <w:adjustRightInd w:val="0"/>
              <w:snapToGrid w:val="0"/>
              <w:ind w:firstLine="480" w:firstLineChars="200"/>
              <w:jc w:val="left"/>
              <w:rPr>
                <w:rFonts w:hint="default" w:ascii="宋体" w:hAnsi="宋体" w:eastAsia="宋体" w:cs="宋体"/>
                <w:kern w:val="0"/>
                <w:sz w:val="24"/>
                <w:szCs w:val="24"/>
                <w:lang w:bidi="zh-TW"/>
              </w:rPr>
            </w:pPr>
            <w:r>
              <w:rPr>
                <w:rFonts w:hint="default" w:ascii="宋体" w:hAnsi="宋体" w:eastAsia="宋体" w:cs="宋体"/>
                <w:kern w:val="0"/>
                <w:sz w:val="24"/>
                <w:szCs w:val="24"/>
                <w:lang w:eastAsia="zh-CN" w:bidi="zh-TW"/>
              </w:rPr>
              <w:t>7.负责绿化区内的杂草、残枝、败叶、垃圾、纸屑等清理工作，保持绿化区内 基本看不到杂草杂物。</w:t>
            </w:r>
          </w:p>
          <w:p w14:paraId="7617ABE9">
            <w:pPr>
              <w:widowControl w:val="0"/>
              <w:adjustRightInd w:val="0"/>
              <w:snapToGrid w:val="0"/>
              <w:ind w:firstLine="480" w:firstLineChars="200"/>
              <w:jc w:val="left"/>
              <w:rPr>
                <w:rFonts w:hint="default" w:ascii="宋体" w:hAnsi="宋体" w:eastAsia="宋体" w:cs="宋体"/>
                <w:kern w:val="0"/>
                <w:sz w:val="24"/>
                <w:szCs w:val="24"/>
                <w:lang w:bidi="zh-TW"/>
              </w:rPr>
            </w:pPr>
            <w:r>
              <w:rPr>
                <w:rFonts w:hint="default" w:ascii="宋体" w:hAnsi="宋体" w:eastAsia="宋体" w:cs="宋体"/>
                <w:kern w:val="0"/>
                <w:sz w:val="24"/>
                <w:szCs w:val="24"/>
                <w:lang w:eastAsia="zh-CN" w:bidi="zh-TW"/>
              </w:rPr>
              <w:t>8.搞好</w:t>
            </w:r>
            <w:r>
              <w:rPr>
                <w:rFonts w:hint="eastAsia" w:ascii="宋体" w:hAnsi="宋体" w:eastAsia="宋体" w:cs="宋体"/>
                <w:kern w:val="0"/>
                <w:sz w:val="24"/>
                <w:szCs w:val="24"/>
                <w:lang w:eastAsia="zh-CN" w:bidi="zh-TW"/>
              </w:rPr>
              <w:t>采购人</w:t>
            </w:r>
            <w:r>
              <w:rPr>
                <w:rFonts w:hint="default" w:ascii="宋体" w:hAnsi="宋体" w:eastAsia="宋体" w:cs="宋体"/>
                <w:kern w:val="0"/>
                <w:sz w:val="24"/>
                <w:szCs w:val="24"/>
                <w:lang w:eastAsia="zh-CN" w:bidi="zh-TW"/>
              </w:rPr>
              <w:t>花木的虫害防治，定期对花木进行防虫、杀虫、刷裝等工作。</w:t>
            </w:r>
          </w:p>
          <w:p w14:paraId="7839E609">
            <w:pPr>
              <w:widowControl w:val="0"/>
              <w:adjustRightInd w:val="0"/>
              <w:snapToGrid w:val="0"/>
              <w:ind w:firstLine="480" w:firstLineChars="200"/>
              <w:jc w:val="left"/>
              <w:rPr>
                <w:rFonts w:hint="default" w:ascii="宋体" w:hAnsi="宋体" w:eastAsia="宋体" w:cs="宋体"/>
                <w:kern w:val="0"/>
                <w:sz w:val="24"/>
                <w:szCs w:val="24"/>
                <w:lang w:bidi="zh-TW"/>
              </w:rPr>
            </w:pPr>
            <w:r>
              <w:rPr>
                <w:rFonts w:hint="default" w:ascii="宋体" w:hAnsi="宋体" w:eastAsia="宋体" w:cs="宋体"/>
                <w:kern w:val="0"/>
                <w:sz w:val="24"/>
                <w:szCs w:val="24"/>
                <w:lang w:eastAsia="zh-CN" w:bidi="zh-TW"/>
              </w:rPr>
              <w:t>9.及时处</w:t>
            </w:r>
            <w:r>
              <w:rPr>
                <w:rFonts w:ascii="宋体" w:hAnsi="宋体" w:eastAsia="宋体" w:cs="宋体"/>
                <w:kern w:val="0"/>
                <w:sz w:val="24"/>
                <w:szCs w:val="24"/>
                <w:lang w:eastAsia="zh-CN" w:bidi="zh-TW"/>
              </w:rPr>
              <w:t>理非正常气候造成折断树木、花弃的清理工作，对折断、枯死花木要</w:t>
            </w:r>
            <w:r>
              <w:rPr>
                <w:rFonts w:hint="default" w:ascii="宋体" w:hAnsi="宋体" w:eastAsia="宋体" w:cs="宋体"/>
                <w:kern w:val="0"/>
                <w:sz w:val="24"/>
                <w:szCs w:val="24"/>
                <w:lang w:eastAsia="zh-CN" w:bidi="zh-TW"/>
              </w:rPr>
              <w:t xml:space="preserve"> 及时补苗。</w:t>
            </w:r>
          </w:p>
          <w:p w14:paraId="4C89B6BB">
            <w:pPr>
              <w:widowControl w:val="0"/>
              <w:adjustRightInd w:val="0"/>
              <w:snapToGrid w:val="0"/>
              <w:ind w:firstLine="480" w:firstLineChars="200"/>
              <w:jc w:val="left"/>
              <w:rPr>
                <w:rFonts w:hint="default" w:ascii="宋体" w:hAnsi="宋体" w:eastAsia="宋体" w:cs="宋体"/>
                <w:kern w:val="0"/>
                <w:sz w:val="24"/>
                <w:szCs w:val="24"/>
                <w:lang w:bidi="zh-TW"/>
              </w:rPr>
            </w:pPr>
            <w:r>
              <w:rPr>
                <w:rFonts w:hint="default" w:ascii="宋体" w:hAnsi="宋体" w:eastAsia="宋体" w:cs="宋体"/>
                <w:kern w:val="0"/>
                <w:sz w:val="24"/>
                <w:szCs w:val="24"/>
                <w:lang w:eastAsia="zh-CN" w:bidi="zh-TW"/>
              </w:rPr>
              <w:t>10.</w:t>
            </w:r>
            <w:r>
              <w:rPr>
                <w:rFonts w:hint="default" w:ascii="宋体" w:hAnsi="宋体" w:eastAsia="宋体" w:cs="宋体"/>
                <w:kern w:val="0"/>
                <w:sz w:val="24"/>
                <w:szCs w:val="24"/>
                <w:lang w:eastAsia="zh-CN" w:bidi="zh-TW"/>
              </w:rPr>
              <w:tab/>
            </w:r>
            <w:r>
              <w:rPr>
                <w:rFonts w:hint="default" w:ascii="宋体" w:hAnsi="宋体" w:eastAsia="宋体" w:cs="宋体"/>
                <w:kern w:val="0"/>
                <w:sz w:val="24"/>
                <w:szCs w:val="24"/>
                <w:lang w:eastAsia="zh-CN" w:bidi="zh-TW"/>
              </w:rPr>
              <w:t>自己釆集母枝，定向培育新、优、靓花品种。做好校园各种花丼苗木的培育、 移栽，做到“以绿化养绿化”，从而增强绿化自我发展的能力，达到增收节支的目的。</w:t>
            </w:r>
          </w:p>
          <w:p w14:paraId="4838553A">
            <w:pPr>
              <w:widowControl w:val="0"/>
              <w:adjustRightInd w:val="0"/>
              <w:snapToGrid w:val="0"/>
              <w:ind w:firstLine="480" w:firstLineChars="200"/>
              <w:jc w:val="left"/>
              <w:rPr>
                <w:rFonts w:hint="default" w:ascii="宋体" w:hAnsi="宋体" w:eastAsia="宋体" w:cs="宋体"/>
                <w:kern w:val="0"/>
                <w:sz w:val="24"/>
                <w:szCs w:val="24"/>
                <w:lang w:bidi="zh-TW"/>
              </w:rPr>
            </w:pPr>
            <w:r>
              <w:rPr>
                <w:rFonts w:hint="default" w:ascii="宋体" w:hAnsi="宋体" w:eastAsia="宋体" w:cs="宋体"/>
                <w:kern w:val="0"/>
                <w:sz w:val="24"/>
                <w:szCs w:val="24"/>
                <w:lang w:eastAsia="zh-CN" w:bidi="zh-TW"/>
              </w:rPr>
              <w:t>11.</w:t>
            </w:r>
            <w:r>
              <w:rPr>
                <w:rFonts w:hint="default" w:ascii="宋体" w:hAnsi="宋体" w:eastAsia="宋体" w:cs="宋体"/>
                <w:kern w:val="0"/>
                <w:sz w:val="24"/>
                <w:szCs w:val="24"/>
                <w:lang w:eastAsia="zh-CN" w:bidi="zh-TW"/>
              </w:rPr>
              <w:tab/>
            </w:r>
            <w:r>
              <w:rPr>
                <w:rFonts w:hint="default" w:ascii="宋体" w:hAnsi="宋体" w:eastAsia="宋体" w:cs="宋体"/>
                <w:kern w:val="0"/>
                <w:sz w:val="24"/>
                <w:szCs w:val="24"/>
                <w:lang w:eastAsia="zh-CN" w:bidi="zh-TW"/>
              </w:rPr>
              <w:t>未经批准不得私自用花卉、苗木做人情拉关系。对名贵花木要建账立册。</w:t>
            </w:r>
          </w:p>
          <w:p w14:paraId="5457A05C">
            <w:pPr>
              <w:widowControl w:val="0"/>
              <w:adjustRightInd w:val="0"/>
              <w:snapToGrid w:val="0"/>
              <w:ind w:firstLine="480" w:firstLineChars="200"/>
              <w:jc w:val="left"/>
              <w:rPr>
                <w:rFonts w:hint="default" w:ascii="宋体" w:hAnsi="宋体" w:eastAsia="宋体" w:cs="宋体"/>
                <w:kern w:val="0"/>
                <w:sz w:val="24"/>
                <w:szCs w:val="24"/>
                <w:lang w:bidi="zh-TW"/>
              </w:rPr>
            </w:pPr>
            <w:r>
              <w:rPr>
                <w:rFonts w:hint="default" w:ascii="宋体" w:hAnsi="宋体" w:eastAsia="宋体" w:cs="宋体"/>
                <w:kern w:val="0"/>
                <w:sz w:val="24"/>
                <w:szCs w:val="24"/>
                <w:lang w:eastAsia="zh-CN" w:bidi="zh-TW"/>
              </w:rPr>
              <w:t>12.</w:t>
            </w:r>
            <w:r>
              <w:rPr>
                <w:rFonts w:hint="default" w:ascii="宋体" w:hAnsi="宋体" w:eastAsia="宋体" w:cs="宋体"/>
                <w:kern w:val="0"/>
                <w:sz w:val="24"/>
                <w:szCs w:val="24"/>
                <w:lang w:eastAsia="zh-CN" w:bidi="zh-TW"/>
              </w:rPr>
              <w:tab/>
            </w:r>
            <w:r>
              <w:rPr>
                <w:rFonts w:hint="default" w:ascii="宋体" w:hAnsi="宋体" w:eastAsia="宋体" w:cs="宋体"/>
                <w:kern w:val="0"/>
                <w:sz w:val="24"/>
                <w:szCs w:val="24"/>
                <w:lang w:eastAsia="zh-CN" w:bidi="zh-TW"/>
              </w:rPr>
              <w:t>做好工具、化肥、农药、汽油的保管。做到出库入库手续清楚，并提醒用药、 用肥分量，注意用药、用油安全。防止浪费现象。</w:t>
            </w:r>
          </w:p>
          <w:p w14:paraId="63472A85">
            <w:pPr>
              <w:widowControl w:val="0"/>
              <w:adjustRightInd w:val="0"/>
              <w:snapToGrid w:val="0"/>
              <w:ind w:firstLine="480" w:firstLineChars="200"/>
              <w:jc w:val="left"/>
              <w:rPr>
                <w:rFonts w:hint="default" w:ascii="宋体" w:hAnsi="宋体" w:eastAsia="宋体" w:cs="宋体"/>
                <w:kern w:val="0"/>
                <w:sz w:val="24"/>
                <w:szCs w:val="24"/>
                <w:lang w:bidi="zh-TW"/>
              </w:rPr>
            </w:pPr>
            <w:r>
              <w:rPr>
                <w:rFonts w:hint="default" w:ascii="宋体" w:hAnsi="宋体" w:eastAsia="宋体" w:cs="宋体"/>
                <w:kern w:val="0"/>
                <w:sz w:val="24"/>
                <w:szCs w:val="24"/>
                <w:lang w:eastAsia="zh-CN" w:bidi="zh-TW"/>
              </w:rPr>
              <w:t>13.</w:t>
            </w:r>
            <w:r>
              <w:rPr>
                <w:rFonts w:hint="default" w:ascii="宋体" w:hAnsi="宋体" w:eastAsia="宋体" w:cs="宋体"/>
                <w:kern w:val="0"/>
                <w:sz w:val="24"/>
                <w:szCs w:val="24"/>
                <w:lang w:eastAsia="zh-CN" w:bidi="zh-TW"/>
              </w:rPr>
              <w:tab/>
            </w:r>
            <w:r>
              <w:rPr>
                <w:rFonts w:hint="default" w:ascii="宋体" w:hAnsi="宋体" w:eastAsia="宋体" w:cs="宋体"/>
                <w:kern w:val="0"/>
                <w:sz w:val="24"/>
                <w:szCs w:val="24"/>
                <w:lang w:eastAsia="zh-CN" w:bidi="zh-TW"/>
              </w:rPr>
              <w:t>爱护工具，负责剪草机等机械部件的简单维修、检查工作。工具房的卫生，保 持整洁</w:t>
            </w:r>
            <w:r>
              <w:rPr>
                <w:rFonts w:ascii="宋体" w:hAnsi="宋体" w:eastAsia="宋体" w:cs="宋体"/>
                <w:kern w:val="0"/>
                <w:sz w:val="24"/>
                <w:szCs w:val="24"/>
                <w:lang w:eastAsia="zh-CN" w:bidi="zh-TW"/>
              </w:rPr>
              <w:t>干净，做好防火、防盗工作，防止一切事故的发生。</w:t>
            </w:r>
          </w:p>
          <w:p w14:paraId="1325EB21">
            <w:pPr>
              <w:widowControl w:val="0"/>
              <w:adjustRightInd w:val="0"/>
              <w:snapToGrid w:val="0"/>
              <w:ind w:firstLine="480" w:firstLineChars="200"/>
              <w:jc w:val="left"/>
              <w:rPr>
                <w:rFonts w:hint="default" w:ascii="宋体" w:hAnsi="宋体" w:eastAsia="宋体" w:cs="宋体"/>
                <w:kern w:val="0"/>
                <w:sz w:val="24"/>
                <w:szCs w:val="24"/>
                <w:lang w:bidi="zh-TW"/>
              </w:rPr>
            </w:pPr>
            <w:r>
              <w:rPr>
                <w:rFonts w:hint="default" w:ascii="宋体" w:hAnsi="宋体" w:eastAsia="宋体" w:cs="宋体"/>
                <w:kern w:val="0"/>
                <w:sz w:val="24"/>
                <w:szCs w:val="24"/>
                <w:lang w:eastAsia="zh-CN" w:bidi="zh-TW"/>
              </w:rPr>
              <w:t>14.</w:t>
            </w:r>
            <w:r>
              <w:rPr>
                <w:rFonts w:hint="default" w:ascii="宋体" w:hAnsi="宋体" w:eastAsia="宋体" w:cs="宋体"/>
                <w:kern w:val="0"/>
                <w:sz w:val="24"/>
                <w:szCs w:val="24"/>
                <w:lang w:eastAsia="zh-CN" w:bidi="zh-TW"/>
              </w:rPr>
              <w:tab/>
            </w:r>
            <w:r>
              <w:rPr>
                <w:rFonts w:hint="default" w:ascii="宋体" w:hAnsi="宋体" w:eastAsia="宋体" w:cs="宋体"/>
                <w:kern w:val="0"/>
                <w:sz w:val="24"/>
                <w:szCs w:val="24"/>
                <w:lang w:eastAsia="zh-CN" w:bidi="zh-TW"/>
              </w:rPr>
              <w:t>负责</w:t>
            </w:r>
            <w:r>
              <w:rPr>
                <w:rFonts w:hint="eastAsia" w:ascii="宋体" w:hAnsi="宋体" w:eastAsia="宋体" w:cs="宋体"/>
                <w:kern w:val="0"/>
                <w:sz w:val="24"/>
                <w:szCs w:val="24"/>
                <w:lang w:val="en-US" w:eastAsia="zh-CN" w:bidi="zh-TW"/>
              </w:rPr>
              <w:t>采购人</w:t>
            </w:r>
            <w:r>
              <w:rPr>
                <w:rFonts w:hint="default" w:ascii="宋体" w:hAnsi="宋体" w:eastAsia="宋体" w:cs="宋体"/>
                <w:kern w:val="0"/>
                <w:sz w:val="24"/>
                <w:szCs w:val="24"/>
                <w:lang w:eastAsia="zh-CN" w:bidi="zh-TW"/>
              </w:rPr>
              <w:t>灭蚊工作。</w:t>
            </w:r>
          </w:p>
          <w:p w14:paraId="4DFB89B5">
            <w:pPr>
              <w:widowControl w:val="0"/>
              <w:adjustRightInd w:val="0"/>
              <w:snapToGrid w:val="0"/>
              <w:ind w:firstLine="480" w:firstLineChars="200"/>
              <w:jc w:val="left"/>
              <w:rPr>
                <w:rFonts w:ascii="宋体" w:hAnsi="宋体" w:eastAsia="宋体" w:cs="宋体"/>
                <w:kern w:val="0"/>
                <w:sz w:val="24"/>
                <w:szCs w:val="24"/>
                <w:lang w:eastAsia="zh-CN" w:bidi="zh-TW"/>
              </w:rPr>
            </w:pPr>
            <w:r>
              <w:rPr>
                <w:rFonts w:hint="default" w:ascii="宋体" w:hAnsi="宋体" w:eastAsia="宋体" w:cs="宋体"/>
                <w:kern w:val="0"/>
                <w:sz w:val="24"/>
                <w:szCs w:val="24"/>
                <w:lang w:eastAsia="zh-CN" w:bidi="zh-TW"/>
              </w:rPr>
              <w:t>15.</w:t>
            </w:r>
            <w:r>
              <w:rPr>
                <w:rFonts w:hint="default" w:ascii="宋体" w:hAnsi="宋体" w:eastAsia="宋体" w:cs="宋体"/>
                <w:kern w:val="0"/>
                <w:sz w:val="24"/>
                <w:szCs w:val="24"/>
                <w:lang w:eastAsia="zh-CN" w:bidi="zh-TW"/>
              </w:rPr>
              <w:tab/>
            </w:r>
            <w:r>
              <w:rPr>
                <w:rFonts w:hint="default" w:ascii="宋体" w:hAnsi="宋体" w:eastAsia="宋体" w:cs="宋体"/>
                <w:kern w:val="0"/>
                <w:sz w:val="24"/>
                <w:szCs w:val="24"/>
                <w:lang w:eastAsia="zh-CN" w:bidi="zh-TW"/>
              </w:rPr>
              <w:t>完成</w:t>
            </w:r>
            <w:r>
              <w:rPr>
                <w:rFonts w:hint="eastAsia" w:ascii="宋体" w:hAnsi="宋体" w:eastAsia="宋体" w:cs="宋体"/>
                <w:kern w:val="0"/>
                <w:sz w:val="24"/>
                <w:szCs w:val="24"/>
                <w:lang w:val="en-US" w:eastAsia="zh-CN" w:bidi="zh-TW"/>
              </w:rPr>
              <w:t>采购人</w:t>
            </w:r>
            <w:r>
              <w:rPr>
                <w:rFonts w:hint="default" w:ascii="宋体" w:hAnsi="宋体" w:eastAsia="宋体" w:cs="宋体"/>
                <w:kern w:val="0"/>
                <w:sz w:val="24"/>
                <w:szCs w:val="24"/>
                <w:lang w:eastAsia="zh-CN" w:bidi="zh-TW"/>
              </w:rPr>
              <w:t>交办的其他工作。</w:t>
            </w:r>
          </w:p>
        </w:tc>
      </w:tr>
    </w:tbl>
    <w:p w14:paraId="6721BEE5">
      <w:pPr>
        <w:ind w:firstLine="482"/>
        <w:rPr>
          <w:rFonts w:hint="eastAsia"/>
          <w:b/>
          <w:bCs/>
          <w:sz w:val="28"/>
          <w:szCs w:val="28"/>
          <w:lang w:val="en-US" w:eastAsia="zh-CN"/>
        </w:rPr>
      </w:pPr>
      <w:r>
        <w:rPr>
          <w:rFonts w:hint="eastAsia"/>
          <w:b/>
          <w:bCs/>
          <w:sz w:val="28"/>
          <w:szCs w:val="28"/>
          <w:lang w:val="en-US" w:eastAsia="zh-CN"/>
        </w:rPr>
        <w:t>2.物业管理服务应达到的各项指标</w:t>
      </w:r>
    </w:p>
    <w:p w14:paraId="1CD8AE0C">
      <w:pPr>
        <w:spacing w:line="240" w:lineRule="atLeast"/>
        <w:ind w:firstLine="640" w:firstLineChars="200"/>
        <w:jc w:val="left"/>
        <w:rPr>
          <w:rFonts w:hint="default" w:ascii="仿宋_GB2312" w:eastAsia="仿宋_GB2312"/>
          <w:sz w:val="32"/>
          <w:szCs w:val="40"/>
          <w:highlight w:val="none"/>
          <w:lang w:val="en-US" w:eastAsia="zh-CN"/>
        </w:rPr>
      </w:pPr>
      <w:bookmarkStart w:id="561" w:name="bookmark69"/>
      <w:bookmarkEnd w:id="561"/>
      <w:r>
        <w:rPr>
          <w:rFonts w:hint="eastAsia" w:ascii="仿宋_GB2312" w:eastAsia="仿宋_GB2312"/>
          <w:sz w:val="32"/>
          <w:szCs w:val="40"/>
          <w:highlight w:val="none"/>
          <w:lang w:eastAsia="zh-CN"/>
        </w:rPr>
        <w:t>（</w:t>
      </w:r>
      <w:r>
        <w:rPr>
          <w:rFonts w:hint="eastAsia" w:ascii="仿宋_GB2312" w:eastAsia="仿宋_GB2312"/>
          <w:sz w:val="32"/>
          <w:szCs w:val="40"/>
          <w:highlight w:val="none"/>
          <w:lang w:val="en-US" w:eastAsia="zh-CN"/>
        </w:rPr>
        <w:t>1）项目技术规范和服务要求,每有一项达不到要求扣0.5分；</w:t>
      </w:r>
    </w:p>
    <w:p w14:paraId="613F844D">
      <w:pPr>
        <w:spacing w:line="240" w:lineRule="atLeast"/>
        <w:ind w:firstLine="640" w:firstLineChars="200"/>
        <w:jc w:val="left"/>
        <w:rPr>
          <w:rFonts w:hint="eastAsia" w:ascii="仿宋_GB2312" w:eastAsia="仿宋_GB2312"/>
          <w:sz w:val="32"/>
          <w:szCs w:val="40"/>
          <w:highlight w:val="none"/>
        </w:rPr>
      </w:pPr>
      <w:r>
        <w:rPr>
          <w:rFonts w:hint="eastAsia" w:ascii="仿宋_GB2312" w:eastAsia="仿宋_GB2312"/>
          <w:sz w:val="32"/>
          <w:szCs w:val="40"/>
          <w:highlight w:val="none"/>
          <w:lang w:eastAsia="zh-CN"/>
        </w:rPr>
        <w:t>（</w:t>
      </w:r>
      <w:r>
        <w:rPr>
          <w:rFonts w:hint="eastAsia" w:ascii="仿宋_GB2312" w:eastAsia="仿宋_GB2312"/>
          <w:sz w:val="32"/>
          <w:szCs w:val="40"/>
          <w:highlight w:val="none"/>
          <w:lang w:val="en-US" w:eastAsia="zh-CN"/>
        </w:rPr>
        <w:t>2）</w:t>
      </w:r>
      <w:r>
        <w:rPr>
          <w:rFonts w:hint="eastAsia" w:ascii="仿宋_GB2312" w:eastAsia="仿宋_GB2312"/>
          <w:sz w:val="32"/>
          <w:szCs w:val="40"/>
          <w:highlight w:val="none"/>
        </w:rPr>
        <w:t>环境卫生、清洁率达99%；</w:t>
      </w:r>
    </w:p>
    <w:p w14:paraId="62F34999">
      <w:pPr>
        <w:spacing w:line="240" w:lineRule="atLeast"/>
        <w:ind w:firstLine="640" w:firstLineChars="200"/>
        <w:jc w:val="left"/>
        <w:rPr>
          <w:rFonts w:hint="eastAsia" w:ascii="仿宋_GB2312" w:eastAsia="仿宋_GB2312"/>
          <w:sz w:val="32"/>
          <w:szCs w:val="40"/>
          <w:highlight w:val="none"/>
          <w:lang w:eastAsia="zh-CN"/>
        </w:rPr>
      </w:pPr>
      <w:r>
        <w:rPr>
          <w:rFonts w:hint="eastAsia" w:ascii="仿宋_GB2312" w:eastAsia="仿宋_GB2312"/>
          <w:sz w:val="32"/>
          <w:szCs w:val="40"/>
          <w:highlight w:val="none"/>
          <w:lang w:eastAsia="zh-CN"/>
        </w:rPr>
        <w:t>（</w:t>
      </w:r>
      <w:r>
        <w:rPr>
          <w:rFonts w:hint="eastAsia" w:ascii="仿宋_GB2312" w:eastAsia="仿宋_GB2312"/>
          <w:sz w:val="32"/>
          <w:szCs w:val="40"/>
          <w:highlight w:val="none"/>
          <w:lang w:val="en-US" w:eastAsia="zh-CN"/>
        </w:rPr>
        <w:t>3</w:t>
      </w:r>
      <w:r>
        <w:rPr>
          <w:rFonts w:hint="eastAsia" w:ascii="仿宋_GB2312" w:eastAsia="仿宋_GB2312"/>
          <w:sz w:val="32"/>
          <w:szCs w:val="40"/>
          <w:highlight w:val="none"/>
          <w:lang w:eastAsia="zh-CN"/>
        </w:rPr>
        <w:t>）服务有效投诉少于1%,处理率100%；</w:t>
      </w:r>
    </w:p>
    <w:p w14:paraId="073788E8">
      <w:pPr>
        <w:spacing w:line="240" w:lineRule="atLeast"/>
        <w:ind w:firstLine="640" w:firstLineChars="200"/>
        <w:jc w:val="left"/>
        <w:rPr>
          <w:rFonts w:hint="eastAsia" w:ascii="仿宋_GB2312" w:eastAsia="仿宋_GB2312"/>
          <w:sz w:val="32"/>
          <w:szCs w:val="40"/>
          <w:highlight w:val="none"/>
        </w:rPr>
      </w:pPr>
      <w:r>
        <w:rPr>
          <w:rFonts w:hint="eastAsia" w:ascii="仿宋_GB2312" w:eastAsia="仿宋_GB2312"/>
          <w:sz w:val="32"/>
          <w:szCs w:val="40"/>
          <w:highlight w:val="none"/>
          <w:lang w:eastAsia="zh-CN"/>
        </w:rPr>
        <w:t>（</w:t>
      </w:r>
      <w:r>
        <w:rPr>
          <w:rFonts w:hint="eastAsia" w:ascii="仿宋_GB2312" w:eastAsia="仿宋_GB2312"/>
          <w:sz w:val="32"/>
          <w:szCs w:val="40"/>
          <w:highlight w:val="none"/>
          <w:lang w:val="en-US" w:eastAsia="zh-CN"/>
        </w:rPr>
        <w:t>4</w:t>
      </w:r>
      <w:r>
        <w:rPr>
          <w:rFonts w:hint="eastAsia" w:ascii="仿宋_GB2312" w:eastAsia="仿宋_GB2312"/>
          <w:sz w:val="32"/>
          <w:szCs w:val="40"/>
          <w:highlight w:val="none"/>
          <w:lang w:eastAsia="zh-CN"/>
        </w:rPr>
        <w:t>）</w:t>
      </w:r>
      <w:r>
        <w:rPr>
          <w:rFonts w:hint="eastAsia" w:ascii="仿宋_GB2312" w:eastAsia="仿宋_GB2312"/>
          <w:sz w:val="32"/>
          <w:szCs w:val="40"/>
          <w:highlight w:val="none"/>
        </w:rPr>
        <w:t>满意率95%及以上。</w:t>
      </w:r>
    </w:p>
    <w:p w14:paraId="14FD7DE6">
      <w:pPr>
        <w:ind w:firstLine="482"/>
        <w:rPr>
          <w:b/>
          <w:bCs/>
          <w:sz w:val="28"/>
          <w:szCs w:val="28"/>
          <w:lang w:eastAsia="zh-CN"/>
        </w:rPr>
      </w:pPr>
      <w:r>
        <w:rPr>
          <w:rFonts w:hint="eastAsia"/>
          <w:b/>
          <w:bCs/>
          <w:sz w:val="28"/>
          <w:szCs w:val="28"/>
          <w:lang w:val="en-US" w:eastAsia="zh-CN"/>
        </w:rPr>
        <w:t>3.</w:t>
      </w:r>
      <w:r>
        <w:rPr>
          <w:b/>
          <w:bCs/>
          <w:sz w:val="28"/>
          <w:szCs w:val="28"/>
          <w:lang w:eastAsia="zh-CN"/>
        </w:rPr>
        <w:t>考核办法及考核工作要求结果运用</w:t>
      </w:r>
    </w:p>
    <w:p w14:paraId="05D80F93">
      <w:pPr>
        <w:spacing w:line="240" w:lineRule="atLeast"/>
        <w:ind w:firstLine="640" w:firstLineChars="200"/>
        <w:jc w:val="left"/>
        <w:rPr>
          <w:rFonts w:hint="eastAsia" w:ascii="仿宋_GB2312" w:eastAsia="仿宋_GB2312"/>
          <w:sz w:val="32"/>
          <w:szCs w:val="40"/>
          <w:highlight w:val="none"/>
          <w:lang w:eastAsia="zh-CN"/>
        </w:rPr>
      </w:pPr>
      <w:bookmarkStart w:id="562" w:name="bookmark73"/>
      <w:r>
        <w:rPr>
          <w:rFonts w:hint="eastAsia" w:ascii="仿宋_GB2312" w:eastAsia="仿宋_GB2312"/>
          <w:sz w:val="32"/>
          <w:szCs w:val="40"/>
          <w:highlight w:val="none"/>
          <w:lang w:eastAsia="zh-CN"/>
        </w:rPr>
        <w:t>（</w:t>
      </w:r>
      <w:bookmarkEnd w:id="562"/>
      <w:r>
        <w:rPr>
          <w:rFonts w:hint="eastAsia" w:ascii="仿宋_GB2312" w:eastAsia="仿宋_GB2312"/>
          <w:sz w:val="32"/>
          <w:szCs w:val="40"/>
          <w:highlight w:val="none"/>
          <w:lang w:val="en-US" w:eastAsia="zh-CN"/>
        </w:rPr>
        <w:t>1</w:t>
      </w:r>
      <w:r>
        <w:rPr>
          <w:rFonts w:hint="eastAsia" w:ascii="仿宋_GB2312" w:eastAsia="仿宋_GB2312"/>
          <w:sz w:val="32"/>
          <w:szCs w:val="40"/>
          <w:highlight w:val="none"/>
          <w:lang w:eastAsia="zh-CN"/>
        </w:rPr>
        <w:t>）考核办法</w:t>
      </w:r>
    </w:p>
    <w:p w14:paraId="25237099">
      <w:pPr>
        <w:spacing w:line="240" w:lineRule="atLeast"/>
        <w:ind w:firstLine="640" w:firstLineChars="200"/>
        <w:jc w:val="left"/>
        <w:rPr>
          <w:rFonts w:hint="eastAsia" w:ascii="仿宋_GB2312" w:eastAsia="仿宋_GB2312"/>
          <w:sz w:val="32"/>
          <w:szCs w:val="40"/>
          <w:highlight w:val="none"/>
          <w:lang w:eastAsia="zh-CN"/>
        </w:rPr>
      </w:pPr>
      <w:bookmarkStart w:id="563" w:name="bookmark74"/>
      <w:bookmarkEnd w:id="563"/>
      <w:r>
        <w:rPr>
          <w:rFonts w:hint="eastAsia" w:ascii="仿宋_GB2312" w:eastAsia="仿宋_GB2312"/>
          <w:sz w:val="32"/>
          <w:szCs w:val="40"/>
          <w:highlight w:val="none"/>
          <w:lang w:eastAsia="zh-CN"/>
        </w:rPr>
        <w:t>考核办法：考核实行百分制。</w:t>
      </w:r>
    </w:p>
    <w:p w14:paraId="6F5B06ED">
      <w:pPr>
        <w:spacing w:line="240" w:lineRule="atLeast"/>
        <w:ind w:firstLine="640" w:firstLineChars="200"/>
        <w:jc w:val="left"/>
        <w:rPr>
          <w:rFonts w:hint="eastAsia" w:ascii="仿宋_GB2312" w:eastAsia="仿宋_GB2312"/>
          <w:sz w:val="32"/>
          <w:szCs w:val="40"/>
          <w:highlight w:val="none"/>
          <w:lang w:eastAsia="zh-CN"/>
        </w:rPr>
      </w:pPr>
      <w:r>
        <w:rPr>
          <w:rFonts w:hint="eastAsia" w:ascii="仿宋_GB2312" w:eastAsia="仿宋_GB2312"/>
          <w:sz w:val="32"/>
          <w:szCs w:val="40"/>
          <w:highlight w:val="none"/>
          <w:lang w:eastAsia="zh-CN"/>
        </w:rPr>
        <w:t>月度考核：参照《河南应用技术职业学院物业服务月度综合考核表》执行。每月1次检查抽查，月度考核得分90分及以上的为</w:t>
      </w:r>
      <w:r>
        <w:rPr>
          <w:rFonts w:hint="eastAsia" w:ascii="仿宋_GB2312" w:eastAsia="仿宋_GB2312"/>
          <w:sz w:val="32"/>
          <w:szCs w:val="40"/>
          <w:highlight w:val="none"/>
          <w:lang w:val="en-US" w:eastAsia="zh-CN"/>
        </w:rPr>
        <w:t>优秀</w:t>
      </w:r>
      <w:r>
        <w:rPr>
          <w:rFonts w:hint="eastAsia" w:ascii="仿宋_GB2312" w:eastAsia="仿宋_GB2312"/>
          <w:sz w:val="32"/>
          <w:szCs w:val="40"/>
          <w:highlight w:val="none"/>
          <w:lang w:eastAsia="zh-CN"/>
        </w:rPr>
        <w:t>，80-89分的（含80分）为</w:t>
      </w:r>
      <w:r>
        <w:rPr>
          <w:rFonts w:hint="eastAsia" w:ascii="仿宋_GB2312" w:eastAsia="仿宋_GB2312"/>
          <w:sz w:val="32"/>
          <w:szCs w:val="40"/>
          <w:highlight w:val="none"/>
          <w:lang w:val="en-US" w:eastAsia="zh-CN"/>
        </w:rPr>
        <w:t>良好</w:t>
      </w:r>
      <w:r>
        <w:rPr>
          <w:rFonts w:hint="eastAsia" w:ascii="仿宋_GB2312" w:eastAsia="仿宋_GB2312"/>
          <w:sz w:val="32"/>
          <w:szCs w:val="40"/>
          <w:highlight w:val="none"/>
          <w:lang w:eastAsia="zh-CN"/>
        </w:rPr>
        <w:t>，60-79分（含 60分）的为合格；60分以下的为不合格。</w:t>
      </w:r>
    </w:p>
    <w:p w14:paraId="2E197B83">
      <w:pPr>
        <w:spacing w:line="240" w:lineRule="atLeast"/>
        <w:ind w:firstLine="640" w:firstLineChars="200"/>
        <w:jc w:val="left"/>
        <w:rPr>
          <w:rFonts w:hint="eastAsia" w:ascii="仿宋_GB2312" w:eastAsia="仿宋_GB2312"/>
          <w:sz w:val="32"/>
          <w:szCs w:val="40"/>
          <w:highlight w:val="none"/>
          <w:lang w:eastAsia="zh-CN"/>
        </w:rPr>
      </w:pPr>
      <w:bookmarkStart w:id="564" w:name="bookmark75"/>
      <w:r>
        <w:rPr>
          <w:rFonts w:hint="eastAsia" w:ascii="仿宋_GB2312" w:eastAsia="仿宋_GB2312"/>
          <w:sz w:val="32"/>
          <w:szCs w:val="40"/>
          <w:highlight w:val="none"/>
          <w:lang w:eastAsia="zh-CN"/>
        </w:rPr>
        <w:t>（</w:t>
      </w:r>
      <w:bookmarkEnd w:id="564"/>
      <w:r>
        <w:rPr>
          <w:rFonts w:hint="eastAsia" w:ascii="仿宋_GB2312" w:eastAsia="仿宋_GB2312"/>
          <w:sz w:val="32"/>
          <w:szCs w:val="40"/>
          <w:highlight w:val="none"/>
          <w:lang w:val="en-US" w:eastAsia="zh-CN"/>
        </w:rPr>
        <w:t>2</w:t>
      </w:r>
      <w:r>
        <w:rPr>
          <w:rFonts w:hint="eastAsia" w:ascii="仿宋_GB2312" w:eastAsia="仿宋_GB2312"/>
          <w:sz w:val="32"/>
          <w:szCs w:val="40"/>
          <w:highlight w:val="none"/>
          <w:lang w:eastAsia="zh-CN"/>
        </w:rPr>
        <w:t>）考核结果运用</w:t>
      </w:r>
    </w:p>
    <w:p w14:paraId="585E028B">
      <w:pPr>
        <w:spacing w:line="240" w:lineRule="atLeast"/>
        <w:ind w:firstLine="640" w:firstLineChars="200"/>
        <w:jc w:val="left"/>
        <w:rPr>
          <w:rFonts w:hint="eastAsia" w:ascii="仿宋_GB2312" w:eastAsia="仿宋_GB2312"/>
          <w:sz w:val="32"/>
          <w:szCs w:val="40"/>
          <w:highlight w:val="none"/>
          <w:lang w:eastAsia="zh-CN"/>
        </w:rPr>
      </w:pPr>
      <w:bookmarkStart w:id="565" w:name="bookmark76"/>
      <w:bookmarkEnd w:id="565"/>
      <w:r>
        <w:rPr>
          <w:rFonts w:hint="eastAsia" w:ascii="仿宋_GB2312" w:eastAsia="仿宋_GB2312"/>
          <w:sz w:val="32"/>
          <w:szCs w:val="40"/>
          <w:highlight w:val="none"/>
          <w:lang w:eastAsia="zh-CN"/>
        </w:rPr>
        <w:t>1.月度考核</w:t>
      </w:r>
      <w:r>
        <w:rPr>
          <w:rFonts w:hint="eastAsia" w:ascii="仿宋_GB2312" w:eastAsia="仿宋_GB2312"/>
          <w:sz w:val="32"/>
          <w:szCs w:val="40"/>
          <w:highlight w:val="none"/>
          <w:lang w:val="en-US" w:eastAsia="zh-CN"/>
        </w:rPr>
        <w:t>优秀，分数在90分及以上</w:t>
      </w:r>
      <w:r>
        <w:rPr>
          <w:rFonts w:hint="eastAsia" w:ascii="仿宋_GB2312" w:eastAsia="仿宋_GB2312"/>
          <w:sz w:val="32"/>
          <w:szCs w:val="40"/>
          <w:highlight w:val="none"/>
          <w:lang w:eastAsia="zh-CN"/>
        </w:rPr>
        <w:t>的，月度物业服务费按考核结果足额拨付。</w:t>
      </w:r>
    </w:p>
    <w:p w14:paraId="2DFE31F0">
      <w:pPr>
        <w:spacing w:line="240" w:lineRule="atLeast"/>
        <w:ind w:firstLine="640" w:firstLineChars="200"/>
        <w:jc w:val="left"/>
        <w:rPr>
          <w:rFonts w:hint="eastAsia" w:ascii="仿宋_GB2312" w:eastAsia="仿宋_GB2312"/>
          <w:sz w:val="32"/>
          <w:szCs w:val="40"/>
          <w:highlight w:val="none"/>
          <w:lang w:eastAsia="zh-CN"/>
        </w:rPr>
      </w:pPr>
      <w:bookmarkStart w:id="566" w:name="bookmark77"/>
      <w:bookmarkEnd w:id="566"/>
      <w:r>
        <w:rPr>
          <w:rFonts w:hint="eastAsia" w:ascii="仿宋_GB2312" w:eastAsia="仿宋_GB2312"/>
          <w:sz w:val="32"/>
          <w:szCs w:val="40"/>
          <w:highlight w:val="none"/>
          <w:lang w:eastAsia="zh-CN"/>
        </w:rPr>
        <w:t>2.月度考核</w:t>
      </w:r>
      <w:r>
        <w:rPr>
          <w:rFonts w:hint="eastAsia" w:ascii="仿宋_GB2312" w:eastAsia="仿宋_GB2312"/>
          <w:sz w:val="32"/>
          <w:szCs w:val="40"/>
          <w:highlight w:val="none"/>
          <w:lang w:val="en-US" w:eastAsia="zh-CN"/>
        </w:rPr>
        <w:t>良好，</w:t>
      </w:r>
      <w:r>
        <w:rPr>
          <w:rFonts w:hint="eastAsia" w:ascii="仿宋_GB2312" w:eastAsia="仿宋_GB2312"/>
          <w:sz w:val="32"/>
          <w:szCs w:val="40"/>
          <w:highlight w:val="none"/>
          <w:lang w:eastAsia="zh-CN"/>
        </w:rPr>
        <w:t>分数在80-89分（含80分）的，扣拨月度物业服务费的千分之五。</w:t>
      </w:r>
    </w:p>
    <w:p w14:paraId="28DADFA1">
      <w:pPr>
        <w:spacing w:line="240" w:lineRule="atLeast"/>
        <w:ind w:firstLine="640" w:firstLineChars="200"/>
        <w:jc w:val="left"/>
        <w:rPr>
          <w:rFonts w:hint="eastAsia" w:ascii="仿宋_GB2312" w:eastAsia="仿宋_GB2312"/>
          <w:sz w:val="32"/>
          <w:szCs w:val="40"/>
          <w:highlight w:val="none"/>
          <w:lang w:eastAsia="zh-CN"/>
        </w:rPr>
      </w:pPr>
      <w:bookmarkStart w:id="567" w:name="bookmark78"/>
      <w:bookmarkEnd w:id="567"/>
      <w:r>
        <w:rPr>
          <w:rFonts w:hint="eastAsia" w:ascii="仿宋_GB2312" w:eastAsia="仿宋_GB2312"/>
          <w:sz w:val="32"/>
          <w:szCs w:val="40"/>
          <w:highlight w:val="none"/>
          <w:lang w:eastAsia="zh-CN"/>
        </w:rPr>
        <w:t>3.月度考核分数</w:t>
      </w:r>
      <w:r>
        <w:rPr>
          <w:rFonts w:hint="eastAsia" w:ascii="仿宋_GB2312" w:eastAsia="仿宋_GB2312"/>
          <w:sz w:val="32"/>
          <w:szCs w:val="40"/>
          <w:highlight w:val="none"/>
          <w:lang w:val="en-US" w:eastAsia="zh-CN"/>
        </w:rPr>
        <w:t>合格，分数</w:t>
      </w:r>
      <w:r>
        <w:rPr>
          <w:rFonts w:hint="eastAsia" w:ascii="仿宋_GB2312" w:eastAsia="仿宋_GB2312"/>
          <w:sz w:val="32"/>
          <w:szCs w:val="40"/>
          <w:highlight w:val="none"/>
          <w:lang w:eastAsia="zh-CN"/>
        </w:rPr>
        <w:t>在60-79分（含60分）的，扣拨月度物业服务费的千分之十。</w:t>
      </w:r>
    </w:p>
    <w:p w14:paraId="105B3F8D">
      <w:pPr>
        <w:spacing w:line="240" w:lineRule="atLeast"/>
        <w:ind w:firstLine="640" w:firstLineChars="200"/>
        <w:jc w:val="left"/>
        <w:rPr>
          <w:rFonts w:hint="eastAsia" w:ascii="仿宋_GB2312" w:eastAsia="仿宋_GB2312"/>
          <w:sz w:val="32"/>
          <w:szCs w:val="40"/>
          <w:highlight w:val="none"/>
          <w:lang w:eastAsia="zh-CN"/>
        </w:rPr>
      </w:pPr>
      <w:r>
        <w:rPr>
          <w:rFonts w:hint="eastAsia" w:ascii="仿宋_GB2312" w:eastAsia="仿宋_GB2312"/>
          <w:sz w:val="32"/>
          <w:szCs w:val="40"/>
          <w:highlight w:val="none"/>
          <w:lang w:val="en-US" w:eastAsia="zh-CN"/>
        </w:rPr>
        <w:t>4.</w:t>
      </w:r>
      <w:r>
        <w:rPr>
          <w:rFonts w:hint="eastAsia" w:ascii="仿宋_GB2312" w:eastAsia="仿宋_GB2312"/>
          <w:sz w:val="32"/>
          <w:szCs w:val="40"/>
          <w:highlight w:val="none"/>
          <w:lang w:eastAsia="zh-CN"/>
        </w:rPr>
        <w:t>月度考核分数连续三个月不合格的，</w:t>
      </w:r>
      <w:r>
        <w:rPr>
          <w:rFonts w:hint="eastAsia" w:ascii="仿宋_GB2312" w:eastAsia="仿宋_GB2312"/>
          <w:sz w:val="32"/>
          <w:szCs w:val="40"/>
          <w:highlight w:val="none"/>
          <w:lang w:val="en-US" w:eastAsia="zh-CN"/>
        </w:rPr>
        <w:t>分数在60分以下的，采购人</w:t>
      </w:r>
      <w:r>
        <w:rPr>
          <w:rFonts w:hint="eastAsia" w:ascii="仿宋_GB2312" w:eastAsia="仿宋_GB2312"/>
          <w:sz w:val="32"/>
          <w:szCs w:val="40"/>
          <w:highlight w:val="none"/>
          <w:lang w:eastAsia="zh-CN"/>
        </w:rPr>
        <w:t>有权解除物业服务合同。</w:t>
      </w:r>
    </w:p>
    <w:p w14:paraId="65DF0AAC">
      <w:pPr>
        <w:jc w:val="center"/>
        <w:rPr>
          <w:sz w:val="24"/>
          <w:szCs w:val="24"/>
        </w:rPr>
      </w:pPr>
      <w:bookmarkStart w:id="568" w:name="bookmark79"/>
      <w:bookmarkEnd w:id="568"/>
      <w:r>
        <w:rPr>
          <w:lang w:eastAsia="zh-CN"/>
        </w:rPr>
        <w:br w:type="page"/>
      </w:r>
      <w:r>
        <w:rPr>
          <w:b w:val="0"/>
          <w:bCs w:val="0"/>
          <w:sz w:val="28"/>
          <w:szCs w:val="28"/>
          <w:lang w:eastAsia="zh-CN"/>
        </w:rPr>
        <w:t>《河南应用技术职业学院</w:t>
      </w:r>
      <w:r>
        <w:rPr>
          <w:rFonts w:hint="eastAsia"/>
          <w:b w:val="0"/>
          <w:bCs w:val="0"/>
          <w:sz w:val="28"/>
          <w:szCs w:val="28"/>
          <w:lang w:eastAsia="zh-CN"/>
        </w:rPr>
        <w:t>物业服务月度综合考核表</w:t>
      </w:r>
      <w:r>
        <w:rPr>
          <w:b w:val="0"/>
          <w:bCs w:val="0"/>
          <w:sz w:val="28"/>
          <w:szCs w:val="28"/>
          <w:lang w:eastAsia="zh-CN"/>
        </w:rPr>
        <w:t>》</w:t>
      </w:r>
    </w:p>
    <w:p w14:paraId="1C0DE3E5">
      <w:pPr>
        <w:pStyle w:val="283"/>
        <w:tabs>
          <w:tab w:val="left" w:pos="3157"/>
        </w:tabs>
        <w:ind w:left="2940" w:firstLine="480"/>
        <w:rPr>
          <w:rFonts w:hint="eastAsia"/>
          <w:sz w:val="24"/>
          <w:szCs w:val="24"/>
          <w:lang w:val="en-US" w:eastAsia="zh-CN"/>
        </w:rPr>
      </w:pPr>
      <w:r>
        <w:rPr>
          <w:rFonts w:hint="eastAsia"/>
          <w:sz w:val="24"/>
          <w:szCs w:val="24"/>
          <w:lang w:val="en-US" w:eastAsia="zh-CN"/>
        </w:rPr>
        <w:t xml:space="preserve">        </w:t>
      </w:r>
    </w:p>
    <w:p w14:paraId="66536075">
      <w:pPr>
        <w:pStyle w:val="283"/>
        <w:tabs>
          <w:tab w:val="left" w:pos="3157"/>
        </w:tabs>
        <w:ind w:left="2940" w:firstLine="1440" w:firstLineChars="600"/>
        <w:rPr>
          <w:sz w:val="24"/>
          <w:szCs w:val="24"/>
        </w:rPr>
      </w:pPr>
      <w:r>
        <w:rPr>
          <w:sz w:val="24"/>
          <w:szCs w:val="24"/>
        </w:rPr>
        <w:t>填报时间:</w:t>
      </w:r>
      <w:r>
        <w:rPr>
          <w:sz w:val="24"/>
          <w:szCs w:val="24"/>
        </w:rPr>
        <w:tab/>
      </w:r>
      <w:r>
        <w:rPr>
          <w:rFonts w:hint="eastAsia"/>
          <w:sz w:val="24"/>
          <w:szCs w:val="24"/>
          <w:lang w:val="en-US" w:eastAsia="zh-CN"/>
        </w:rPr>
        <w:t xml:space="preserve">  </w:t>
      </w:r>
      <w:r>
        <w:rPr>
          <w:sz w:val="24"/>
          <w:szCs w:val="24"/>
        </w:rPr>
        <w:t>年</w:t>
      </w:r>
      <w:r>
        <w:rPr>
          <w:rFonts w:hint="eastAsia"/>
          <w:sz w:val="24"/>
          <w:szCs w:val="24"/>
          <w:lang w:val="en-US" w:eastAsia="zh-CN"/>
        </w:rPr>
        <w:t xml:space="preserve">    </w:t>
      </w:r>
      <w:r>
        <w:rPr>
          <w:sz w:val="24"/>
          <w:szCs w:val="24"/>
        </w:rPr>
        <w:t xml:space="preserve"> 月 </w:t>
      </w:r>
      <w:r>
        <w:rPr>
          <w:rFonts w:hint="eastAsia"/>
          <w:sz w:val="24"/>
          <w:szCs w:val="24"/>
          <w:lang w:val="en-US" w:eastAsia="zh-CN"/>
        </w:rPr>
        <w:t xml:space="preserve">   </w:t>
      </w:r>
      <w:r>
        <w:rPr>
          <w:sz w:val="24"/>
          <w:szCs w:val="24"/>
        </w:rPr>
        <w:t>日</w:t>
      </w:r>
    </w:p>
    <w:tbl>
      <w:tblPr>
        <w:tblStyle w:val="53"/>
        <w:tblW w:w="0" w:type="auto"/>
        <w:jc w:val="center"/>
        <w:tblLayout w:type="fixed"/>
        <w:tblCellMar>
          <w:top w:w="0" w:type="dxa"/>
          <w:left w:w="10" w:type="dxa"/>
          <w:bottom w:w="0" w:type="dxa"/>
          <w:right w:w="10" w:type="dxa"/>
        </w:tblCellMar>
      </w:tblPr>
      <w:tblGrid>
        <w:gridCol w:w="2786"/>
        <w:gridCol w:w="6236"/>
      </w:tblGrid>
      <w:tr w14:paraId="30DC29CF">
        <w:tblPrEx>
          <w:tblCellMar>
            <w:top w:w="0" w:type="dxa"/>
            <w:left w:w="10" w:type="dxa"/>
            <w:bottom w:w="0" w:type="dxa"/>
            <w:right w:w="10" w:type="dxa"/>
          </w:tblCellMar>
        </w:tblPrEx>
        <w:trPr>
          <w:trHeight w:val="1474" w:hRule="atLeast"/>
          <w:jc w:val="center"/>
        </w:trPr>
        <w:tc>
          <w:tcPr>
            <w:tcW w:w="2786" w:type="dxa"/>
            <w:tcBorders>
              <w:top w:val="single" w:color="auto" w:sz="4" w:space="0"/>
              <w:left w:val="single" w:color="auto" w:sz="4" w:space="0"/>
            </w:tcBorders>
            <w:shd w:val="clear" w:color="auto" w:fill="FFFFFF"/>
            <w:vAlign w:val="center"/>
          </w:tcPr>
          <w:p w14:paraId="41ECED8A">
            <w:pPr>
              <w:pStyle w:val="279"/>
              <w:spacing w:line="360" w:lineRule="auto"/>
              <w:ind w:firstLine="480"/>
              <w:jc w:val="center"/>
              <w:rPr>
                <w:sz w:val="28"/>
                <w:szCs w:val="28"/>
              </w:rPr>
            </w:pPr>
            <w:r>
              <w:rPr>
                <w:sz w:val="28"/>
                <w:szCs w:val="28"/>
              </w:rPr>
              <w:t>物业服务区域</w:t>
            </w:r>
          </w:p>
        </w:tc>
        <w:tc>
          <w:tcPr>
            <w:tcW w:w="6236" w:type="dxa"/>
            <w:tcBorders>
              <w:top w:val="single" w:color="auto" w:sz="4" w:space="0"/>
              <w:left w:val="single" w:color="auto" w:sz="4" w:space="0"/>
              <w:right w:val="single" w:color="auto" w:sz="4" w:space="0"/>
            </w:tcBorders>
            <w:shd w:val="clear" w:color="auto" w:fill="FFFFFF"/>
          </w:tcPr>
          <w:p w14:paraId="5BD54398">
            <w:pPr>
              <w:ind w:firstLine="480"/>
              <w:rPr>
                <w:sz w:val="28"/>
                <w:szCs w:val="28"/>
              </w:rPr>
            </w:pPr>
          </w:p>
        </w:tc>
      </w:tr>
      <w:tr w14:paraId="532F1D9D">
        <w:tblPrEx>
          <w:tblCellMar>
            <w:top w:w="0" w:type="dxa"/>
            <w:left w:w="10" w:type="dxa"/>
            <w:bottom w:w="0" w:type="dxa"/>
            <w:right w:w="10" w:type="dxa"/>
          </w:tblCellMar>
        </w:tblPrEx>
        <w:trPr>
          <w:trHeight w:val="1474" w:hRule="atLeast"/>
          <w:jc w:val="center"/>
        </w:trPr>
        <w:tc>
          <w:tcPr>
            <w:tcW w:w="2786" w:type="dxa"/>
            <w:tcBorders>
              <w:top w:val="single" w:color="auto" w:sz="4" w:space="0"/>
              <w:left w:val="single" w:color="auto" w:sz="4" w:space="0"/>
            </w:tcBorders>
            <w:shd w:val="clear" w:color="auto" w:fill="FFFFFF"/>
            <w:vAlign w:val="center"/>
          </w:tcPr>
          <w:p w14:paraId="4E1C0339">
            <w:pPr>
              <w:pStyle w:val="279"/>
              <w:spacing w:line="360" w:lineRule="auto"/>
              <w:ind w:firstLine="480"/>
              <w:jc w:val="center"/>
              <w:rPr>
                <w:sz w:val="28"/>
                <w:szCs w:val="28"/>
              </w:rPr>
            </w:pPr>
            <w:r>
              <w:rPr>
                <w:sz w:val="28"/>
                <w:szCs w:val="28"/>
              </w:rPr>
              <w:t>综合考评结果</w:t>
            </w:r>
          </w:p>
        </w:tc>
        <w:tc>
          <w:tcPr>
            <w:tcW w:w="6236" w:type="dxa"/>
            <w:tcBorders>
              <w:top w:val="single" w:color="auto" w:sz="4" w:space="0"/>
              <w:left w:val="single" w:color="auto" w:sz="4" w:space="0"/>
              <w:right w:val="single" w:color="auto" w:sz="4" w:space="0"/>
            </w:tcBorders>
            <w:shd w:val="clear" w:color="auto" w:fill="FFFFFF"/>
            <w:vAlign w:val="center"/>
          </w:tcPr>
          <w:p w14:paraId="7376D216">
            <w:pPr>
              <w:pStyle w:val="279"/>
              <w:tabs>
                <w:tab w:val="left" w:pos="742"/>
                <w:tab w:val="left" w:pos="1817"/>
              </w:tabs>
              <w:spacing w:line="360" w:lineRule="auto"/>
              <w:ind w:firstLine="480"/>
              <w:jc w:val="center"/>
              <w:rPr>
                <w:sz w:val="28"/>
                <w:szCs w:val="28"/>
              </w:rPr>
            </w:pPr>
            <w:r>
              <w:rPr>
                <w:sz w:val="28"/>
                <w:szCs w:val="28"/>
              </w:rPr>
              <w:t>口</w:t>
            </w:r>
            <w:r>
              <w:rPr>
                <w:rFonts w:hint="eastAsia"/>
                <w:sz w:val="28"/>
                <w:szCs w:val="28"/>
                <w:lang w:val="en-US" w:eastAsia="zh-CN"/>
              </w:rPr>
              <w:t>优秀</w:t>
            </w:r>
            <w:r>
              <w:rPr>
                <w:sz w:val="28"/>
                <w:szCs w:val="28"/>
              </w:rPr>
              <w:tab/>
            </w:r>
            <w:r>
              <w:rPr>
                <w:sz w:val="28"/>
                <w:szCs w:val="28"/>
              </w:rPr>
              <w:t>□</w:t>
            </w:r>
            <w:r>
              <w:rPr>
                <w:rFonts w:hint="eastAsia"/>
                <w:sz w:val="28"/>
                <w:szCs w:val="28"/>
                <w:lang w:val="en-US" w:eastAsia="zh-CN"/>
              </w:rPr>
              <w:t>良好</w:t>
            </w:r>
            <w:r>
              <w:rPr>
                <w:sz w:val="28"/>
                <w:szCs w:val="28"/>
              </w:rPr>
              <w:tab/>
            </w:r>
            <w:r>
              <w:rPr>
                <w:sz w:val="28"/>
                <w:szCs w:val="28"/>
              </w:rPr>
              <w:t>□合格</w:t>
            </w:r>
            <w:r>
              <w:rPr>
                <w:rFonts w:hint="eastAsia"/>
                <w:sz w:val="28"/>
                <w:szCs w:val="28"/>
                <w:lang w:val="en-US" w:eastAsia="zh-CN"/>
              </w:rPr>
              <w:t xml:space="preserve">    </w:t>
            </w:r>
            <w:r>
              <w:rPr>
                <w:sz w:val="28"/>
                <w:szCs w:val="28"/>
              </w:rPr>
              <w:t>□不合格</w:t>
            </w:r>
          </w:p>
        </w:tc>
      </w:tr>
      <w:tr w14:paraId="0F550E81">
        <w:tblPrEx>
          <w:tblCellMar>
            <w:top w:w="0" w:type="dxa"/>
            <w:left w:w="10" w:type="dxa"/>
            <w:bottom w:w="0" w:type="dxa"/>
            <w:right w:w="10" w:type="dxa"/>
          </w:tblCellMar>
        </w:tblPrEx>
        <w:trPr>
          <w:trHeight w:val="1474" w:hRule="atLeast"/>
          <w:jc w:val="center"/>
        </w:trPr>
        <w:tc>
          <w:tcPr>
            <w:tcW w:w="2786" w:type="dxa"/>
            <w:tcBorders>
              <w:top w:val="single" w:color="auto" w:sz="4" w:space="0"/>
              <w:left w:val="single" w:color="auto" w:sz="4" w:space="0"/>
            </w:tcBorders>
            <w:shd w:val="clear" w:color="auto" w:fill="FFFFFF"/>
            <w:vAlign w:val="center"/>
          </w:tcPr>
          <w:p w14:paraId="326F0D01">
            <w:pPr>
              <w:pStyle w:val="279"/>
              <w:spacing w:line="360" w:lineRule="auto"/>
              <w:ind w:firstLine="480"/>
              <w:jc w:val="center"/>
              <w:rPr>
                <w:sz w:val="28"/>
                <w:szCs w:val="28"/>
              </w:rPr>
            </w:pPr>
            <w:r>
              <w:rPr>
                <w:sz w:val="28"/>
                <w:szCs w:val="28"/>
              </w:rPr>
              <w:t>具体问题说明</w:t>
            </w:r>
          </w:p>
        </w:tc>
        <w:tc>
          <w:tcPr>
            <w:tcW w:w="6236" w:type="dxa"/>
            <w:tcBorders>
              <w:top w:val="single" w:color="auto" w:sz="4" w:space="0"/>
              <w:left w:val="single" w:color="auto" w:sz="4" w:space="0"/>
              <w:right w:val="single" w:color="auto" w:sz="4" w:space="0"/>
            </w:tcBorders>
            <w:shd w:val="clear" w:color="auto" w:fill="FFFFFF"/>
          </w:tcPr>
          <w:p w14:paraId="2B4834D9">
            <w:pPr>
              <w:ind w:firstLine="480"/>
              <w:rPr>
                <w:sz w:val="28"/>
                <w:szCs w:val="28"/>
              </w:rPr>
            </w:pPr>
          </w:p>
        </w:tc>
      </w:tr>
      <w:tr w14:paraId="00B458BF">
        <w:tblPrEx>
          <w:tblCellMar>
            <w:top w:w="0" w:type="dxa"/>
            <w:left w:w="10" w:type="dxa"/>
            <w:bottom w:w="0" w:type="dxa"/>
            <w:right w:w="10" w:type="dxa"/>
          </w:tblCellMar>
        </w:tblPrEx>
        <w:trPr>
          <w:trHeight w:val="1474" w:hRule="atLeast"/>
          <w:jc w:val="center"/>
        </w:trPr>
        <w:tc>
          <w:tcPr>
            <w:tcW w:w="2786" w:type="dxa"/>
            <w:tcBorders>
              <w:top w:val="single" w:color="auto" w:sz="4" w:space="0"/>
              <w:left w:val="single" w:color="auto" w:sz="4" w:space="0"/>
            </w:tcBorders>
            <w:shd w:val="clear" w:color="auto" w:fill="FFFFFF"/>
            <w:vAlign w:val="center"/>
          </w:tcPr>
          <w:p w14:paraId="6D44F017">
            <w:pPr>
              <w:pStyle w:val="279"/>
              <w:spacing w:line="360" w:lineRule="auto"/>
              <w:ind w:firstLine="480"/>
              <w:jc w:val="center"/>
              <w:rPr>
                <w:sz w:val="28"/>
                <w:szCs w:val="28"/>
              </w:rPr>
            </w:pPr>
            <w:r>
              <w:rPr>
                <w:sz w:val="28"/>
                <w:szCs w:val="28"/>
              </w:rPr>
              <w:t>惩处意见</w:t>
            </w:r>
          </w:p>
        </w:tc>
        <w:tc>
          <w:tcPr>
            <w:tcW w:w="6236" w:type="dxa"/>
            <w:tcBorders>
              <w:top w:val="single" w:color="auto" w:sz="4" w:space="0"/>
              <w:left w:val="single" w:color="auto" w:sz="4" w:space="0"/>
              <w:right w:val="single" w:color="auto" w:sz="4" w:space="0"/>
            </w:tcBorders>
            <w:shd w:val="clear" w:color="auto" w:fill="FFFFFF"/>
          </w:tcPr>
          <w:p w14:paraId="455C19EF">
            <w:pPr>
              <w:ind w:firstLine="480"/>
              <w:rPr>
                <w:sz w:val="28"/>
                <w:szCs w:val="28"/>
              </w:rPr>
            </w:pPr>
          </w:p>
        </w:tc>
      </w:tr>
      <w:tr w14:paraId="0B688C3A">
        <w:tblPrEx>
          <w:tblCellMar>
            <w:top w:w="0" w:type="dxa"/>
            <w:left w:w="10" w:type="dxa"/>
            <w:bottom w:w="0" w:type="dxa"/>
            <w:right w:w="10" w:type="dxa"/>
          </w:tblCellMar>
        </w:tblPrEx>
        <w:trPr>
          <w:trHeight w:val="1474" w:hRule="atLeast"/>
          <w:jc w:val="center"/>
        </w:trPr>
        <w:tc>
          <w:tcPr>
            <w:tcW w:w="2786" w:type="dxa"/>
            <w:tcBorders>
              <w:top w:val="single" w:color="auto" w:sz="4" w:space="0"/>
              <w:left w:val="single" w:color="auto" w:sz="4" w:space="0"/>
            </w:tcBorders>
            <w:shd w:val="clear" w:color="auto" w:fill="FFFFFF"/>
            <w:vAlign w:val="center"/>
          </w:tcPr>
          <w:p w14:paraId="5D92FFE7">
            <w:pPr>
              <w:pStyle w:val="279"/>
              <w:spacing w:line="360" w:lineRule="auto"/>
              <w:ind w:firstLine="480"/>
              <w:jc w:val="center"/>
              <w:rPr>
                <w:sz w:val="28"/>
                <w:szCs w:val="28"/>
              </w:rPr>
            </w:pPr>
            <w:r>
              <w:rPr>
                <w:sz w:val="28"/>
                <w:szCs w:val="28"/>
              </w:rPr>
              <w:t>考评签字</w:t>
            </w:r>
          </w:p>
        </w:tc>
        <w:tc>
          <w:tcPr>
            <w:tcW w:w="6236" w:type="dxa"/>
            <w:tcBorders>
              <w:top w:val="single" w:color="auto" w:sz="4" w:space="0"/>
              <w:left w:val="single" w:color="auto" w:sz="4" w:space="0"/>
              <w:right w:val="single" w:color="auto" w:sz="4" w:space="0"/>
            </w:tcBorders>
            <w:shd w:val="clear" w:color="auto" w:fill="FFFFFF"/>
          </w:tcPr>
          <w:p w14:paraId="26316EEA">
            <w:pPr>
              <w:ind w:firstLine="480"/>
              <w:rPr>
                <w:sz w:val="28"/>
                <w:szCs w:val="28"/>
              </w:rPr>
            </w:pPr>
          </w:p>
        </w:tc>
      </w:tr>
      <w:tr w14:paraId="01148BCA">
        <w:tblPrEx>
          <w:tblCellMar>
            <w:top w:w="0" w:type="dxa"/>
            <w:left w:w="10" w:type="dxa"/>
            <w:bottom w:w="0" w:type="dxa"/>
            <w:right w:w="10" w:type="dxa"/>
          </w:tblCellMar>
        </w:tblPrEx>
        <w:trPr>
          <w:trHeight w:val="1474" w:hRule="atLeast"/>
          <w:jc w:val="center"/>
        </w:trPr>
        <w:tc>
          <w:tcPr>
            <w:tcW w:w="2786" w:type="dxa"/>
            <w:tcBorders>
              <w:top w:val="single" w:color="auto" w:sz="4" w:space="0"/>
              <w:left w:val="single" w:color="auto" w:sz="4" w:space="0"/>
              <w:bottom w:val="single" w:color="auto" w:sz="4" w:space="0"/>
            </w:tcBorders>
            <w:shd w:val="clear" w:color="auto" w:fill="FFFFFF"/>
            <w:vAlign w:val="center"/>
          </w:tcPr>
          <w:p w14:paraId="59B67F1E">
            <w:pPr>
              <w:pStyle w:val="279"/>
              <w:spacing w:line="360" w:lineRule="auto"/>
              <w:ind w:firstLine="480"/>
              <w:jc w:val="center"/>
              <w:rPr>
                <w:sz w:val="28"/>
                <w:szCs w:val="28"/>
              </w:rPr>
            </w:pPr>
            <w:r>
              <w:rPr>
                <w:sz w:val="28"/>
                <w:szCs w:val="28"/>
              </w:rPr>
              <w:t>管理部门负责人签字</w:t>
            </w:r>
          </w:p>
        </w:tc>
        <w:tc>
          <w:tcPr>
            <w:tcW w:w="6236" w:type="dxa"/>
            <w:tcBorders>
              <w:top w:val="single" w:color="auto" w:sz="4" w:space="0"/>
              <w:left w:val="single" w:color="auto" w:sz="4" w:space="0"/>
              <w:bottom w:val="single" w:color="auto" w:sz="4" w:space="0"/>
              <w:right w:val="single" w:color="auto" w:sz="4" w:space="0"/>
            </w:tcBorders>
            <w:shd w:val="clear" w:color="auto" w:fill="FFFFFF"/>
          </w:tcPr>
          <w:p w14:paraId="38AC4BE7">
            <w:pPr>
              <w:ind w:firstLine="480"/>
              <w:rPr>
                <w:sz w:val="28"/>
                <w:szCs w:val="28"/>
              </w:rPr>
            </w:pPr>
          </w:p>
        </w:tc>
      </w:tr>
    </w:tbl>
    <w:p w14:paraId="0680F85B">
      <w:pPr>
        <w:spacing w:after="339"/>
        <w:ind w:firstLine="480"/>
      </w:pPr>
    </w:p>
    <w:p w14:paraId="0EFB6357">
      <w:pPr>
        <w:pStyle w:val="151"/>
        <w:spacing w:after="340" w:line="360" w:lineRule="auto"/>
        <w:ind w:left="1020" w:firstLine="3422" w:firstLineChars="1426"/>
        <w:rPr>
          <w:sz w:val="24"/>
          <w:szCs w:val="24"/>
        </w:rPr>
      </w:pPr>
      <w:r>
        <w:rPr>
          <w:sz w:val="24"/>
          <w:szCs w:val="24"/>
        </w:rPr>
        <w:t>（管理部门名称）盖章</w:t>
      </w:r>
    </w:p>
    <w:p w14:paraId="71B13335">
      <w:pPr>
        <w:spacing w:before="128" w:line="360" w:lineRule="auto"/>
        <w:ind w:left="420" w:leftChars="200"/>
        <w:jc w:val="left"/>
        <w:rPr>
          <w:rFonts w:hint="default" w:ascii="宋体" w:hAnsi="宋体" w:eastAsia="宋体" w:cs="宋体"/>
          <w:b/>
          <w:bCs/>
          <w:kern w:val="0"/>
          <w:sz w:val="40"/>
          <w:szCs w:val="40"/>
          <w:lang w:val="en-US" w:eastAsia="zh-CN"/>
        </w:rPr>
      </w:pPr>
    </w:p>
    <w:p w14:paraId="4948A25F">
      <w:pPr>
        <w:pStyle w:val="71"/>
        <w:rPr>
          <w:rFonts w:hint="default"/>
          <w:lang w:val="en-US" w:eastAsia="zh-CN"/>
        </w:rPr>
      </w:pPr>
    </w:p>
    <w:p w14:paraId="3F9A6EA5">
      <w:pPr>
        <w:pStyle w:val="71"/>
        <w:rPr>
          <w:rFonts w:hint="default" w:eastAsia="等线"/>
          <w:lang w:val="en-US" w:eastAsia="zh-CN"/>
        </w:rPr>
      </w:pPr>
    </w:p>
    <w:p w14:paraId="7B1360CD">
      <w:pPr>
        <w:pStyle w:val="71"/>
        <w:rPr>
          <w:rFonts w:hint="default" w:eastAsia="等线"/>
          <w:lang w:val="en-US" w:eastAsia="zh-CN"/>
        </w:rPr>
      </w:pPr>
    </w:p>
    <w:p w14:paraId="76AE82A0">
      <w:pPr>
        <w:spacing w:line="240" w:lineRule="atLeast"/>
        <w:jc w:val="left"/>
        <w:outlineLvl w:val="0"/>
        <w:rPr>
          <w:rFonts w:hint="default" w:ascii="仿宋_GB2312" w:eastAsia="仿宋_GB2312"/>
          <w:b/>
          <w:bCs/>
          <w:sz w:val="32"/>
          <w:szCs w:val="40"/>
          <w:lang w:val="en-US" w:eastAsia="zh-CN"/>
        </w:rPr>
      </w:pPr>
      <w:r>
        <w:rPr>
          <w:rFonts w:hint="eastAsia" w:ascii="仿宋_GB2312" w:eastAsia="仿宋_GB2312"/>
          <w:b/>
          <w:bCs/>
          <w:sz w:val="32"/>
          <w:szCs w:val="40"/>
          <w:lang w:val="en-US" w:eastAsia="zh-CN"/>
        </w:rPr>
        <w:t>六、项目相关要求</w:t>
      </w:r>
    </w:p>
    <w:p w14:paraId="3A887995">
      <w:pPr>
        <w:keepNext w:val="0"/>
        <w:keepLines w:val="0"/>
        <w:pageBreakBefore w:val="0"/>
        <w:widowControl/>
        <w:kinsoku/>
        <w:wordWrap/>
        <w:overflowPunct/>
        <w:topLinePunct w:val="0"/>
        <w:autoSpaceDE/>
        <w:autoSpaceDN/>
        <w:bidi w:val="0"/>
        <w:adjustRightInd/>
        <w:snapToGrid/>
        <w:spacing w:before="128" w:line="520" w:lineRule="exact"/>
        <w:ind w:firstLine="640" w:firstLineChars="200"/>
        <w:textAlignment w:val="auto"/>
        <w:rPr>
          <w:rFonts w:hint="default" w:ascii="Times New Roman" w:hAnsi="Times New Roman" w:eastAsia="仿宋"/>
          <w:color w:val="auto"/>
          <w:sz w:val="32"/>
          <w:szCs w:val="32"/>
          <w:lang w:val="en-US" w:eastAsia="zh-CN"/>
        </w:rPr>
      </w:pPr>
      <w:r>
        <w:rPr>
          <w:rFonts w:ascii="Times New Roman" w:hAnsi="Times New Roman" w:eastAsia="仿宋"/>
          <w:color w:val="auto"/>
          <w:sz w:val="32"/>
          <w:szCs w:val="32"/>
          <w:lang w:val="en-US" w:eastAsia="zh-CN"/>
        </w:rPr>
        <w:t>1.投标人应在投标文件中提供类似业绩、人员</w:t>
      </w:r>
      <w:r>
        <w:rPr>
          <w:rFonts w:hint="eastAsia" w:ascii="Times New Roman" w:hAnsi="Times New Roman" w:eastAsia="仿宋"/>
          <w:color w:val="auto"/>
          <w:sz w:val="32"/>
          <w:szCs w:val="32"/>
          <w:lang w:val="en-US" w:eastAsia="zh-CN"/>
        </w:rPr>
        <w:t>、设备及物料投入</w:t>
      </w:r>
      <w:r>
        <w:rPr>
          <w:rFonts w:ascii="Times New Roman" w:hAnsi="Times New Roman" w:eastAsia="仿宋"/>
          <w:color w:val="auto"/>
          <w:sz w:val="32"/>
          <w:szCs w:val="32"/>
          <w:lang w:val="en-US" w:eastAsia="zh-CN"/>
        </w:rPr>
        <w:t>等证明材料。</w:t>
      </w:r>
    </w:p>
    <w:p w14:paraId="0E3F638C">
      <w:pPr>
        <w:keepNext w:val="0"/>
        <w:keepLines w:val="0"/>
        <w:pageBreakBefore w:val="0"/>
        <w:widowControl/>
        <w:kinsoku/>
        <w:wordWrap/>
        <w:overflowPunct/>
        <w:topLinePunct w:val="0"/>
        <w:autoSpaceDE/>
        <w:autoSpaceDN/>
        <w:bidi w:val="0"/>
        <w:adjustRightInd/>
        <w:snapToGrid/>
        <w:spacing w:before="128" w:line="520" w:lineRule="exact"/>
        <w:ind w:firstLine="640" w:firstLineChars="200"/>
        <w:textAlignment w:val="auto"/>
        <w:rPr>
          <w:rFonts w:hint="default" w:ascii="Times New Roman" w:hAnsi="Times New Roman" w:eastAsia="仿宋"/>
          <w:color w:val="auto"/>
          <w:sz w:val="32"/>
          <w:szCs w:val="32"/>
          <w:lang w:val="en-US" w:eastAsia="zh-CN"/>
        </w:rPr>
      </w:pPr>
      <w:r>
        <w:rPr>
          <w:rFonts w:ascii="Times New Roman" w:hAnsi="Times New Roman" w:eastAsia="仿宋"/>
          <w:color w:val="auto"/>
          <w:sz w:val="32"/>
          <w:szCs w:val="32"/>
          <w:lang w:val="en-US" w:eastAsia="zh-CN"/>
        </w:rPr>
        <w:t>2.</w:t>
      </w:r>
      <w:r>
        <w:rPr>
          <w:rFonts w:hint="eastAsia" w:ascii="Times New Roman" w:hAnsi="Times New Roman" w:eastAsia="仿宋"/>
          <w:color w:val="auto"/>
          <w:sz w:val="32"/>
          <w:szCs w:val="32"/>
          <w:lang w:val="en-US" w:eastAsia="zh-CN"/>
        </w:rPr>
        <w:t>投标人结合本项目需求提供服务承诺、实质性优惠，包括各项服务指标，重大活动或者突击性任务需要增加服务人员数量时，无条件按照采购人要求和安排落实等。</w:t>
      </w:r>
    </w:p>
    <w:p w14:paraId="47C63B7D">
      <w:pPr>
        <w:keepNext w:val="0"/>
        <w:keepLines w:val="0"/>
        <w:pageBreakBefore w:val="0"/>
        <w:widowControl/>
        <w:kinsoku/>
        <w:wordWrap/>
        <w:overflowPunct/>
        <w:topLinePunct w:val="0"/>
        <w:autoSpaceDE/>
        <w:autoSpaceDN/>
        <w:bidi w:val="0"/>
        <w:adjustRightInd/>
        <w:snapToGrid/>
        <w:spacing w:before="128" w:line="520" w:lineRule="exact"/>
        <w:ind w:firstLine="640" w:firstLineChars="200"/>
        <w:textAlignment w:val="auto"/>
        <w:rPr>
          <w:rFonts w:hint="default" w:ascii="Times New Roman" w:hAnsi="Times New Roman" w:eastAsia="仿宋"/>
          <w:color w:val="auto"/>
          <w:sz w:val="32"/>
          <w:szCs w:val="32"/>
          <w:lang w:val="en-US" w:eastAsia="zh-CN"/>
        </w:rPr>
      </w:pPr>
      <w:r>
        <w:rPr>
          <w:rFonts w:ascii="Times New Roman" w:hAnsi="Times New Roman" w:eastAsia="仿宋"/>
          <w:color w:val="auto"/>
          <w:sz w:val="32"/>
          <w:szCs w:val="32"/>
          <w:lang w:val="en-US" w:eastAsia="zh-CN"/>
        </w:rPr>
        <w:t>3.</w:t>
      </w:r>
      <w:r>
        <w:rPr>
          <w:rFonts w:hint="eastAsia" w:ascii="Times New Roman" w:hAnsi="Times New Roman" w:eastAsia="仿宋"/>
          <w:color w:val="auto"/>
          <w:sz w:val="32"/>
          <w:szCs w:val="32"/>
          <w:lang w:val="en-US" w:eastAsia="zh-CN"/>
        </w:rPr>
        <w:t>投标人需根据采购需求提供针对本项目的物业管理整体设想及策划方案，方案应包括：项目需求分析及设想，项目现场组织、管理机构设置、质量责任监管、监督考核机制等。</w:t>
      </w:r>
    </w:p>
    <w:p w14:paraId="63D024CB">
      <w:pPr>
        <w:keepNext w:val="0"/>
        <w:keepLines w:val="0"/>
        <w:pageBreakBefore w:val="0"/>
        <w:widowControl/>
        <w:kinsoku/>
        <w:wordWrap/>
        <w:overflowPunct/>
        <w:topLinePunct w:val="0"/>
        <w:autoSpaceDE/>
        <w:autoSpaceDN/>
        <w:bidi w:val="0"/>
        <w:adjustRightInd/>
        <w:snapToGrid/>
        <w:spacing w:before="128" w:line="520" w:lineRule="exact"/>
        <w:ind w:firstLine="640" w:firstLineChars="200"/>
        <w:textAlignment w:val="auto"/>
        <w:rPr>
          <w:rFonts w:hint="default" w:ascii="Times New Roman" w:hAnsi="Times New Roman" w:eastAsia="仿宋"/>
          <w:color w:val="auto"/>
          <w:sz w:val="32"/>
          <w:szCs w:val="32"/>
          <w:lang w:val="en-US" w:eastAsia="zh-CN"/>
        </w:rPr>
      </w:pPr>
      <w:r>
        <w:rPr>
          <w:rFonts w:ascii="Times New Roman" w:hAnsi="Times New Roman" w:eastAsia="仿宋"/>
          <w:color w:val="auto"/>
          <w:sz w:val="32"/>
          <w:szCs w:val="32"/>
          <w:lang w:val="en-US" w:eastAsia="zh-CN"/>
        </w:rPr>
        <w:t>4.</w:t>
      </w:r>
      <w:r>
        <w:rPr>
          <w:rFonts w:hint="eastAsia" w:ascii="Times New Roman" w:hAnsi="Times New Roman" w:eastAsia="仿宋"/>
          <w:color w:val="auto"/>
          <w:sz w:val="32"/>
          <w:szCs w:val="32"/>
          <w:lang w:val="en-US" w:eastAsia="zh-CN"/>
        </w:rPr>
        <w:t>投标人需根据采购需求提供针对本项目的设施设备维修方案，方案应包含：维修制度、管理办法、保障措施等。</w:t>
      </w:r>
    </w:p>
    <w:p w14:paraId="1F0ED80E">
      <w:pPr>
        <w:keepNext w:val="0"/>
        <w:keepLines w:val="0"/>
        <w:pageBreakBefore w:val="0"/>
        <w:widowControl/>
        <w:kinsoku/>
        <w:wordWrap/>
        <w:overflowPunct/>
        <w:topLinePunct w:val="0"/>
        <w:autoSpaceDE/>
        <w:autoSpaceDN/>
        <w:bidi w:val="0"/>
        <w:adjustRightInd/>
        <w:snapToGrid/>
        <w:spacing w:before="128" w:line="520" w:lineRule="exact"/>
        <w:ind w:firstLine="640" w:firstLineChars="200"/>
        <w:textAlignment w:val="auto"/>
        <w:rPr>
          <w:rFonts w:ascii="Times New Roman" w:hAnsi="Times New Roman" w:eastAsia="仿宋"/>
          <w:color w:val="auto"/>
          <w:sz w:val="32"/>
          <w:szCs w:val="32"/>
          <w:lang w:val="en-US" w:eastAsia="zh-CN"/>
        </w:rPr>
      </w:pPr>
      <w:r>
        <w:rPr>
          <w:rFonts w:ascii="Times New Roman" w:hAnsi="Times New Roman" w:eastAsia="仿宋"/>
          <w:color w:val="auto"/>
          <w:sz w:val="32"/>
          <w:szCs w:val="32"/>
          <w:lang w:val="en-US" w:eastAsia="zh-CN"/>
        </w:rPr>
        <w:t>5.</w:t>
      </w:r>
      <w:r>
        <w:rPr>
          <w:rFonts w:hint="eastAsia" w:ascii="Times New Roman" w:hAnsi="Times New Roman" w:eastAsia="仿宋"/>
          <w:color w:val="auto"/>
          <w:sz w:val="32"/>
          <w:szCs w:val="32"/>
          <w:lang w:val="en-US" w:eastAsia="zh-CN"/>
        </w:rPr>
        <w:t>投标人应根据采购需求提供针对本项目的公寓管理方案，方案应包括：进出安全检查管理、值班制度、巡查制度、公寓内消防安全措施等。</w:t>
      </w:r>
    </w:p>
    <w:p w14:paraId="724D1362">
      <w:pPr>
        <w:keepNext w:val="0"/>
        <w:keepLines w:val="0"/>
        <w:pageBreakBefore w:val="0"/>
        <w:widowControl/>
        <w:kinsoku/>
        <w:wordWrap/>
        <w:overflowPunct/>
        <w:topLinePunct w:val="0"/>
        <w:autoSpaceDE/>
        <w:autoSpaceDN/>
        <w:bidi w:val="0"/>
        <w:adjustRightInd/>
        <w:snapToGrid/>
        <w:spacing w:before="128" w:line="520" w:lineRule="exact"/>
        <w:ind w:firstLine="640" w:firstLineChars="200"/>
        <w:textAlignment w:val="auto"/>
        <w:rPr>
          <w:rFonts w:hint="eastAsia"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6.投标人需根据采购需求提供针对本项目的卫生保洁管理方案，方案应包括：保洁制度、室内保洁、室外保洁、卫生消杀、垃圾分类等。</w:t>
      </w:r>
    </w:p>
    <w:p w14:paraId="3777067D">
      <w:pPr>
        <w:keepNext w:val="0"/>
        <w:keepLines w:val="0"/>
        <w:pageBreakBefore w:val="0"/>
        <w:widowControl/>
        <w:kinsoku/>
        <w:wordWrap/>
        <w:overflowPunct/>
        <w:topLinePunct w:val="0"/>
        <w:autoSpaceDE/>
        <w:autoSpaceDN/>
        <w:bidi w:val="0"/>
        <w:adjustRightInd/>
        <w:snapToGrid/>
        <w:spacing w:before="128" w:line="520" w:lineRule="exact"/>
        <w:ind w:firstLine="640" w:firstLineChars="200"/>
        <w:textAlignment w:val="auto"/>
        <w:rPr>
          <w:rFonts w:hint="default"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7.投标人应根据采购需求提供针对本项目的绿化管理方案，方案应包括：绿化管理制度，日常养护、修剪施肥、病虫害防治、抗旱防风排水等。</w:t>
      </w:r>
    </w:p>
    <w:p w14:paraId="39F7DFB3">
      <w:pPr>
        <w:keepNext w:val="0"/>
        <w:keepLines w:val="0"/>
        <w:pageBreakBefore w:val="0"/>
        <w:widowControl/>
        <w:kinsoku/>
        <w:wordWrap/>
        <w:overflowPunct/>
        <w:topLinePunct w:val="0"/>
        <w:autoSpaceDE/>
        <w:autoSpaceDN/>
        <w:bidi w:val="0"/>
        <w:adjustRightInd/>
        <w:snapToGrid/>
        <w:spacing w:before="128" w:line="520" w:lineRule="exact"/>
        <w:ind w:firstLine="640" w:firstLineChars="200"/>
        <w:textAlignment w:val="auto"/>
        <w:rPr>
          <w:rFonts w:hint="eastAsia"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8</w:t>
      </w:r>
      <w:r>
        <w:rPr>
          <w:rFonts w:ascii="Times New Roman" w:hAnsi="Times New Roman" w:eastAsia="仿宋"/>
          <w:color w:val="auto"/>
          <w:sz w:val="32"/>
          <w:szCs w:val="32"/>
          <w:lang w:val="en-US" w:eastAsia="zh-CN"/>
        </w:rPr>
        <w:t>.</w:t>
      </w:r>
      <w:r>
        <w:rPr>
          <w:rFonts w:hint="eastAsia" w:ascii="Times New Roman" w:hAnsi="Times New Roman" w:eastAsia="仿宋"/>
          <w:color w:val="auto"/>
          <w:sz w:val="32"/>
          <w:szCs w:val="32"/>
          <w:lang w:val="en-US" w:eastAsia="zh-CN"/>
        </w:rPr>
        <w:t>投标人结合实际，针对本项目特点，制定人员培训方案。方案应包括但不限于：培训的时间、地点、目标方式、内容、对象和措施。</w:t>
      </w:r>
    </w:p>
    <w:p w14:paraId="1BDF4383">
      <w:pPr>
        <w:keepNext w:val="0"/>
        <w:keepLines w:val="0"/>
        <w:pageBreakBefore w:val="0"/>
        <w:widowControl/>
        <w:kinsoku/>
        <w:wordWrap/>
        <w:overflowPunct/>
        <w:topLinePunct w:val="0"/>
        <w:autoSpaceDE/>
        <w:autoSpaceDN/>
        <w:bidi w:val="0"/>
        <w:adjustRightInd/>
        <w:snapToGrid/>
        <w:spacing w:before="128" w:line="520" w:lineRule="exact"/>
        <w:ind w:firstLine="640" w:firstLineChars="200"/>
        <w:textAlignment w:val="auto"/>
        <w:rPr>
          <w:rFonts w:hint="default"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9</w:t>
      </w:r>
      <w:r>
        <w:rPr>
          <w:rFonts w:ascii="Times New Roman" w:hAnsi="Times New Roman" w:eastAsia="仿宋"/>
          <w:color w:val="auto"/>
          <w:sz w:val="32"/>
          <w:szCs w:val="32"/>
          <w:lang w:val="en-US" w:eastAsia="zh-CN"/>
        </w:rPr>
        <w:t>.</w:t>
      </w:r>
      <w:r>
        <w:rPr>
          <w:rFonts w:hint="eastAsia" w:ascii="Times New Roman" w:hAnsi="Times New Roman" w:eastAsia="仿宋"/>
          <w:color w:val="auto"/>
          <w:sz w:val="32"/>
          <w:szCs w:val="32"/>
          <w:lang w:val="en-US" w:eastAsia="zh-CN"/>
        </w:rPr>
        <w:t>投标人针对实现本项目服务目标，制定质量保证措施。质量保证措施应包括但不限于：质量管控、保证措施、质量保证制度、质量标准、检查方法等内容。</w:t>
      </w:r>
    </w:p>
    <w:p w14:paraId="20F0E7A9">
      <w:pPr>
        <w:keepNext w:val="0"/>
        <w:keepLines w:val="0"/>
        <w:pageBreakBefore w:val="0"/>
        <w:widowControl/>
        <w:kinsoku/>
        <w:wordWrap/>
        <w:overflowPunct/>
        <w:topLinePunct w:val="0"/>
        <w:autoSpaceDE/>
        <w:autoSpaceDN/>
        <w:bidi w:val="0"/>
        <w:adjustRightInd/>
        <w:snapToGrid/>
        <w:spacing w:before="128" w:line="520" w:lineRule="exact"/>
        <w:ind w:firstLine="640" w:firstLineChars="200"/>
        <w:textAlignment w:val="auto"/>
        <w:rPr>
          <w:rFonts w:hint="default"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10</w:t>
      </w:r>
      <w:r>
        <w:rPr>
          <w:rFonts w:ascii="Times New Roman" w:hAnsi="Times New Roman" w:eastAsia="仿宋"/>
          <w:color w:val="auto"/>
          <w:sz w:val="32"/>
          <w:szCs w:val="32"/>
          <w:lang w:val="en-US" w:eastAsia="zh-CN"/>
        </w:rPr>
        <w:t>.针对本项目特点，制定突发事件应急预案及处置措施，①针对迎新季、毕业季、重要会议、大型考试、运动会、全校性比赛等重大活动提供的服务保障方案；②水电气暖突发故障及事故、电梯故障及事故、食物中毒、高空坠落、火灾爆炸、公共突发事件、雨雪极端天气、消防应急预案等自然灾害应急预案及处置措施。</w:t>
      </w:r>
    </w:p>
    <w:p w14:paraId="7A29749C">
      <w:pPr>
        <w:keepNext w:val="0"/>
        <w:keepLines w:val="0"/>
        <w:pageBreakBefore w:val="0"/>
        <w:widowControl/>
        <w:kinsoku/>
        <w:wordWrap/>
        <w:overflowPunct/>
        <w:topLinePunct w:val="0"/>
        <w:autoSpaceDE/>
        <w:autoSpaceDN/>
        <w:bidi w:val="0"/>
        <w:adjustRightInd/>
        <w:snapToGrid/>
        <w:spacing w:before="128" w:line="520" w:lineRule="exact"/>
        <w:ind w:firstLine="640" w:firstLineChars="200"/>
        <w:jc w:val="left"/>
        <w:textAlignment w:val="auto"/>
        <w:rPr>
          <w:rFonts w:hint="eastAsia"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11</w:t>
      </w:r>
      <w:r>
        <w:rPr>
          <w:rFonts w:ascii="Times New Roman" w:hAnsi="Times New Roman" w:eastAsia="仿宋"/>
          <w:color w:val="auto"/>
          <w:sz w:val="32"/>
          <w:szCs w:val="32"/>
          <w:lang w:val="en-US" w:eastAsia="zh-CN"/>
        </w:rPr>
        <w:t>.</w:t>
      </w:r>
      <w:r>
        <w:rPr>
          <w:rFonts w:hint="eastAsia" w:ascii="Times New Roman" w:hAnsi="Times New Roman" w:eastAsia="仿宋"/>
          <w:color w:val="auto"/>
          <w:sz w:val="32"/>
          <w:szCs w:val="32"/>
          <w:lang w:val="en-US" w:eastAsia="zh-CN"/>
        </w:rPr>
        <w:t xml:space="preserve">投标人需针对本项目制定档案管理方案，方案至少包含档案的建立、档案的收集、档案的分类、档案的管理。   </w:t>
      </w:r>
    </w:p>
    <w:p w14:paraId="7F326755">
      <w:pPr>
        <w:keepNext w:val="0"/>
        <w:keepLines w:val="0"/>
        <w:pageBreakBefore w:val="0"/>
        <w:widowControl/>
        <w:kinsoku/>
        <w:wordWrap/>
        <w:overflowPunct/>
        <w:topLinePunct w:val="0"/>
        <w:autoSpaceDE/>
        <w:autoSpaceDN/>
        <w:bidi w:val="0"/>
        <w:adjustRightInd/>
        <w:snapToGrid/>
        <w:spacing w:before="128" w:line="520" w:lineRule="exact"/>
        <w:ind w:firstLine="640" w:firstLineChars="200"/>
        <w:jc w:val="left"/>
        <w:textAlignment w:val="auto"/>
        <w:rPr>
          <w:rFonts w:hint="default" w:ascii="宋体" w:hAnsi="宋体" w:eastAsia="宋体" w:cs="宋体"/>
          <w:b/>
          <w:bCs/>
          <w:color w:val="auto"/>
          <w:kern w:val="44"/>
          <w:sz w:val="28"/>
          <w:szCs w:val="28"/>
          <w:lang w:eastAsia="zh-CN"/>
        </w:rPr>
      </w:pPr>
      <w:r>
        <w:rPr>
          <w:rFonts w:hint="eastAsia" w:ascii="Times New Roman" w:hAnsi="Times New Roman" w:eastAsia="仿宋"/>
          <w:color w:val="auto"/>
          <w:sz w:val="32"/>
          <w:szCs w:val="32"/>
          <w:lang w:val="en-US" w:eastAsia="zh-CN"/>
        </w:rPr>
        <w:t>12.</w:t>
      </w:r>
      <w:r>
        <w:rPr>
          <w:rFonts w:ascii="Times New Roman" w:hAnsi="Times New Roman" w:eastAsia="仿宋"/>
          <w:color w:val="auto"/>
          <w:sz w:val="32"/>
          <w:szCs w:val="32"/>
          <w:lang w:val="en-US" w:eastAsia="zh-CN"/>
        </w:rPr>
        <w:t>投标人也可提供</w:t>
      </w:r>
      <w:r>
        <w:rPr>
          <w:rFonts w:ascii="Times New Roman" w:hAnsi="Times New Roman" w:eastAsia="仿宋"/>
          <w:color w:val="auto"/>
          <w:sz w:val="32"/>
          <w:szCs w:val="32"/>
          <w:lang w:eastAsia="zh-CN"/>
        </w:rPr>
        <w:t>与本招标项目相关的其他必要具体内容。</w:t>
      </w:r>
    </w:p>
    <w:p w14:paraId="761E3BE9">
      <w:pPr>
        <w:autoSpaceDE/>
        <w:autoSpaceDN/>
        <w:adjustRightInd/>
        <w:spacing w:line="360" w:lineRule="auto"/>
        <w:ind w:firstLine="643" w:firstLineChars="200"/>
        <w:rPr>
          <w:rFonts w:hint="eastAsia" w:ascii="黑体" w:hAnsi="黑体" w:eastAsia="黑体" w:cs="黑体"/>
          <w:b/>
          <w:bCs/>
          <w:color w:val="auto"/>
          <w:sz w:val="32"/>
          <w:szCs w:val="32"/>
          <w:highlight w:val="none"/>
          <w:lang w:val="en-US" w:eastAsia="zh-CN"/>
        </w:rPr>
      </w:pPr>
      <w:bookmarkStart w:id="569" w:name="_Toc152586296"/>
      <w:r>
        <w:rPr>
          <w:rFonts w:hint="eastAsia" w:ascii="黑体" w:hAnsi="黑体" w:eastAsia="黑体" w:cs="黑体"/>
          <w:b/>
          <w:bCs/>
          <w:color w:val="auto"/>
          <w:sz w:val="32"/>
          <w:szCs w:val="32"/>
          <w:highlight w:val="none"/>
          <w:lang w:eastAsia="zh-CN"/>
        </w:rPr>
        <w:t>注意：以上“</w:t>
      </w:r>
      <w:r>
        <w:rPr>
          <w:rFonts w:hint="eastAsia" w:ascii="黑体" w:hAnsi="黑体" w:eastAsia="黑体" w:cs="黑体"/>
          <w:b/>
          <w:bCs/>
          <w:color w:val="auto"/>
          <w:sz w:val="32"/>
          <w:szCs w:val="32"/>
          <w:highlight w:val="none"/>
          <w:lang w:val="en-US" w:eastAsia="zh-CN"/>
        </w:rPr>
        <w:t>项目需求及有关要求</w:t>
      </w:r>
      <w:r>
        <w:rPr>
          <w:rFonts w:hint="eastAsia" w:ascii="黑体" w:hAnsi="黑体" w:eastAsia="黑体" w:cs="黑体"/>
          <w:b/>
          <w:bCs/>
          <w:color w:val="auto"/>
          <w:sz w:val="32"/>
          <w:szCs w:val="32"/>
          <w:highlight w:val="none"/>
          <w:lang w:eastAsia="zh-CN"/>
        </w:rPr>
        <w:t>”</w:t>
      </w:r>
      <w:r>
        <w:rPr>
          <w:rFonts w:hint="eastAsia" w:ascii="黑体" w:hAnsi="黑体" w:eastAsia="黑体" w:cs="黑体"/>
          <w:b/>
          <w:bCs/>
          <w:color w:val="auto"/>
          <w:sz w:val="32"/>
          <w:szCs w:val="32"/>
          <w:highlight w:val="none"/>
          <w:lang w:val="en-US" w:eastAsia="zh-CN"/>
        </w:rPr>
        <w:t>中未加“</w:t>
      </w:r>
      <w:r>
        <w:rPr>
          <w:rFonts w:hint="eastAsia" w:ascii="黑体" w:hAnsi="黑体" w:eastAsia="黑体" w:cs="黑体"/>
          <w:color w:val="000000"/>
          <w:sz w:val="32"/>
          <w:szCs w:val="32"/>
          <w:highlight w:val="none"/>
          <w:lang w:val="en-US" w:eastAsia="zh-CN"/>
        </w:rPr>
        <w:t>★</w:t>
      </w:r>
      <w:r>
        <w:rPr>
          <w:rFonts w:hint="eastAsia" w:ascii="黑体" w:hAnsi="黑体" w:eastAsia="黑体" w:cs="黑体"/>
          <w:b/>
          <w:bCs/>
          <w:color w:val="auto"/>
          <w:sz w:val="32"/>
          <w:szCs w:val="32"/>
          <w:highlight w:val="none"/>
          <w:lang w:val="en-US" w:eastAsia="zh-CN"/>
        </w:rPr>
        <w:t>”且无法律法规明确规定的，不得作为投标被拒绝或投标无效条款</w:t>
      </w:r>
      <w:r>
        <w:rPr>
          <w:rFonts w:hint="eastAsia" w:ascii="黑体" w:hAnsi="黑体" w:eastAsia="黑体" w:cs="黑体"/>
          <w:b/>
          <w:bCs/>
          <w:color w:val="auto"/>
          <w:sz w:val="32"/>
          <w:szCs w:val="32"/>
          <w:highlight w:val="none"/>
          <w:lang w:eastAsia="zh-CN"/>
        </w:rPr>
        <w:t>。</w:t>
      </w:r>
    </w:p>
    <w:p w14:paraId="5EF0D732">
      <w:pPr>
        <w:spacing w:before="128" w:line="360" w:lineRule="auto"/>
        <w:ind w:left="119" w:firstLine="562" w:firstLineChars="200"/>
        <w:jc w:val="center"/>
        <w:outlineLvl w:val="0"/>
        <w:rPr>
          <w:rFonts w:hint="default" w:ascii="宋体" w:hAnsi="宋体" w:eastAsia="宋体" w:cs="宋体"/>
          <w:color w:val="auto"/>
          <w:sz w:val="28"/>
          <w:szCs w:val="28"/>
          <w:lang w:eastAsia="zh-CN"/>
        </w:rPr>
      </w:pPr>
      <w:r>
        <w:rPr>
          <w:rFonts w:ascii="宋体" w:hAnsi="宋体" w:eastAsia="宋体" w:cs="宋体"/>
          <w:b/>
          <w:bCs/>
          <w:color w:val="auto"/>
          <w:kern w:val="44"/>
          <w:sz w:val="28"/>
          <w:szCs w:val="28"/>
          <w:lang w:eastAsia="zh-CN"/>
        </w:rPr>
        <w:br w:type="page"/>
      </w:r>
      <w:r>
        <w:rPr>
          <w:rFonts w:ascii="宋体" w:hAnsi="宋体" w:eastAsia="宋体" w:cs="宋体"/>
          <w:b/>
          <w:bCs/>
          <w:color w:val="auto"/>
          <w:kern w:val="44"/>
          <w:sz w:val="28"/>
          <w:szCs w:val="28"/>
          <w:lang w:eastAsia="zh-CN"/>
        </w:rPr>
        <w:t>第七章 评标方法和标准</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9"/>
    </w:p>
    <w:p w14:paraId="2365E37D">
      <w:pPr>
        <w:pStyle w:val="51"/>
        <w:rPr>
          <w:rFonts w:ascii="宋体" w:hAnsi="宋体" w:eastAsia="宋体" w:cs="宋体"/>
          <w:sz w:val="28"/>
          <w:szCs w:val="28"/>
          <w:lang w:eastAsia="zh-CN"/>
        </w:rPr>
      </w:pPr>
      <w:bookmarkStart w:id="570" w:name="_Toc2142859637_WPSOffice_Level2"/>
      <w:bookmarkStart w:id="571" w:name="_Toc421828923_WPSOffice_Level2"/>
      <w:bookmarkStart w:id="572" w:name="_Toc1595179162_WPSOffice_Level2"/>
      <w:bookmarkStart w:id="573" w:name="_Toc1270934164_WPSOffice_Level2"/>
      <w:bookmarkStart w:id="574" w:name="_Toc682913791_WPSOffice_Level2"/>
    </w:p>
    <w:p w14:paraId="7760C268">
      <w:pPr>
        <w:spacing w:line="360" w:lineRule="auto"/>
        <w:rPr>
          <w:rFonts w:hint="default" w:ascii="仿宋_GB2312" w:hAnsi="仿宋_GB2312" w:eastAsia="仿宋_GB2312" w:cs="仿宋_GB2312"/>
          <w:b/>
          <w:color w:val="auto"/>
          <w:sz w:val="28"/>
          <w:szCs w:val="28"/>
          <w:lang w:eastAsia="zh-CN"/>
        </w:rPr>
      </w:pPr>
      <w:r>
        <w:rPr>
          <w:rFonts w:ascii="仿宋_GB2312" w:hAnsi="仿宋_GB2312" w:eastAsia="仿宋_GB2312" w:cs="仿宋_GB2312"/>
          <w:b/>
          <w:color w:val="auto"/>
          <w:sz w:val="28"/>
          <w:szCs w:val="28"/>
          <w:lang w:eastAsia="zh-CN"/>
        </w:rPr>
        <w:t>一、评标方法</w:t>
      </w:r>
      <w:bookmarkEnd w:id="570"/>
      <w:bookmarkEnd w:id="571"/>
      <w:bookmarkEnd w:id="572"/>
      <w:bookmarkEnd w:id="573"/>
      <w:bookmarkEnd w:id="574"/>
    </w:p>
    <w:p w14:paraId="76FB9435">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eastAsia="zh-CN"/>
        </w:rPr>
        <w:t>采用综合评分法，总分值</w:t>
      </w:r>
      <w:r>
        <w:rPr>
          <w:rFonts w:ascii="仿宋_GB2312" w:hAnsi="仿宋_GB2312" w:eastAsia="仿宋_GB2312" w:cs="仿宋_GB2312"/>
          <w:color w:val="auto"/>
          <w:sz w:val="28"/>
          <w:szCs w:val="28"/>
          <w:lang w:val="en-US" w:eastAsia="zh-CN"/>
        </w:rPr>
        <w:t>100</w:t>
      </w:r>
      <w:r>
        <w:rPr>
          <w:rFonts w:ascii="仿宋_GB2312" w:hAnsi="仿宋_GB2312" w:eastAsia="仿宋_GB2312" w:cs="仿宋_GB2312"/>
          <w:color w:val="auto"/>
          <w:sz w:val="28"/>
          <w:szCs w:val="28"/>
          <w:lang w:eastAsia="zh-CN"/>
        </w:rPr>
        <w:t>分。</w:t>
      </w:r>
      <w:bookmarkStart w:id="575" w:name="_Toc35230229_WPSOffice_Level2"/>
      <w:r>
        <w:rPr>
          <w:rFonts w:ascii="仿宋_GB2312" w:hAnsi="仿宋_GB2312" w:eastAsia="仿宋_GB2312" w:cs="仿宋_GB2312"/>
          <w:color w:val="auto"/>
          <w:sz w:val="28"/>
          <w:szCs w:val="28"/>
          <w:lang w:eastAsia="zh-CN"/>
        </w:rPr>
        <w:t>评标委员会对各投标人的投标文件进行符合性审查、详细评审后，按评审得分由高到低顺序推荐排名。</w:t>
      </w:r>
      <w:r>
        <w:rPr>
          <w:rFonts w:ascii="仿宋_GB2312" w:hAnsi="仿宋_GB2312" w:eastAsia="仿宋_GB2312" w:cs="仿宋_GB2312"/>
          <w:sz w:val="28"/>
          <w:szCs w:val="28"/>
          <w:lang w:eastAsia="zh-CN"/>
        </w:rPr>
        <w:t>评审得分相同的，</w:t>
      </w:r>
      <w:r>
        <w:rPr>
          <w:rFonts w:ascii="仿宋_GB2312" w:hAnsi="仿宋_GB2312" w:eastAsia="仿宋_GB2312" w:cs="仿宋_GB2312"/>
          <w:color w:val="auto"/>
          <w:sz w:val="28"/>
          <w:szCs w:val="28"/>
          <w:lang w:eastAsia="zh-CN"/>
        </w:rPr>
        <w:t>按投标报价由低到高顺序推荐排列；</w:t>
      </w:r>
      <w:r>
        <w:rPr>
          <w:rFonts w:ascii="仿宋_GB2312" w:hAnsi="仿宋_GB2312" w:eastAsia="仿宋_GB2312" w:cs="仿宋_GB2312"/>
          <w:sz w:val="28"/>
          <w:szCs w:val="28"/>
          <w:lang w:eastAsia="zh-CN"/>
        </w:rPr>
        <w:t>评审</w:t>
      </w:r>
      <w:r>
        <w:rPr>
          <w:rFonts w:ascii="仿宋_GB2312" w:hAnsi="仿宋_GB2312" w:eastAsia="仿宋_GB2312" w:cs="仿宋_GB2312"/>
          <w:color w:val="auto"/>
          <w:sz w:val="28"/>
          <w:szCs w:val="28"/>
          <w:lang w:eastAsia="zh-CN"/>
        </w:rPr>
        <w:t>得分且投标报价相同的并列。</w:t>
      </w:r>
    </w:p>
    <w:p w14:paraId="2AF4D68E">
      <w:pPr>
        <w:spacing w:line="360" w:lineRule="auto"/>
        <w:ind w:firstLine="562" w:firstLineChars="200"/>
        <w:rPr>
          <w:rFonts w:hint="default" w:ascii="仿宋_GB2312" w:hAnsi="仿宋_GB2312" w:eastAsia="仿宋_GB2312" w:cs="仿宋_GB2312"/>
          <w:color w:val="auto"/>
          <w:sz w:val="28"/>
          <w:szCs w:val="28"/>
          <w:u w:val="single"/>
          <w:lang w:eastAsia="zh-CN"/>
        </w:rPr>
      </w:pPr>
      <w:r>
        <w:rPr>
          <w:rFonts w:ascii="仿宋_GB2312" w:hAnsi="仿宋_GB2312" w:eastAsia="仿宋_GB2312" w:cs="仿宋_GB2312"/>
          <w:b/>
          <w:bCs/>
          <w:color w:val="auto"/>
          <w:sz w:val="28"/>
          <w:szCs w:val="28"/>
          <w:u w:val="single"/>
        </w:rPr>
        <w:t>投标人可以投多个包，但最多只能中一个包。中标的顺序按包1、包2</w:t>
      </w:r>
      <w:r>
        <w:rPr>
          <w:rFonts w:ascii="仿宋_GB2312" w:hAnsi="仿宋_GB2312" w:eastAsia="仿宋_GB2312" w:cs="仿宋_GB2312"/>
          <w:b/>
          <w:bCs/>
          <w:color w:val="auto"/>
          <w:sz w:val="28"/>
          <w:szCs w:val="28"/>
          <w:u w:val="single"/>
          <w:lang w:eastAsia="zh-CN"/>
        </w:rPr>
        <w:t>、</w:t>
      </w:r>
      <w:r>
        <w:rPr>
          <w:rFonts w:ascii="仿宋_GB2312" w:hAnsi="仿宋_GB2312" w:eastAsia="仿宋_GB2312" w:cs="仿宋_GB2312"/>
          <w:b/>
          <w:bCs/>
          <w:color w:val="auto"/>
          <w:sz w:val="28"/>
          <w:szCs w:val="28"/>
          <w:u w:val="single"/>
          <w:lang w:val="en-US" w:eastAsia="zh-CN"/>
        </w:rPr>
        <w:t>包3</w:t>
      </w:r>
      <w:r>
        <w:rPr>
          <w:rFonts w:ascii="仿宋_GB2312" w:hAnsi="仿宋_GB2312" w:eastAsia="仿宋_GB2312" w:cs="仿宋_GB2312"/>
          <w:b/>
          <w:bCs/>
          <w:color w:val="auto"/>
          <w:sz w:val="28"/>
          <w:szCs w:val="28"/>
          <w:u w:val="single"/>
        </w:rPr>
        <w:t>先后顺序确认，包1排名第一的中标候选人不再被推荐为包2</w:t>
      </w:r>
      <w:r>
        <w:rPr>
          <w:rFonts w:ascii="仿宋_GB2312" w:hAnsi="仿宋_GB2312" w:eastAsia="仿宋_GB2312" w:cs="仿宋_GB2312"/>
          <w:b/>
          <w:bCs/>
          <w:color w:val="auto"/>
          <w:sz w:val="28"/>
          <w:szCs w:val="28"/>
          <w:u w:val="single"/>
          <w:lang w:eastAsia="zh-CN"/>
        </w:rPr>
        <w:t>、</w:t>
      </w:r>
      <w:r>
        <w:rPr>
          <w:rFonts w:ascii="仿宋_GB2312" w:hAnsi="仿宋_GB2312" w:eastAsia="仿宋_GB2312" w:cs="仿宋_GB2312"/>
          <w:b/>
          <w:bCs/>
          <w:color w:val="auto"/>
          <w:sz w:val="28"/>
          <w:szCs w:val="28"/>
          <w:u w:val="single"/>
          <w:lang w:val="en-US" w:eastAsia="zh-CN"/>
        </w:rPr>
        <w:t>包3</w:t>
      </w:r>
      <w:r>
        <w:rPr>
          <w:rFonts w:ascii="仿宋_GB2312" w:hAnsi="仿宋_GB2312" w:eastAsia="仿宋_GB2312" w:cs="仿宋_GB2312"/>
          <w:b/>
          <w:bCs/>
          <w:color w:val="auto"/>
          <w:sz w:val="28"/>
          <w:szCs w:val="28"/>
          <w:u w:val="single"/>
        </w:rPr>
        <w:t>的中标候选人</w:t>
      </w:r>
      <w:r>
        <w:rPr>
          <w:rFonts w:ascii="仿宋_GB2312" w:hAnsi="仿宋_GB2312" w:eastAsia="仿宋_GB2312" w:cs="仿宋_GB2312"/>
          <w:b/>
          <w:bCs/>
          <w:color w:val="auto"/>
          <w:sz w:val="28"/>
          <w:szCs w:val="28"/>
          <w:u w:val="single"/>
          <w:lang w:eastAsia="zh-CN"/>
        </w:rPr>
        <w:t>，</w:t>
      </w:r>
      <w:r>
        <w:rPr>
          <w:rFonts w:ascii="仿宋_GB2312" w:hAnsi="仿宋_GB2312" w:eastAsia="仿宋_GB2312" w:cs="仿宋_GB2312"/>
          <w:b/>
          <w:bCs/>
          <w:color w:val="auto"/>
          <w:sz w:val="28"/>
          <w:szCs w:val="28"/>
          <w:u w:val="single"/>
          <w:lang w:val="en-US" w:eastAsia="zh-CN"/>
        </w:rPr>
        <w:t>包2</w:t>
      </w:r>
      <w:r>
        <w:rPr>
          <w:rFonts w:ascii="仿宋_GB2312" w:hAnsi="仿宋_GB2312" w:eastAsia="仿宋_GB2312" w:cs="仿宋_GB2312"/>
          <w:b/>
          <w:bCs/>
          <w:color w:val="auto"/>
          <w:sz w:val="28"/>
          <w:szCs w:val="28"/>
          <w:u w:val="single"/>
        </w:rPr>
        <w:t>排名第一的中标候选人不再被推荐为</w:t>
      </w:r>
      <w:r>
        <w:rPr>
          <w:rFonts w:ascii="仿宋_GB2312" w:hAnsi="仿宋_GB2312" w:eastAsia="仿宋_GB2312" w:cs="仿宋_GB2312"/>
          <w:b/>
          <w:bCs/>
          <w:color w:val="auto"/>
          <w:sz w:val="28"/>
          <w:szCs w:val="28"/>
          <w:u w:val="single"/>
          <w:lang w:val="en-US" w:eastAsia="zh-CN"/>
        </w:rPr>
        <w:t>包3</w:t>
      </w:r>
      <w:r>
        <w:rPr>
          <w:rFonts w:ascii="仿宋_GB2312" w:hAnsi="仿宋_GB2312" w:eastAsia="仿宋_GB2312" w:cs="仿宋_GB2312"/>
          <w:b/>
          <w:bCs/>
          <w:color w:val="auto"/>
          <w:sz w:val="28"/>
          <w:szCs w:val="28"/>
          <w:u w:val="single"/>
        </w:rPr>
        <w:t>的中标候选人</w:t>
      </w:r>
      <w:r>
        <w:rPr>
          <w:rFonts w:ascii="仿宋_GB2312" w:hAnsi="仿宋_GB2312" w:eastAsia="仿宋_GB2312" w:cs="仿宋_GB2312"/>
          <w:b/>
          <w:bCs/>
          <w:color w:val="auto"/>
          <w:sz w:val="28"/>
          <w:szCs w:val="28"/>
          <w:u w:val="single"/>
          <w:lang w:eastAsia="zh-CN"/>
        </w:rPr>
        <w:t>。</w:t>
      </w:r>
    </w:p>
    <w:bookmarkEnd w:id="575"/>
    <w:p w14:paraId="367A9F21">
      <w:pPr>
        <w:spacing w:line="360" w:lineRule="auto"/>
        <w:ind w:firstLine="562" w:firstLineChars="200"/>
        <w:rPr>
          <w:rFonts w:hint="default" w:ascii="仿宋_GB2312" w:hAnsi="仿宋_GB2312" w:eastAsia="仿宋_GB2312" w:cs="仿宋_GB2312"/>
          <w:b/>
          <w:color w:val="auto"/>
          <w:sz w:val="28"/>
          <w:szCs w:val="28"/>
          <w:lang w:eastAsia="zh-CN"/>
        </w:rPr>
      </w:pPr>
      <w:bookmarkStart w:id="576" w:name="_Toc1410113626_WPSOffice_Level3"/>
      <w:bookmarkStart w:id="577" w:name="_Toc1165130044_WPSOffice_Level2"/>
      <w:bookmarkStart w:id="578" w:name="_Toc333611415_WPSOffice_Level3"/>
      <w:r>
        <w:rPr>
          <w:rFonts w:ascii="仿宋_GB2312" w:hAnsi="仿宋_GB2312" w:eastAsia="仿宋_GB2312" w:cs="仿宋_GB2312"/>
          <w:b/>
          <w:color w:val="auto"/>
          <w:sz w:val="28"/>
          <w:szCs w:val="28"/>
          <w:lang w:eastAsia="zh-CN"/>
        </w:rPr>
        <w:t>二、符合性审查</w:t>
      </w:r>
      <w:bookmarkEnd w:id="576"/>
      <w:bookmarkEnd w:id="577"/>
      <w:bookmarkEnd w:id="578"/>
    </w:p>
    <w:p w14:paraId="3B9021CD">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eastAsia="zh-CN"/>
        </w:rPr>
        <w:t>评标委员会对符合资格的投标人的投标文件进行符合性审查，以确定其是否满足招标文件的实质性要求。</w:t>
      </w:r>
    </w:p>
    <w:p w14:paraId="62380F39">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 xml:space="preserve">1. </w:t>
      </w:r>
      <w:r>
        <w:rPr>
          <w:rFonts w:ascii="仿宋_GB2312" w:hAnsi="仿宋_GB2312" w:eastAsia="仿宋_GB2312" w:cs="仿宋_GB2312"/>
          <w:color w:val="auto"/>
          <w:sz w:val="28"/>
          <w:szCs w:val="28"/>
          <w:lang w:eastAsia="zh-CN"/>
        </w:rPr>
        <w:t>投标文件不存在雷同性（评标系统内投标文件雷同性分析，包括文件制作机器码或文件创建标识码）。</w:t>
      </w:r>
    </w:p>
    <w:p w14:paraId="1E4A884A">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 xml:space="preserve">2. </w:t>
      </w:r>
      <w:r>
        <w:rPr>
          <w:rFonts w:ascii="仿宋_GB2312" w:hAnsi="仿宋_GB2312" w:eastAsia="仿宋_GB2312" w:cs="仿宋_GB2312"/>
          <w:color w:val="auto"/>
          <w:sz w:val="28"/>
          <w:szCs w:val="28"/>
          <w:lang w:eastAsia="zh-CN"/>
        </w:rPr>
        <w:t>签字盖章签章符合招标文件要求；</w:t>
      </w:r>
    </w:p>
    <w:p w14:paraId="7567202D">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eastAsia="zh-CN"/>
        </w:rPr>
        <w:t>3.</w:t>
      </w:r>
      <w:r>
        <w:rPr>
          <w:rFonts w:ascii="仿宋_GB2312" w:hAnsi="仿宋_GB2312" w:eastAsia="仿宋_GB2312" w:cs="仿宋_GB2312"/>
          <w:color w:val="auto"/>
          <w:sz w:val="28"/>
          <w:szCs w:val="28"/>
          <w:lang w:val="en-US" w:eastAsia="zh-CN"/>
        </w:rPr>
        <w:t xml:space="preserve"> </w:t>
      </w:r>
      <w:r>
        <w:rPr>
          <w:rFonts w:ascii="仿宋_GB2312" w:hAnsi="仿宋_GB2312" w:eastAsia="仿宋_GB2312" w:cs="仿宋_GB2312"/>
          <w:color w:val="auto"/>
          <w:sz w:val="28"/>
          <w:szCs w:val="28"/>
          <w:lang w:eastAsia="zh-CN"/>
        </w:rPr>
        <w:t>投标有效期符合招标文件要求；</w:t>
      </w:r>
    </w:p>
    <w:p w14:paraId="22AFD7D5">
      <w:pPr>
        <w:spacing w:line="360" w:lineRule="auto"/>
        <w:ind w:firstLine="560" w:firstLineChars="200"/>
        <w:rPr>
          <w:rFonts w:hint="default" w:ascii="仿宋_GB2312" w:hAnsi="仿宋_GB2312" w:eastAsia="仿宋_GB2312" w:cs="仿宋_GB2312"/>
          <w:strike/>
          <w:color w:val="auto"/>
          <w:sz w:val="28"/>
          <w:szCs w:val="28"/>
          <w:highlight w:val="yellow"/>
          <w:lang w:eastAsia="zh-CN"/>
        </w:rPr>
      </w:pPr>
      <w:r>
        <w:rPr>
          <w:rFonts w:ascii="仿宋_GB2312" w:hAnsi="仿宋_GB2312" w:eastAsia="仿宋_GB2312" w:cs="仿宋_GB2312"/>
          <w:color w:val="auto"/>
          <w:sz w:val="28"/>
          <w:szCs w:val="28"/>
          <w:lang w:eastAsia="zh-CN"/>
        </w:rPr>
        <w:t>4. 投标报价未超出</w:t>
      </w:r>
      <w:r>
        <w:rPr>
          <w:rFonts w:ascii="仿宋_GB2312" w:hAnsi="仿宋_GB2312" w:eastAsia="仿宋_GB2312" w:cs="仿宋_GB2312"/>
          <w:color w:val="auto"/>
          <w:sz w:val="28"/>
          <w:szCs w:val="28"/>
          <w:lang w:val="en-US" w:eastAsia="zh-CN"/>
        </w:rPr>
        <w:t>最高限价</w:t>
      </w:r>
      <w:r>
        <w:rPr>
          <w:rFonts w:ascii="仿宋_GB2312" w:hAnsi="仿宋_GB2312" w:eastAsia="仿宋_GB2312" w:cs="仿宋_GB2312"/>
          <w:color w:val="auto"/>
          <w:sz w:val="28"/>
          <w:szCs w:val="28"/>
          <w:lang w:eastAsia="zh-CN"/>
        </w:rPr>
        <w:t>；</w:t>
      </w:r>
    </w:p>
    <w:p w14:paraId="1493D4C8">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eastAsia="zh-CN"/>
        </w:rPr>
        <w:t>5.</w:t>
      </w:r>
      <w:r>
        <w:rPr>
          <w:rFonts w:ascii="仿宋_GB2312" w:hAnsi="仿宋_GB2312" w:eastAsia="仿宋_GB2312" w:cs="仿宋_GB2312"/>
          <w:color w:val="auto"/>
          <w:sz w:val="28"/>
          <w:szCs w:val="28"/>
          <w:lang w:val="en-US" w:eastAsia="zh-CN"/>
        </w:rPr>
        <w:t xml:space="preserve"> </w:t>
      </w:r>
      <w:r>
        <w:rPr>
          <w:rFonts w:ascii="仿宋_GB2312" w:hAnsi="仿宋_GB2312" w:eastAsia="仿宋_GB2312" w:cs="仿宋_GB2312"/>
          <w:color w:val="auto"/>
          <w:sz w:val="28"/>
          <w:szCs w:val="28"/>
          <w:lang w:eastAsia="zh-CN"/>
        </w:rPr>
        <w:t>投标文件无重大或不可接受的偏差；</w:t>
      </w:r>
    </w:p>
    <w:p w14:paraId="18201740">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 xml:space="preserve">6. </w:t>
      </w:r>
      <w:r>
        <w:rPr>
          <w:rFonts w:ascii="仿宋_GB2312" w:hAnsi="仿宋_GB2312" w:eastAsia="仿宋_GB2312" w:cs="仿宋_GB2312"/>
          <w:color w:val="auto"/>
          <w:sz w:val="28"/>
          <w:szCs w:val="28"/>
          <w:lang w:eastAsia="zh-CN"/>
        </w:rPr>
        <w:t>投标文件未附有采购人不能接受的条件；</w:t>
      </w:r>
    </w:p>
    <w:p w14:paraId="5BD2D9A4">
      <w:pPr>
        <w:spacing w:line="360" w:lineRule="auto"/>
        <w:ind w:firstLine="560" w:firstLineChars="200"/>
        <w:rPr>
          <w:rFonts w:hint="eastAsia" w:ascii="仿宋_GB2312" w:hAnsi="仿宋_GB2312" w:eastAsia="仿宋_GB2312" w:cs="仿宋_GB2312"/>
          <w:color w:val="auto"/>
          <w:sz w:val="28"/>
          <w:szCs w:val="28"/>
          <w:lang w:val="en-US" w:eastAsia="zh-CN"/>
        </w:rPr>
      </w:pPr>
      <w:bookmarkStart w:id="579" w:name="_Toc717433308_WPSOffice_Level2"/>
      <w:r>
        <w:rPr>
          <w:rFonts w:hint="default" w:ascii="仿宋_GB2312" w:hAnsi="仿宋_GB2312" w:eastAsia="仿宋_GB2312" w:cs="仿宋_GB2312"/>
          <w:color w:val="auto"/>
          <w:sz w:val="28"/>
          <w:szCs w:val="28"/>
          <w:lang w:val="en-US" w:eastAsia="zh-CN"/>
        </w:rPr>
        <w:t>7. ★代表实质性指标，不满足该指标项将导致投标被拒绝</w:t>
      </w:r>
      <w:r>
        <w:rPr>
          <w:rFonts w:hint="eastAsia" w:ascii="仿宋_GB2312" w:hAnsi="仿宋_GB2312" w:eastAsia="仿宋_GB2312" w:cs="仿宋_GB2312"/>
          <w:color w:val="auto"/>
          <w:sz w:val="28"/>
          <w:szCs w:val="28"/>
          <w:lang w:val="en-US" w:eastAsia="zh-CN"/>
        </w:rPr>
        <w:t>；</w:t>
      </w:r>
    </w:p>
    <w:p w14:paraId="5BDC6DEC">
      <w:pPr>
        <w:spacing w:line="360" w:lineRule="auto"/>
        <w:ind w:firstLine="560" w:firstLineChars="20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w:t>
      </w:r>
      <w:r>
        <w:rPr>
          <w:rFonts w:hint="default" w:ascii="仿宋_GB2312" w:hAnsi="仿宋_GB2312" w:eastAsia="仿宋_GB2312" w:cs="仿宋_GB2312"/>
          <w:color w:val="auto"/>
          <w:sz w:val="28"/>
          <w:szCs w:val="28"/>
          <w:lang w:val="en-US" w:eastAsia="zh-CN"/>
        </w:rPr>
        <w:t>招标文件及法律法规规定的其他情形。</w:t>
      </w:r>
    </w:p>
    <w:p w14:paraId="0777250D">
      <w:pPr>
        <w:pStyle w:val="18"/>
        <w:spacing w:line="360" w:lineRule="auto"/>
        <w:ind w:firstLine="562" w:firstLineChars="200"/>
        <w:jc w:val="both"/>
        <w:rPr>
          <w:rFonts w:ascii="仿宋_GB2312" w:hAnsi="仿宋_GB2312" w:eastAsia="仿宋_GB2312" w:cs="仿宋_GB2312"/>
          <w:b/>
          <w:color w:val="auto"/>
          <w:kern w:val="2"/>
          <w:sz w:val="28"/>
          <w:szCs w:val="28"/>
          <w:lang w:val="zh-TW"/>
        </w:rPr>
      </w:pPr>
      <w:r>
        <w:rPr>
          <w:rFonts w:hint="eastAsia" w:ascii="仿宋_GB2312" w:hAnsi="仿宋_GB2312" w:eastAsia="仿宋_GB2312" w:cs="仿宋_GB2312"/>
          <w:b/>
          <w:color w:val="auto"/>
          <w:kern w:val="2"/>
          <w:sz w:val="28"/>
          <w:szCs w:val="28"/>
          <w:lang w:val="zh-TW"/>
        </w:rPr>
        <w:t>三、详细评审</w:t>
      </w:r>
      <w:bookmarkEnd w:id="579"/>
    </w:p>
    <w:p w14:paraId="466BC7FE">
      <w:pPr>
        <w:spacing w:line="360" w:lineRule="auto"/>
        <w:ind w:firstLine="562" w:firstLineChars="200"/>
        <w:rPr>
          <w:rFonts w:hint="default" w:ascii="仿宋_GB2312" w:hAnsi="仿宋_GB2312" w:eastAsia="仿宋_GB2312" w:cs="仿宋_GB2312"/>
          <w:b/>
          <w:color w:val="auto"/>
          <w:sz w:val="28"/>
          <w:szCs w:val="28"/>
          <w:lang w:eastAsia="zh-CN"/>
        </w:rPr>
      </w:pPr>
      <w:bookmarkStart w:id="580" w:name="_Toc1971336045_WPSOffice_Level3"/>
      <w:bookmarkStart w:id="581" w:name="_Toc1716909242_WPSOffice_Level3"/>
      <w:bookmarkStart w:id="582" w:name="_Toc278923003_WPSOffice_Level3"/>
      <w:r>
        <w:rPr>
          <w:rFonts w:ascii="仿宋_GB2312" w:hAnsi="仿宋_GB2312" w:eastAsia="仿宋_GB2312" w:cs="仿宋_GB2312"/>
          <w:b/>
          <w:color w:val="auto"/>
          <w:sz w:val="28"/>
          <w:szCs w:val="28"/>
          <w:lang w:val="en-US" w:eastAsia="zh-CN"/>
        </w:rPr>
        <w:t>1</w:t>
      </w:r>
      <w:r>
        <w:rPr>
          <w:rFonts w:ascii="仿宋_GB2312" w:hAnsi="仿宋_GB2312" w:eastAsia="仿宋_GB2312" w:cs="仿宋_GB2312"/>
          <w:b/>
          <w:color w:val="auto"/>
          <w:sz w:val="28"/>
          <w:szCs w:val="28"/>
          <w:lang w:eastAsia="zh-CN"/>
        </w:rPr>
        <w:t>．澄清有关问题</w:t>
      </w:r>
      <w:bookmarkEnd w:id="580"/>
      <w:bookmarkEnd w:id="581"/>
      <w:bookmarkEnd w:id="582"/>
    </w:p>
    <w:p w14:paraId="2F864437">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1.1</w:t>
      </w:r>
      <w:r>
        <w:rPr>
          <w:rFonts w:ascii="仿宋_GB2312" w:hAnsi="仿宋_GB2312" w:eastAsia="仿宋_GB2312" w:cs="仿宋_GB2312"/>
          <w:color w:val="auto"/>
          <w:sz w:val="28"/>
          <w:szCs w:val="28"/>
          <w:lang w:eastAsia="zh-CN"/>
        </w:rPr>
        <w:t>对于投标文件中含义不明确、同类问题表述不一致或者有明显文字和计算错误的内容，评标委员会应当以书面形式要求投标人作出必要的澄清、说明或者补正。</w:t>
      </w:r>
    </w:p>
    <w:p w14:paraId="3EE0265C">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1.2</w:t>
      </w:r>
      <w:r>
        <w:rPr>
          <w:rFonts w:ascii="仿宋_GB2312" w:hAnsi="仿宋_GB2312" w:eastAsia="仿宋_GB2312" w:cs="仿宋_GB2312"/>
          <w:color w:val="auto"/>
          <w:sz w:val="28"/>
          <w:szCs w:val="28"/>
          <w:lang w:eastAsia="zh-CN"/>
        </w:rPr>
        <w:t>投标人的澄清、说明或者补正不得超出投标文件的范围或者改变投标文件的实质性内容。</w:t>
      </w:r>
    </w:p>
    <w:p w14:paraId="1B6F9FD4">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1.3</w:t>
      </w:r>
      <w:r>
        <w:rPr>
          <w:rFonts w:ascii="仿宋_GB2312" w:hAnsi="仿宋_GB2312" w:eastAsia="仿宋_GB2312" w:cs="仿宋_GB2312"/>
          <w:color w:val="auto"/>
          <w:sz w:val="28"/>
          <w:szCs w:val="28"/>
          <w:lang w:eastAsia="zh-CN"/>
        </w:rPr>
        <w:t>允许修正投标文件中不构成重大偏离的、微小的、非正规的、不一致或不规则的地方。</w:t>
      </w:r>
    </w:p>
    <w:p w14:paraId="5924C6D3">
      <w:pPr>
        <w:spacing w:line="360" w:lineRule="auto"/>
        <w:ind w:firstLine="562" w:firstLineChars="200"/>
        <w:rPr>
          <w:rFonts w:hint="default" w:ascii="仿宋_GB2312" w:hAnsi="仿宋_GB2312" w:eastAsia="仿宋_GB2312" w:cs="仿宋_GB2312"/>
          <w:b/>
          <w:color w:val="auto"/>
          <w:sz w:val="28"/>
          <w:szCs w:val="28"/>
          <w:lang w:eastAsia="zh-CN"/>
        </w:rPr>
      </w:pPr>
      <w:bookmarkStart w:id="583" w:name="_Toc2074264070_WPSOffice_Level3"/>
      <w:bookmarkStart w:id="584" w:name="_Toc577657209_WPSOffice_Level3"/>
      <w:bookmarkStart w:id="585" w:name="_Toc792649721_WPSOffice_Level3"/>
      <w:r>
        <w:rPr>
          <w:rFonts w:ascii="仿宋_GB2312" w:hAnsi="仿宋_GB2312" w:eastAsia="仿宋_GB2312" w:cs="仿宋_GB2312"/>
          <w:b/>
          <w:color w:val="auto"/>
          <w:sz w:val="28"/>
          <w:szCs w:val="28"/>
          <w:lang w:val="en-US" w:eastAsia="zh-CN"/>
        </w:rPr>
        <w:t>2</w:t>
      </w:r>
      <w:r>
        <w:rPr>
          <w:rFonts w:ascii="仿宋_GB2312" w:hAnsi="仿宋_GB2312" w:eastAsia="仿宋_GB2312" w:cs="仿宋_GB2312"/>
          <w:b/>
          <w:color w:val="auto"/>
          <w:sz w:val="28"/>
          <w:szCs w:val="28"/>
          <w:lang w:eastAsia="zh-CN"/>
        </w:rPr>
        <w:t>．</w:t>
      </w:r>
      <w:bookmarkEnd w:id="583"/>
      <w:bookmarkEnd w:id="584"/>
      <w:r>
        <w:rPr>
          <w:rFonts w:ascii="仿宋_GB2312" w:hAnsi="仿宋_GB2312" w:eastAsia="仿宋_GB2312" w:cs="仿宋_GB2312"/>
          <w:b/>
          <w:color w:val="auto"/>
          <w:sz w:val="28"/>
          <w:szCs w:val="28"/>
          <w:lang w:eastAsia="zh-CN"/>
        </w:rPr>
        <w:t>综合比较与评价</w:t>
      </w:r>
      <w:bookmarkEnd w:id="585"/>
    </w:p>
    <w:p w14:paraId="42EE7E54">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2.1</w:t>
      </w:r>
      <w:r>
        <w:rPr>
          <w:rFonts w:ascii="仿宋_GB2312" w:hAnsi="仿宋_GB2312" w:eastAsia="仿宋_GB2312" w:cs="仿宋_GB2312"/>
          <w:color w:val="auto"/>
          <w:sz w:val="28"/>
          <w:szCs w:val="28"/>
          <w:lang w:eastAsia="zh-CN"/>
        </w:rPr>
        <w:t>评标委员会按照招标文件中规定的评标方法和标准，对符合性审查合格的投标文件进行商务和技术评</w:t>
      </w:r>
      <w:r>
        <w:rPr>
          <w:rFonts w:ascii="仿宋_GB2312" w:hAnsi="仿宋_GB2312" w:eastAsia="仿宋_GB2312" w:cs="仿宋_GB2312"/>
          <w:color w:val="auto"/>
          <w:sz w:val="28"/>
          <w:szCs w:val="28"/>
          <w:lang w:val="en-US" w:eastAsia="zh-CN"/>
        </w:rPr>
        <w:t>审</w:t>
      </w:r>
      <w:r>
        <w:rPr>
          <w:rFonts w:ascii="仿宋_GB2312" w:hAnsi="仿宋_GB2312" w:eastAsia="仿宋_GB2312" w:cs="仿宋_GB2312"/>
          <w:color w:val="auto"/>
          <w:sz w:val="28"/>
          <w:szCs w:val="28"/>
          <w:lang w:eastAsia="zh-CN"/>
        </w:rPr>
        <w:t>，综合比较与评价。</w:t>
      </w:r>
    </w:p>
    <w:p w14:paraId="43897CFE">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2.2</w:t>
      </w:r>
      <w:r>
        <w:rPr>
          <w:rFonts w:ascii="仿宋_GB2312" w:hAnsi="仿宋_GB2312" w:eastAsia="仿宋_GB2312" w:cs="仿宋_GB2312"/>
          <w:color w:val="auto"/>
          <w:sz w:val="28"/>
          <w:szCs w:val="28"/>
          <w:lang w:eastAsia="zh-CN"/>
        </w:rPr>
        <w:t>评标时，评标委员会各成员应当独立对每个投标人的投标文件进行评价，并汇总每个投标人的得分，由评标委员会推荐3名中标候选人。</w:t>
      </w:r>
    </w:p>
    <w:p w14:paraId="16A27471">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2.3</w:t>
      </w:r>
      <w:r>
        <w:rPr>
          <w:rFonts w:ascii="仿宋_GB2312" w:hAnsi="仿宋_GB2312" w:eastAsia="仿宋_GB2312" w:cs="仿宋_GB2312"/>
          <w:color w:val="auto"/>
          <w:sz w:val="28"/>
          <w:szCs w:val="28"/>
          <w:lang w:eastAsia="zh-CN"/>
        </w:rPr>
        <w:t>投标人的评审得分为所有评委评审得分的算术平均值，评审得分取至小数点后两位（第三位四舍五入）。</w:t>
      </w:r>
    </w:p>
    <w:p w14:paraId="2E726364">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2.4</w:t>
      </w:r>
      <w:r>
        <w:rPr>
          <w:rFonts w:ascii="仿宋_GB2312" w:hAnsi="仿宋_GB2312" w:eastAsia="仿宋_GB2312" w:cs="仿宋_GB2312"/>
          <w:color w:val="auto"/>
          <w:sz w:val="28"/>
          <w:szCs w:val="28"/>
          <w:lang w:eastAsia="zh-CN"/>
        </w:rPr>
        <w:t>评标委员会完成评标后，应当出具书面评标报告。</w:t>
      </w:r>
    </w:p>
    <w:p w14:paraId="6F7BD6AF">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2.5</w:t>
      </w:r>
      <w:r>
        <w:rPr>
          <w:rFonts w:ascii="仿宋_GB2312" w:hAnsi="仿宋_GB2312" w:eastAsia="仿宋_GB2312" w:cs="仿宋_GB2312"/>
          <w:color w:val="auto"/>
          <w:sz w:val="28"/>
          <w:szCs w:val="28"/>
          <w:lang w:eastAsia="zh-CN"/>
        </w:rPr>
        <w:t>评标委员会成员对需要共同认定的事项存在争议的，应当按照少数服从多数的原则作出结论。持不同意见的评标委员会成员应当在评标报告上签署不同意见及理由，否则视为同意评标报告。</w:t>
      </w:r>
    </w:p>
    <w:p w14:paraId="344F6462">
      <w:pPr>
        <w:pStyle w:val="51"/>
        <w:rPr>
          <w:rFonts w:ascii="仿宋_GB2312" w:hAnsi="仿宋_GB2312" w:eastAsia="仿宋_GB2312" w:cs="仿宋_GB2312"/>
          <w:sz w:val="28"/>
          <w:szCs w:val="28"/>
          <w:lang w:eastAsia="zh-CN"/>
        </w:rPr>
      </w:pPr>
    </w:p>
    <w:p w14:paraId="7C48B67F">
      <w:pPr>
        <w:pStyle w:val="51"/>
        <w:rPr>
          <w:rFonts w:ascii="仿宋_GB2312" w:hAnsi="仿宋_GB2312" w:eastAsia="仿宋_GB2312" w:cs="仿宋_GB2312"/>
          <w:sz w:val="28"/>
          <w:szCs w:val="28"/>
          <w:lang w:eastAsia="zh-CN"/>
        </w:rPr>
      </w:pPr>
    </w:p>
    <w:p w14:paraId="47E75EBE">
      <w:pPr>
        <w:numPr>
          <w:ilvl w:val="0"/>
          <w:numId w:val="6"/>
        </w:numPr>
        <w:spacing w:line="360" w:lineRule="auto"/>
        <w:outlineLvl w:val="1"/>
        <w:rPr>
          <w:rFonts w:hint="default" w:ascii="宋体" w:hAnsi="宋体" w:eastAsia="宋体" w:cs="宋体"/>
          <w:b/>
          <w:color w:val="auto"/>
          <w:sz w:val="28"/>
          <w:szCs w:val="28"/>
          <w:lang w:eastAsia="zh-CN"/>
        </w:rPr>
      </w:pPr>
      <w:bookmarkStart w:id="586" w:name="_Toc71296678_WPSOffice_Level2"/>
      <w:bookmarkStart w:id="587" w:name="_Toc1647555423_WPSOffice_Level3"/>
      <w:bookmarkStart w:id="588" w:name="_Toc75126242_WPSOffice_Level3"/>
      <w:r>
        <w:rPr>
          <w:rFonts w:ascii="宋体" w:hAnsi="宋体" w:eastAsia="宋体" w:cs="宋体"/>
          <w:b/>
          <w:color w:val="auto"/>
          <w:sz w:val="28"/>
          <w:szCs w:val="28"/>
          <w:lang w:val="en-US" w:eastAsia="zh-CN"/>
        </w:rPr>
        <w:br w:type="page"/>
      </w:r>
      <w:bookmarkEnd w:id="586"/>
      <w:bookmarkEnd w:id="587"/>
      <w:bookmarkEnd w:id="588"/>
      <w:bookmarkStart w:id="589" w:name="_Toc131500600_WPSOffice_Level3"/>
      <w:bookmarkStart w:id="590" w:name="_Toc648016321_WPSOffice_Level3"/>
      <w:bookmarkStart w:id="591" w:name="_Toc152586297"/>
      <w:bookmarkStart w:id="592" w:name="_Toc1876950018_WPSOffice_Level1"/>
      <w:bookmarkStart w:id="593" w:name="_Toc2128211085"/>
      <w:bookmarkStart w:id="594" w:name="_Toc1366447656"/>
      <w:bookmarkStart w:id="595" w:name="_Toc1212124171"/>
      <w:bookmarkStart w:id="596" w:name="_Toc694927784"/>
      <w:bookmarkStart w:id="597" w:name="_Toc1554580408"/>
      <w:bookmarkStart w:id="598" w:name="_Toc1351594660_WPSOffice_Level2"/>
      <w:bookmarkStart w:id="599" w:name="_Toc667407289"/>
      <w:bookmarkStart w:id="600" w:name="_Toc1216028725_WPSOffice_Level2"/>
      <w:bookmarkStart w:id="601" w:name="_Toc1047604175"/>
      <w:bookmarkStart w:id="602" w:name="_Toc1331652897_WPSOffice_Level2"/>
      <w:bookmarkStart w:id="603" w:name="_Toc2146371347"/>
      <w:bookmarkStart w:id="604" w:name="_Toc2021117886"/>
      <w:bookmarkStart w:id="605" w:name="_Toc1887969822_WPSOffice_Level2"/>
      <w:bookmarkStart w:id="606" w:name="_Toc339295120"/>
      <w:bookmarkStart w:id="607" w:name="_Toc505697850"/>
      <w:r>
        <w:rPr>
          <w:rFonts w:ascii="宋体" w:hAnsi="宋体" w:eastAsia="宋体" w:cs="宋体"/>
          <w:b/>
          <w:color w:val="auto"/>
          <w:sz w:val="28"/>
          <w:szCs w:val="28"/>
          <w:lang w:eastAsia="zh-CN"/>
        </w:rPr>
        <w:t>评分标准（满分100分）</w:t>
      </w:r>
      <w:bookmarkEnd w:id="589"/>
      <w:bookmarkEnd w:id="590"/>
    </w:p>
    <w:p w14:paraId="02F940DE">
      <w:pPr>
        <w:spacing w:line="360" w:lineRule="auto"/>
        <w:outlineLvl w:val="1"/>
        <w:rPr>
          <w:rFonts w:hint="default" w:ascii="宋体" w:hAnsi="宋体" w:eastAsia="宋体" w:cs="宋体"/>
          <w:b/>
          <w:color w:val="auto"/>
          <w:sz w:val="28"/>
          <w:szCs w:val="28"/>
          <w:lang w:val="en-US" w:eastAsia="zh-CN"/>
        </w:rPr>
      </w:pPr>
      <w:r>
        <w:rPr>
          <w:rFonts w:ascii="宋体" w:hAnsi="宋体" w:eastAsia="宋体" w:cs="宋体"/>
          <w:b/>
          <w:color w:val="auto"/>
          <w:sz w:val="28"/>
          <w:szCs w:val="28"/>
          <w:lang w:val="en-US" w:eastAsia="zh-CN"/>
        </w:rPr>
        <w:t>包1、包2、包3：</w:t>
      </w:r>
    </w:p>
    <w:tbl>
      <w:tblPr>
        <w:tblStyle w:val="53"/>
        <w:tblW w:w="95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34"/>
        <w:gridCol w:w="1546"/>
        <w:gridCol w:w="5715"/>
        <w:gridCol w:w="801"/>
      </w:tblGrid>
      <w:tr w14:paraId="1241E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6" w:hRule="atLeast"/>
          <w:jc w:val="center"/>
        </w:trPr>
        <w:tc>
          <w:tcPr>
            <w:tcW w:w="1534" w:type="dxa"/>
            <w:tcBorders>
              <w:top w:val="single" w:color="000000" w:sz="12" w:space="0"/>
              <w:left w:val="single" w:color="000000" w:sz="12" w:space="0"/>
              <w:bottom w:val="single" w:color="000000" w:sz="4" w:space="0"/>
            </w:tcBorders>
            <w:noWrap w:val="0"/>
            <w:vAlign w:val="top"/>
          </w:tcPr>
          <w:p w14:paraId="7472D92D">
            <w:pPr>
              <w:widowControl w:val="0"/>
              <w:spacing w:before="24" w:line="440" w:lineRule="exact"/>
              <w:ind w:left="142" w:right="146" w:hanging="33"/>
              <w:rPr>
                <w:rFonts w:hint="default" w:ascii="Times New Roman" w:hAnsi="Times New Roman" w:eastAsia="宋体" w:cs="Times New Roman"/>
                <w:sz w:val="24"/>
                <w:szCs w:val="24"/>
                <w:lang w:val="en-US" w:eastAsia="en-US"/>
              </w:rPr>
            </w:pPr>
            <w:r>
              <w:rPr>
                <w:rFonts w:hint="default" w:ascii="Times New Roman" w:hAnsi="Times New Roman" w:eastAsia="宋体" w:cs="Times New Roman"/>
                <w:b/>
                <w:bCs/>
                <w:spacing w:val="7"/>
                <w:sz w:val="24"/>
                <w:szCs w:val="24"/>
                <w:lang w:val="en-US" w:eastAsia="en-US"/>
              </w:rPr>
              <w:t>评分</w:t>
            </w:r>
            <w:r>
              <w:rPr>
                <w:rFonts w:hint="default" w:ascii="Times New Roman" w:hAnsi="Times New Roman" w:eastAsia="宋体" w:cs="Times New Roman"/>
                <w:b/>
                <w:bCs/>
                <w:spacing w:val="-10"/>
                <w:sz w:val="24"/>
                <w:szCs w:val="24"/>
                <w:lang w:val="en-US" w:eastAsia="en-US"/>
              </w:rPr>
              <w:t>内容</w:t>
            </w:r>
          </w:p>
        </w:tc>
        <w:tc>
          <w:tcPr>
            <w:tcW w:w="1546" w:type="dxa"/>
            <w:tcBorders>
              <w:top w:val="single" w:color="000000" w:sz="12" w:space="0"/>
              <w:bottom w:val="single" w:color="000000" w:sz="4" w:space="0"/>
            </w:tcBorders>
            <w:noWrap w:val="0"/>
            <w:vAlign w:val="top"/>
          </w:tcPr>
          <w:p w14:paraId="1545E9D4">
            <w:pPr>
              <w:widowControl w:val="0"/>
              <w:spacing w:before="24" w:line="440" w:lineRule="exact"/>
              <w:ind w:left="215" w:right="218" w:hanging="27"/>
              <w:jc w:val="center"/>
              <w:rPr>
                <w:rFonts w:hint="default" w:ascii="Times New Roman" w:hAnsi="Times New Roman" w:eastAsia="宋体" w:cs="Times New Roman"/>
                <w:sz w:val="24"/>
                <w:szCs w:val="24"/>
                <w:lang w:val="en-US" w:eastAsia="en-US"/>
              </w:rPr>
            </w:pPr>
            <w:r>
              <w:rPr>
                <w:rFonts w:hint="default" w:ascii="Times New Roman" w:hAnsi="Times New Roman" w:eastAsia="宋体" w:cs="Times New Roman"/>
                <w:b/>
                <w:bCs/>
                <w:spacing w:val="7"/>
                <w:sz w:val="24"/>
                <w:szCs w:val="24"/>
                <w:lang w:val="en-US" w:eastAsia="en-US"/>
              </w:rPr>
              <w:t>评分</w:t>
            </w:r>
            <w:r>
              <w:rPr>
                <w:rFonts w:hint="default" w:ascii="Times New Roman" w:hAnsi="Times New Roman" w:eastAsia="宋体" w:cs="Times New Roman"/>
                <w:b/>
                <w:bCs/>
                <w:spacing w:val="-7"/>
                <w:sz w:val="24"/>
                <w:szCs w:val="24"/>
                <w:lang w:val="en-US" w:eastAsia="en-US"/>
              </w:rPr>
              <w:t>因素</w:t>
            </w:r>
          </w:p>
        </w:tc>
        <w:tc>
          <w:tcPr>
            <w:tcW w:w="5715" w:type="dxa"/>
            <w:tcBorders>
              <w:top w:val="single" w:color="000000" w:sz="12" w:space="0"/>
              <w:bottom w:val="single" w:color="000000" w:sz="4" w:space="0"/>
            </w:tcBorders>
            <w:noWrap w:val="0"/>
            <w:vAlign w:val="top"/>
          </w:tcPr>
          <w:p w14:paraId="197175B3">
            <w:pPr>
              <w:widowControl w:val="0"/>
              <w:spacing w:before="206" w:line="440" w:lineRule="exact"/>
              <w:jc w:val="center"/>
              <w:rPr>
                <w:rFonts w:hint="default" w:ascii="Times New Roman" w:hAnsi="Times New Roman" w:eastAsia="宋体" w:cs="Times New Roman"/>
                <w:sz w:val="24"/>
                <w:szCs w:val="24"/>
                <w:lang w:val="en-US" w:eastAsia="en-US"/>
              </w:rPr>
            </w:pPr>
            <w:r>
              <w:rPr>
                <w:rFonts w:hint="default" w:ascii="Times New Roman" w:hAnsi="Times New Roman" w:eastAsia="宋体" w:cs="Times New Roman"/>
                <w:b/>
                <w:bCs/>
                <w:spacing w:val="20"/>
                <w:sz w:val="24"/>
                <w:szCs w:val="24"/>
                <w:lang w:val="en-US" w:eastAsia="en-US"/>
              </w:rPr>
              <w:t>评分标准</w:t>
            </w:r>
          </w:p>
        </w:tc>
        <w:tc>
          <w:tcPr>
            <w:tcW w:w="801" w:type="dxa"/>
            <w:tcBorders>
              <w:top w:val="single" w:color="000000" w:sz="12" w:space="0"/>
              <w:bottom w:val="single" w:color="000000" w:sz="4" w:space="0"/>
              <w:right w:val="single" w:color="000000" w:sz="12" w:space="0"/>
            </w:tcBorders>
            <w:noWrap w:val="0"/>
            <w:vAlign w:val="top"/>
          </w:tcPr>
          <w:p w14:paraId="077761F4">
            <w:pPr>
              <w:widowControl w:val="0"/>
              <w:spacing w:before="205" w:line="440" w:lineRule="exact"/>
              <w:ind w:left="156"/>
              <w:rPr>
                <w:rFonts w:hint="default" w:ascii="Times New Roman" w:hAnsi="Times New Roman" w:eastAsia="宋体" w:cs="Times New Roman"/>
                <w:sz w:val="24"/>
                <w:szCs w:val="24"/>
                <w:lang w:val="en-US" w:eastAsia="en-US"/>
              </w:rPr>
            </w:pPr>
            <w:r>
              <w:rPr>
                <w:rFonts w:hint="default" w:ascii="Times New Roman" w:hAnsi="Times New Roman" w:eastAsia="宋体" w:cs="Times New Roman"/>
                <w:b/>
                <w:bCs/>
                <w:spacing w:val="-6"/>
                <w:sz w:val="24"/>
                <w:szCs w:val="24"/>
                <w:lang w:val="en-US" w:eastAsia="en-US"/>
              </w:rPr>
              <w:t>分值</w:t>
            </w:r>
          </w:p>
        </w:tc>
      </w:tr>
      <w:tr w14:paraId="79BE4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0" w:hRule="atLeast"/>
          <w:jc w:val="center"/>
        </w:trPr>
        <w:tc>
          <w:tcPr>
            <w:tcW w:w="1534" w:type="dxa"/>
            <w:tcBorders>
              <w:top w:val="single" w:color="000000" w:sz="4" w:space="0"/>
              <w:left w:val="single" w:color="000000" w:sz="12" w:space="0"/>
            </w:tcBorders>
            <w:noWrap w:val="0"/>
            <w:vAlign w:val="center"/>
          </w:tcPr>
          <w:p w14:paraId="39065368">
            <w:pPr>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b/>
                <w:bCs/>
                <w:sz w:val="24"/>
                <w:szCs w:val="24"/>
                <w:lang w:val="en-US" w:eastAsia="en-US"/>
              </w:rPr>
            </w:pPr>
            <w:r>
              <w:rPr>
                <w:rFonts w:hint="default" w:ascii="Times New Roman" w:hAnsi="Times New Roman" w:eastAsia="仿宋_GB2312" w:cs="Times New Roman"/>
                <w:b/>
                <w:bCs/>
                <w:sz w:val="24"/>
                <w:szCs w:val="24"/>
                <w:lang w:val="en-US" w:eastAsia="zh-CN"/>
              </w:rPr>
              <w:t>价格部分</w:t>
            </w:r>
            <w:r>
              <w:rPr>
                <w:rFonts w:hint="default" w:ascii="Times New Roman" w:hAnsi="Times New Roman" w:eastAsia="仿宋_GB2312" w:cs="Times New Roman"/>
                <w:b/>
                <w:bCs/>
                <w:sz w:val="24"/>
                <w:szCs w:val="24"/>
                <w:lang w:val="en-US" w:eastAsia="en-US"/>
              </w:rPr>
              <w:t xml:space="preserve"> </w:t>
            </w:r>
          </w:p>
          <w:p w14:paraId="37D5C59F">
            <w:pPr>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color w:val="auto"/>
                <w:sz w:val="24"/>
                <w:szCs w:val="24"/>
                <w:lang w:val="en-US" w:eastAsia="en-US"/>
              </w:rPr>
            </w:pPr>
            <w:r>
              <w:rPr>
                <w:rFonts w:hint="default" w:ascii="Times New Roman" w:hAnsi="Times New Roman" w:eastAsia="仿宋_GB2312" w:cs="Times New Roman"/>
                <w:b/>
                <w:bCs/>
                <w:sz w:val="24"/>
                <w:szCs w:val="24"/>
                <w:lang w:val="en-US" w:eastAsia="en-US"/>
              </w:rPr>
              <w:t>（</w:t>
            </w:r>
            <w:r>
              <w:rPr>
                <w:rFonts w:hint="eastAsia" w:ascii="Times New Roman" w:hAnsi="Times New Roman" w:eastAsia="仿宋_GB2312" w:cs="Times New Roman"/>
                <w:b/>
                <w:bCs/>
                <w:sz w:val="24"/>
                <w:szCs w:val="24"/>
                <w:lang w:val="en-US" w:eastAsia="zh-CN"/>
              </w:rPr>
              <w:t>15</w:t>
            </w:r>
            <w:r>
              <w:rPr>
                <w:rFonts w:hint="default" w:ascii="Times New Roman" w:hAnsi="Times New Roman" w:eastAsia="仿宋_GB2312" w:cs="Times New Roman"/>
                <w:b/>
                <w:bCs/>
                <w:sz w:val="24"/>
                <w:szCs w:val="24"/>
                <w:lang w:val="en-US" w:eastAsia="en-US"/>
              </w:rPr>
              <w:t>分）</w:t>
            </w:r>
          </w:p>
        </w:tc>
        <w:tc>
          <w:tcPr>
            <w:tcW w:w="1546" w:type="dxa"/>
            <w:tcBorders>
              <w:top w:val="single" w:color="000000" w:sz="4" w:space="0"/>
            </w:tcBorders>
            <w:noWrap w:val="0"/>
            <w:vAlign w:val="center"/>
          </w:tcPr>
          <w:p w14:paraId="1A914AA3">
            <w:pPr>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color w:val="auto"/>
                <w:sz w:val="24"/>
                <w:szCs w:val="24"/>
                <w:lang w:val="en-US" w:eastAsia="en-US"/>
              </w:rPr>
            </w:pPr>
            <w:r>
              <w:rPr>
                <w:rFonts w:hint="default" w:ascii="Times New Roman" w:hAnsi="Times New Roman" w:eastAsia="仿宋_GB2312" w:cs="Times New Roman"/>
                <w:color w:val="auto"/>
                <w:sz w:val="24"/>
                <w:szCs w:val="24"/>
                <w:lang w:val="en-US" w:eastAsia="zh-CN"/>
              </w:rPr>
              <w:t>投标</w:t>
            </w:r>
            <w:r>
              <w:rPr>
                <w:rFonts w:hint="default" w:ascii="Times New Roman" w:hAnsi="Times New Roman" w:eastAsia="仿宋_GB2312" w:cs="Times New Roman"/>
                <w:color w:val="auto"/>
                <w:sz w:val="24"/>
                <w:szCs w:val="24"/>
                <w:lang w:val="en-US" w:eastAsia="en-US"/>
              </w:rPr>
              <w:t>报价</w:t>
            </w:r>
          </w:p>
        </w:tc>
        <w:tc>
          <w:tcPr>
            <w:tcW w:w="5715" w:type="dxa"/>
            <w:tcBorders>
              <w:top w:val="single" w:color="000000" w:sz="4" w:space="0"/>
            </w:tcBorders>
            <w:noWrap w:val="0"/>
            <w:vAlign w:val="top"/>
          </w:tcPr>
          <w:p w14:paraId="1C18A4A9">
            <w:pPr>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价格分统一采用低价优先法计算，即满足招标文件要求且投标价格最低的投标报价为评标基准价，其价格分为满分。其他投标人的价格分统一按照下列公式计算：投标报价得分=（评标基准价/投标报价）×</w:t>
            </w:r>
            <w:r>
              <w:rPr>
                <w:rFonts w:hint="eastAsia" w:ascii="Times New Roman" w:hAnsi="Times New Roman" w:eastAsia="仿宋_GB2312" w:cs="Times New Roman"/>
                <w:color w:val="auto"/>
                <w:sz w:val="24"/>
                <w:szCs w:val="24"/>
                <w:lang w:val="en-US" w:eastAsia="zh-CN"/>
              </w:rPr>
              <w:t>15</w:t>
            </w:r>
          </w:p>
          <w:p w14:paraId="1325BE54">
            <w:pPr>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因落实政府采购政策进行价格调整的，以调整后的价格计算评标基准价和投标报价得分。 因落实政府采购政策进行价格调整的，以调整后的价格计算评标基准价和投标报价得分。</w:t>
            </w:r>
          </w:p>
        </w:tc>
        <w:tc>
          <w:tcPr>
            <w:tcW w:w="801" w:type="dxa"/>
            <w:tcBorders>
              <w:top w:val="single" w:color="000000" w:sz="4" w:space="0"/>
              <w:right w:val="single" w:color="000000" w:sz="12" w:space="0"/>
            </w:tcBorders>
            <w:noWrap w:val="0"/>
            <w:vAlign w:val="center"/>
          </w:tcPr>
          <w:p w14:paraId="745CF884">
            <w:pPr>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color w:val="auto"/>
                <w:sz w:val="24"/>
                <w:szCs w:val="24"/>
                <w:lang w:val="en-US" w:eastAsia="en-US"/>
              </w:rPr>
            </w:pPr>
            <w:r>
              <w:rPr>
                <w:rFonts w:hint="eastAsia" w:ascii="Times New Roman" w:hAnsi="Times New Roman" w:eastAsia="仿宋_GB2312" w:cs="Times New Roman"/>
                <w:color w:val="auto"/>
                <w:sz w:val="24"/>
                <w:szCs w:val="24"/>
                <w:lang w:val="en-US" w:eastAsia="zh-CN"/>
              </w:rPr>
              <w:t>15</w:t>
            </w:r>
          </w:p>
        </w:tc>
      </w:tr>
      <w:tr w14:paraId="343CC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534" w:type="dxa"/>
            <w:vMerge w:val="restart"/>
            <w:tcBorders>
              <w:left w:val="single" w:color="000000" w:sz="12" w:space="0"/>
            </w:tcBorders>
            <w:noWrap w:val="0"/>
            <w:vAlign w:val="center"/>
          </w:tcPr>
          <w:p w14:paraId="5BB9AFE9">
            <w:pPr>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b/>
                <w:bCs/>
                <w:sz w:val="24"/>
                <w:szCs w:val="24"/>
                <w:lang w:val="en-US" w:eastAsia="en-US"/>
              </w:rPr>
            </w:pPr>
            <w:r>
              <w:rPr>
                <w:rFonts w:hint="default" w:ascii="Times New Roman" w:hAnsi="Times New Roman" w:eastAsia="仿宋_GB2312" w:cs="Times New Roman"/>
                <w:b/>
                <w:bCs/>
                <w:sz w:val="24"/>
                <w:szCs w:val="24"/>
                <w:lang w:val="en-US" w:eastAsia="en-US"/>
              </w:rPr>
              <w:t>综合部分</w:t>
            </w:r>
          </w:p>
          <w:p w14:paraId="33B769BA">
            <w:pPr>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bCs/>
                <w:sz w:val="24"/>
                <w:szCs w:val="24"/>
                <w:lang w:val="en-US" w:eastAsia="en-US"/>
              </w:rPr>
              <w:t>（</w:t>
            </w:r>
            <w:r>
              <w:rPr>
                <w:rFonts w:hint="eastAsia" w:ascii="Times New Roman" w:hAnsi="Times New Roman" w:eastAsia="仿宋_GB2312" w:cs="Times New Roman"/>
                <w:b/>
                <w:bCs/>
                <w:sz w:val="24"/>
                <w:szCs w:val="24"/>
                <w:lang w:val="en-US" w:eastAsia="zh-CN"/>
              </w:rPr>
              <w:t>15</w:t>
            </w:r>
            <w:r>
              <w:rPr>
                <w:rFonts w:hint="default" w:ascii="Times New Roman" w:hAnsi="Times New Roman" w:eastAsia="仿宋_GB2312" w:cs="Times New Roman"/>
                <w:b/>
                <w:bCs/>
                <w:sz w:val="24"/>
                <w:szCs w:val="24"/>
                <w:lang w:val="en-US" w:eastAsia="en-US"/>
              </w:rPr>
              <w:t>分）</w:t>
            </w:r>
          </w:p>
        </w:tc>
        <w:tc>
          <w:tcPr>
            <w:tcW w:w="1546" w:type="dxa"/>
            <w:tcBorders>
              <w:top w:val="nil"/>
              <w:bottom w:val="single" w:color="000000" w:sz="12" w:space="0"/>
            </w:tcBorders>
            <w:noWrap w:val="0"/>
            <w:vAlign w:val="center"/>
          </w:tcPr>
          <w:p w14:paraId="503E9145">
            <w:pPr>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en-US"/>
              </w:rPr>
              <w:t>业绩</w:t>
            </w:r>
          </w:p>
        </w:tc>
        <w:tc>
          <w:tcPr>
            <w:tcW w:w="5715" w:type="dxa"/>
            <w:tcBorders>
              <w:bottom w:val="single" w:color="000000" w:sz="12" w:space="0"/>
            </w:tcBorders>
            <w:noWrap w:val="0"/>
            <w:vAlign w:val="center"/>
          </w:tcPr>
          <w:p w14:paraId="5113E915">
            <w:pPr>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sz w:val="24"/>
                <w:szCs w:val="24"/>
                <w:lang w:val="en" w:eastAsia="zh-CN"/>
              </w:rPr>
            </w:pPr>
            <w:r>
              <w:rPr>
                <w:rFonts w:hint="default" w:ascii="Times New Roman" w:hAnsi="Times New Roman" w:eastAsia="仿宋_GB2312" w:cs="Times New Roman"/>
                <w:color w:val="auto"/>
                <w:sz w:val="24"/>
                <w:szCs w:val="24"/>
                <w:lang w:val="en-US" w:eastAsia="zh-CN"/>
              </w:rPr>
              <w:t>提供投标人自 2022年 1月 1 日以来的类似项目业绩,以合同签订日期为准，每提供一份得1份业绩得3分，最高得12分。（</w:t>
            </w:r>
            <w:r>
              <w:rPr>
                <w:rFonts w:hint="default" w:ascii="Times New Roman" w:hAnsi="Times New Roman" w:eastAsia="仿宋_GB2312" w:cs="Times New Roman"/>
                <w:color w:val="auto"/>
                <w:sz w:val="24"/>
                <w:szCs w:val="24"/>
                <w:lang w:val="en" w:eastAsia="zh-CN"/>
              </w:rPr>
              <w:t>完整业绩=合同（扫描件）+服务期内任意</w:t>
            </w:r>
            <w:r>
              <w:rPr>
                <w:rFonts w:hint="default" w:ascii="Times New Roman" w:hAnsi="Times New Roman" w:eastAsia="仿宋_GB2312" w:cs="Times New Roman"/>
                <w:color w:val="auto"/>
                <w:sz w:val="24"/>
                <w:szCs w:val="24"/>
                <w:lang w:val="en-US" w:eastAsia="zh-CN"/>
              </w:rPr>
              <w:t>一</w:t>
            </w:r>
            <w:r>
              <w:rPr>
                <w:rFonts w:hint="default" w:ascii="Times New Roman" w:hAnsi="Times New Roman" w:eastAsia="仿宋_GB2312" w:cs="Times New Roman"/>
                <w:color w:val="auto"/>
                <w:sz w:val="24"/>
                <w:szCs w:val="24"/>
                <w:lang w:val="en" w:eastAsia="zh-CN"/>
              </w:rPr>
              <w:t>个月的发票，扫描不清楚、不完整或无法辨认的不予认可，虚假业绩将自行承担相关责任。）缺项按0分计。</w:t>
            </w:r>
          </w:p>
          <w:p w14:paraId="04DB9595">
            <w:pPr>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注：同一项目多个标段按一份合同计算分值。</w:t>
            </w:r>
          </w:p>
        </w:tc>
        <w:tc>
          <w:tcPr>
            <w:tcW w:w="801" w:type="dxa"/>
            <w:tcBorders>
              <w:bottom w:val="single" w:color="000000" w:sz="12" w:space="0"/>
              <w:right w:val="single" w:color="000000" w:sz="12" w:space="0"/>
            </w:tcBorders>
            <w:noWrap w:val="0"/>
            <w:vAlign w:val="center"/>
          </w:tcPr>
          <w:p w14:paraId="65DB009B">
            <w:pPr>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12</w:t>
            </w:r>
          </w:p>
        </w:tc>
      </w:tr>
      <w:tr w14:paraId="107BE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8" w:hRule="atLeast"/>
          <w:jc w:val="center"/>
        </w:trPr>
        <w:tc>
          <w:tcPr>
            <w:tcW w:w="1534" w:type="dxa"/>
            <w:vMerge w:val="continue"/>
            <w:tcBorders>
              <w:left w:val="single" w:color="000000" w:sz="12" w:space="0"/>
              <w:bottom w:val="single" w:color="000000" w:sz="12" w:space="0"/>
            </w:tcBorders>
            <w:noWrap w:val="0"/>
            <w:vAlign w:val="top"/>
          </w:tcPr>
          <w:p w14:paraId="68C6554A">
            <w:pPr>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sz w:val="24"/>
                <w:szCs w:val="24"/>
                <w:lang w:val="en-US" w:eastAsia="zh-CN"/>
              </w:rPr>
            </w:pPr>
          </w:p>
        </w:tc>
        <w:tc>
          <w:tcPr>
            <w:tcW w:w="1546" w:type="dxa"/>
            <w:tcBorders>
              <w:top w:val="nil"/>
              <w:bottom w:val="single" w:color="000000" w:sz="12" w:space="0"/>
            </w:tcBorders>
            <w:noWrap w:val="0"/>
            <w:vAlign w:val="center"/>
          </w:tcPr>
          <w:p w14:paraId="38AC7EA5">
            <w:pPr>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color w:val="auto"/>
                <w:sz w:val="24"/>
                <w:szCs w:val="24"/>
                <w:lang w:val="en-US" w:eastAsia="en-US"/>
              </w:rPr>
            </w:pPr>
            <w:r>
              <w:rPr>
                <w:rFonts w:hint="default" w:ascii="Times New Roman" w:hAnsi="Times New Roman" w:eastAsia="仿宋_GB2312" w:cs="Times New Roman"/>
                <w:sz w:val="24"/>
                <w:szCs w:val="24"/>
              </w:rPr>
              <w:t>服务承诺</w:t>
            </w:r>
          </w:p>
        </w:tc>
        <w:tc>
          <w:tcPr>
            <w:tcW w:w="5715" w:type="dxa"/>
            <w:tcBorders>
              <w:bottom w:val="single" w:color="000000" w:sz="12" w:space="0"/>
            </w:tcBorders>
            <w:noWrap w:val="0"/>
            <w:vAlign w:val="center"/>
          </w:tcPr>
          <w:p w14:paraId="34DD64F4">
            <w:pPr>
              <w:keepNext w:val="0"/>
              <w:keepLines w:val="0"/>
              <w:pageBreakBefore w:val="0"/>
              <w:widowControl/>
              <w:kinsoku/>
              <w:wordWrap/>
              <w:overflowPunct/>
              <w:topLinePunct w:val="0"/>
              <w:autoSpaceDE w:val="0"/>
              <w:autoSpaceDN w:val="0"/>
              <w:bidi w:val="0"/>
              <w:adjustRightInd/>
              <w:snapToGrid/>
              <w:spacing w:line="460" w:lineRule="exact"/>
              <w:ind w:right="210"/>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投标人结合本项目需求提供服务承诺、实质性优惠，</w:t>
            </w:r>
            <w:r>
              <w:rPr>
                <w:rFonts w:hint="default" w:ascii="Times New Roman" w:hAnsi="Times New Roman" w:eastAsia="仿宋_GB2312" w:cs="Times New Roman"/>
                <w:sz w:val="24"/>
                <w:szCs w:val="24"/>
                <w:highlight w:val="none"/>
                <w:lang w:eastAsia="zh-CN"/>
              </w:rPr>
              <w:t>包括各项服务指标</w:t>
            </w:r>
            <w:r>
              <w:rPr>
                <w:rFonts w:hint="default" w:ascii="Times New Roman" w:hAnsi="Times New Roman" w:eastAsia="仿宋_GB2312" w:cs="Times New Roman"/>
                <w:kern w:val="0"/>
                <w:sz w:val="24"/>
                <w:szCs w:val="24"/>
                <w:highlight w:val="none"/>
              </w:rPr>
              <w:t>，</w:t>
            </w:r>
            <w:r>
              <w:rPr>
                <w:rFonts w:hint="default" w:ascii="Times New Roman" w:hAnsi="Times New Roman" w:eastAsia="仿宋_GB2312" w:cs="Times New Roman"/>
                <w:sz w:val="24"/>
                <w:szCs w:val="24"/>
                <w:highlight w:val="none"/>
              </w:rPr>
              <w:t>重大活动或者突击性任务需要增加服务人员数量时，无条件按照采购人要求和安排落实等。</w:t>
            </w:r>
          </w:p>
          <w:p w14:paraId="29BCDDD7">
            <w:pPr>
              <w:keepNext w:val="0"/>
              <w:keepLines w:val="0"/>
              <w:pageBreakBefore w:val="0"/>
              <w:widowControl/>
              <w:kinsoku/>
              <w:wordWrap/>
              <w:overflowPunct/>
              <w:topLinePunct w:val="0"/>
              <w:autoSpaceDE w:val="0"/>
              <w:autoSpaceDN w:val="0"/>
              <w:bidi w:val="0"/>
              <w:adjustRightInd/>
              <w:snapToGrid/>
              <w:spacing w:line="460" w:lineRule="exact"/>
              <w:ind w:right="21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highlight w:val="none"/>
                <w:lang w:val="en-US" w:eastAsia="zh-CN"/>
              </w:rPr>
              <w:t>投标人对每项内容论述详细,完全贴合项目采购需求的得</w:t>
            </w:r>
            <w:r>
              <w:rPr>
                <w:rFonts w:hint="eastAsia" w:ascii="Times New Roman" w:hAnsi="Times New Roman"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lang w:val="en-US" w:eastAsia="zh-CN"/>
              </w:rPr>
              <w:t>分;投标人对每项内容虽阐述但未贴合采购需求进行论述,或内容未包括具体细节的得</w:t>
            </w:r>
            <w:r>
              <w:rPr>
                <w:rFonts w:hint="eastAsia" w:ascii="Times New Roman" w:hAnsi="Times New Roman" w:eastAsia="仿宋_GB2312" w:cs="Times New Roman"/>
                <w:color w:val="auto"/>
                <w:sz w:val="24"/>
                <w:szCs w:val="24"/>
                <w:highlight w:val="none"/>
                <w:lang w:val="en-US" w:eastAsia="zh-CN"/>
              </w:rPr>
              <w:t>2</w:t>
            </w:r>
            <w:r>
              <w:rPr>
                <w:rFonts w:hint="default" w:ascii="Times New Roman" w:hAnsi="Times New Roman" w:eastAsia="仿宋_GB2312" w:cs="Times New Roman"/>
                <w:color w:val="auto"/>
                <w:sz w:val="24"/>
                <w:szCs w:val="24"/>
                <w:highlight w:val="none"/>
                <w:lang w:val="en-US" w:eastAsia="zh-CN"/>
              </w:rPr>
              <w:t>分;投标人提供的内容不完整</w:t>
            </w:r>
            <w:r>
              <w:rPr>
                <w:rFonts w:hint="default" w:ascii="Times New Roman" w:hAnsi="Times New Roman" w:eastAsia="仿宋_GB2312" w:cs="Times New Roman"/>
                <w:color w:val="auto"/>
                <w:sz w:val="24"/>
                <w:szCs w:val="24"/>
                <w:highlight w:val="none"/>
                <w:lang w:eastAsia="zh-CN"/>
              </w:rPr>
              <w:t>或</w:t>
            </w:r>
            <w:r>
              <w:rPr>
                <w:rFonts w:hint="default" w:ascii="Times New Roman" w:hAnsi="Times New Roman" w:eastAsia="仿宋_GB2312" w:cs="Times New Roman"/>
                <w:color w:val="auto"/>
                <w:sz w:val="24"/>
                <w:szCs w:val="24"/>
                <w:highlight w:val="none"/>
                <w:lang w:val="en-US" w:eastAsia="zh-CN"/>
              </w:rPr>
              <w:t>存在影响本项目目标实现的</w:t>
            </w:r>
            <w:r>
              <w:rPr>
                <w:rFonts w:hint="default" w:ascii="Times New Roman" w:hAnsi="Times New Roman" w:eastAsia="仿宋_GB2312" w:cs="Times New Roman"/>
                <w:color w:val="auto"/>
                <w:sz w:val="24"/>
                <w:szCs w:val="24"/>
                <w:highlight w:val="none"/>
                <w:lang w:eastAsia="zh-CN"/>
              </w:rPr>
              <w:t>明显错误</w:t>
            </w:r>
            <w:r>
              <w:rPr>
                <w:rFonts w:hint="default" w:ascii="Times New Roman" w:hAnsi="Times New Roman" w:eastAsia="仿宋_GB2312" w:cs="Times New Roman"/>
                <w:color w:val="auto"/>
                <w:sz w:val="24"/>
                <w:szCs w:val="24"/>
                <w:highlight w:val="none"/>
                <w:lang w:val="en-US" w:eastAsia="zh-CN"/>
              </w:rPr>
              <w:t>得</w:t>
            </w:r>
            <w:r>
              <w:rPr>
                <w:rFonts w:hint="eastAsia" w:ascii="Times New Roman" w:hAnsi="Times New Roman" w:eastAsia="仿宋_GB2312" w:cs="Times New Roman"/>
                <w:color w:val="auto"/>
                <w:sz w:val="24"/>
                <w:szCs w:val="24"/>
                <w:highlight w:val="none"/>
                <w:lang w:val="en-US" w:eastAsia="zh-CN"/>
              </w:rPr>
              <w:t>1</w:t>
            </w:r>
            <w:r>
              <w:rPr>
                <w:rFonts w:hint="default" w:ascii="Times New Roman" w:hAnsi="Times New Roman" w:eastAsia="仿宋_GB2312" w:cs="Times New Roman"/>
                <w:color w:val="auto"/>
                <w:sz w:val="24"/>
                <w:szCs w:val="24"/>
                <w:highlight w:val="none"/>
                <w:lang w:val="en-US" w:eastAsia="zh-CN"/>
              </w:rPr>
              <w:t>分;</w:t>
            </w:r>
            <w:r>
              <w:rPr>
                <w:rFonts w:hint="eastAsia" w:ascii="Times New Roman" w:hAnsi="Times New Roman" w:eastAsia="仿宋_GB2312" w:cs="Times New Roman"/>
                <w:color w:val="auto"/>
                <w:sz w:val="24"/>
                <w:szCs w:val="24"/>
                <w:highlight w:val="none"/>
                <w:lang w:val="en-US" w:eastAsia="zh-CN"/>
              </w:rPr>
              <w:t>缺项</w:t>
            </w:r>
            <w:r>
              <w:rPr>
                <w:rFonts w:hint="default" w:ascii="Times New Roman" w:hAnsi="Times New Roman" w:eastAsia="仿宋_GB2312" w:cs="Times New Roman"/>
                <w:color w:val="auto"/>
                <w:sz w:val="24"/>
                <w:szCs w:val="24"/>
                <w:highlight w:val="none"/>
                <w:lang w:val="en-US" w:eastAsia="zh-CN"/>
              </w:rPr>
              <w:t>得0分。</w:t>
            </w:r>
          </w:p>
        </w:tc>
        <w:tc>
          <w:tcPr>
            <w:tcW w:w="801" w:type="dxa"/>
            <w:tcBorders>
              <w:bottom w:val="single" w:color="000000" w:sz="12" w:space="0"/>
              <w:right w:val="single" w:color="000000" w:sz="12" w:space="0"/>
            </w:tcBorders>
            <w:noWrap w:val="0"/>
            <w:vAlign w:val="center"/>
          </w:tcPr>
          <w:p w14:paraId="2C88A0B3">
            <w:pPr>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w:t>
            </w:r>
          </w:p>
        </w:tc>
      </w:tr>
      <w:tr w14:paraId="5C977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jc w:val="center"/>
        </w:trPr>
        <w:tc>
          <w:tcPr>
            <w:tcW w:w="1534" w:type="dxa"/>
            <w:vMerge w:val="restart"/>
            <w:tcBorders>
              <w:left w:val="single" w:color="000000" w:sz="12" w:space="0"/>
            </w:tcBorders>
            <w:noWrap w:val="0"/>
            <w:vAlign w:val="center"/>
          </w:tcPr>
          <w:p w14:paraId="283F5E3E">
            <w:pPr>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技术部分</w:t>
            </w:r>
          </w:p>
          <w:p w14:paraId="455EFC94">
            <w:pPr>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color w:val="auto"/>
                <w:sz w:val="24"/>
                <w:szCs w:val="24"/>
                <w:lang w:val="en-US" w:eastAsia="en-US"/>
              </w:rPr>
            </w:pPr>
            <w:r>
              <w:rPr>
                <w:rFonts w:hint="default" w:ascii="Times New Roman" w:hAnsi="Times New Roman" w:eastAsia="仿宋_GB2312" w:cs="Times New Roman"/>
                <w:b/>
                <w:bCs/>
                <w:sz w:val="24"/>
                <w:szCs w:val="24"/>
                <w:lang w:val="en-US" w:eastAsia="en-US"/>
              </w:rPr>
              <w:t>（</w:t>
            </w:r>
            <w:r>
              <w:rPr>
                <w:rFonts w:hint="eastAsia" w:ascii="Times New Roman" w:hAnsi="Times New Roman" w:eastAsia="仿宋_GB2312" w:cs="Times New Roman"/>
                <w:b/>
                <w:bCs/>
                <w:sz w:val="24"/>
                <w:szCs w:val="24"/>
                <w:lang w:val="en-US" w:eastAsia="zh-CN"/>
              </w:rPr>
              <w:t>70</w:t>
            </w:r>
            <w:r>
              <w:rPr>
                <w:rFonts w:hint="default" w:ascii="Times New Roman" w:hAnsi="Times New Roman" w:eastAsia="仿宋_GB2312" w:cs="Times New Roman"/>
                <w:b/>
                <w:bCs/>
                <w:sz w:val="24"/>
                <w:szCs w:val="24"/>
                <w:lang w:val="en-US" w:eastAsia="en-US"/>
              </w:rPr>
              <w:t>分）</w:t>
            </w:r>
          </w:p>
        </w:tc>
        <w:tc>
          <w:tcPr>
            <w:tcW w:w="1546" w:type="dxa"/>
            <w:noWrap w:val="0"/>
            <w:vAlign w:val="center"/>
          </w:tcPr>
          <w:p w14:paraId="6E312D3F">
            <w:pPr>
              <w:keepNext w:val="0"/>
              <w:keepLines w:val="0"/>
              <w:pageBreakBefore w:val="0"/>
              <w:widowControl/>
              <w:kinsoku/>
              <w:wordWrap/>
              <w:overflowPunct/>
              <w:topLinePunct w:val="0"/>
              <w:bidi w:val="0"/>
              <w:adjustRightInd/>
              <w:snapToGrid/>
              <w:spacing w:after="0" w:line="460" w:lineRule="exac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人员</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lang w:val="en-US" w:eastAsia="zh-CN"/>
              </w:rPr>
              <w:t>设备</w:t>
            </w:r>
            <w:r>
              <w:rPr>
                <w:rFonts w:hint="eastAsia" w:ascii="Times New Roman" w:hAnsi="Times New Roman" w:eastAsia="仿宋_GB2312" w:cs="Times New Roman"/>
                <w:color w:val="auto"/>
                <w:sz w:val="24"/>
                <w:szCs w:val="24"/>
                <w:lang w:val="en-US" w:eastAsia="zh-CN"/>
              </w:rPr>
              <w:t>及物料</w:t>
            </w:r>
            <w:r>
              <w:rPr>
                <w:rFonts w:hint="default" w:ascii="Times New Roman" w:hAnsi="Times New Roman" w:eastAsia="仿宋_GB2312" w:cs="Times New Roman"/>
                <w:color w:val="auto"/>
                <w:sz w:val="24"/>
                <w:szCs w:val="24"/>
                <w:lang w:val="en-US" w:eastAsia="zh-CN"/>
              </w:rPr>
              <w:t>投入</w:t>
            </w:r>
          </w:p>
        </w:tc>
        <w:tc>
          <w:tcPr>
            <w:tcW w:w="5715" w:type="dxa"/>
            <w:noWrap w:val="0"/>
            <w:vAlign w:val="top"/>
          </w:tcPr>
          <w:p w14:paraId="4BB03911">
            <w:pPr>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评标委员会根据投标文件和相关证明材料对招标文件的响应情况，对照判断所投人员及设备是否满足招标文件的要求：</w:t>
            </w:r>
          </w:p>
          <w:p w14:paraId="18AD8F97">
            <w:pPr>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1.带★代表实质性指标，不满足或未响应该指标项将导致投标被拒绝；</w:t>
            </w:r>
          </w:p>
          <w:p w14:paraId="50BCB737">
            <w:pPr>
              <w:keepNext w:val="0"/>
              <w:keepLines w:val="0"/>
              <w:pageBreakBefore w:val="0"/>
              <w:widowControl/>
              <w:kinsoku/>
              <w:wordWrap/>
              <w:overflowPunct/>
              <w:topLinePunct w:val="0"/>
              <w:bidi w:val="0"/>
              <w:adjustRightInd/>
              <w:snapToGrid/>
              <w:spacing w:line="460" w:lineRule="exact"/>
              <w:textAlignment w:val="auto"/>
              <w:rPr>
                <w:rFonts w:hint="default"/>
                <w:lang w:val="en-US" w:eastAsia="zh-CN"/>
              </w:rPr>
            </w:pPr>
            <w:r>
              <w:rPr>
                <w:rFonts w:hint="default" w:ascii="Times New Roman" w:hAnsi="Times New Roman" w:eastAsia="仿宋_GB2312" w:cs="Times New Roman"/>
                <w:color w:val="auto"/>
                <w:sz w:val="24"/>
                <w:szCs w:val="24"/>
                <w:highlight w:val="none"/>
                <w:lang w:val="en-US" w:eastAsia="zh-CN"/>
              </w:rPr>
              <w:t>2.带△号表示优化指标项，每满足一项得</w:t>
            </w:r>
            <w:r>
              <w:rPr>
                <w:rFonts w:hint="eastAsia" w:ascii="Times New Roman" w:hAnsi="Times New Roman" w:eastAsia="仿宋_GB2312" w:cs="Times New Roman"/>
                <w:color w:val="auto"/>
                <w:sz w:val="24"/>
                <w:szCs w:val="24"/>
                <w:highlight w:val="none"/>
                <w:lang w:val="en-US" w:eastAsia="zh-CN"/>
              </w:rPr>
              <w:t>2</w:t>
            </w:r>
            <w:r>
              <w:rPr>
                <w:rFonts w:hint="default" w:ascii="Times New Roman" w:hAnsi="Times New Roman" w:eastAsia="仿宋_GB2312" w:cs="Times New Roman"/>
                <w:color w:val="auto"/>
                <w:sz w:val="24"/>
                <w:szCs w:val="24"/>
                <w:highlight w:val="none"/>
                <w:lang w:val="en-US" w:eastAsia="zh-CN"/>
              </w:rPr>
              <w:t>分，满分共</w:t>
            </w:r>
            <w:r>
              <w:rPr>
                <w:rFonts w:hint="eastAsia" w:ascii="Times New Roman" w:hAnsi="Times New Roman"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lang w:val="en-US" w:eastAsia="zh-CN"/>
              </w:rPr>
              <w:t>0分。</w:t>
            </w:r>
          </w:p>
        </w:tc>
        <w:tc>
          <w:tcPr>
            <w:tcW w:w="801" w:type="dxa"/>
            <w:tcBorders>
              <w:right w:val="single" w:color="000000" w:sz="12" w:space="0"/>
            </w:tcBorders>
            <w:noWrap w:val="0"/>
            <w:vAlign w:val="center"/>
          </w:tcPr>
          <w:p w14:paraId="36144136">
            <w:pPr>
              <w:keepNext w:val="0"/>
              <w:keepLines w:val="0"/>
              <w:pageBreakBefore w:val="0"/>
              <w:widowControl/>
              <w:kinsoku/>
              <w:wordWrap/>
              <w:overflowPunct/>
              <w:topLinePunct w:val="0"/>
              <w:bidi w:val="0"/>
              <w:adjustRightInd/>
              <w:snapToGrid/>
              <w:spacing w:after="0" w:line="46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3</w:t>
            </w:r>
            <w:r>
              <w:rPr>
                <w:rFonts w:hint="default" w:ascii="Times New Roman" w:hAnsi="Times New Roman" w:eastAsia="仿宋_GB2312" w:cs="Times New Roman"/>
                <w:color w:val="auto"/>
                <w:kern w:val="2"/>
                <w:sz w:val="24"/>
                <w:szCs w:val="24"/>
                <w:highlight w:val="none"/>
                <w:lang w:val="en-US" w:eastAsia="zh-CN" w:bidi="ar-SA"/>
              </w:rPr>
              <w:t>0</w:t>
            </w:r>
          </w:p>
        </w:tc>
      </w:tr>
      <w:tr w14:paraId="49BB6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2" w:hRule="atLeast"/>
          <w:jc w:val="center"/>
        </w:trPr>
        <w:tc>
          <w:tcPr>
            <w:tcW w:w="1534" w:type="dxa"/>
            <w:vMerge w:val="continue"/>
            <w:tcBorders>
              <w:left w:val="single" w:color="000000" w:sz="12" w:space="0"/>
            </w:tcBorders>
            <w:noWrap w:val="0"/>
            <w:vAlign w:val="top"/>
          </w:tcPr>
          <w:p w14:paraId="302A4706">
            <w:pPr>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sz w:val="24"/>
                <w:szCs w:val="24"/>
                <w:lang w:val="en-US" w:eastAsia="zh-CN"/>
              </w:rPr>
            </w:pPr>
          </w:p>
        </w:tc>
        <w:tc>
          <w:tcPr>
            <w:tcW w:w="1546" w:type="dxa"/>
            <w:noWrap w:val="0"/>
            <w:vAlign w:val="center"/>
          </w:tcPr>
          <w:p w14:paraId="1BB72BDB">
            <w:pPr>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rPr>
              <w:t>整体设想及策划</w:t>
            </w:r>
          </w:p>
        </w:tc>
        <w:tc>
          <w:tcPr>
            <w:tcW w:w="5715" w:type="dxa"/>
            <w:noWrap w:val="0"/>
            <w:vAlign w:val="top"/>
          </w:tcPr>
          <w:p w14:paraId="00D23A73">
            <w:pPr>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投标人需根据采购需求提供针对本项目的物业管理整体设想及策划方案，方案应包括：项目需求分析及设想，项目现场组织、管理机构设置、质量责任监管、监督考核机制等。</w:t>
            </w:r>
          </w:p>
          <w:p w14:paraId="7A67680B">
            <w:pPr>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投标人对每项内容论述详细,完全贴合项目采购需求的得</w:t>
            </w:r>
            <w:r>
              <w:rPr>
                <w:rFonts w:hint="eastAsia" w:ascii="Times New Roman" w:hAnsi="Times New Roman" w:eastAsia="仿宋_GB2312" w:cs="Times New Roman"/>
                <w:color w:val="auto"/>
                <w:sz w:val="24"/>
                <w:szCs w:val="24"/>
                <w:highlight w:val="none"/>
                <w:lang w:val="en-US" w:eastAsia="zh-CN"/>
              </w:rPr>
              <w:t>5</w:t>
            </w:r>
            <w:r>
              <w:rPr>
                <w:rFonts w:hint="default" w:ascii="Times New Roman" w:hAnsi="Times New Roman" w:eastAsia="仿宋_GB2312" w:cs="Times New Roman"/>
                <w:color w:val="auto"/>
                <w:sz w:val="24"/>
                <w:szCs w:val="24"/>
                <w:highlight w:val="none"/>
                <w:lang w:val="en-US" w:eastAsia="zh-CN"/>
              </w:rPr>
              <w:t>分;投标人对每项内容虽阐述但未贴合采购需求进行论述,或内容未包括具体细节的得</w:t>
            </w:r>
            <w:r>
              <w:rPr>
                <w:rFonts w:hint="eastAsia" w:ascii="Times New Roman" w:hAnsi="Times New Roman"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lang w:val="en-US" w:eastAsia="zh-CN"/>
              </w:rPr>
              <w:t>分;投标人提供的内容不完整</w:t>
            </w:r>
            <w:r>
              <w:rPr>
                <w:rFonts w:hint="default" w:ascii="Times New Roman" w:hAnsi="Times New Roman" w:eastAsia="仿宋_GB2312" w:cs="Times New Roman"/>
                <w:color w:val="auto"/>
                <w:sz w:val="24"/>
                <w:szCs w:val="24"/>
                <w:highlight w:val="none"/>
                <w:lang w:eastAsia="zh-CN"/>
              </w:rPr>
              <w:t>或</w:t>
            </w:r>
            <w:r>
              <w:rPr>
                <w:rFonts w:hint="default" w:ascii="Times New Roman" w:hAnsi="Times New Roman" w:eastAsia="仿宋_GB2312" w:cs="Times New Roman"/>
                <w:color w:val="auto"/>
                <w:sz w:val="24"/>
                <w:szCs w:val="24"/>
                <w:highlight w:val="none"/>
                <w:lang w:val="en-US" w:eastAsia="zh-CN"/>
              </w:rPr>
              <w:t>存在影响本项目目标实现的</w:t>
            </w:r>
            <w:r>
              <w:rPr>
                <w:rFonts w:hint="default" w:ascii="Times New Roman" w:hAnsi="Times New Roman" w:eastAsia="仿宋_GB2312" w:cs="Times New Roman"/>
                <w:color w:val="auto"/>
                <w:sz w:val="24"/>
                <w:szCs w:val="24"/>
                <w:highlight w:val="none"/>
                <w:lang w:eastAsia="zh-CN"/>
              </w:rPr>
              <w:t>明显错误</w:t>
            </w:r>
            <w:r>
              <w:rPr>
                <w:rFonts w:hint="default" w:ascii="Times New Roman" w:hAnsi="Times New Roman" w:eastAsia="仿宋_GB2312" w:cs="Times New Roman"/>
                <w:color w:val="auto"/>
                <w:sz w:val="24"/>
                <w:szCs w:val="24"/>
                <w:highlight w:val="none"/>
                <w:lang w:val="en-US" w:eastAsia="zh-CN"/>
              </w:rPr>
              <w:t>得</w:t>
            </w:r>
            <w:r>
              <w:rPr>
                <w:rFonts w:hint="eastAsia" w:ascii="Times New Roman" w:hAnsi="Times New Roman" w:eastAsia="仿宋_GB2312" w:cs="Times New Roman"/>
                <w:color w:val="auto"/>
                <w:sz w:val="24"/>
                <w:szCs w:val="24"/>
                <w:highlight w:val="none"/>
                <w:lang w:val="en-US" w:eastAsia="zh-CN"/>
              </w:rPr>
              <w:t>1</w:t>
            </w:r>
            <w:r>
              <w:rPr>
                <w:rFonts w:hint="default" w:ascii="Times New Roman" w:hAnsi="Times New Roman" w:eastAsia="仿宋_GB2312" w:cs="Times New Roman"/>
                <w:color w:val="auto"/>
                <w:sz w:val="24"/>
                <w:szCs w:val="24"/>
                <w:highlight w:val="none"/>
                <w:lang w:val="en-US" w:eastAsia="zh-CN"/>
              </w:rPr>
              <w:t>分;</w:t>
            </w:r>
            <w:r>
              <w:rPr>
                <w:rFonts w:hint="eastAsia" w:ascii="Times New Roman" w:hAnsi="Times New Roman" w:eastAsia="仿宋_GB2312" w:cs="Times New Roman"/>
                <w:color w:val="auto"/>
                <w:sz w:val="24"/>
                <w:szCs w:val="24"/>
                <w:highlight w:val="none"/>
                <w:lang w:val="en-US" w:eastAsia="zh-CN"/>
              </w:rPr>
              <w:t>缺项得0分</w:t>
            </w:r>
            <w:r>
              <w:rPr>
                <w:rFonts w:hint="default" w:ascii="Times New Roman" w:hAnsi="Times New Roman" w:eastAsia="仿宋_GB2312" w:cs="Times New Roman"/>
                <w:color w:val="auto"/>
                <w:sz w:val="24"/>
                <w:szCs w:val="24"/>
                <w:highlight w:val="none"/>
                <w:lang w:val="en-US" w:eastAsia="zh-CN"/>
              </w:rPr>
              <w:t>。</w:t>
            </w:r>
          </w:p>
        </w:tc>
        <w:tc>
          <w:tcPr>
            <w:tcW w:w="801" w:type="dxa"/>
            <w:tcBorders>
              <w:right w:val="single" w:color="000000" w:sz="12" w:space="0"/>
            </w:tcBorders>
            <w:noWrap w:val="0"/>
            <w:vAlign w:val="center"/>
          </w:tcPr>
          <w:p w14:paraId="7B82E6EC">
            <w:pPr>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5</w:t>
            </w:r>
          </w:p>
        </w:tc>
      </w:tr>
      <w:tr w14:paraId="66173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7" w:hRule="atLeast"/>
          <w:jc w:val="center"/>
        </w:trPr>
        <w:tc>
          <w:tcPr>
            <w:tcW w:w="1534" w:type="dxa"/>
            <w:vMerge w:val="continue"/>
            <w:tcBorders>
              <w:left w:val="single" w:color="000000" w:sz="12" w:space="0"/>
            </w:tcBorders>
            <w:noWrap w:val="0"/>
            <w:vAlign w:val="top"/>
          </w:tcPr>
          <w:p w14:paraId="661F80A8">
            <w:pPr>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sz w:val="24"/>
                <w:szCs w:val="24"/>
                <w:lang w:val="en-US" w:eastAsia="zh-CN"/>
              </w:rPr>
            </w:pPr>
          </w:p>
        </w:tc>
        <w:tc>
          <w:tcPr>
            <w:tcW w:w="1546" w:type="dxa"/>
            <w:noWrap w:val="0"/>
            <w:vAlign w:val="center"/>
          </w:tcPr>
          <w:p w14:paraId="0576B322">
            <w:pPr>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设施设备维修方案</w:t>
            </w:r>
          </w:p>
        </w:tc>
        <w:tc>
          <w:tcPr>
            <w:tcW w:w="5715" w:type="dxa"/>
            <w:noWrap w:val="0"/>
            <w:vAlign w:val="center"/>
          </w:tcPr>
          <w:p w14:paraId="7AFB7421">
            <w:pPr>
              <w:keepNext w:val="0"/>
              <w:keepLines w:val="0"/>
              <w:pageBreakBefore w:val="0"/>
              <w:widowControl/>
              <w:kinsoku/>
              <w:wordWrap/>
              <w:overflowPunct/>
              <w:topLinePunct w:val="0"/>
              <w:bidi w:val="0"/>
              <w:adjustRightInd/>
              <w:snapToGrid/>
              <w:spacing w:line="460" w:lineRule="exact"/>
              <w:jc w:val="left"/>
              <w:textAlignment w:val="auto"/>
              <w:rPr>
                <w:rFonts w:hint="default"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sz w:val="24"/>
                <w:szCs w:val="24"/>
                <w:highlight w:val="none"/>
              </w:rPr>
              <w:t>投标人</w:t>
            </w:r>
            <w:r>
              <w:rPr>
                <w:rFonts w:hint="default" w:ascii="Times New Roman" w:hAnsi="Times New Roman" w:eastAsia="仿宋_GB2312" w:cs="Times New Roman"/>
                <w:color w:val="auto"/>
                <w:sz w:val="24"/>
                <w:szCs w:val="24"/>
                <w:highlight w:val="none"/>
                <w:lang w:eastAsia="zh-CN"/>
              </w:rPr>
              <w:t>需</w:t>
            </w:r>
            <w:r>
              <w:rPr>
                <w:rFonts w:hint="default" w:ascii="Times New Roman" w:hAnsi="Times New Roman" w:eastAsia="仿宋_GB2312" w:cs="Times New Roman"/>
                <w:color w:val="auto"/>
                <w:sz w:val="24"/>
                <w:szCs w:val="24"/>
                <w:highlight w:val="none"/>
              </w:rPr>
              <w:t>根据采购需求提供针对本项目的设施设备维修方案，方案应包含：维修制度、管理办法、保障措施等</w:t>
            </w:r>
            <w:r>
              <w:rPr>
                <w:rFonts w:hint="default" w:ascii="Times New Roman" w:hAnsi="Times New Roman" w:eastAsia="仿宋_GB2312" w:cs="Times New Roman"/>
                <w:color w:val="auto"/>
                <w:sz w:val="24"/>
                <w:szCs w:val="24"/>
                <w:highlight w:val="none"/>
                <w:lang w:eastAsia="zh-CN"/>
              </w:rPr>
              <w:t>。</w:t>
            </w:r>
          </w:p>
          <w:p w14:paraId="1AD50507">
            <w:pPr>
              <w:keepNext w:val="0"/>
              <w:keepLines w:val="0"/>
              <w:pageBreakBefore w:val="0"/>
              <w:widowControl/>
              <w:kinsoku/>
              <w:wordWrap/>
              <w:overflowPunct/>
              <w:topLinePunct w:val="0"/>
              <w:bidi w:val="0"/>
              <w:adjustRightInd/>
              <w:snapToGrid/>
              <w:spacing w:line="46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sz w:val="24"/>
                <w:szCs w:val="24"/>
                <w:highlight w:val="none"/>
                <w:lang w:val="en-US" w:eastAsia="zh-CN"/>
              </w:rPr>
              <w:t>投标人对每项内容论述详细,完全贴合项目采购需求的得</w:t>
            </w:r>
            <w:r>
              <w:rPr>
                <w:rFonts w:hint="eastAsia" w:ascii="Times New Roman" w:hAnsi="Times New Roman" w:eastAsia="仿宋_GB2312" w:cs="Times New Roman"/>
                <w:color w:val="auto"/>
                <w:sz w:val="24"/>
                <w:szCs w:val="24"/>
                <w:highlight w:val="none"/>
                <w:lang w:val="en-US" w:eastAsia="zh-CN"/>
              </w:rPr>
              <w:t>5</w:t>
            </w:r>
            <w:r>
              <w:rPr>
                <w:rFonts w:hint="default" w:ascii="Times New Roman" w:hAnsi="Times New Roman" w:eastAsia="仿宋_GB2312" w:cs="Times New Roman"/>
                <w:color w:val="auto"/>
                <w:sz w:val="24"/>
                <w:szCs w:val="24"/>
                <w:highlight w:val="none"/>
                <w:lang w:val="en-US" w:eastAsia="zh-CN"/>
              </w:rPr>
              <w:t>分;投标人对每项内容虽阐述但未贴合采购需求进行论述,或内容未包括具体细节的得</w:t>
            </w:r>
            <w:r>
              <w:rPr>
                <w:rFonts w:hint="eastAsia" w:ascii="Times New Roman" w:hAnsi="Times New Roman"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lang w:val="en-US" w:eastAsia="zh-CN"/>
              </w:rPr>
              <w:t>分;投标人提供的内容不完整</w:t>
            </w:r>
            <w:r>
              <w:rPr>
                <w:rFonts w:hint="default" w:ascii="Times New Roman" w:hAnsi="Times New Roman" w:eastAsia="仿宋_GB2312" w:cs="Times New Roman"/>
                <w:color w:val="auto"/>
                <w:sz w:val="24"/>
                <w:szCs w:val="24"/>
                <w:highlight w:val="none"/>
                <w:lang w:eastAsia="zh-CN"/>
              </w:rPr>
              <w:t>或</w:t>
            </w:r>
            <w:r>
              <w:rPr>
                <w:rFonts w:hint="default" w:ascii="Times New Roman" w:hAnsi="Times New Roman" w:eastAsia="仿宋_GB2312" w:cs="Times New Roman"/>
                <w:color w:val="auto"/>
                <w:sz w:val="24"/>
                <w:szCs w:val="24"/>
                <w:highlight w:val="none"/>
                <w:lang w:val="en-US" w:eastAsia="zh-CN"/>
              </w:rPr>
              <w:t>存在影响本项目目标实现的</w:t>
            </w:r>
            <w:r>
              <w:rPr>
                <w:rFonts w:hint="default" w:ascii="Times New Roman" w:hAnsi="Times New Roman" w:eastAsia="仿宋_GB2312" w:cs="Times New Roman"/>
                <w:color w:val="auto"/>
                <w:sz w:val="24"/>
                <w:szCs w:val="24"/>
                <w:highlight w:val="none"/>
                <w:lang w:eastAsia="zh-CN"/>
              </w:rPr>
              <w:t>明显错误</w:t>
            </w:r>
            <w:r>
              <w:rPr>
                <w:rFonts w:hint="default" w:ascii="Times New Roman" w:hAnsi="Times New Roman" w:eastAsia="仿宋_GB2312" w:cs="Times New Roman"/>
                <w:color w:val="auto"/>
                <w:sz w:val="24"/>
                <w:szCs w:val="24"/>
                <w:highlight w:val="none"/>
                <w:lang w:val="en-US" w:eastAsia="zh-CN"/>
              </w:rPr>
              <w:t>得</w:t>
            </w:r>
            <w:r>
              <w:rPr>
                <w:rFonts w:hint="eastAsia" w:ascii="Times New Roman" w:hAnsi="Times New Roman" w:eastAsia="仿宋_GB2312" w:cs="Times New Roman"/>
                <w:color w:val="auto"/>
                <w:sz w:val="24"/>
                <w:szCs w:val="24"/>
                <w:highlight w:val="none"/>
                <w:lang w:val="en-US" w:eastAsia="zh-CN"/>
              </w:rPr>
              <w:t>1</w:t>
            </w:r>
            <w:r>
              <w:rPr>
                <w:rFonts w:hint="default" w:ascii="Times New Roman" w:hAnsi="Times New Roman" w:eastAsia="仿宋_GB2312" w:cs="Times New Roman"/>
                <w:color w:val="auto"/>
                <w:sz w:val="24"/>
                <w:szCs w:val="24"/>
                <w:highlight w:val="none"/>
                <w:lang w:val="en-US" w:eastAsia="zh-CN"/>
              </w:rPr>
              <w:t>分;</w:t>
            </w:r>
            <w:r>
              <w:rPr>
                <w:rFonts w:hint="eastAsia" w:ascii="Times New Roman" w:hAnsi="Times New Roman" w:eastAsia="仿宋_GB2312" w:cs="Times New Roman"/>
                <w:color w:val="auto"/>
                <w:sz w:val="24"/>
                <w:szCs w:val="24"/>
                <w:highlight w:val="none"/>
                <w:lang w:val="en-US" w:eastAsia="zh-CN"/>
              </w:rPr>
              <w:t>缺项得0分</w:t>
            </w:r>
            <w:r>
              <w:rPr>
                <w:rFonts w:hint="default" w:ascii="Times New Roman" w:hAnsi="Times New Roman" w:eastAsia="仿宋_GB2312" w:cs="Times New Roman"/>
                <w:color w:val="auto"/>
                <w:sz w:val="24"/>
                <w:szCs w:val="24"/>
                <w:highlight w:val="none"/>
                <w:lang w:val="en-US" w:eastAsia="zh-CN"/>
              </w:rPr>
              <w:t>。</w:t>
            </w:r>
          </w:p>
        </w:tc>
        <w:tc>
          <w:tcPr>
            <w:tcW w:w="801" w:type="dxa"/>
            <w:tcBorders>
              <w:right w:val="single" w:color="000000" w:sz="12" w:space="0"/>
            </w:tcBorders>
            <w:noWrap w:val="0"/>
            <w:vAlign w:val="center"/>
          </w:tcPr>
          <w:p w14:paraId="6D0A3CDC">
            <w:pPr>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5</w:t>
            </w:r>
          </w:p>
        </w:tc>
      </w:tr>
      <w:tr w14:paraId="0CD67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7" w:hRule="atLeast"/>
          <w:jc w:val="center"/>
        </w:trPr>
        <w:tc>
          <w:tcPr>
            <w:tcW w:w="1534" w:type="dxa"/>
            <w:vMerge w:val="continue"/>
            <w:tcBorders>
              <w:left w:val="single" w:color="000000" w:sz="12" w:space="0"/>
            </w:tcBorders>
            <w:noWrap w:val="0"/>
            <w:vAlign w:val="top"/>
          </w:tcPr>
          <w:p w14:paraId="0884C020">
            <w:pPr>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sz w:val="24"/>
                <w:szCs w:val="24"/>
                <w:lang w:val="en-US" w:eastAsia="zh-CN"/>
              </w:rPr>
            </w:pPr>
          </w:p>
        </w:tc>
        <w:tc>
          <w:tcPr>
            <w:tcW w:w="1546" w:type="dxa"/>
            <w:noWrap w:val="0"/>
            <w:vAlign w:val="center"/>
          </w:tcPr>
          <w:p w14:paraId="0238AD8F">
            <w:pPr>
              <w:keepNext w:val="0"/>
              <w:keepLines w:val="0"/>
              <w:pageBreakBefore w:val="0"/>
              <w:widowControl/>
              <w:kinsoku/>
              <w:wordWrap/>
              <w:overflowPunct/>
              <w:topLinePunct w:val="0"/>
              <w:bidi w:val="0"/>
              <w:adjustRightInd/>
              <w:snapToGrid/>
              <w:spacing w:line="460" w:lineRule="exact"/>
              <w:textAlignment w:val="auto"/>
              <w:rPr>
                <w:rFonts w:hint="eastAsia"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rPr>
              <w:t>公寓管理</w:t>
            </w:r>
            <w:r>
              <w:rPr>
                <w:rFonts w:hint="eastAsia" w:ascii="Times New Roman" w:hAnsi="Times New Roman" w:eastAsia="仿宋_GB2312" w:cs="Times New Roman"/>
                <w:color w:val="auto"/>
                <w:sz w:val="24"/>
                <w:szCs w:val="24"/>
                <w:highlight w:val="none"/>
                <w:lang w:val="en-US" w:eastAsia="zh-CN"/>
              </w:rPr>
              <w:t>方案</w:t>
            </w:r>
          </w:p>
        </w:tc>
        <w:tc>
          <w:tcPr>
            <w:tcW w:w="5715" w:type="dxa"/>
            <w:noWrap w:val="0"/>
            <w:vAlign w:val="center"/>
          </w:tcPr>
          <w:p w14:paraId="696AF8EF">
            <w:pPr>
              <w:keepNext w:val="0"/>
              <w:keepLines w:val="0"/>
              <w:pageBreakBefore w:val="0"/>
              <w:widowControl/>
              <w:kinsoku/>
              <w:wordWrap/>
              <w:overflowPunct/>
              <w:topLinePunct w:val="0"/>
              <w:bidi w:val="0"/>
              <w:adjustRightInd/>
              <w:snapToGrid/>
              <w:spacing w:line="460" w:lineRule="exact"/>
              <w:jc w:val="left"/>
              <w:textAlignment w:val="auto"/>
              <w:rPr>
                <w:rFonts w:hint="eastAsia"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投标人</w:t>
            </w:r>
            <w:r>
              <w:rPr>
                <w:rFonts w:hint="eastAsia" w:ascii="Times New Roman" w:hAnsi="Times New Roman" w:eastAsia="仿宋_GB2312" w:cs="Times New Roman"/>
                <w:color w:val="auto"/>
                <w:sz w:val="24"/>
                <w:szCs w:val="24"/>
                <w:highlight w:val="none"/>
                <w:lang w:val="en-US" w:eastAsia="zh-CN"/>
              </w:rPr>
              <w:t>应</w:t>
            </w:r>
            <w:r>
              <w:rPr>
                <w:rFonts w:hint="default" w:ascii="Times New Roman" w:hAnsi="Times New Roman" w:eastAsia="仿宋_GB2312" w:cs="Times New Roman"/>
                <w:color w:val="auto"/>
                <w:sz w:val="24"/>
                <w:szCs w:val="24"/>
                <w:highlight w:val="none"/>
                <w:lang w:val="en-US" w:eastAsia="zh-CN"/>
              </w:rPr>
              <w:t>根据采购需求提供针对本项目的</w:t>
            </w:r>
            <w:r>
              <w:rPr>
                <w:rFonts w:hint="default" w:ascii="Times New Roman" w:hAnsi="Times New Roman" w:eastAsia="仿宋_GB2312" w:cs="Times New Roman"/>
                <w:color w:val="auto"/>
                <w:sz w:val="24"/>
                <w:szCs w:val="24"/>
                <w:highlight w:val="none"/>
              </w:rPr>
              <w:t>公寓管理</w:t>
            </w:r>
            <w:r>
              <w:rPr>
                <w:rFonts w:hint="eastAsia" w:ascii="Times New Roman" w:hAnsi="Times New Roman" w:eastAsia="仿宋_GB2312" w:cs="Times New Roman"/>
                <w:color w:val="auto"/>
                <w:sz w:val="24"/>
                <w:szCs w:val="24"/>
                <w:highlight w:val="none"/>
                <w:lang w:val="en-US" w:eastAsia="zh-CN"/>
              </w:rPr>
              <w:t>方案，</w:t>
            </w:r>
            <w:r>
              <w:rPr>
                <w:rFonts w:hint="default" w:ascii="Times New Roman" w:hAnsi="Times New Roman" w:eastAsia="仿宋_GB2312" w:cs="Times New Roman"/>
                <w:color w:val="auto"/>
                <w:sz w:val="24"/>
                <w:szCs w:val="24"/>
                <w:highlight w:val="none"/>
              </w:rPr>
              <w:t>方案应包括：</w:t>
            </w:r>
            <w:r>
              <w:rPr>
                <w:rFonts w:hint="eastAsia" w:ascii="Times New Roman" w:hAnsi="Times New Roman" w:eastAsia="仿宋_GB2312" w:cs="Times New Roman"/>
                <w:color w:val="auto"/>
                <w:sz w:val="24"/>
                <w:szCs w:val="24"/>
                <w:highlight w:val="none"/>
                <w:lang w:val="en-US" w:eastAsia="zh-CN"/>
              </w:rPr>
              <w:t>进出安全</w:t>
            </w:r>
            <w:r>
              <w:rPr>
                <w:rFonts w:hint="default" w:ascii="Times New Roman" w:hAnsi="Times New Roman" w:eastAsia="仿宋_GB2312" w:cs="Times New Roman"/>
                <w:color w:val="auto"/>
                <w:sz w:val="24"/>
                <w:szCs w:val="24"/>
                <w:highlight w:val="none"/>
              </w:rPr>
              <w:t>检查管理</w:t>
            </w:r>
            <w:r>
              <w:rPr>
                <w:rFonts w:hint="eastAsia" w:ascii="Times New Roman" w:hAnsi="Times New Roman" w:eastAsia="仿宋_GB2312" w:cs="Times New Roman"/>
                <w:color w:val="auto"/>
                <w:sz w:val="24"/>
                <w:szCs w:val="24"/>
                <w:highlight w:val="none"/>
                <w:lang w:eastAsia="zh-CN"/>
              </w:rPr>
              <w:t>、值班制度、</w:t>
            </w:r>
            <w:r>
              <w:rPr>
                <w:rFonts w:hint="eastAsia" w:ascii="Times New Roman" w:hAnsi="Times New Roman" w:eastAsia="仿宋_GB2312" w:cs="Times New Roman"/>
                <w:color w:val="auto"/>
                <w:sz w:val="24"/>
                <w:szCs w:val="24"/>
                <w:highlight w:val="none"/>
                <w:lang w:val="en-US" w:eastAsia="zh-CN"/>
              </w:rPr>
              <w:t>巡查制度、公寓内消防安全措施等。</w:t>
            </w:r>
          </w:p>
          <w:p w14:paraId="7AEBBD65">
            <w:pPr>
              <w:keepNext w:val="0"/>
              <w:keepLines w:val="0"/>
              <w:pageBreakBefore w:val="0"/>
              <w:widowControl/>
              <w:kinsoku/>
              <w:wordWrap/>
              <w:overflowPunct/>
              <w:topLinePunct w:val="0"/>
              <w:bidi w:val="0"/>
              <w:adjustRightInd/>
              <w:snapToGrid/>
              <w:spacing w:line="460" w:lineRule="exact"/>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投标人对每项内容论述详细,完全贴合项目采购需求的得</w:t>
            </w:r>
            <w:r>
              <w:rPr>
                <w:rFonts w:hint="eastAsia" w:ascii="Times New Roman" w:hAnsi="Times New Roman" w:eastAsia="仿宋_GB2312" w:cs="Times New Roman"/>
                <w:color w:val="auto"/>
                <w:sz w:val="24"/>
                <w:szCs w:val="24"/>
                <w:highlight w:val="none"/>
                <w:lang w:val="en-US" w:eastAsia="zh-CN"/>
              </w:rPr>
              <w:t>7</w:t>
            </w:r>
            <w:r>
              <w:rPr>
                <w:rFonts w:hint="default" w:ascii="Times New Roman" w:hAnsi="Times New Roman" w:eastAsia="仿宋_GB2312" w:cs="Times New Roman"/>
                <w:color w:val="auto"/>
                <w:sz w:val="24"/>
                <w:szCs w:val="24"/>
                <w:highlight w:val="none"/>
                <w:lang w:val="en-US" w:eastAsia="zh-CN"/>
              </w:rPr>
              <w:t>分;投标人对每项内容虽阐述但未贴合采购需求进行论述,或内容未包括具体细节的得</w:t>
            </w:r>
            <w:r>
              <w:rPr>
                <w:rFonts w:hint="eastAsia" w:ascii="Times New Roman" w:hAnsi="Times New Roman" w:eastAsia="仿宋_GB2312" w:cs="Times New Roman"/>
                <w:color w:val="auto"/>
                <w:sz w:val="24"/>
                <w:szCs w:val="24"/>
                <w:highlight w:val="none"/>
                <w:lang w:val="en-US" w:eastAsia="zh-CN"/>
              </w:rPr>
              <w:t>4</w:t>
            </w:r>
            <w:r>
              <w:rPr>
                <w:rFonts w:hint="default" w:ascii="Times New Roman" w:hAnsi="Times New Roman" w:eastAsia="仿宋_GB2312" w:cs="Times New Roman"/>
                <w:color w:val="auto"/>
                <w:sz w:val="24"/>
                <w:szCs w:val="24"/>
                <w:highlight w:val="none"/>
                <w:lang w:val="en-US" w:eastAsia="zh-CN"/>
              </w:rPr>
              <w:t>分;投标人提供的内容不完整</w:t>
            </w:r>
            <w:r>
              <w:rPr>
                <w:rFonts w:hint="default" w:ascii="Times New Roman" w:hAnsi="Times New Roman" w:eastAsia="仿宋_GB2312" w:cs="Times New Roman"/>
                <w:color w:val="auto"/>
                <w:sz w:val="24"/>
                <w:szCs w:val="24"/>
                <w:highlight w:val="none"/>
                <w:lang w:eastAsia="zh-CN"/>
              </w:rPr>
              <w:t>或</w:t>
            </w:r>
            <w:r>
              <w:rPr>
                <w:rFonts w:hint="default" w:ascii="Times New Roman" w:hAnsi="Times New Roman" w:eastAsia="仿宋_GB2312" w:cs="Times New Roman"/>
                <w:color w:val="auto"/>
                <w:sz w:val="24"/>
                <w:szCs w:val="24"/>
                <w:highlight w:val="none"/>
                <w:lang w:val="en-US" w:eastAsia="zh-CN"/>
              </w:rPr>
              <w:t>存在影响本项目目标实现的</w:t>
            </w:r>
            <w:r>
              <w:rPr>
                <w:rFonts w:hint="default" w:ascii="Times New Roman" w:hAnsi="Times New Roman" w:eastAsia="仿宋_GB2312" w:cs="Times New Roman"/>
                <w:color w:val="auto"/>
                <w:sz w:val="24"/>
                <w:szCs w:val="24"/>
                <w:highlight w:val="none"/>
                <w:lang w:eastAsia="zh-CN"/>
              </w:rPr>
              <w:t>明显错误</w:t>
            </w:r>
            <w:r>
              <w:rPr>
                <w:rFonts w:hint="default" w:ascii="Times New Roman" w:hAnsi="Times New Roman" w:eastAsia="仿宋_GB2312" w:cs="Times New Roman"/>
                <w:color w:val="auto"/>
                <w:sz w:val="24"/>
                <w:szCs w:val="24"/>
                <w:highlight w:val="none"/>
                <w:lang w:val="en-US" w:eastAsia="zh-CN"/>
              </w:rPr>
              <w:t>得1分;</w:t>
            </w:r>
            <w:r>
              <w:rPr>
                <w:rFonts w:hint="eastAsia" w:ascii="Times New Roman" w:hAnsi="Times New Roman" w:eastAsia="仿宋_GB2312" w:cs="Times New Roman"/>
                <w:color w:val="auto"/>
                <w:sz w:val="24"/>
                <w:szCs w:val="24"/>
                <w:highlight w:val="none"/>
                <w:lang w:val="en-US" w:eastAsia="zh-CN"/>
              </w:rPr>
              <w:t>缺项得0分</w:t>
            </w:r>
            <w:r>
              <w:rPr>
                <w:rFonts w:hint="default" w:ascii="Times New Roman" w:hAnsi="Times New Roman" w:eastAsia="仿宋_GB2312" w:cs="Times New Roman"/>
                <w:color w:val="auto"/>
                <w:sz w:val="24"/>
                <w:szCs w:val="24"/>
                <w:highlight w:val="none"/>
                <w:lang w:val="en-US" w:eastAsia="zh-CN"/>
              </w:rPr>
              <w:t>。</w:t>
            </w:r>
          </w:p>
        </w:tc>
        <w:tc>
          <w:tcPr>
            <w:tcW w:w="801" w:type="dxa"/>
            <w:tcBorders>
              <w:right w:val="single" w:color="000000" w:sz="12" w:space="0"/>
            </w:tcBorders>
            <w:noWrap w:val="0"/>
            <w:vAlign w:val="center"/>
          </w:tcPr>
          <w:p w14:paraId="1B0BFC96">
            <w:pPr>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7</w:t>
            </w:r>
          </w:p>
        </w:tc>
      </w:tr>
      <w:tr w14:paraId="49291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7" w:hRule="atLeast"/>
          <w:jc w:val="center"/>
        </w:trPr>
        <w:tc>
          <w:tcPr>
            <w:tcW w:w="1534" w:type="dxa"/>
            <w:vMerge w:val="continue"/>
            <w:tcBorders>
              <w:left w:val="single" w:color="000000" w:sz="12" w:space="0"/>
            </w:tcBorders>
            <w:noWrap w:val="0"/>
            <w:vAlign w:val="top"/>
          </w:tcPr>
          <w:p w14:paraId="715635FA">
            <w:pPr>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sz w:val="24"/>
                <w:szCs w:val="24"/>
                <w:lang w:val="en-US" w:eastAsia="zh-CN"/>
              </w:rPr>
            </w:pPr>
          </w:p>
        </w:tc>
        <w:tc>
          <w:tcPr>
            <w:tcW w:w="1546" w:type="dxa"/>
            <w:noWrap w:val="0"/>
            <w:vAlign w:val="center"/>
          </w:tcPr>
          <w:p w14:paraId="2FF08055">
            <w:pPr>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卫生保洁方案</w:t>
            </w:r>
          </w:p>
        </w:tc>
        <w:tc>
          <w:tcPr>
            <w:tcW w:w="5715" w:type="dxa"/>
            <w:noWrap w:val="0"/>
            <w:vAlign w:val="center"/>
          </w:tcPr>
          <w:p w14:paraId="71374CE9">
            <w:pPr>
              <w:keepNext w:val="0"/>
              <w:keepLines w:val="0"/>
              <w:pageBreakBefore w:val="0"/>
              <w:widowControl/>
              <w:kinsoku/>
              <w:wordWrap/>
              <w:overflowPunct/>
              <w:topLinePunct w:val="0"/>
              <w:bidi w:val="0"/>
              <w:adjustRightInd/>
              <w:snapToGrid/>
              <w:spacing w:line="460" w:lineRule="exact"/>
              <w:jc w:val="left"/>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投标人</w:t>
            </w:r>
            <w:r>
              <w:rPr>
                <w:rFonts w:hint="default" w:ascii="Times New Roman" w:hAnsi="Times New Roman" w:eastAsia="仿宋_GB2312" w:cs="Times New Roman"/>
                <w:color w:val="auto"/>
                <w:sz w:val="24"/>
                <w:szCs w:val="24"/>
                <w:highlight w:val="none"/>
                <w:lang w:eastAsia="zh-CN"/>
              </w:rPr>
              <w:t>需</w:t>
            </w:r>
            <w:r>
              <w:rPr>
                <w:rFonts w:hint="default" w:ascii="Times New Roman" w:hAnsi="Times New Roman" w:eastAsia="仿宋_GB2312" w:cs="Times New Roman"/>
                <w:color w:val="auto"/>
                <w:sz w:val="24"/>
                <w:szCs w:val="24"/>
                <w:highlight w:val="none"/>
              </w:rPr>
              <w:t>根据采购需求提供针对本项目的卫生保洁管理方案，方案应包括：保洁制度、室内保洁、室外保洁、卫生消杀、垃圾分类等</w:t>
            </w:r>
            <w:r>
              <w:rPr>
                <w:rFonts w:hint="default" w:ascii="Times New Roman" w:hAnsi="Times New Roman" w:eastAsia="仿宋_GB2312" w:cs="Times New Roman"/>
                <w:color w:val="auto"/>
                <w:sz w:val="24"/>
                <w:szCs w:val="24"/>
                <w:highlight w:val="none"/>
                <w:lang w:eastAsia="zh-CN"/>
              </w:rPr>
              <w:t>。</w:t>
            </w:r>
          </w:p>
          <w:p w14:paraId="09386114">
            <w:pPr>
              <w:keepNext w:val="0"/>
              <w:keepLines w:val="0"/>
              <w:pageBreakBefore w:val="0"/>
              <w:widowControl/>
              <w:kinsoku/>
              <w:wordWrap/>
              <w:overflowPunct/>
              <w:topLinePunct w:val="0"/>
              <w:bidi w:val="0"/>
              <w:adjustRightInd/>
              <w:snapToGrid/>
              <w:spacing w:line="46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sz w:val="24"/>
                <w:szCs w:val="24"/>
                <w:highlight w:val="none"/>
                <w:lang w:val="en-US" w:eastAsia="zh-CN"/>
              </w:rPr>
              <w:t>投标人对每项内容论述详细,完全贴合项目采购需求的得5分;投标人对每项内容虽阐述但未贴合采购需求进行论述,或内容未包括具体细节的得3分;投标人提供的内容不完整</w:t>
            </w:r>
            <w:r>
              <w:rPr>
                <w:rFonts w:hint="default" w:ascii="Times New Roman" w:hAnsi="Times New Roman" w:eastAsia="仿宋_GB2312" w:cs="Times New Roman"/>
                <w:color w:val="auto"/>
                <w:sz w:val="24"/>
                <w:szCs w:val="24"/>
                <w:highlight w:val="none"/>
                <w:lang w:eastAsia="zh-CN"/>
              </w:rPr>
              <w:t>或</w:t>
            </w:r>
            <w:r>
              <w:rPr>
                <w:rFonts w:hint="default" w:ascii="Times New Roman" w:hAnsi="Times New Roman" w:eastAsia="仿宋_GB2312" w:cs="Times New Roman"/>
                <w:color w:val="auto"/>
                <w:sz w:val="24"/>
                <w:szCs w:val="24"/>
                <w:highlight w:val="none"/>
                <w:lang w:val="en-US" w:eastAsia="zh-CN"/>
              </w:rPr>
              <w:t>存在影响本项目目标实现的</w:t>
            </w:r>
            <w:r>
              <w:rPr>
                <w:rFonts w:hint="default" w:ascii="Times New Roman" w:hAnsi="Times New Roman" w:eastAsia="仿宋_GB2312" w:cs="Times New Roman"/>
                <w:color w:val="auto"/>
                <w:sz w:val="24"/>
                <w:szCs w:val="24"/>
                <w:highlight w:val="none"/>
                <w:lang w:eastAsia="zh-CN"/>
              </w:rPr>
              <w:t>明显错误</w:t>
            </w:r>
            <w:r>
              <w:rPr>
                <w:rFonts w:hint="default" w:ascii="Times New Roman" w:hAnsi="Times New Roman" w:eastAsia="仿宋_GB2312" w:cs="Times New Roman"/>
                <w:color w:val="auto"/>
                <w:sz w:val="24"/>
                <w:szCs w:val="24"/>
                <w:highlight w:val="none"/>
                <w:lang w:val="en-US" w:eastAsia="zh-CN"/>
              </w:rPr>
              <w:t>得1分;</w:t>
            </w:r>
            <w:r>
              <w:rPr>
                <w:rFonts w:hint="eastAsia" w:ascii="Times New Roman" w:hAnsi="Times New Roman" w:eastAsia="仿宋_GB2312" w:cs="Times New Roman"/>
                <w:color w:val="auto"/>
                <w:sz w:val="24"/>
                <w:szCs w:val="24"/>
                <w:highlight w:val="none"/>
                <w:lang w:val="en-US" w:eastAsia="zh-CN"/>
              </w:rPr>
              <w:t>缺项得0分</w:t>
            </w:r>
            <w:r>
              <w:rPr>
                <w:rFonts w:hint="default" w:ascii="Times New Roman" w:hAnsi="Times New Roman" w:eastAsia="仿宋_GB2312" w:cs="Times New Roman"/>
                <w:color w:val="auto"/>
                <w:sz w:val="24"/>
                <w:szCs w:val="24"/>
                <w:highlight w:val="none"/>
                <w:lang w:val="en-US" w:eastAsia="zh-CN"/>
              </w:rPr>
              <w:t>。</w:t>
            </w:r>
          </w:p>
        </w:tc>
        <w:tc>
          <w:tcPr>
            <w:tcW w:w="801" w:type="dxa"/>
            <w:tcBorders>
              <w:right w:val="single" w:color="000000" w:sz="12" w:space="0"/>
            </w:tcBorders>
            <w:noWrap w:val="0"/>
            <w:vAlign w:val="center"/>
          </w:tcPr>
          <w:p w14:paraId="05A9B862">
            <w:pPr>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5</w:t>
            </w:r>
          </w:p>
        </w:tc>
      </w:tr>
      <w:tr w14:paraId="1B076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7" w:hRule="atLeast"/>
          <w:jc w:val="center"/>
        </w:trPr>
        <w:tc>
          <w:tcPr>
            <w:tcW w:w="1534" w:type="dxa"/>
            <w:vMerge w:val="continue"/>
            <w:tcBorders>
              <w:left w:val="single" w:color="000000" w:sz="12" w:space="0"/>
            </w:tcBorders>
            <w:noWrap w:val="0"/>
            <w:vAlign w:val="top"/>
          </w:tcPr>
          <w:p w14:paraId="26BF9CDC">
            <w:pPr>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sz w:val="24"/>
                <w:szCs w:val="24"/>
                <w:lang w:val="en-US" w:eastAsia="zh-CN"/>
              </w:rPr>
            </w:pPr>
          </w:p>
        </w:tc>
        <w:tc>
          <w:tcPr>
            <w:tcW w:w="1546" w:type="dxa"/>
            <w:noWrap w:val="0"/>
            <w:vAlign w:val="center"/>
          </w:tcPr>
          <w:p w14:paraId="27CA986B">
            <w:pPr>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绿化管理方案</w:t>
            </w:r>
          </w:p>
        </w:tc>
        <w:tc>
          <w:tcPr>
            <w:tcW w:w="5715" w:type="dxa"/>
            <w:noWrap w:val="0"/>
            <w:vAlign w:val="center"/>
          </w:tcPr>
          <w:p w14:paraId="3C1AF420">
            <w:pPr>
              <w:keepNext w:val="0"/>
              <w:keepLines w:val="0"/>
              <w:pageBreakBefore w:val="0"/>
              <w:widowControl/>
              <w:kinsoku/>
              <w:wordWrap/>
              <w:overflowPunct/>
              <w:topLinePunct w:val="0"/>
              <w:bidi w:val="0"/>
              <w:adjustRightInd/>
              <w:snapToGrid/>
              <w:spacing w:line="460" w:lineRule="exact"/>
              <w:jc w:val="left"/>
              <w:textAlignment w:val="auto"/>
              <w:rPr>
                <w:rFonts w:hint="eastAsia"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投标人</w:t>
            </w:r>
            <w:r>
              <w:rPr>
                <w:rFonts w:hint="eastAsia" w:ascii="Times New Roman" w:hAnsi="Times New Roman" w:eastAsia="仿宋_GB2312" w:cs="Times New Roman"/>
                <w:color w:val="auto"/>
                <w:sz w:val="24"/>
                <w:szCs w:val="24"/>
                <w:highlight w:val="none"/>
                <w:lang w:val="en-US" w:eastAsia="zh-CN"/>
              </w:rPr>
              <w:t>应</w:t>
            </w:r>
            <w:r>
              <w:rPr>
                <w:rFonts w:hint="default" w:ascii="Times New Roman" w:hAnsi="Times New Roman" w:eastAsia="仿宋_GB2312" w:cs="Times New Roman"/>
                <w:color w:val="auto"/>
                <w:sz w:val="24"/>
                <w:szCs w:val="24"/>
                <w:highlight w:val="none"/>
                <w:lang w:val="en-US" w:eastAsia="zh-CN"/>
              </w:rPr>
              <w:t>根据采购需求提供针对本项目的绿化管理方案，方案应包括：绿化管理制度，日常养护、修剪施肥、病虫害防治、抗旱防风排水等</w:t>
            </w:r>
            <w:r>
              <w:rPr>
                <w:rFonts w:hint="eastAsia" w:ascii="Times New Roman" w:hAnsi="Times New Roman" w:eastAsia="仿宋_GB2312" w:cs="Times New Roman"/>
                <w:color w:val="auto"/>
                <w:sz w:val="24"/>
                <w:szCs w:val="24"/>
                <w:highlight w:val="none"/>
                <w:lang w:val="en-US" w:eastAsia="zh-CN"/>
              </w:rPr>
              <w:t>。</w:t>
            </w:r>
          </w:p>
          <w:p w14:paraId="64B65819">
            <w:pPr>
              <w:keepNext w:val="0"/>
              <w:keepLines w:val="0"/>
              <w:pageBreakBefore w:val="0"/>
              <w:widowControl/>
              <w:kinsoku/>
              <w:wordWrap/>
              <w:overflowPunct/>
              <w:topLinePunct w:val="0"/>
              <w:bidi w:val="0"/>
              <w:adjustRightInd/>
              <w:snapToGrid/>
              <w:spacing w:line="460" w:lineRule="exact"/>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投标人对每项内容论述详细,完全贴合项目采购需求的得3分;投标人对每项内容虽阐述但未贴合采购需求进行论述,或内容未包括具体细节的得2分;投标人提供的内容不完整</w:t>
            </w:r>
            <w:r>
              <w:rPr>
                <w:rFonts w:hint="default" w:ascii="Times New Roman" w:hAnsi="Times New Roman" w:eastAsia="仿宋_GB2312" w:cs="Times New Roman"/>
                <w:color w:val="auto"/>
                <w:sz w:val="24"/>
                <w:szCs w:val="24"/>
                <w:highlight w:val="none"/>
                <w:lang w:eastAsia="zh-CN"/>
              </w:rPr>
              <w:t>或</w:t>
            </w:r>
            <w:r>
              <w:rPr>
                <w:rFonts w:hint="default" w:ascii="Times New Roman" w:hAnsi="Times New Roman" w:eastAsia="仿宋_GB2312" w:cs="Times New Roman"/>
                <w:color w:val="auto"/>
                <w:sz w:val="24"/>
                <w:szCs w:val="24"/>
                <w:highlight w:val="none"/>
                <w:lang w:val="en-US" w:eastAsia="zh-CN"/>
              </w:rPr>
              <w:t>存在影响本项目目标实现的</w:t>
            </w:r>
            <w:r>
              <w:rPr>
                <w:rFonts w:hint="default" w:ascii="Times New Roman" w:hAnsi="Times New Roman" w:eastAsia="仿宋_GB2312" w:cs="Times New Roman"/>
                <w:color w:val="auto"/>
                <w:sz w:val="24"/>
                <w:szCs w:val="24"/>
                <w:highlight w:val="none"/>
                <w:lang w:eastAsia="zh-CN"/>
              </w:rPr>
              <w:t>明显错误</w:t>
            </w:r>
            <w:r>
              <w:rPr>
                <w:rFonts w:hint="default" w:ascii="Times New Roman" w:hAnsi="Times New Roman" w:eastAsia="仿宋_GB2312" w:cs="Times New Roman"/>
                <w:color w:val="auto"/>
                <w:sz w:val="24"/>
                <w:szCs w:val="24"/>
                <w:highlight w:val="none"/>
                <w:lang w:val="en-US" w:eastAsia="zh-CN"/>
              </w:rPr>
              <w:t>得1分;</w:t>
            </w:r>
            <w:r>
              <w:rPr>
                <w:rFonts w:hint="eastAsia" w:ascii="Times New Roman" w:hAnsi="Times New Roman" w:eastAsia="仿宋_GB2312" w:cs="Times New Roman"/>
                <w:color w:val="auto"/>
                <w:sz w:val="24"/>
                <w:szCs w:val="24"/>
                <w:highlight w:val="none"/>
                <w:lang w:val="en-US" w:eastAsia="zh-CN"/>
              </w:rPr>
              <w:t>缺项得0分</w:t>
            </w:r>
            <w:r>
              <w:rPr>
                <w:rFonts w:hint="default" w:ascii="Times New Roman" w:hAnsi="Times New Roman" w:eastAsia="仿宋_GB2312" w:cs="Times New Roman"/>
                <w:color w:val="auto"/>
                <w:sz w:val="24"/>
                <w:szCs w:val="24"/>
                <w:highlight w:val="none"/>
                <w:lang w:val="en-US" w:eastAsia="zh-CN"/>
              </w:rPr>
              <w:t>。</w:t>
            </w:r>
          </w:p>
        </w:tc>
        <w:tc>
          <w:tcPr>
            <w:tcW w:w="801" w:type="dxa"/>
            <w:tcBorders>
              <w:right w:val="single" w:color="000000" w:sz="12" w:space="0"/>
            </w:tcBorders>
            <w:noWrap w:val="0"/>
            <w:vAlign w:val="center"/>
          </w:tcPr>
          <w:p w14:paraId="32F6E857">
            <w:pPr>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3</w:t>
            </w:r>
          </w:p>
        </w:tc>
      </w:tr>
      <w:tr w14:paraId="0CCCF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7" w:hRule="atLeast"/>
          <w:jc w:val="center"/>
        </w:trPr>
        <w:tc>
          <w:tcPr>
            <w:tcW w:w="1534" w:type="dxa"/>
            <w:vMerge w:val="continue"/>
            <w:tcBorders>
              <w:left w:val="single" w:color="000000" w:sz="12" w:space="0"/>
            </w:tcBorders>
            <w:noWrap w:val="0"/>
            <w:vAlign w:val="top"/>
          </w:tcPr>
          <w:p w14:paraId="03C6DD14">
            <w:pPr>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sz w:val="24"/>
                <w:szCs w:val="24"/>
                <w:lang w:val="en-US" w:eastAsia="zh-CN"/>
              </w:rPr>
            </w:pPr>
          </w:p>
        </w:tc>
        <w:tc>
          <w:tcPr>
            <w:tcW w:w="1546" w:type="dxa"/>
            <w:tcBorders>
              <w:bottom w:val="single" w:color="000000" w:sz="12" w:space="0"/>
            </w:tcBorders>
            <w:noWrap w:val="0"/>
            <w:vAlign w:val="center"/>
          </w:tcPr>
          <w:p w14:paraId="697AFC63">
            <w:pPr>
              <w:pStyle w:val="269"/>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培训方案</w:t>
            </w:r>
          </w:p>
        </w:tc>
        <w:tc>
          <w:tcPr>
            <w:tcW w:w="5715" w:type="dxa"/>
            <w:tcBorders>
              <w:bottom w:val="single" w:color="000000" w:sz="12" w:space="0"/>
            </w:tcBorders>
            <w:noWrap w:val="0"/>
            <w:vAlign w:val="top"/>
          </w:tcPr>
          <w:p w14:paraId="5B22B388">
            <w:pPr>
              <w:pStyle w:val="269"/>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投标人结合实际，针对本项目特点，制定人员培训方案。方案应包括但不限于：培训的时间、地点、目标方式、内容、对象和措施。</w:t>
            </w:r>
          </w:p>
          <w:p w14:paraId="7ACA45D1">
            <w:pPr>
              <w:pStyle w:val="269"/>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sz w:val="24"/>
                <w:szCs w:val="24"/>
                <w:highlight w:val="none"/>
                <w:lang w:val="zh-TW" w:eastAsia="zh-TW"/>
              </w:rPr>
            </w:pPr>
            <w:r>
              <w:rPr>
                <w:rFonts w:hint="default" w:ascii="Times New Roman" w:hAnsi="Times New Roman" w:eastAsia="仿宋_GB2312" w:cs="Times New Roman"/>
                <w:color w:val="auto"/>
                <w:sz w:val="24"/>
                <w:szCs w:val="24"/>
                <w:highlight w:val="none"/>
                <w:lang w:val="en-US" w:eastAsia="zh-CN"/>
              </w:rPr>
              <w:t>投标人对每项内容论述详细,完全贴合项目采购需求的得3分;投标人对每项内容虽阐述但未贴合采购需求进行论述,或内容未包括具体细节的得2分;投标人提供的内容不完整</w:t>
            </w:r>
            <w:r>
              <w:rPr>
                <w:rFonts w:hint="default" w:ascii="Times New Roman" w:hAnsi="Times New Roman" w:eastAsia="仿宋_GB2312" w:cs="Times New Roman"/>
                <w:color w:val="auto"/>
                <w:sz w:val="24"/>
                <w:szCs w:val="24"/>
                <w:highlight w:val="none"/>
                <w:lang w:eastAsia="zh-CN"/>
              </w:rPr>
              <w:t>或</w:t>
            </w:r>
            <w:r>
              <w:rPr>
                <w:rFonts w:hint="default" w:ascii="Times New Roman" w:hAnsi="Times New Roman" w:eastAsia="仿宋_GB2312" w:cs="Times New Roman"/>
                <w:color w:val="auto"/>
                <w:sz w:val="24"/>
                <w:szCs w:val="24"/>
                <w:highlight w:val="none"/>
                <w:lang w:val="en-US" w:eastAsia="zh-CN"/>
              </w:rPr>
              <w:t>存在影响本项目目标实现的</w:t>
            </w:r>
            <w:r>
              <w:rPr>
                <w:rFonts w:hint="default" w:ascii="Times New Roman" w:hAnsi="Times New Roman" w:eastAsia="仿宋_GB2312" w:cs="Times New Roman"/>
                <w:color w:val="auto"/>
                <w:sz w:val="24"/>
                <w:szCs w:val="24"/>
                <w:highlight w:val="none"/>
                <w:lang w:eastAsia="zh-CN"/>
              </w:rPr>
              <w:t>明显错误</w:t>
            </w:r>
            <w:r>
              <w:rPr>
                <w:rFonts w:hint="default" w:ascii="Times New Roman" w:hAnsi="Times New Roman" w:eastAsia="仿宋_GB2312" w:cs="Times New Roman"/>
                <w:color w:val="auto"/>
                <w:sz w:val="24"/>
                <w:szCs w:val="24"/>
                <w:highlight w:val="none"/>
                <w:lang w:val="en-US" w:eastAsia="zh-CN"/>
              </w:rPr>
              <w:t>得1分;</w:t>
            </w:r>
            <w:r>
              <w:rPr>
                <w:rFonts w:hint="eastAsia" w:ascii="Times New Roman" w:hAnsi="Times New Roman" w:eastAsia="仿宋_GB2312" w:cs="Times New Roman"/>
                <w:color w:val="auto"/>
                <w:sz w:val="24"/>
                <w:szCs w:val="24"/>
                <w:highlight w:val="none"/>
                <w:lang w:val="en-US" w:eastAsia="zh-CN"/>
              </w:rPr>
              <w:t>缺项得0分</w:t>
            </w:r>
            <w:r>
              <w:rPr>
                <w:rFonts w:hint="default" w:ascii="Times New Roman" w:hAnsi="Times New Roman" w:eastAsia="仿宋_GB2312" w:cs="Times New Roman"/>
                <w:color w:val="auto"/>
                <w:sz w:val="24"/>
                <w:szCs w:val="24"/>
                <w:highlight w:val="none"/>
                <w:lang w:val="en-US" w:eastAsia="zh-CN"/>
              </w:rPr>
              <w:t>。</w:t>
            </w:r>
          </w:p>
        </w:tc>
        <w:tc>
          <w:tcPr>
            <w:tcW w:w="801" w:type="dxa"/>
            <w:tcBorders>
              <w:bottom w:val="single" w:color="000000" w:sz="12" w:space="0"/>
              <w:right w:val="single" w:color="000000" w:sz="12" w:space="0"/>
            </w:tcBorders>
            <w:noWrap w:val="0"/>
            <w:vAlign w:val="center"/>
          </w:tcPr>
          <w:p w14:paraId="510A77F0">
            <w:pPr>
              <w:pStyle w:val="269"/>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3</w:t>
            </w:r>
          </w:p>
        </w:tc>
      </w:tr>
      <w:tr w14:paraId="45608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7" w:hRule="atLeast"/>
          <w:jc w:val="center"/>
        </w:trPr>
        <w:tc>
          <w:tcPr>
            <w:tcW w:w="1534" w:type="dxa"/>
            <w:vMerge w:val="continue"/>
            <w:tcBorders>
              <w:left w:val="single" w:color="000000" w:sz="12" w:space="0"/>
            </w:tcBorders>
            <w:noWrap w:val="0"/>
            <w:vAlign w:val="top"/>
          </w:tcPr>
          <w:p w14:paraId="56110004">
            <w:pPr>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sz w:val="24"/>
                <w:szCs w:val="24"/>
                <w:lang w:val="en-US" w:eastAsia="zh-CN"/>
              </w:rPr>
            </w:pPr>
          </w:p>
        </w:tc>
        <w:tc>
          <w:tcPr>
            <w:tcW w:w="1546" w:type="dxa"/>
            <w:noWrap w:val="0"/>
            <w:vAlign w:val="center"/>
          </w:tcPr>
          <w:p w14:paraId="2B58BA73">
            <w:pPr>
              <w:pStyle w:val="269"/>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color w:val="auto"/>
                <w:sz w:val="24"/>
                <w:szCs w:val="24"/>
                <w:highlight w:val="none"/>
                <w:lang w:val="zh-TW" w:eastAsia="zh-TW"/>
              </w:rPr>
            </w:pPr>
            <w:r>
              <w:rPr>
                <w:rFonts w:hint="default" w:ascii="Times New Roman" w:hAnsi="Times New Roman" w:eastAsia="仿宋_GB2312" w:cs="Times New Roman"/>
                <w:color w:val="auto"/>
                <w:sz w:val="24"/>
                <w:szCs w:val="24"/>
                <w:highlight w:val="none"/>
              </w:rPr>
              <w:t>质量保证措施</w:t>
            </w:r>
          </w:p>
        </w:tc>
        <w:tc>
          <w:tcPr>
            <w:tcW w:w="5715" w:type="dxa"/>
            <w:noWrap w:val="0"/>
            <w:vAlign w:val="top"/>
          </w:tcPr>
          <w:p w14:paraId="0319C4AB">
            <w:pPr>
              <w:pStyle w:val="269"/>
              <w:keepNext w:val="0"/>
              <w:keepLines w:val="0"/>
              <w:pageBreakBefore w:val="0"/>
              <w:widowControl/>
              <w:kinsoku/>
              <w:wordWrap/>
              <w:overflowPunct/>
              <w:topLinePunct w:val="0"/>
              <w:bidi w:val="0"/>
              <w:adjustRightInd/>
              <w:snapToGrid/>
              <w:spacing w:line="460" w:lineRule="exact"/>
              <w:ind w:firstLine="1"/>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投标人针对实现本项目服务目标，制定质量保证措施。质量保证措施应包括但不限于：质量管控、保证措施、质量保证制度、质量标准、检查方法等内容。</w:t>
            </w:r>
          </w:p>
          <w:p w14:paraId="159AAC44">
            <w:pPr>
              <w:pStyle w:val="269"/>
              <w:keepNext w:val="0"/>
              <w:keepLines w:val="0"/>
              <w:pageBreakBefore w:val="0"/>
              <w:widowControl/>
              <w:kinsoku/>
              <w:wordWrap/>
              <w:overflowPunct/>
              <w:topLinePunct w:val="0"/>
              <w:bidi w:val="0"/>
              <w:adjustRightInd/>
              <w:snapToGrid/>
              <w:spacing w:line="460" w:lineRule="exact"/>
              <w:ind w:firstLine="1"/>
              <w:textAlignment w:val="auto"/>
              <w:rPr>
                <w:rFonts w:hint="default" w:ascii="Times New Roman" w:hAnsi="Times New Roman" w:eastAsia="仿宋_GB2312" w:cs="Times New Roman"/>
                <w:color w:val="auto"/>
                <w:sz w:val="24"/>
                <w:szCs w:val="24"/>
                <w:highlight w:val="none"/>
                <w:lang w:val="zh-TW" w:eastAsia="zh-TW"/>
              </w:rPr>
            </w:pPr>
            <w:r>
              <w:rPr>
                <w:rFonts w:hint="default" w:ascii="Times New Roman" w:hAnsi="Times New Roman" w:eastAsia="仿宋_GB2312" w:cs="Times New Roman"/>
                <w:color w:val="auto"/>
                <w:sz w:val="24"/>
                <w:szCs w:val="24"/>
                <w:highlight w:val="none"/>
                <w:lang w:val="en-US" w:eastAsia="zh-CN"/>
              </w:rPr>
              <w:t>投标人对每项内容论述详细,完全贴合项目采购需求的得</w:t>
            </w:r>
            <w:r>
              <w:rPr>
                <w:rFonts w:hint="eastAsia" w:ascii="Times New Roman" w:hAnsi="Times New Roman" w:eastAsia="仿宋_GB2312" w:cs="Times New Roman"/>
                <w:color w:val="auto"/>
                <w:sz w:val="24"/>
                <w:szCs w:val="24"/>
                <w:highlight w:val="none"/>
                <w:lang w:val="en-US" w:eastAsia="zh-CN"/>
              </w:rPr>
              <w:t>4</w:t>
            </w:r>
            <w:r>
              <w:rPr>
                <w:rFonts w:hint="default" w:ascii="Times New Roman" w:hAnsi="Times New Roman" w:eastAsia="仿宋_GB2312" w:cs="Times New Roman"/>
                <w:color w:val="auto"/>
                <w:sz w:val="24"/>
                <w:szCs w:val="24"/>
                <w:highlight w:val="none"/>
                <w:lang w:val="en-US" w:eastAsia="zh-CN"/>
              </w:rPr>
              <w:t>分;投标人对每项内容虽阐述但未贴合采购需求进行论述,或内容未包括具体细节的得3分;投标人提供的内容不完整</w:t>
            </w:r>
            <w:r>
              <w:rPr>
                <w:rFonts w:hint="default" w:ascii="Times New Roman" w:hAnsi="Times New Roman" w:eastAsia="仿宋_GB2312" w:cs="Times New Roman"/>
                <w:color w:val="auto"/>
                <w:sz w:val="24"/>
                <w:szCs w:val="24"/>
                <w:highlight w:val="none"/>
                <w:lang w:eastAsia="zh-CN"/>
              </w:rPr>
              <w:t>或</w:t>
            </w:r>
            <w:r>
              <w:rPr>
                <w:rFonts w:hint="default" w:ascii="Times New Roman" w:hAnsi="Times New Roman" w:eastAsia="仿宋_GB2312" w:cs="Times New Roman"/>
                <w:color w:val="auto"/>
                <w:sz w:val="24"/>
                <w:szCs w:val="24"/>
                <w:highlight w:val="none"/>
                <w:lang w:val="en-US" w:eastAsia="zh-CN"/>
              </w:rPr>
              <w:t>存在影响本项目目标实现的</w:t>
            </w:r>
            <w:r>
              <w:rPr>
                <w:rFonts w:hint="default" w:ascii="Times New Roman" w:hAnsi="Times New Roman" w:eastAsia="仿宋_GB2312" w:cs="Times New Roman"/>
                <w:color w:val="auto"/>
                <w:sz w:val="24"/>
                <w:szCs w:val="24"/>
                <w:highlight w:val="none"/>
                <w:lang w:eastAsia="zh-CN"/>
              </w:rPr>
              <w:t>明显错误</w:t>
            </w:r>
            <w:r>
              <w:rPr>
                <w:rFonts w:hint="default" w:ascii="Times New Roman" w:hAnsi="Times New Roman" w:eastAsia="仿宋_GB2312" w:cs="Times New Roman"/>
                <w:color w:val="auto"/>
                <w:sz w:val="24"/>
                <w:szCs w:val="24"/>
                <w:highlight w:val="none"/>
                <w:lang w:val="en-US" w:eastAsia="zh-CN"/>
              </w:rPr>
              <w:t>得</w:t>
            </w:r>
            <w:r>
              <w:rPr>
                <w:rFonts w:hint="eastAsia" w:ascii="Times New Roman" w:hAnsi="Times New Roman" w:eastAsia="仿宋_GB2312" w:cs="Times New Roman"/>
                <w:color w:val="auto"/>
                <w:sz w:val="24"/>
                <w:szCs w:val="24"/>
                <w:highlight w:val="none"/>
                <w:lang w:val="en-US" w:eastAsia="zh-CN"/>
              </w:rPr>
              <w:t>2</w:t>
            </w:r>
            <w:r>
              <w:rPr>
                <w:rFonts w:hint="default" w:ascii="Times New Roman" w:hAnsi="Times New Roman" w:eastAsia="仿宋_GB2312" w:cs="Times New Roman"/>
                <w:color w:val="auto"/>
                <w:sz w:val="24"/>
                <w:szCs w:val="24"/>
                <w:highlight w:val="none"/>
                <w:lang w:val="en-US" w:eastAsia="zh-CN"/>
              </w:rPr>
              <w:t>分;</w:t>
            </w:r>
            <w:r>
              <w:rPr>
                <w:rFonts w:hint="eastAsia" w:ascii="Times New Roman" w:hAnsi="Times New Roman" w:eastAsia="仿宋_GB2312" w:cs="Times New Roman"/>
                <w:color w:val="auto"/>
                <w:sz w:val="24"/>
                <w:szCs w:val="24"/>
                <w:highlight w:val="none"/>
                <w:lang w:val="en-US" w:eastAsia="zh-CN"/>
              </w:rPr>
              <w:t>缺项得0分</w:t>
            </w:r>
            <w:r>
              <w:rPr>
                <w:rFonts w:hint="default" w:ascii="Times New Roman" w:hAnsi="Times New Roman" w:eastAsia="仿宋_GB2312" w:cs="Times New Roman"/>
                <w:color w:val="auto"/>
                <w:sz w:val="24"/>
                <w:szCs w:val="24"/>
                <w:highlight w:val="none"/>
                <w:lang w:val="en-US" w:eastAsia="zh-CN"/>
              </w:rPr>
              <w:t>。</w:t>
            </w:r>
          </w:p>
        </w:tc>
        <w:tc>
          <w:tcPr>
            <w:tcW w:w="801" w:type="dxa"/>
            <w:noWrap w:val="0"/>
            <w:vAlign w:val="center"/>
          </w:tcPr>
          <w:p w14:paraId="62B22CDB">
            <w:pPr>
              <w:pStyle w:val="269"/>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sz w:val="24"/>
                <w:szCs w:val="24"/>
                <w:highlight w:val="none"/>
                <w:lang w:eastAsia="zh-CN"/>
              </w:rPr>
            </w:pPr>
            <w:r>
              <w:rPr>
                <w:rFonts w:hint="eastAsia" w:ascii="Times New Roman" w:hAnsi="Times New Roman" w:eastAsia="仿宋_GB2312" w:cs="Times New Roman"/>
                <w:color w:val="auto"/>
                <w:sz w:val="24"/>
                <w:szCs w:val="24"/>
                <w:highlight w:val="none"/>
                <w:lang w:val="en-US" w:eastAsia="zh-CN"/>
              </w:rPr>
              <w:t>4</w:t>
            </w:r>
          </w:p>
        </w:tc>
      </w:tr>
      <w:tr w14:paraId="3BD6B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7" w:hRule="atLeast"/>
          <w:jc w:val="center"/>
        </w:trPr>
        <w:tc>
          <w:tcPr>
            <w:tcW w:w="1534" w:type="dxa"/>
            <w:vMerge w:val="continue"/>
            <w:tcBorders>
              <w:left w:val="single" w:color="000000" w:sz="12" w:space="0"/>
            </w:tcBorders>
            <w:noWrap w:val="0"/>
            <w:vAlign w:val="top"/>
          </w:tcPr>
          <w:p w14:paraId="6D11F27E">
            <w:pPr>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sz w:val="24"/>
                <w:szCs w:val="24"/>
                <w:lang w:val="en-US" w:eastAsia="zh-CN"/>
              </w:rPr>
            </w:pPr>
          </w:p>
        </w:tc>
        <w:tc>
          <w:tcPr>
            <w:tcW w:w="1546" w:type="dxa"/>
            <w:noWrap w:val="0"/>
            <w:vAlign w:val="center"/>
          </w:tcPr>
          <w:p w14:paraId="486DB674">
            <w:pPr>
              <w:pStyle w:val="269"/>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color w:val="auto"/>
                <w:sz w:val="24"/>
                <w:szCs w:val="24"/>
                <w:highlight w:val="none"/>
                <w:lang w:val="zh-TW" w:eastAsia="zh-TW"/>
              </w:rPr>
            </w:pPr>
            <w:r>
              <w:rPr>
                <w:rFonts w:hint="default" w:ascii="Times New Roman" w:hAnsi="Times New Roman" w:eastAsia="仿宋_GB2312" w:cs="Times New Roman"/>
                <w:color w:val="auto"/>
                <w:sz w:val="24"/>
                <w:szCs w:val="24"/>
                <w:highlight w:val="none"/>
                <w:lang w:eastAsia="zh-CN"/>
              </w:rPr>
              <w:t>应</w:t>
            </w:r>
            <w:r>
              <w:rPr>
                <w:rFonts w:hint="default" w:ascii="Times New Roman" w:hAnsi="Times New Roman" w:eastAsia="仿宋_GB2312" w:cs="Times New Roman"/>
                <w:color w:val="auto"/>
                <w:sz w:val="24"/>
                <w:szCs w:val="24"/>
                <w:highlight w:val="none"/>
              </w:rPr>
              <w:t>急方案</w:t>
            </w:r>
          </w:p>
        </w:tc>
        <w:tc>
          <w:tcPr>
            <w:tcW w:w="5715" w:type="dxa"/>
            <w:noWrap w:val="0"/>
            <w:vAlign w:val="top"/>
          </w:tcPr>
          <w:p w14:paraId="0FC2B954">
            <w:pPr>
              <w:pStyle w:val="269"/>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针对本项目特点，制定突发事件应急预案及处置措施，①针对迎新季、毕业季、重要会议、大型考试、运动会、全校性比赛等重大活动提供的服务保障方案；②水电气暖突发故障及事故、电梯故障及事故、食物中毒、高空坠落、火灾爆炸、公共突发事件、雨雪极端天气、消防应急预案等自然灾害应急预案及处置措施。</w:t>
            </w:r>
          </w:p>
          <w:p w14:paraId="1B1EBC97">
            <w:pPr>
              <w:pStyle w:val="269"/>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sz w:val="24"/>
                <w:szCs w:val="24"/>
                <w:highlight w:val="none"/>
                <w:lang w:val="zh-TW" w:eastAsia="zh-TW"/>
              </w:rPr>
            </w:pPr>
            <w:r>
              <w:rPr>
                <w:rFonts w:hint="default" w:ascii="Times New Roman" w:hAnsi="Times New Roman" w:eastAsia="仿宋_GB2312" w:cs="Times New Roman"/>
                <w:color w:val="auto"/>
                <w:sz w:val="24"/>
                <w:szCs w:val="24"/>
                <w:highlight w:val="none"/>
                <w:lang w:val="en-US" w:eastAsia="zh-CN"/>
              </w:rPr>
              <w:t>投标人对每项内容论述详细,完全贴合项目采购需求的得</w:t>
            </w:r>
            <w:r>
              <w:rPr>
                <w:rFonts w:hint="eastAsia" w:ascii="Times New Roman" w:hAnsi="Times New Roman" w:eastAsia="仿宋_GB2312" w:cs="Times New Roman"/>
                <w:color w:val="auto"/>
                <w:sz w:val="24"/>
                <w:szCs w:val="24"/>
                <w:highlight w:val="none"/>
                <w:lang w:val="en-US" w:eastAsia="zh-CN"/>
              </w:rPr>
              <w:t>5</w:t>
            </w:r>
            <w:r>
              <w:rPr>
                <w:rFonts w:hint="default" w:ascii="Times New Roman" w:hAnsi="Times New Roman" w:eastAsia="仿宋_GB2312" w:cs="Times New Roman"/>
                <w:color w:val="auto"/>
                <w:sz w:val="24"/>
                <w:szCs w:val="24"/>
                <w:highlight w:val="none"/>
                <w:lang w:val="en-US" w:eastAsia="zh-CN"/>
              </w:rPr>
              <w:t>分;投标人对每项内容虽阐述但未贴合采购需求进行论述,或内容未包括具体细节的得</w:t>
            </w:r>
            <w:r>
              <w:rPr>
                <w:rFonts w:hint="eastAsia" w:ascii="Times New Roman" w:hAnsi="Times New Roman"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lang w:val="en-US" w:eastAsia="zh-CN"/>
              </w:rPr>
              <w:t>分;投标人提供的内容不完整</w:t>
            </w:r>
            <w:r>
              <w:rPr>
                <w:rFonts w:hint="default" w:ascii="Times New Roman" w:hAnsi="Times New Roman" w:eastAsia="仿宋_GB2312" w:cs="Times New Roman"/>
                <w:color w:val="auto"/>
                <w:sz w:val="24"/>
                <w:szCs w:val="24"/>
                <w:highlight w:val="none"/>
                <w:lang w:eastAsia="zh-CN"/>
              </w:rPr>
              <w:t>或</w:t>
            </w:r>
            <w:r>
              <w:rPr>
                <w:rFonts w:hint="default" w:ascii="Times New Roman" w:hAnsi="Times New Roman" w:eastAsia="仿宋_GB2312" w:cs="Times New Roman"/>
                <w:color w:val="auto"/>
                <w:sz w:val="24"/>
                <w:szCs w:val="24"/>
                <w:highlight w:val="none"/>
                <w:lang w:val="en-US" w:eastAsia="zh-CN"/>
              </w:rPr>
              <w:t>存在影响本项目目标实现的</w:t>
            </w:r>
            <w:r>
              <w:rPr>
                <w:rFonts w:hint="default" w:ascii="Times New Roman" w:hAnsi="Times New Roman" w:eastAsia="仿宋_GB2312" w:cs="Times New Roman"/>
                <w:color w:val="auto"/>
                <w:sz w:val="24"/>
                <w:szCs w:val="24"/>
                <w:highlight w:val="none"/>
                <w:lang w:eastAsia="zh-CN"/>
              </w:rPr>
              <w:t>明显错误</w:t>
            </w:r>
            <w:r>
              <w:rPr>
                <w:rFonts w:hint="default" w:ascii="Times New Roman" w:hAnsi="Times New Roman" w:eastAsia="仿宋_GB2312" w:cs="Times New Roman"/>
                <w:color w:val="auto"/>
                <w:sz w:val="24"/>
                <w:szCs w:val="24"/>
                <w:highlight w:val="none"/>
                <w:lang w:val="en-US" w:eastAsia="zh-CN"/>
              </w:rPr>
              <w:t>得</w:t>
            </w:r>
            <w:r>
              <w:rPr>
                <w:rFonts w:hint="eastAsia" w:ascii="Times New Roman" w:hAnsi="Times New Roman" w:eastAsia="仿宋_GB2312" w:cs="Times New Roman"/>
                <w:color w:val="auto"/>
                <w:sz w:val="24"/>
                <w:szCs w:val="24"/>
                <w:highlight w:val="none"/>
                <w:lang w:val="en-US" w:eastAsia="zh-CN"/>
              </w:rPr>
              <w:t>1</w:t>
            </w:r>
            <w:r>
              <w:rPr>
                <w:rFonts w:hint="default" w:ascii="Times New Roman" w:hAnsi="Times New Roman" w:eastAsia="仿宋_GB2312" w:cs="Times New Roman"/>
                <w:color w:val="auto"/>
                <w:sz w:val="24"/>
                <w:szCs w:val="24"/>
                <w:highlight w:val="none"/>
                <w:lang w:val="en-US" w:eastAsia="zh-CN"/>
              </w:rPr>
              <w:t>分;</w:t>
            </w:r>
            <w:r>
              <w:rPr>
                <w:rFonts w:hint="eastAsia" w:ascii="Times New Roman" w:hAnsi="Times New Roman" w:eastAsia="仿宋_GB2312" w:cs="Times New Roman"/>
                <w:color w:val="auto"/>
                <w:sz w:val="24"/>
                <w:szCs w:val="24"/>
                <w:highlight w:val="none"/>
                <w:lang w:val="en-US" w:eastAsia="zh-CN"/>
              </w:rPr>
              <w:t>缺项得0分</w:t>
            </w:r>
            <w:r>
              <w:rPr>
                <w:rFonts w:hint="default" w:ascii="Times New Roman" w:hAnsi="Times New Roman" w:eastAsia="仿宋_GB2312" w:cs="Times New Roman"/>
                <w:color w:val="auto"/>
                <w:sz w:val="24"/>
                <w:szCs w:val="24"/>
                <w:highlight w:val="none"/>
                <w:lang w:val="en-US" w:eastAsia="zh-CN"/>
              </w:rPr>
              <w:t>。</w:t>
            </w:r>
          </w:p>
        </w:tc>
        <w:tc>
          <w:tcPr>
            <w:tcW w:w="801" w:type="dxa"/>
            <w:noWrap w:val="0"/>
            <w:vAlign w:val="center"/>
          </w:tcPr>
          <w:p w14:paraId="6D0F1C2B">
            <w:pPr>
              <w:pStyle w:val="269"/>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sz w:val="24"/>
                <w:szCs w:val="24"/>
                <w:highlight w:val="none"/>
                <w:lang w:eastAsia="zh-CN"/>
              </w:rPr>
            </w:pPr>
            <w:r>
              <w:rPr>
                <w:rFonts w:hint="eastAsia" w:ascii="Times New Roman" w:hAnsi="Times New Roman" w:eastAsia="仿宋_GB2312" w:cs="Times New Roman"/>
                <w:color w:val="auto"/>
                <w:sz w:val="24"/>
                <w:szCs w:val="24"/>
                <w:highlight w:val="none"/>
                <w:lang w:val="en-US" w:eastAsia="zh-CN"/>
              </w:rPr>
              <w:t>5</w:t>
            </w:r>
          </w:p>
        </w:tc>
      </w:tr>
      <w:tr w14:paraId="7366A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7" w:hRule="atLeast"/>
          <w:jc w:val="center"/>
        </w:trPr>
        <w:tc>
          <w:tcPr>
            <w:tcW w:w="1534" w:type="dxa"/>
            <w:vMerge w:val="continue"/>
            <w:tcBorders>
              <w:left w:val="single" w:color="000000" w:sz="12" w:space="0"/>
            </w:tcBorders>
            <w:noWrap w:val="0"/>
            <w:vAlign w:val="top"/>
          </w:tcPr>
          <w:p w14:paraId="41EE6D3F">
            <w:pPr>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sz w:val="24"/>
                <w:szCs w:val="24"/>
                <w:lang w:val="en-US" w:eastAsia="zh-CN"/>
              </w:rPr>
            </w:pPr>
          </w:p>
        </w:tc>
        <w:tc>
          <w:tcPr>
            <w:tcW w:w="1546" w:type="dxa"/>
            <w:noWrap w:val="0"/>
            <w:vAlign w:val="center"/>
          </w:tcPr>
          <w:p w14:paraId="38CC3843">
            <w:pPr>
              <w:pStyle w:val="269"/>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档案管</w:t>
            </w:r>
          </w:p>
          <w:p w14:paraId="27B155B1">
            <w:pPr>
              <w:pStyle w:val="269"/>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color w:val="auto"/>
                <w:sz w:val="24"/>
                <w:szCs w:val="24"/>
                <w:highlight w:val="none"/>
                <w:lang w:val="zh-TW" w:eastAsia="zh-TW"/>
              </w:rPr>
            </w:pPr>
            <w:r>
              <w:rPr>
                <w:rFonts w:hint="default" w:ascii="Times New Roman" w:hAnsi="Times New Roman" w:eastAsia="仿宋_GB2312" w:cs="Times New Roman"/>
                <w:color w:val="auto"/>
                <w:sz w:val="24"/>
                <w:szCs w:val="24"/>
                <w:highlight w:val="none"/>
              </w:rPr>
              <w:t>理方案</w:t>
            </w:r>
          </w:p>
        </w:tc>
        <w:tc>
          <w:tcPr>
            <w:tcW w:w="5715" w:type="dxa"/>
            <w:noWrap w:val="0"/>
            <w:vAlign w:val="top"/>
          </w:tcPr>
          <w:p w14:paraId="27781614">
            <w:pPr>
              <w:pStyle w:val="269"/>
              <w:keepNext w:val="0"/>
              <w:keepLines w:val="0"/>
              <w:pageBreakBefore w:val="0"/>
              <w:widowControl/>
              <w:kinsoku/>
              <w:wordWrap/>
              <w:overflowPunct/>
              <w:topLinePunct w:val="0"/>
              <w:bidi w:val="0"/>
              <w:adjustRightInd/>
              <w:snapToGrid/>
              <w:spacing w:line="460" w:lineRule="exact"/>
              <w:ind w:hanging="2"/>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投标人需针对本项目制定档案管理方案，方案至少包含档案的建立、档案的收集、档案的分类、档案的管理。</w:t>
            </w:r>
          </w:p>
          <w:p w14:paraId="4DFBEFCA">
            <w:pPr>
              <w:pStyle w:val="269"/>
              <w:keepNext w:val="0"/>
              <w:keepLines w:val="0"/>
              <w:pageBreakBefore w:val="0"/>
              <w:widowControl/>
              <w:kinsoku/>
              <w:wordWrap/>
              <w:overflowPunct/>
              <w:topLinePunct w:val="0"/>
              <w:bidi w:val="0"/>
              <w:adjustRightInd/>
              <w:snapToGrid/>
              <w:spacing w:line="460" w:lineRule="exact"/>
              <w:ind w:hanging="2"/>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投标人对每项内容论述详细,完全贴合项目采购需求的得</w:t>
            </w:r>
            <w:r>
              <w:rPr>
                <w:rFonts w:hint="default" w:ascii="Times New Roman" w:hAnsi="Times New Roman" w:eastAsia="仿宋_GB2312" w:cs="Times New Roman"/>
                <w:color w:val="auto"/>
                <w:sz w:val="24"/>
                <w:szCs w:val="24"/>
                <w:highlight w:val="none"/>
                <w:lang w:val="en-US" w:eastAsia="zh-CN"/>
              </w:rPr>
              <w:t>投标人对每项内容论述详细,完全贴合项目采购需求的得3分;投标人对每项内容虽阐述但未贴合采购需求进行论述,或内容未包括具体细节的得2分;投标人提供的内容不完整</w:t>
            </w:r>
            <w:r>
              <w:rPr>
                <w:rFonts w:hint="default" w:ascii="Times New Roman" w:hAnsi="Times New Roman" w:eastAsia="仿宋_GB2312" w:cs="Times New Roman"/>
                <w:color w:val="auto"/>
                <w:sz w:val="24"/>
                <w:szCs w:val="24"/>
                <w:highlight w:val="none"/>
                <w:lang w:eastAsia="zh-CN"/>
              </w:rPr>
              <w:t>或</w:t>
            </w:r>
            <w:r>
              <w:rPr>
                <w:rFonts w:hint="default" w:ascii="Times New Roman" w:hAnsi="Times New Roman" w:eastAsia="仿宋_GB2312" w:cs="Times New Roman"/>
                <w:color w:val="auto"/>
                <w:sz w:val="24"/>
                <w:szCs w:val="24"/>
                <w:highlight w:val="none"/>
                <w:lang w:val="en-US" w:eastAsia="zh-CN"/>
              </w:rPr>
              <w:t>存在影响本项目目标实现的</w:t>
            </w:r>
            <w:r>
              <w:rPr>
                <w:rFonts w:hint="default" w:ascii="Times New Roman" w:hAnsi="Times New Roman" w:eastAsia="仿宋_GB2312" w:cs="Times New Roman"/>
                <w:color w:val="auto"/>
                <w:sz w:val="24"/>
                <w:szCs w:val="24"/>
                <w:highlight w:val="none"/>
                <w:lang w:eastAsia="zh-CN"/>
              </w:rPr>
              <w:t>明显错误</w:t>
            </w:r>
            <w:r>
              <w:rPr>
                <w:rFonts w:hint="default" w:ascii="Times New Roman" w:hAnsi="Times New Roman" w:eastAsia="仿宋_GB2312" w:cs="Times New Roman"/>
                <w:color w:val="auto"/>
                <w:sz w:val="24"/>
                <w:szCs w:val="24"/>
                <w:highlight w:val="none"/>
                <w:lang w:val="en-US" w:eastAsia="zh-CN"/>
              </w:rPr>
              <w:t>得1分;</w:t>
            </w:r>
            <w:r>
              <w:rPr>
                <w:rFonts w:hint="eastAsia" w:ascii="Times New Roman" w:hAnsi="Times New Roman" w:eastAsia="仿宋_GB2312" w:cs="Times New Roman"/>
                <w:color w:val="auto"/>
                <w:sz w:val="24"/>
                <w:szCs w:val="24"/>
                <w:highlight w:val="none"/>
                <w:lang w:val="en-US" w:eastAsia="zh-CN"/>
              </w:rPr>
              <w:t>缺项得0分</w:t>
            </w:r>
            <w:r>
              <w:rPr>
                <w:rFonts w:hint="default" w:ascii="Times New Roman" w:hAnsi="Times New Roman" w:eastAsia="仿宋_GB2312" w:cs="Times New Roman"/>
                <w:color w:val="auto"/>
                <w:sz w:val="24"/>
                <w:szCs w:val="24"/>
                <w:highlight w:val="none"/>
                <w:lang w:val="en-US" w:eastAsia="zh-CN"/>
              </w:rPr>
              <w:t>。</w:t>
            </w:r>
          </w:p>
        </w:tc>
        <w:tc>
          <w:tcPr>
            <w:tcW w:w="801" w:type="dxa"/>
            <w:noWrap w:val="0"/>
            <w:vAlign w:val="center"/>
          </w:tcPr>
          <w:p w14:paraId="02DFE6D9">
            <w:pPr>
              <w:pStyle w:val="269"/>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3</w:t>
            </w:r>
          </w:p>
        </w:tc>
      </w:tr>
    </w:tbl>
    <w:p w14:paraId="25E31D34">
      <w:pPr>
        <w:rPr>
          <w:rFonts w:hint="default" w:ascii="宋体" w:hAnsi="宋体" w:eastAsia="宋体" w:cs="宋体"/>
        </w:rPr>
      </w:pPr>
    </w:p>
    <w:p w14:paraId="711DF02A">
      <w:pPr>
        <w:rPr>
          <w:rFonts w:hint="default" w:ascii="宋体" w:hAnsi="宋体" w:eastAsia="宋体" w:cs="宋体"/>
          <w:color w:val="auto"/>
          <w:sz w:val="36"/>
          <w:szCs w:val="36"/>
          <w:lang w:val="en-US" w:eastAsia="zh-CN"/>
        </w:rPr>
      </w:pPr>
      <w:r>
        <w:rPr>
          <w:rFonts w:ascii="宋体" w:hAnsi="宋体" w:eastAsia="宋体" w:cs="宋体"/>
          <w:color w:val="auto"/>
          <w:sz w:val="36"/>
          <w:szCs w:val="36"/>
          <w:lang w:val="en-US" w:eastAsia="zh-CN"/>
        </w:rPr>
        <w:br w:type="page"/>
      </w:r>
    </w:p>
    <w:p w14:paraId="03A66703">
      <w:pPr>
        <w:pStyle w:val="2"/>
        <w:spacing w:before="0" w:after="0" w:line="360" w:lineRule="auto"/>
        <w:jc w:val="center"/>
        <w:rPr>
          <w:rFonts w:ascii="宋体" w:hAnsi="宋体" w:eastAsia="宋体" w:cs="宋体"/>
          <w:color w:val="auto"/>
          <w:sz w:val="36"/>
          <w:szCs w:val="36"/>
          <w:lang w:eastAsia="zh-CN"/>
        </w:rPr>
      </w:pPr>
      <w:r>
        <w:rPr>
          <w:rFonts w:hint="eastAsia" w:ascii="宋体" w:hAnsi="宋体" w:eastAsia="宋体" w:cs="宋体"/>
          <w:color w:val="auto"/>
          <w:sz w:val="36"/>
          <w:szCs w:val="36"/>
          <w:lang w:val="en-US" w:eastAsia="zh-CN"/>
        </w:rPr>
        <w:t xml:space="preserve">第八章 </w:t>
      </w:r>
      <w:r>
        <w:rPr>
          <w:rFonts w:hint="eastAsia" w:ascii="宋体" w:hAnsi="宋体" w:eastAsia="宋体" w:cs="宋体"/>
          <w:color w:val="auto"/>
          <w:sz w:val="36"/>
          <w:szCs w:val="36"/>
        </w:rPr>
        <w:t>政府采购合同</w:t>
      </w:r>
      <w:bookmarkEnd w:id="591"/>
    </w:p>
    <w:p w14:paraId="7DA9579D">
      <w:pPr>
        <w:pStyle w:val="228"/>
        <w:rPr>
          <w:rFonts w:ascii="宋体" w:hAnsi="宋体" w:cs="宋体"/>
        </w:rPr>
      </w:pPr>
      <w:bookmarkStart w:id="608" w:name="_Toc714862996"/>
      <w:bookmarkStart w:id="609" w:name="_Toc473367889"/>
      <w:bookmarkStart w:id="610" w:name="_Toc1568280797"/>
    </w:p>
    <w:bookmarkEnd w:id="608"/>
    <w:bookmarkEnd w:id="609"/>
    <w:bookmarkEnd w:id="610"/>
    <w:p w14:paraId="4C6814ED">
      <w:pPr>
        <w:spacing w:line="360" w:lineRule="auto"/>
        <w:rPr>
          <w:rFonts w:hint="eastAsia" w:ascii="仿宋" w:hAnsi="仿宋" w:eastAsia="仿宋" w:cs="仿宋"/>
          <w:sz w:val="28"/>
          <w:szCs w:val="28"/>
        </w:rPr>
      </w:pPr>
      <w:bookmarkStart w:id="611" w:name="_Toc152586298"/>
      <w:r>
        <w:rPr>
          <w:rFonts w:hint="eastAsia" w:ascii="仿宋" w:hAnsi="仿宋" w:eastAsia="仿宋" w:cs="仿宋"/>
          <w:sz w:val="28"/>
          <w:szCs w:val="28"/>
        </w:rPr>
        <w:t xml:space="preserve">甲方（采购人）: </w:t>
      </w:r>
      <w:r>
        <w:rPr>
          <w:rFonts w:hint="eastAsia" w:ascii="仿宋" w:hAnsi="仿宋" w:eastAsia="仿宋" w:cs="仿宋"/>
          <w:sz w:val="28"/>
          <w:szCs w:val="28"/>
          <w:u w:val="single"/>
        </w:rPr>
        <w:t xml:space="preserve">河南应用技术职业学院     </w:t>
      </w:r>
      <w:r>
        <w:rPr>
          <w:rFonts w:hint="eastAsia" w:ascii="仿宋" w:hAnsi="仿宋" w:eastAsia="仿宋" w:cs="仿宋"/>
          <w:sz w:val="28"/>
          <w:szCs w:val="28"/>
        </w:rPr>
        <w:t xml:space="preserve">              </w:t>
      </w:r>
    </w:p>
    <w:p w14:paraId="19CF40A4">
      <w:pPr>
        <w:spacing w:line="360" w:lineRule="auto"/>
        <w:rPr>
          <w:rFonts w:hint="eastAsia" w:ascii="仿宋" w:hAnsi="仿宋" w:eastAsia="仿宋" w:cs="仿宋"/>
          <w:sz w:val="28"/>
          <w:szCs w:val="28"/>
          <w:u w:val="single"/>
        </w:rPr>
      </w:pPr>
      <w:r>
        <w:rPr>
          <w:rFonts w:hint="eastAsia" w:ascii="仿宋" w:hAnsi="仿宋" w:eastAsia="仿宋" w:cs="仿宋"/>
          <w:sz w:val="28"/>
          <w:szCs w:val="28"/>
        </w:rPr>
        <w:t>乙方（中标人）：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6BD2F2B">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签订地点：                  </w:t>
      </w:r>
    </w:p>
    <w:p w14:paraId="2AA11DD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乙方在</w:t>
      </w:r>
      <w:r>
        <w:rPr>
          <w:rFonts w:hint="eastAsia" w:ascii="仿宋" w:hAnsi="仿宋" w:eastAsia="仿宋" w:cs="仿宋"/>
          <w:sz w:val="28"/>
          <w:szCs w:val="28"/>
          <w:lang w:eastAsia="zh-CN"/>
        </w:rPr>
        <w:t>河南应用技术职业学院三校区2025-2027年物业服务项目</w:t>
      </w:r>
      <w:r>
        <w:rPr>
          <w:rFonts w:hint="eastAsia" w:ascii="仿宋" w:hAnsi="仿宋" w:eastAsia="仿宋" w:cs="仿宋"/>
          <w:sz w:val="28"/>
          <w:szCs w:val="28"/>
        </w:rPr>
        <w:t>采购中，通过公平竞争，成功中标</w:t>
      </w:r>
      <w:r>
        <w:rPr>
          <w:rFonts w:hint="eastAsia" w:ascii="仿宋" w:hAnsi="仿宋" w:eastAsia="仿宋" w:cs="仿宋"/>
          <w:sz w:val="28"/>
          <w:szCs w:val="28"/>
          <w:lang w:eastAsia="zh-CN"/>
        </w:rPr>
        <w:t>包</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。现依据</w:t>
      </w:r>
      <w:r>
        <w:rPr>
          <w:rFonts w:hint="eastAsia" w:ascii="仿宋" w:hAnsi="仿宋" w:eastAsia="仿宋" w:cs="仿宋"/>
          <w:color w:val="auto"/>
          <w:sz w:val="28"/>
          <w:szCs w:val="28"/>
        </w:rPr>
        <w:t>《中华人民共和国民法典》</w:t>
      </w:r>
      <w:r>
        <w:rPr>
          <w:rFonts w:hint="eastAsia" w:ascii="仿宋" w:hAnsi="仿宋" w:eastAsia="仿宋" w:cs="仿宋"/>
          <w:sz w:val="28"/>
          <w:szCs w:val="28"/>
        </w:rPr>
        <w:t>、《中华人民共和国政府采购法》、《物业管理条例》等规定，签订本合同，以便共同遵守。</w:t>
      </w:r>
    </w:p>
    <w:p w14:paraId="539DE681">
      <w:pPr>
        <w:spacing w:line="360" w:lineRule="auto"/>
        <w:ind w:left="89" w:firstLine="420"/>
        <w:rPr>
          <w:rFonts w:hint="eastAsia" w:ascii="仿宋" w:hAnsi="仿宋" w:eastAsia="仿宋" w:cs="仿宋"/>
          <w:sz w:val="28"/>
          <w:szCs w:val="28"/>
        </w:rPr>
      </w:pPr>
      <w:r>
        <w:rPr>
          <w:rFonts w:hint="eastAsia" w:ascii="仿宋" w:hAnsi="仿宋" w:eastAsia="仿宋" w:cs="仿宋"/>
          <w:sz w:val="28"/>
          <w:szCs w:val="28"/>
        </w:rPr>
        <w:t>依据采购文件（含补充、修改文件）和乙方的投标文件，乙方向甲方提供物业管理服务。</w:t>
      </w:r>
    </w:p>
    <w:p w14:paraId="298916C5">
      <w:pPr>
        <w:spacing w:line="360" w:lineRule="auto"/>
        <w:ind w:firstLine="422"/>
        <w:rPr>
          <w:rFonts w:hint="eastAsia" w:ascii="仿宋" w:hAnsi="仿宋" w:eastAsia="仿宋" w:cs="仿宋"/>
          <w:sz w:val="28"/>
          <w:szCs w:val="28"/>
        </w:rPr>
      </w:pPr>
      <w:r>
        <w:rPr>
          <w:rFonts w:hint="eastAsia" w:ascii="仿宋" w:hAnsi="仿宋" w:eastAsia="仿宋" w:cs="仿宋"/>
          <w:b/>
          <w:bCs/>
          <w:sz w:val="28"/>
          <w:szCs w:val="28"/>
        </w:rPr>
        <w:t>一、本合同的基本原则及基本情况</w:t>
      </w:r>
    </w:p>
    <w:p w14:paraId="0C3D48BF">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1.乙方须服从甲方相关职能部门的管理，乙方委派投标文件明确的项目经理人为驻甲方项目管理的负责人，非特殊情况合同期内不得更换项目管理负责人。甲方相应的服务要求通过所属的物业管理部门传达给乙方，乙方应当组织人员完成甲方的服务。</w:t>
      </w:r>
    </w:p>
    <w:p w14:paraId="35896505">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2.服务对象：服务对象：由乙方负责为甲方提供物业管理等相关服务(具体见招标文件)及物业考核办法。</w:t>
      </w:r>
    </w:p>
    <w:p w14:paraId="5C8C29BA">
      <w:pPr>
        <w:spacing w:line="360" w:lineRule="auto"/>
        <w:ind w:firstLine="435"/>
        <w:rPr>
          <w:rFonts w:hint="eastAsia" w:ascii="仿宋" w:hAnsi="仿宋" w:eastAsia="仿宋" w:cs="仿宋"/>
          <w:sz w:val="28"/>
          <w:szCs w:val="28"/>
        </w:rPr>
      </w:pPr>
      <w:r>
        <w:rPr>
          <w:rFonts w:hint="eastAsia" w:ascii="仿宋" w:hAnsi="仿宋" w:eastAsia="仿宋" w:cs="仿宋"/>
          <w:sz w:val="28"/>
          <w:szCs w:val="28"/>
        </w:rPr>
        <w:t>3.业主名称：河南应用技术职业学院</w:t>
      </w:r>
    </w:p>
    <w:p w14:paraId="47F16621">
      <w:pPr>
        <w:spacing w:line="360" w:lineRule="auto"/>
        <w:ind w:firstLine="435"/>
        <w:rPr>
          <w:rFonts w:hint="default" w:ascii="仿宋" w:hAnsi="仿宋" w:eastAsia="仿宋" w:cs="仿宋"/>
          <w:bCs/>
          <w:iCs/>
          <w:sz w:val="28"/>
          <w:szCs w:val="28"/>
          <w:lang w:val="en-US" w:eastAsia="zh-CN"/>
        </w:rPr>
      </w:pPr>
      <w:r>
        <w:rPr>
          <w:rFonts w:hint="eastAsia" w:ascii="仿宋" w:hAnsi="仿宋" w:eastAsia="仿宋" w:cs="仿宋"/>
          <w:sz w:val="28"/>
          <w:szCs w:val="28"/>
        </w:rPr>
        <w:t xml:space="preserve"> 地理位置：</w:t>
      </w:r>
      <w:r>
        <w:rPr>
          <w:rFonts w:hint="eastAsia" w:ascii="仿宋" w:hAnsi="仿宋" w:eastAsia="仿宋" w:cs="仿宋"/>
          <w:bCs/>
          <w:iCs/>
          <w:sz w:val="28"/>
          <w:szCs w:val="28"/>
          <w:u w:val="single"/>
          <w:lang w:val="en-US" w:eastAsia="zh-CN"/>
        </w:rPr>
        <w:t xml:space="preserve">       </w:t>
      </w:r>
    </w:p>
    <w:p w14:paraId="652EAC7A">
      <w:pPr>
        <w:pStyle w:val="51"/>
        <w:ind w:firstLine="506" w:firstLineChars="181"/>
        <w:rPr>
          <w:rFonts w:hint="eastAsia" w:ascii="仿宋" w:hAnsi="仿宋" w:eastAsia="仿宋" w:cs="仿宋"/>
          <w:sz w:val="28"/>
          <w:szCs w:val="28"/>
          <w:u w:val="single"/>
        </w:rPr>
      </w:pPr>
      <w:r>
        <w:rPr>
          <w:rFonts w:hint="eastAsia" w:ascii="仿宋" w:hAnsi="仿宋" w:eastAsia="仿宋" w:cs="仿宋"/>
          <w:sz w:val="28"/>
          <w:szCs w:val="28"/>
        </w:rPr>
        <w:t>服务地点</w:t>
      </w:r>
      <w:r>
        <w:rPr>
          <w:rFonts w:hint="eastAsia" w:ascii="仿宋" w:hAnsi="仿宋" w:eastAsia="仿宋" w:cs="仿宋"/>
          <w:color w:val="000000"/>
          <w:sz w:val="28"/>
          <w:szCs w:val="28"/>
        </w:rPr>
        <w:t>：</w:t>
      </w:r>
      <w:r>
        <w:rPr>
          <w:rFonts w:hint="eastAsia" w:ascii="仿宋" w:hAnsi="仿宋" w:eastAsia="仿宋" w:cs="仿宋"/>
          <w:color w:val="000000"/>
          <w:sz w:val="28"/>
          <w:szCs w:val="28"/>
          <w:u w:val="single"/>
        </w:rPr>
        <w:t>河南应用技术职业学院</w:t>
      </w:r>
      <w:r>
        <w:rPr>
          <w:rFonts w:hint="eastAsia" w:ascii="仿宋" w:hAnsi="仿宋" w:eastAsia="仿宋" w:cs="仿宋"/>
          <w:color w:val="000000"/>
          <w:sz w:val="28"/>
          <w:szCs w:val="28"/>
          <w:u w:val="single"/>
          <w:lang w:eastAsia="zh-CN"/>
        </w:rPr>
        <w:t>（</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lang w:eastAsia="zh-CN"/>
        </w:rPr>
        <w:t>）</w:t>
      </w:r>
      <w:r>
        <w:rPr>
          <w:rFonts w:hint="eastAsia" w:ascii="仿宋" w:hAnsi="仿宋" w:eastAsia="仿宋" w:cs="仿宋"/>
          <w:color w:val="000000"/>
          <w:sz w:val="28"/>
          <w:szCs w:val="28"/>
          <w:u w:val="single"/>
        </w:rPr>
        <w:t xml:space="preserve"> </w:t>
      </w:r>
    </w:p>
    <w:p w14:paraId="39BE758B">
      <w:pPr>
        <w:spacing w:line="360" w:lineRule="auto"/>
        <w:ind w:firstLine="420"/>
        <w:rPr>
          <w:rFonts w:hint="eastAsia" w:ascii="仿宋" w:hAnsi="仿宋" w:eastAsia="仿宋" w:cs="仿宋"/>
          <w:color w:val="auto"/>
          <w:sz w:val="28"/>
          <w:szCs w:val="28"/>
        </w:rPr>
      </w:pPr>
      <w:r>
        <w:rPr>
          <w:rFonts w:hint="eastAsia" w:ascii="仿宋" w:hAnsi="仿宋" w:eastAsia="仿宋" w:cs="仿宋"/>
          <w:color w:val="auto"/>
          <w:sz w:val="28"/>
          <w:szCs w:val="28"/>
        </w:rPr>
        <w:t>4.乙方服务期限：</w:t>
      </w:r>
      <w:r>
        <w:rPr>
          <w:rFonts w:hint="eastAsia" w:ascii="仿宋" w:hAnsi="仿宋" w:eastAsia="仿宋" w:cs="仿宋"/>
          <w:b/>
          <w:color w:val="auto"/>
          <w:sz w:val="28"/>
          <w:szCs w:val="28"/>
        </w:rPr>
        <w:t>从   年  月  日至   年   月  日。</w:t>
      </w:r>
    </w:p>
    <w:p w14:paraId="7E8A1096">
      <w:pPr>
        <w:spacing w:line="360" w:lineRule="auto"/>
        <w:ind w:firstLine="420"/>
        <w:rPr>
          <w:rFonts w:hint="eastAsia" w:ascii="仿宋" w:hAnsi="仿宋" w:eastAsia="仿宋" w:cs="仿宋"/>
          <w:b/>
          <w:sz w:val="28"/>
          <w:szCs w:val="28"/>
        </w:rPr>
      </w:pPr>
      <w:r>
        <w:rPr>
          <w:rFonts w:hint="eastAsia" w:ascii="仿宋" w:hAnsi="仿宋" w:eastAsia="仿宋" w:cs="仿宋"/>
          <w:sz w:val="28"/>
          <w:szCs w:val="28"/>
        </w:rPr>
        <w:t>5.</w:t>
      </w:r>
      <w:r>
        <w:rPr>
          <w:rFonts w:hint="eastAsia" w:ascii="仿宋" w:hAnsi="仿宋" w:eastAsia="仿宋" w:cs="仿宋"/>
          <w:b/>
          <w:sz w:val="28"/>
          <w:szCs w:val="28"/>
        </w:rPr>
        <w:t>合同价格：</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rPr>
        <w:t>元。大写：</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lang w:eastAsia="zh-CN"/>
        </w:rPr>
        <w:t xml:space="preserve"> </w:t>
      </w:r>
      <w:r>
        <w:rPr>
          <w:rFonts w:hint="eastAsia" w:ascii="仿宋" w:hAnsi="仿宋" w:eastAsia="仿宋" w:cs="仿宋"/>
          <w:b/>
          <w:sz w:val="28"/>
          <w:szCs w:val="28"/>
        </w:rPr>
        <w:t xml:space="preserve">。                          </w:t>
      </w:r>
    </w:p>
    <w:p w14:paraId="709B0CE6">
      <w:pPr>
        <w:spacing w:line="360" w:lineRule="auto"/>
        <w:rPr>
          <w:rFonts w:hint="eastAsia" w:ascii="仿宋" w:hAnsi="仿宋" w:eastAsia="仿宋" w:cs="仿宋"/>
          <w:bCs/>
          <w:sz w:val="28"/>
          <w:szCs w:val="28"/>
        </w:rPr>
      </w:pPr>
      <w:r>
        <w:rPr>
          <w:rFonts w:hint="eastAsia" w:ascii="仿宋" w:hAnsi="仿宋" w:eastAsia="仿宋" w:cs="仿宋"/>
          <w:b/>
          <w:bCs/>
          <w:sz w:val="28"/>
          <w:szCs w:val="28"/>
        </w:rPr>
        <w:t>本项目月支付：按照上岗人员出勤情况及服务考核结果按月支付</w:t>
      </w:r>
      <w:r>
        <w:rPr>
          <w:rFonts w:hint="eastAsia" w:ascii="仿宋" w:hAnsi="仿宋" w:eastAsia="仿宋" w:cs="仿宋"/>
          <w:bCs/>
          <w:sz w:val="28"/>
          <w:szCs w:val="28"/>
        </w:rPr>
        <w:t>。</w:t>
      </w:r>
    </w:p>
    <w:p w14:paraId="76EE7B36">
      <w:pPr>
        <w:spacing w:line="480" w:lineRule="atLeast"/>
        <w:rPr>
          <w:rFonts w:hint="eastAsia" w:ascii="仿宋" w:hAnsi="仿宋" w:eastAsia="仿宋" w:cs="仿宋"/>
          <w:color w:val="444444"/>
          <w:kern w:val="0"/>
          <w:sz w:val="28"/>
          <w:szCs w:val="28"/>
        </w:rPr>
      </w:pPr>
      <w:r>
        <w:rPr>
          <w:rFonts w:hint="eastAsia" w:ascii="仿宋" w:hAnsi="仿宋" w:eastAsia="仿宋" w:cs="仿宋"/>
          <w:bCs/>
          <w:sz w:val="28"/>
          <w:szCs w:val="28"/>
        </w:rPr>
        <w:tab/>
      </w:r>
      <w:r>
        <w:rPr>
          <w:rFonts w:hint="eastAsia" w:ascii="仿宋" w:hAnsi="仿宋" w:eastAsia="仿宋" w:cs="仿宋"/>
          <w:bCs/>
          <w:sz w:val="28"/>
          <w:szCs w:val="28"/>
        </w:rPr>
        <w:t>6.付款条件及方式：物业管理服务费按月支付，甲方在对乙方上一月的服务考核后，以转帐方式支付上一月物业管理服务费，月底前完成支付。合同期内最后一个月的物业管理服务费待甲乙双方办理完交接手续后，无遗留问题，由甲方支付给乙方，若考核不合格，按照考核办法扣减物业管理服务费。</w:t>
      </w:r>
    </w:p>
    <w:p w14:paraId="3F1EFE4F">
      <w:pPr>
        <w:spacing w:line="360" w:lineRule="auto"/>
        <w:ind w:firstLine="422"/>
        <w:rPr>
          <w:rFonts w:hint="eastAsia" w:ascii="仿宋" w:hAnsi="仿宋" w:eastAsia="仿宋" w:cs="仿宋"/>
          <w:b/>
          <w:sz w:val="28"/>
          <w:szCs w:val="28"/>
        </w:rPr>
      </w:pPr>
      <w:r>
        <w:rPr>
          <w:rFonts w:hint="eastAsia" w:ascii="仿宋" w:hAnsi="仿宋" w:eastAsia="仿宋" w:cs="仿宋"/>
          <w:b/>
          <w:sz w:val="28"/>
          <w:szCs w:val="28"/>
        </w:rPr>
        <w:t>二、乙方对甲方负责提供物业管理服务</w:t>
      </w:r>
    </w:p>
    <w:p w14:paraId="3CBCF356">
      <w:pPr>
        <w:spacing w:line="360" w:lineRule="auto"/>
        <w:ind w:firstLine="422"/>
        <w:rPr>
          <w:rFonts w:hint="eastAsia" w:ascii="仿宋" w:hAnsi="仿宋" w:eastAsia="仿宋" w:cs="仿宋"/>
          <w:sz w:val="28"/>
          <w:szCs w:val="28"/>
        </w:rPr>
      </w:pPr>
      <w:r>
        <w:rPr>
          <w:rFonts w:hint="eastAsia" w:ascii="仿宋" w:hAnsi="仿宋" w:eastAsia="仿宋" w:cs="仿宋"/>
          <w:bCs/>
          <w:sz w:val="28"/>
          <w:szCs w:val="28"/>
        </w:rPr>
        <w:t>详见招标文件技术部分确定的服务范</w:t>
      </w:r>
      <w:r>
        <w:rPr>
          <w:rFonts w:hint="eastAsia" w:ascii="仿宋" w:hAnsi="仿宋" w:eastAsia="仿宋" w:cs="仿宋"/>
          <w:sz w:val="28"/>
          <w:szCs w:val="28"/>
        </w:rPr>
        <w:t>围和内容。</w:t>
      </w:r>
    </w:p>
    <w:p w14:paraId="4701E56A">
      <w:pPr>
        <w:spacing w:line="360" w:lineRule="auto"/>
        <w:ind w:firstLine="422"/>
        <w:rPr>
          <w:rFonts w:hint="eastAsia" w:ascii="仿宋" w:hAnsi="仿宋" w:eastAsia="仿宋" w:cs="仿宋"/>
          <w:b/>
          <w:bCs/>
          <w:sz w:val="28"/>
          <w:szCs w:val="28"/>
        </w:rPr>
      </w:pPr>
      <w:r>
        <w:rPr>
          <w:rFonts w:hint="eastAsia" w:ascii="仿宋" w:hAnsi="仿宋" w:eastAsia="仿宋" w:cs="仿宋"/>
          <w:b/>
          <w:bCs/>
          <w:sz w:val="28"/>
          <w:szCs w:val="28"/>
        </w:rPr>
        <w:t>三、甲方的权利与义务</w:t>
      </w:r>
    </w:p>
    <w:p w14:paraId="071690E1">
      <w:pPr>
        <w:spacing w:line="360" w:lineRule="auto"/>
        <w:ind w:firstLine="420"/>
        <w:rPr>
          <w:rFonts w:hint="eastAsia" w:ascii="仿宋" w:hAnsi="仿宋" w:eastAsia="仿宋" w:cs="仿宋"/>
          <w:sz w:val="28"/>
          <w:szCs w:val="28"/>
          <w:lang w:eastAsia="zh-CN"/>
        </w:rPr>
      </w:pPr>
      <w:r>
        <w:rPr>
          <w:rFonts w:hint="eastAsia" w:ascii="仿宋" w:hAnsi="仿宋" w:eastAsia="仿宋" w:cs="仿宋"/>
          <w:sz w:val="28"/>
          <w:szCs w:val="28"/>
        </w:rPr>
        <w:t>1、甲方有权按照文件中的标准对乙方进行定期或不定期检查考核，每月一次</w:t>
      </w:r>
      <w:r>
        <w:rPr>
          <w:rFonts w:hint="eastAsia" w:ascii="仿宋" w:hAnsi="仿宋" w:eastAsia="仿宋" w:cs="仿宋"/>
          <w:sz w:val="28"/>
          <w:szCs w:val="28"/>
          <w:lang w:eastAsia="zh-CN"/>
        </w:rPr>
        <w:t>，考核实行百分制。</w:t>
      </w:r>
    </w:p>
    <w:p w14:paraId="6AC6E300">
      <w:pPr>
        <w:spacing w:line="360" w:lineRule="auto"/>
        <w:ind w:firstLine="420"/>
        <w:rPr>
          <w:rFonts w:hint="eastAsia" w:ascii="仿宋" w:hAnsi="仿宋" w:eastAsia="仿宋" w:cs="仿宋"/>
          <w:sz w:val="28"/>
          <w:szCs w:val="28"/>
          <w:lang w:eastAsia="zh-CN"/>
        </w:rPr>
      </w:pPr>
      <w:r>
        <w:rPr>
          <w:rFonts w:hint="eastAsia" w:ascii="仿宋" w:hAnsi="仿宋" w:eastAsia="仿宋" w:cs="仿宋"/>
          <w:sz w:val="28"/>
          <w:szCs w:val="28"/>
          <w:lang w:eastAsia="zh-CN"/>
        </w:rPr>
        <w:t>月度考核：参照《河南应用技术职业学院物业服务月度综合考核表》执行。每月1次检查抽查，月度考核得分90分及以上的为</w:t>
      </w:r>
      <w:r>
        <w:rPr>
          <w:rFonts w:hint="eastAsia" w:ascii="仿宋" w:hAnsi="仿宋" w:eastAsia="仿宋" w:cs="仿宋"/>
          <w:sz w:val="28"/>
          <w:szCs w:val="28"/>
          <w:lang w:val="en-US" w:eastAsia="zh-CN"/>
        </w:rPr>
        <w:t>优秀</w:t>
      </w:r>
      <w:r>
        <w:rPr>
          <w:rFonts w:hint="eastAsia" w:ascii="仿宋" w:hAnsi="仿宋" w:eastAsia="仿宋" w:cs="仿宋"/>
          <w:sz w:val="28"/>
          <w:szCs w:val="28"/>
          <w:lang w:eastAsia="zh-CN"/>
        </w:rPr>
        <w:t>，80-89分的（含80分）为</w:t>
      </w:r>
      <w:r>
        <w:rPr>
          <w:rFonts w:hint="eastAsia" w:ascii="仿宋" w:hAnsi="仿宋" w:eastAsia="仿宋" w:cs="仿宋"/>
          <w:sz w:val="28"/>
          <w:szCs w:val="28"/>
          <w:lang w:val="en-US" w:eastAsia="zh-CN"/>
        </w:rPr>
        <w:t>良好</w:t>
      </w:r>
      <w:r>
        <w:rPr>
          <w:rFonts w:hint="eastAsia" w:ascii="仿宋" w:hAnsi="仿宋" w:eastAsia="仿宋" w:cs="仿宋"/>
          <w:sz w:val="28"/>
          <w:szCs w:val="28"/>
          <w:lang w:eastAsia="zh-CN"/>
        </w:rPr>
        <w:t>，60-79分（含 60分）的为合格；60分以下的为不合格。</w:t>
      </w:r>
    </w:p>
    <w:p w14:paraId="17FB7676">
      <w:pPr>
        <w:spacing w:line="360" w:lineRule="auto"/>
        <w:ind w:firstLine="420"/>
        <w:rPr>
          <w:rFonts w:hint="eastAsia" w:ascii="仿宋" w:hAnsi="仿宋" w:eastAsia="仿宋" w:cs="仿宋"/>
          <w:sz w:val="28"/>
          <w:szCs w:val="28"/>
          <w:lang w:eastAsia="zh-CN"/>
        </w:rPr>
      </w:pPr>
      <w:r>
        <w:rPr>
          <w:rFonts w:hint="eastAsia" w:ascii="仿宋" w:hAnsi="仿宋" w:eastAsia="仿宋" w:cs="仿宋"/>
          <w:sz w:val="28"/>
          <w:szCs w:val="28"/>
          <w:lang w:eastAsia="zh-CN"/>
        </w:rPr>
        <w:t>考核结果运用：</w:t>
      </w:r>
    </w:p>
    <w:p w14:paraId="301C5DCA">
      <w:pPr>
        <w:spacing w:line="360" w:lineRule="auto"/>
        <w:ind w:firstLine="420"/>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月度考核</w:t>
      </w:r>
      <w:r>
        <w:rPr>
          <w:rFonts w:hint="eastAsia" w:ascii="仿宋" w:hAnsi="仿宋" w:eastAsia="仿宋" w:cs="仿宋"/>
          <w:sz w:val="28"/>
          <w:szCs w:val="28"/>
          <w:lang w:val="en-US" w:eastAsia="zh-CN"/>
        </w:rPr>
        <w:t>优秀,分数在90分及以上</w:t>
      </w:r>
      <w:r>
        <w:rPr>
          <w:rFonts w:hint="eastAsia" w:ascii="仿宋" w:hAnsi="仿宋" w:eastAsia="仿宋" w:cs="仿宋"/>
          <w:sz w:val="28"/>
          <w:szCs w:val="28"/>
          <w:lang w:eastAsia="zh-CN"/>
        </w:rPr>
        <w:t>的，月度物业服务费按考核结果足额拨付。</w:t>
      </w:r>
    </w:p>
    <w:p w14:paraId="6095A490">
      <w:pPr>
        <w:spacing w:line="360" w:lineRule="auto"/>
        <w:ind w:firstLine="420"/>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月度考核</w:t>
      </w:r>
      <w:r>
        <w:rPr>
          <w:rFonts w:hint="eastAsia" w:ascii="仿宋" w:hAnsi="仿宋" w:eastAsia="仿宋" w:cs="仿宋"/>
          <w:sz w:val="28"/>
          <w:szCs w:val="28"/>
          <w:lang w:val="en-US" w:eastAsia="zh-CN"/>
        </w:rPr>
        <w:t>良好,</w:t>
      </w:r>
      <w:r>
        <w:rPr>
          <w:rFonts w:hint="eastAsia" w:ascii="仿宋" w:hAnsi="仿宋" w:eastAsia="仿宋" w:cs="仿宋"/>
          <w:sz w:val="28"/>
          <w:szCs w:val="28"/>
          <w:lang w:eastAsia="zh-CN"/>
        </w:rPr>
        <w:t>分数在80-89分（含80分）的，扣拨月度物业服务费的千分之五。</w:t>
      </w:r>
    </w:p>
    <w:p w14:paraId="6CBFC9D8">
      <w:pPr>
        <w:spacing w:line="360" w:lineRule="auto"/>
        <w:ind w:firstLine="420"/>
        <w:rPr>
          <w:rFonts w:hint="eastAsia" w:ascii="仿宋" w:hAnsi="仿宋" w:eastAsia="仿宋" w:cs="仿宋"/>
          <w:sz w:val="28"/>
          <w:szCs w:val="28"/>
          <w:lang w:eastAsia="zh-CN"/>
        </w:rPr>
      </w:pP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3</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月度考核分数</w:t>
      </w:r>
      <w:r>
        <w:rPr>
          <w:rFonts w:hint="eastAsia" w:ascii="仿宋" w:hAnsi="仿宋" w:eastAsia="仿宋" w:cs="仿宋"/>
          <w:sz w:val="28"/>
          <w:szCs w:val="28"/>
          <w:lang w:val="en-US" w:eastAsia="zh-CN"/>
        </w:rPr>
        <w:t>合格，分数</w:t>
      </w:r>
      <w:r>
        <w:rPr>
          <w:rFonts w:hint="eastAsia" w:ascii="仿宋" w:hAnsi="仿宋" w:eastAsia="仿宋" w:cs="仿宋"/>
          <w:sz w:val="28"/>
          <w:szCs w:val="28"/>
          <w:lang w:eastAsia="zh-CN"/>
        </w:rPr>
        <w:t>在60-79分（含60分）的，扣拨月度物业服务费的千分之十。</w:t>
      </w:r>
    </w:p>
    <w:p w14:paraId="2AD64BAB">
      <w:pPr>
        <w:spacing w:line="360" w:lineRule="auto"/>
        <w:ind w:firstLine="42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月度考核分数连续三个月不合格的，</w:t>
      </w:r>
      <w:r>
        <w:rPr>
          <w:rFonts w:hint="eastAsia" w:ascii="仿宋" w:hAnsi="仿宋" w:eastAsia="仿宋" w:cs="仿宋"/>
          <w:sz w:val="28"/>
          <w:szCs w:val="28"/>
          <w:lang w:val="en-US" w:eastAsia="zh-CN"/>
        </w:rPr>
        <w:t>分数在60分以下的，采购人</w:t>
      </w:r>
      <w:r>
        <w:rPr>
          <w:rFonts w:hint="eastAsia" w:ascii="仿宋" w:hAnsi="仿宋" w:eastAsia="仿宋" w:cs="仿宋"/>
          <w:sz w:val="28"/>
          <w:szCs w:val="28"/>
          <w:lang w:eastAsia="zh-CN"/>
        </w:rPr>
        <w:t>有权解除物业服务合同。</w:t>
      </w:r>
    </w:p>
    <w:p w14:paraId="69D8FFEC">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2、甲方有权对乙方及其工作人员按河南应用技术职业学院物业相关管理制度进行管理，对不符合岗位管理要求、不严格履行岗位职责或不服从甲方管理的工作人员，甲方有权要求乙方予以更换。</w:t>
      </w:r>
    </w:p>
    <w:p w14:paraId="54F4A6EF">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3、甲方对不称职的乙方项目负责人及技术人员有权要求更换。乙方未按甲方要求更换，甲方当月扣除乙方部分服务费用，下月仍不能达到甲方要求则必须换人，否则停止支付物业费。</w:t>
      </w:r>
    </w:p>
    <w:p w14:paraId="613CCD0D">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4、协调组织乙方服务项目的交接工作，审核并备案乙方的经营资质及关键岗位人员资质。</w:t>
      </w:r>
    </w:p>
    <w:p w14:paraId="2ED70C81">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5、甲方对乙方物业管理服务工作进行监督检查，并有权提出合理的整改意见。</w:t>
      </w:r>
    </w:p>
    <w:p w14:paraId="207D8AF1">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6、甲方对乙方的综合评定结果应及时通知乙方，并对有关需要改进的事项进行二次监督，促使其整改到位。对于拒不整改的，甲方有权自行聘请其他公司进行整改（甲方聘请临时人员费用标准如下：人员工资按200元/人.日计算；人员工资不足一日按一日计算）。整改费用从当月乙方物业管理费用中扣除。</w:t>
      </w:r>
    </w:p>
    <w:p w14:paraId="468A2669">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7、对乙方在服务项目管理过程中所发生的重大事项享有知情权。</w:t>
      </w:r>
    </w:p>
    <w:p w14:paraId="42C4DDF4">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8、甲方其他工作人员进入乙方服务区域，应遵照乙方的管理办法，主动自觉遵守。</w:t>
      </w:r>
    </w:p>
    <w:p w14:paraId="606580A2">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9、甲方免费提供工作使用水、电，但乙方不得浪费。</w:t>
      </w:r>
    </w:p>
    <w:p w14:paraId="5FC6A568">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10、对乙方提出的关于工作的合理化建议予以考虑。</w:t>
      </w:r>
    </w:p>
    <w:p w14:paraId="2873533B">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 xml:space="preserve">11、甲方应当按照合同约定按时支付乙方物业管理服务费，甲方不承担乙方及其工作人员的任何其他费用。  </w:t>
      </w:r>
    </w:p>
    <w:p w14:paraId="56281EC6">
      <w:pPr>
        <w:spacing w:line="360" w:lineRule="auto"/>
        <w:ind w:firstLine="422"/>
        <w:rPr>
          <w:rFonts w:hint="eastAsia" w:ascii="仿宋" w:hAnsi="仿宋" w:eastAsia="仿宋" w:cs="仿宋"/>
          <w:b/>
          <w:bCs/>
          <w:sz w:val="28"/>
          <w:szCs w:val="28"/>
        </w:rPr>
      </w:pPr>
      <w:r>
        <w:rPr>
          <w:rFonts w:hint="eastAsia" w:ascii="仿宋" w:hAnsi="仿宋" w:eastAsia="仿宋" w:cs="仿宋"/>
          <w:b/>
          <w:bCs/>
          <w:sz w:val="28"/>
          <w:szCs w:val="28"/>
        </w:rPr>
        <w:t>四、乙方的权利与义务</w:t>
      </w:r>
    </w:p>
    <w:p w14:paraId="1B7299DF">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1、乙方保证其具有本协议经营资质且合法有效，保证在经营期限内经营资质持续有效。</w:t>
      </w:r>
    </w:p>
    <w:p w14:paraId="7D3253E6">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2、根据法律法规的有关规定和本合同的约定，制定物业管理办法及实施方案，自主开展各项物业管理服务活动。</w:t>
      </w:r>
    </w:p>
    <w:p w14:paraId="6F879C6F">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3、负责做好服务区域内用水、用电、中央空调等设施设备巡查和报修工作，做好24小时水电值班工作，保证用水用电等设施设备的安全工作，做到节水节电。</w:t>
      </w:r>
    </w:p>
    <w:p w14:paraId="228D0E25">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4、乙方在合同期间必须保证承包范围内原有的设施完好无损，因乙方管理不当造成丢失或损坏的，除恢复原状外，应按照设施价值的1倍进行赔偿。</w:t>
      </w:r>
    </w:p>
    <w:p w14:paraId="3A39D0FF">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5、乙方发现重大的公共安全隐患以及设备出现故障时，应当及时通知甲方，同时立即采取合理有效的处理措施，因乙方怠于通知或未采取有效措施造成人员伤亡和财产损失的，由乙方承担责任。</w:t>
      </w:r>
    </w:p>
    <w:p w14:paraId="524BCEF3">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6. 乙方必须服从甲方工作大局，做好与甲方各职能部门的协调和配合工作。接受甲方考核和物业管理行政主管部门的监督，不断完善管理服务，如因乙方管理失误造成甲方经济损失或给第三人造成伤害的，乙方负责赔偿。</w:t>
      </w:r>
    </w:p>
    <w:p w14:paraId="7FF8358C">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7.乙方以所投标标书并经甲方确认的技术标准作为管理服务标准，必须每月按标书标准对月工作进行自评，如有不符合标书的情况，须及时整改。</w:t>
      </w:r>
    </w:p>
    <w:p w14:paraId="558C5656">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8.乙方提供物业服务所需的各类工具、用品及机械设备等。如抛光机，拖把，扫帚，玻璃刮，抹布及工作用车；各种清洗剂，消毒剂，空气清新剂等材料。各类物业人员的劳保用品等全部由乙方提供。</w:t>
      </w:r>
    </w:p>
    <w:p w14:paraId="2A443050">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9、乙方安排项目负责人、技术人员应与响应文件承诺的一致。乙方承诺项目负责人及技术管理人员每周不少于国家法律法规规定的工作日。</w:t>
      </w:r>
    </w:p>
    <w:p w14:paraId="697871F0">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10. 乙方负责其员工各类有效证件及手续的督办和审验，保证特殊工种必须持证上岗。乙方工作人员必须经专业培训后方可上岗，遵守甲方的规章制度，统一着装，佩带工号牌，爱护甲方的各类设施设备及其它财产，如乙方工作人员损坏甲方设施设备及其它财产，由乙方负责赔偿。乙方负责其员工社会治安的管理，自行处理其员工的社会治安问题，并独立承担相应责任。</w:t>
      </w:r>
    </w:p>
    <w:p w14:paraId="4283976C">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11.承担乙方人员工资福利以及各种保险，因未按国家规定为员工购买各种保险或未解决国家明确规定的员工应享受的待遇并由此发生的各种劳资纠纷由乙方承担一切责任。乙方员工在工作中发生伤亡、疾病或对甲方人员或财产造成损害，乙方必须承担由此而产生的一切责任。</w:t>
      </w:r>
    </w:p>
    <w:p w14:paraId="3DAAD04A">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12、遇到重大活动，乙方应积极配合,甲方不增加物业费用。增加其他服务内容，双方协商按相关规定给予报酬。</w:t>
      </w:r>
    </w:p>
    <w:p w14:paraId="67E1AEA8">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13、乙方承诺不向第三方提供甲方的相关资料，其工作人员行为不得损害甲方利益和形象。</w:t>
      </w:r>
    </w:p>
    <w:p w14:paraId="6A048166">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14.本合同到期或终止当日，乙方无条件向甲方移交物业管理档案资料和退还属甲方所有的办公用房、仓库及其它各类设施物品、资料，并办理交接手续。乙方未按时履行交接手续或者移交手续未达到甲方要求的，甲方有权没收乙方物业管理履约保证金。</w:t>
      </w:r>
    </w:p>
    <w:p w14:paraId="4E3C0B8C">
      <w:pPr>
        <w:spacing w:line="360" w:lineRule="auto"/>
        <w:ind w:firstLine="422"/>
        <w:rPr>
          <w:rFonts w:hint="eastAsia" w:ascii="仿宋" w:hAnsi="仿宋" w:eastAsia="仿宋" w:cs="仿宋"/>
          <w:b/>
          <w:bCs/>
          <w:sz w:val="28"/>
          <w:szCs w:val="28"/>
        </w:rPr>
      </w:pPr>
      <w:r>
        <w:rPr>
          <w:rFonts w:hint="eastAsia" w:ascii="仿宋" w:hAnsi="仿宋" w:eastAsia="仿宋" w:cs="仿宋"/>
          <w:b/>
          <w:bCs/>
          <w:sz w:val="28"/>
          <w:szCs w:val="28"/>
        </w:rPr>
        <w:t>五、移交</w:t>
      </w:r>
    </w:p>
    <w:p w14:paraId="3BD3CC0E">
      <w:pPr>
        <w:spacing w:line="360" w:lineRule="auto"/>
        <w:ind w:firstLine="422"/>
        <w:rPr>
          <w:rFonts w:hint="eastAsia" w:ascii="仿宋" w:hAnsi="仿宋" w:eastAsia="仿宋" w:cs="仿宋"/>
          <w:bCs/>
          <w:sz w:val="28"/>
          <w:szCs w:val="28"/>
        </w:rPr>
      </w:pPr>
      <w:r>
        <w:rPr>
          <w:rFonts w:hint="eastAsia" w:ascii="仿宋" w:hAnsi="仿宋" w:eastAsia="仿宋" w:cs="仿宋"/>
          <w:bCs/>
          <w:sz w:val="28"/>
          <w:szCs w:val="28"/>
        </w:rPr>
        <w:t>合同期限届满，乙方应当按照甲方的要求在期满后3日内向甲方或甲方指定的第三方予以移交并递交相关资料，移交时应保证甲方所提供的设施处于正常的使用状态，如有损坏或故意毁损，应当予以修缮或赔偿。</w:t>
      </w:r>
    </w:p>
    <w:p w14:paraId="720FBCBE">
      <w:pPr>
        <w:spacing w:line="360" w:lineRule="auto"/>
        <w:ind w:firstLine="422"/>
        <w:rPr>
          <w:rFonts w:hint="eastAsia" w:ascii="仿宋" w:hAnsi="仿宋" w:eastAsia="仿宋" w:cs="仿宋"/>
          <w:b/>
          <w:bCs/>
          <w:sz w:val="28"/>
          <w:szCs w:val="28"/>
        </w:rPr>
      </w:pPr>
      <w:r>
        <w:rPr>
          <w:rFonts w:hint="eastAsia" w:ascii="仿宋" w:hAnsi="仿宋" w:eastAsia="仿宋" w:cs="仿宋"/>
          <w:b/>
          <w:bCs/>
          <w:sz w:val="28"/>
          <w:szCs w:val="28"/>
        </w:rPr>
        <w:t>六、履约保证金</w:t>
      </w:r>
    </w:p>
    <w:p w14:paraId="31BF6212">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 xml:space="preserve"> 1、乙方按合同金额的5%向甲方提供履约保证金。由于乙方管理不善，造成工作失误，应在一周内弥补，甲方将适当给予罚款，此款项将从履约保证金中扣除。</w:t>
      </w:r>
    </w:p>
    <w:p w14:paraId="0609EB39">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 xml:space="preserve"> 2、乙方在服务期间对第三方造成财产和人身损失等，乙方应予支付而不支付或怠于支付，经甲方催告后，乙方仍不支付，甲方将从物业服务费中支付上述费用。</w:t>
      </w:r>
    </w:p>
    <w:p w14:paraId="23756FA7">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 xml:space="preserve"> 3、退还保证金：本合同期满，甲方确认乙方未遗留相关的处理事项，待甲乙双方办理完交接手续后，甲方将乙方保证金无息归还乙方。</w:t>
      </w:r>
    </w:p>
    <w:p w14:paraId="133052D7">
      <w:pPr>
        <w:spacing w:line="360" w:lineRule="auto"/>
        <w:ind w:firstLine="422"/>
        <w:rPr>
          <w:rFonts w:hint="eastAsia" w:ascii="仿宋" w:hAnsi="仿宋" w:eastAsia="仿宋" w:cs="仿宋"/>
          <w:b/>
          <w:bCs/>
          <w:sz w:val="28"/>
          <w:szCs w:val="28"/>
        </w:rPr>
      </w:pPr>
      <w:r>
        <w:rPr>
          <w:rFonts w:hint="eastAsia" w:ascii="仿宋" w:hAnsi="仿宋" w:eastAsia="仿宋" w:cs="仿宋"/>
          <w:b/>
          <w:bCs/>
          <w:sz w:val="28"/>
          <w:szCs w:val="28"/>
        </w:rPr>
        <w:t>七、若乙方在承包期间，违反下列规定将被解除承包合同：</w:t>
      </w:r>
    </w:p>
    <w:p w14:paraId="07E2265F">
      <w:pPr>
        <w:spacing w:line="360" w:lineRule="auto"/>
        <w:ind w:firstLine="426"/>
        <w:rPr>
          <w:rFonts w:hint="eastAsia" w:ascii="仿宋" w:hAnsi="仿宋" w:eastAsia="仿宋" w:cs="仿宋"/>
          <w:sz w:val="28"/>
          <w:szCs w:val="28"/>
        </w:rPr>
      </w:pPr>
      <w:r>
        <w:rPr>
          <w:rFonts w:hint="eastAsia" w:ascii="仿宋" w:hAnsi="仿宋" w:eastAsia="仿宋" w:cs="仿宋"/>
          <w:sz w:val="28"/>
          <w:szCs w:val="28"/>
        </w:rPr>
        <w:t xml:space="preserve">1.未经甲方书面同意，乙方不得擅自向第三方转让其应履行的合同项下的义务，否则视为违约，甲方有权单方面解除合同。 </w:t>
      </w:r>
    </w:p>
    <w:p w14:paraId="7F38B444">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2．因乙方过错导致甲方有重大经济损失，或导致甲方受到负面、不良影响时，甲方有权单方面解除合同（造成甲方的经济损失由乙方承担）。</w:t>
      </w:r>
    </w:p>
    <w:p w14:paraId="3BFA6729">
      <w:pPr>
        <w:spacing w:line="360" w:lineRule="auto"/>
        <w:ind w:firstLine="422"/>
        <w:rPr>
          <w:rFonts w:hint="eastAsia" w:ascii="仿宋" w:hAnsi="仿宋" w:eastAsia="仿宋" w:cs="仿宋"/>
          <w:b/>
          <w:bCs/>
          <w:color w:val="auto"/>
          <w:sz w:val="28"/>
          <w:szCs w:val="28"/>
        </w:rPr>
      </w:pPr>
      <w:r>
        <w:rPr>
          <w:rFonts w:hint="eastAsia" w:ascii="仿宋" w:hAnsi="仿宋" w:eastAsia="仿宋" w:cs="仿宋"/>
          <w:b/>
          <w:bCs/>
          <w:sz w:val="28"/>
          <w:szCs w:val="28"/>
        </w:rPr>
        <w:t>八、合同纠纷。如发生合同纠纷，甲、乙双方协商解决；协商不成时，可提请甲方住所地法院起诉。</w:t>
      </w:r>
      <w:r>
        <w:rPr>
          <w:rFonts w:hint="eastAsia" w:ascii="仿宋" w:hAnsi="仿宋" w:eastAsia="仿宋" w:cs="仿宋"/>
          <w:b/>
          <w:bCs/>
          <w:color w:val="auto"/>
          <w:sz w:val="28"/>
          <w:szCs w:val="28"/>
          <w:lang w:val="en-US" w:eastAsia="zh-CN"/>
        </w:rPr>
        <w:t>乙方违约，甲方为维护自身合法权益所支出的律师费、诉讼费、保全费、差旅费等由乙方承担。</w:t>
      </w:r>
    </w:p>
    <w:p w14:paraId="676B57ED">
      <w:pPr>
        <w:pStyle w:val="51"/>
        <w:ind w:firstLine="562"/>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九、</w:t>
      </w:r>
      <w:r>
        <w:rPr>
          <w:rFonts w:hint="eastAsia" w:ascii="仿宋_GB2312" w:hAnsi="仿宋_GB2312" w:eastAsia="仿宋_GB2312" w:cs="仿宋_GB2312"/>
          <w:b/>
          <w:bCs/>
          <w:color w:val="000000"/>
          <w:sz w:val="28"/>
          <w:szCs w:val="28"/>
          <w:lang w:val="en-US" w:eastAsia="zh-CN"/>
        </w:rPr>
        <w:t>需投入设备、物料一览表</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2241"/>
        <w:gridCol w:w="1825"/>
        <w:gridCol w:w="2696"/>
        <w:gridCol w:w="1007"/>
      </w:tblGrid>
      <w:tr w14:paraId="5DCC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14:paraId="5FABB625">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序号</w:t>
            </w:r>
          </w:p>
        </w:tc>
        <w:tc>
          <w:tcPr>
            <w:tcW w:w="2241" w:type="dxa"/>
            <w:vAlign w:val="center"/>
          </w:tcPr>
          <w:p w14:paraId="32C8FE1C">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名称</w:t>
            </w:r>
          </w:p>
        </w:tc>
        <w:tc>
          <w:tcPr>
            <w:tcW w:w="1825" w:type="dxa"/>
            <w:vAlign w:val="center"/>
          </w:tcPr>
          <w:p w14:paraId="67BB2871">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数量</w:t>
            </w:r>
          </w:p>
        </w:tc>
        <w:tc>
          <w:tcPr>
            <w:tcW w:w="2696" w:type="dxa"/>
            <w:vAlign w:val="center"/>
          </w:tcPr>
          <w:p w14:paraId="086F11F4">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使用范围</w:t>
            </w:r>
          </w:p>
        </w:tc>
        <w:tc>
          <w:tcPr>
            <w:tcW w:w="1007" w:type="dxa"/>
            <w:vAlign w:val="center"/>
          </w:tcPr>
          <w:p w14:paraId="7FFDF610">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备注</w:t>
            </w:r>
          </w:p>
        </w:tc>
      </w:tr>
      <w:tr w14:paraId="4FF1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14:paraId="00C6EC78">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1</w:t>
            </w:r>
          </w:p>
        </w:tc>
        <w:tc>
          <w:tcPr>
            <w:tcW w:w="2241" w:type="dxa"/>
            <w:vAlign w:val="center"/>
          </w:tcPr>
          <w:p w14:paraId="248B70A7">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喷香机、香料</w:t>
            </w:r>
          </w:p>
        </w:tc>
        <w:tc>
          <w:tcPr>
            <w:tcW w:w="1825" w:type="dxa"/>
            <w:vAlign w:val="center"/>
          </w:tcPr>
          <w:p w14:paraId="62297C03">
            <w:pPr>
              <w:pStyle w:val="17"/>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满足采购人需求</w:t>
            </w:r>
          </w:p>
        </w:tc>
        <w:tc>
          <w:tcPr>
            <w:tcW w:w="2696" w:type="dxa"/>
            <w:vAlign w:val="center"/>
          </w:tcPr>
          <w:p w14:paraId="07AB5C80">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各校区办公楼电梯、厕所</w:t>
            </w:r>
          </w:p>
        </w:tc>
        <w:tc>
          <w:tcPr>
            <w:tcW w:w="1007" w:type="dxa"/>
            <w:vAlign w:val="center"/>
          </w:tcPr>
          <w:p w14:paraId="205FA388">
            <w:pPr>
              <w:pStyle w:val="17"/>
              <w:spacing w:line="360" w:lineRule="auto"/>
              <w:jc w:val="center"/>
              <w:rPr>
                <w:rFonts w:hint="eastAsia" w:ascii="仿宋" w:hAnsi="仿宋" w:eastAsia="仿宋" w:cs="仿宋"/>
                <w:sz w:val="28"/>
                <w:szCs w:val="28"/>
              </w:rPr>
            </w:pPr>
          </w:p>
        </w:tc>
      </w:tr>
      <w:tr w14:paraId="2F15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14:paraId="0EF8621D">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2</w:t>
            </w:r>
          </w:p>
        </w:tc>
        <w:tc>
          <w:tcPr>
            <w:tcW w:w="2241" w:type="dxa"/>
            <w:vAlign w:val="center"/>
          </w:tcPr>
          <w:p w14:paraId="1D979E2D">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卫生纸</w:t>
            </w:r>
          </w:p>
        </w:tc>
        <w:tc>
          <w:tcPr>
            <w:tcW w:w="1825" w:type="dxa"/>
            <w:vAlign w:val="center"/>
          </w:tcPr>
          <w:p w14:paraId="6C245678">
            <w:pPr>
              <w:spacing w:line="360" w:lineRule="auto"/>
              <w:jc w:val="center"/>
              <w:rPr>
                <w:rFonts w:hint="eastAsia" w:ascii="仿宋" w:hAnsi="仿宋" w:eastAsia="仿宋" w:cs="仿宋"/>
                <w:sz w:val="28"/>
                <w:szCs w:val="28"/>
              </w:rPr>
            </w:pPr>
            <w:r>
              <w:rPr>
                <w:rFonts w:hint="eastAsia" w:ascii="仿宋" w:hAnsi="仿宋" w:eastAsia="仿宋" w:cs="仿宋"/>
                <w:sz w:val="28"/>
                <w:szCs w:val="28"/>
                <w:lang w:eastAsia="zh-CN"/>
              </w:rPr>
              <w:t>满足采购人需求</w:t>
            </w:r>
          </w:p>
        </w:tc>
        <w:tc>
          <w:tcPr>
            <w:tcW w:w="2696" w:type="dxa"/>
            <w:vAlign w:val="center"/>
          </w:tcPr>
          <w:p w14:paraId="74D3383E">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办公楼卫生间</w:t>
            </w:r>
          </w:p>
        </w:tc>
        <w:tc>
          <w:tcPr>
            <w:tcW w:w="1007" w:type="dxa"/>
            <w:vAlign w:val="center"/>
          </w:tcPr>
          <w:p w14:paraId="058D0867">
            <w:pPr>
              <w:pStyle w:val="17"/>
              <w:spacing w:line="360" w:lineRule="auto"/>
              <w:jc w:val="center"/>
              <w:rPr>
                <w:rFonts w:hint="eastAsia" w:ascii="仿宋" w:hAnsi="仿宋" w:eastAsia="仿宋" w:cs="仿宋"/>
                <w:sz w:val="28"/>
                <w:szCs w:val="28"/>
              </w:rPr>
            </w:pPr>
          </w:p>
        </w:tc>
      </w:tr>
      <w:tr w14:paraId="1D73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14:paraId="7537910A">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3</w:t>
            </w:r>
          </w:p>
        </w:tc>
        <w:tc>
          <w:tcPr>
            <w:tcW w:w="2241" w:type="dxa"/>
            <w:vAlign w:val="center"/>
          </w:tcPr>
          <w:p w14:paraId="2C973C8B">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植物、花盆</w:t>
            </w:r>
          </w:p>
        </w:tc>
        <w:tc>
          <w:tcPr>
            <w:tcW w:w="1825" w:type="dxa"/>
            <w:vAlign w:val="center"/>
          </w:tcPr>
          <w:p w14:paraId="76DBB81D">
            <w:pPr>
              <w:spacing w:line="360" w:lineRule="auto"/>
              <w:jc w:val="center"/>
              <w:rPr>
                <w:rFonts w:hint="eastAsia" w:ascii="仿宋" w:hAnsi="仿宋" w:eastAsia="仿宋" w:cs="仿宋"/>
                <w:sz w:val="28"/>
                <w:szCs w:val="28"/>
              </w:rPr>
            </w:pPr>
            <w:r>
              <w:rPr>
                <w:rFonts w:hint="eastAsia" w:ascii="仿宋" w:hAnsi="仿宋" w:eastAsia="仿宋" w:cs="仿宋"/>
                <w:sz w:val="28"/>
                <w:szCs w:val="28"/>
                <w:lang w:eastAsia="zh-CN"/>
              </w:rPr>
              <w:t>满足采购人需求</w:t>
            </w:r>
          </w:p>
        </w:tc>
        <w:tc>
          <w:tcPr>
            <w:tcW w:w="2696" w:type="dxa"/>
            <w:vAlign w:val="center"/>
          </w:tcPr>
          <w:p w14:paraId="2AB99BFD">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办公楼各楼层、教学楼门口</w:t>
            </w:r>
          </w:p>
        </w:tc>
        <w:tc>
          <w:tcPr>
            <w:tcW w:w="1007" w:type="dxa"/>
            <w:vAlign w:val="center"/>
          </w:tcPr>
          <w:p w14:paraId="0F08AA56">
            <w:pPr>
              <w:pStyle w:val="17"/>
              <w:spacing w:line="360" w:lineRule="auto"/>
              <w:jc w:val="center"/>
              <w:rPr>
                <w:rFonts w:hint="eastAsia" w:ascii="仿宋" w:hAnsi="仿宋" w:eastAsia="仿宋" w:cs="仿宋"/>
                <w:sz w:val="28"/>
                <w:szCs w:val="28"/>
              </w:rPr>
            </w:pPr>
          </w:p>
        </w:tc>
      </w:tr>
      <w:tr w14:paraId="1BF21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14:paraId="053182A2">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4</w:t>
            </w:r>
          </w:p>
        </w:tc>
        <w:tc>
          <w:tcPr>
            <w:tcW w:w="2241" w:type="dxa"/>
            <w:vAlign w:val="center"/>
          </w:tcPr>
          <w:p w14:paraId="1019D2B7">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扫地车</w:t>
            </w:r>
          </w:p>
        </w:tc>
        <w:tc>
          <w:tcPr>
            <w:tcW w:w="1825" w:type="dxa"/>
            <w:vAlign w:val="center"/>
          </w:tcPr>
          <w:p w14:paraId="17A91C06">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1台</w:t>
            </w:r>
          </w:p>
        </w:tc>
        <w:tc>
          <w:tcPr>
            <w:tcW w:w="2696" w:type="dxa"/>
            <w:vAlign w:val="center"/>
          </w:tcPr>
          <w:p w14:paraId="1DAB5360">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校区公共区域</w:t>
            </w:r>
          </w:p>
        </w:tc>
        <w:tc>
          <w:tcPr>
            <w:tcW w:w="1007" w:type="dxa"/>
            <w:vAlign w:val="center"/>
          </w:tcPr>
          <w:p w14:paraId="7CC074C4">
            <w:pPr>
              <w:pStyle w:val="17"/>
              <w:spacing w:line="360" w:lineRule="auto"/>
              <w:jc w:val="center"/>
              <w:rPr>
                <w:rFonts w:hint="eastAsia" w:ascii="仿宋" w:hAnsi="仿宋" w:eastAsia="仿宋" w:cs="仿宋"/>
                <w:sz w:val="28"/>
                <w:szCs w:val="28"/>
              </w:rPr>
            </w:pPr>
          </w:p>
        </w:tc>
      </w:tr>
      <w:tr w14:paraId="39664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14:paraId="17CE419C">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5</w:t>
            </w:r>
          </w:p>
        </w:tc>
        <w:tc>
          <w:tcPr>
            <w:tcW w:w="2241" w:type="dxa"/>
            <w:vAlign w:val="center"/>
          </w:tcPr>
          <w:p w14:paraId="177198F6">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洒水车</w:t>
            </w:r>
          </w:p>
        </w:tc>
        <w:tc>
          <w:tcPr>
            <w:tcW w:w="1825" w:type="dxa"/>
            <w:vAlign w:val="center"/>
          </w:tcPr>
          <w:p w14:paraId="7EF89E74">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1台</w:t>
            </w:r>
          </w:p>
        </w:tc>
        <w:tc>
          <w:tcPr>
            <w:tcW w:w="2696" w:type="dxa"/>
            <w:vAlign w:val="center"/>
          </w:tcPr>
          <w:p w14:paraId="4AC00826">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校区公共区域</w:t>
            </w:r>
          </w:p>
        </w:tc>
        <w:tc>
          <w:tcPr>
            <w:tcW w:w="1007" w:type="dxa"/>
            <w:vAlign w:val="center"/>
          </w:tcPr>
          <w:p w14:paraId="4AF36ADE">
            <w:pPr>
              <w:pStyle w:val="17"/>
              <w:spacing w:line="360" w:lineRule="auto"/>
              <w:jc w:val="center"/>
              <w:rPr>
                <w:rFonts w:hint="eastAsia" w:ascii="仿宋" w:hAnsi="仿宋" w:eastAsia="仿宋" w:cs="仿宋"/>
                <w:sz w:val="28"/>
                <w:szCs w:val="28"/>
              </w:rPr>
            </w:pPr>
          </w:p>
        </w:tc>
      </w:tr>
      <w:tr w14:paraId="1A96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14:paraId="3CF10431">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6</w:t>
            </w:r>
          </w:p>
        </w:tc>
        <w:tc>
          <w:tcPr>
            <w:tcW w:w="2241" w:type="dxa"/>
            <w:vAlign w:val="center"/>
          </w:tcPr>
          <w:p w14:paraId="088F58A1">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高压水枪</w:t>
            </w:r>
          </w:p>
        </w:tc>
        <w:tc>
          <w:tcPr>
            <w:tcW w:w="1825" w:type="dxa"/>
            <w:vAlign w:val="center"/>
          </w:tcPr>
          <w:p w14:paraId="692888F4">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1台</w:t>
            </w:r>
          </w:p>
        </w:tc>
        <w:tc>
          <w:tcPr>
            <w:tcW w:w="2696" w:type="dxa"/>
            <w:vAlign w:val="center"/>
          </w:tcPr>
          <w:p w14:paraId="123C29F9">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校区公共区域</w:t>
            </w:r>
          </w:p>
        </w:tc>
        <w:tc>
          <w:tcPr>
            <w:tcW w:w="1007" w:type="dxa"/>
            <w:vAlign w:val="center"/>
          </w:tcPr>
          <w:p w14:paraId="1D7801E9">
            <w:pPr>
              <w:pStyle w:val="17"/>
              <w:spacing w:line="360" w:lineRule="auto"/>
              <w:jc w:val="center"/>
              <w:rPr>
                <w:rFonts w:hint="eastAsia" w:ascii="仿宋" w:hAnsi="仿宋" w:eastAsia="仿宋" w:cs="仿宋"/>
                <w:sz w:val="28"/>
                <w:szCs w:val="28"/>
              </w:rPr>
            </w:pPr>
          </w:p>
        </w:tc>
      </w:tr>
      <w:tr w14:paraId="79A7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14:paraId="0378BCFE">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7</w:t>
            </w:r>
          </w:p>
        </w:tc>
        <w:tc>
          <w:tcPr>
            <w:tcW w:w="2241" w:type="dxa"/>
            <w:vAlign w:val="center"/>
          </w:tcPr>
          <w:p w14:paraId="127A061F">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绿化维护药剂</w:t>
            </w:r>
          </w:p>
        </w:tc>
        <w:tc>
          <w:tcPr>
            <w:tcW w:w="1825" w:type="dxa"/>
            <w:vAlign w:val="center"/>
          </w:tcPr>
          <w:p w14:paraId="7FFD9492">
            <w:pPr>
              <w:spacing w:line="360" w:lineRule="auto"/>
              <w:jc w:val="center"/>
              <w:rPr>
                <w:rFonts w:hint="eastAsia" w:ascii="仿宋" w:hAnsi="仿宋" w:eastAsia="仿宋" w:cs="仿宋"/>
                <w:sz w:val="28"/>
                <w:szCs w:val="28"/>
              </w:rPr>
            </w:pPr>
            <w:r>
              <w:rPr>
                <w:rFonts w:hint="eastAsia" w:ascii="仿宋" w:hAnsi="仿宋" w:eastAsia="仿宋" w:cs="仿宋"/>
                <w:sz w:val="28"/>
                <w:szCs w:val="28"/>
                <w:lang w:eastAsia="zh-CN"/>
              </w:rPr>
              <w:t>满足采购人需求</w:t>
            </w:r>
          </w:p>
        </w:tc>
        <w:tc>
          <w:tcPr>
            <w:tcW w:w="2696" w:type="dxa"/>
            <w:vAlign w:val="center"/>
          </w:tcPr>
          <w:p w14:paraId="24A463FB">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校区绿化区域</w:t>
            </w:r>
          </w:p>
        </w:tc>
        <w:tc>
          <w:tcPr>
            <w:tcW w:w="1007" w:type="dxa"/>
            <w:vAlign w:val="center"/>
          </w:tcPr>
          <w:p w14:paraId="135E7435">
            <w:pPr>
              <w:pStyle w:val="17"/>
              <w:spacing w:line="360" w:lineRule="auto"/>
              <w:jc w:val="center"/>
              <w:rPr>
                <w:rFonts w:hint="eastAsia" w:ascii="仿宋" w:hAnsi="仿宋" w:eastAsia="仿宋" w:cs="仿宋"/>
                <w:sz w:val="28"/>
                <w:szCs w:val="28"/>
              </w:rPr>
            </w:pPr>
          </w:p>
        </w:tc>
      </w:tr>
      <w:tr w14:paraId="7804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14:paraId="577D4D83">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8</w:t>
            </w:r>
          </w:p>
        </w:tc>
        <w:tc>
          <w:tcPr>
            <w:tcW w:w="2241" w:type="dxa"/>
            <w:vAlign w:val="center"/>
          </w:tcPr>
          <w:p w14:paraId="78782D1B">
            <w:pPr>
              <w:pStyle w:val="17"/>
              <w:spacing w:line="360" w:lineRule="auto"/>
              <w:jc w:val="left"/>
              <w:rPr>
                <w:rFonts w:hint="eastAsia" w:ascii="仿宋" w:hAnsi="仿宋" w:eastAsia="仿宋" w:cs="仿宋"/>
                <w:sz w:val="28"/>
                <w:szCs w:val="28"/>
              </w:rPr>
            </w:pPr>
            <w:r>
              <w:rPr>
                <w:rFonts w:hint="eastAsia" w:ascii="仿宋" w:hAnsi="仿宋" w:eastAsia="仿宋" w:cs="仿宋"/>
                <w:sz w:val="28"/>
                <w:szCs w:val="28"/>
              </w:rPr>
              <w:t>保洁用具（垃圾袋、檀香、卫生球、消杀药水等）</w:t>
            </w:r>
          </w:p>
        </w:tc>
        <w:tc>
          <w:tcPr>
            <w:tcW w:w="1825" w:type="dxa"/>
            <w:vAlign w:val="center"/>
          </w:tcPr>
          <w:p w14:paraId="61BE95A6">
            <w:pPr>
              <w:spacing w:line="360" w:lineRule="auto"/>
              <w:jc w:val="center"/>
              <w:rPr>
                <w:rFonts w:hint="eastAsia" w:ascii="仿宋" w:hAnsi="仿宋" w:eastAsia="仿宋" w:cs="仿宋"/>
                <w:sz w:val="28"/>
                <w:szCs w:val="28"/>
              </w:rPr>
            </w:pPr>
            <w:r>
              <w:rPr>
                <w:rFonts w:hint="eastAsia" w:ascii="仿宋" w:hAnsi="仿宋" w:eastAsia="仿宋" w:cs="仿宋"/>
                <w:sz w:val="28"/>
                <w:szCs w:val="28"/>
                <w:lang w:eastAsia="zh-CN"/>
              </w:rPr>
              <w:t>满足采购人需求</w:t>
            </w:r>
          </w:p>
        </w:tc>
        <w:tc>
          <w:tcPr>
            <w:tcW w:w="2696" w:type="dxa"/>
            <w:vAlign w:val="center"/>
          </w:tcPr>
          <w:p w14:paraId="4F4FF104">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学校卫生间</w:t>
            </w:r>
          </w:p>
        </w:tc>
        <w:tc>
          <w:tcPr>
            <w:tcW w:w="1007" w:type="dxa"/>
            <w:vAlign w:val="center"/>
          </w:tcPr>
          <w:p w14:paraId="17A58A30">
            <w:pPr>
              <w:pStyle w:val="17"/>
              <w:spacing w:line="360" w:lineRule="auto"/>
              <w:jc w:val="center"/>
              <w:rPr>
                <w:rFonts w:hint="eastAsia" w:ascii="仿宋" w:hAnsi="仿宋" w:eastAsia="仿宋" w:cs="仿宋"/>
                <w:sz w:val="28"/>
                <w:szCs w:val="28"/>
              </w:rPr>
            </w:pPr>
          </w:p>
        </w:tc>
      </w:tr>
      <w:tr w14:paraId="18024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14:paraId="6A9677DC">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9</w:t>
            </w:r>
          </w:p>
        </w:tc>
        <w:tc>
          <w:tcPr>
            <w:tcW w:w="2241" w:type="dxa"/>
            <w:vAlign w:val="center"/>
          </w:tcPr>
          <w:p w14:paraId="10BF9423">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吸尘器</w:t>
            </w:r>
          </w:p>
        </w:tc>
        <w:tc>
          <w:tcPr>
            <w:tcW w:w="1825" w:type="dxa"/>
            <w:vAlign w:val="center"/>
          </w:tcPr>
          <w:p w14:paraId="3F18CE30">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2台</w:t>
            </w:r>
          </w:p>
        </w:tc>
        <w:tc>
          <w:tcPr>
            <w:tcW w:w="2696" w:type="dxa"/>
            <w:vAlign w:val="center"/>
          </w:tcPr>
          <w:p w14:paraId="6C1BCE6A">
            <w:pPr>
              <w:pStyle w:val="17"/>
              <w:spacing w:line="360" w:lineRule="auto"/>
              <w:jc w:val="center"/>
              <w:rPr>
                <w:rFonts w:hint="eastAsia" w:ascii="仿宋" w:hAnsi="仿宋" w:eastAsia="仿宋" w:cs="仿宋"/>
                <w:sz w:val="28"/>
                <w:szCs w:val="28"/>
              </w:rPr>
            </w:pPr>
            <w:r>
              <w:rPr>
                <w:rFonts w:hint="eastAsia" w:ascii="仿宋" w:hAnsi="仿宋" w:eastAsia="仿宋" w:cs="仿宋"/>
                <w:sz w:val="28"/>
                <w:szCs w:val="28"/>
              </w:rPr>
              <w:t>办公楼区域</w:t>
            </w:r>
          </w:p>
        </w:tc>
        <w:tc>
          <w:tcPr>
            <w:tcW w:w="1007" w:type="dxa"/>
            <w:vAlign w:val="center"/>
          </w:tcPr>
          <w:p w14:paraId="47DCE3D4">
            <w:pPr>
              <w:pStyle w:val="17"/>
              <w:spacing w:line="360" w:lineRule="auto"/>
              <w:jc w:val="center"/>
              <w:rPr>
                <w:rFonts w:hint="eastAsia" w:ascii="仿宋" w:hAnsi="仿宋" w:eastAsia="仿宋" w:cs="仿宋"/>
                <w:sz w:val="28"/>
                <w:szCs w:val="28"/>
              </w:rPr>
            </w:pPr>
          </w:p>
        </w:tc>
      </w:tr>
    </w:tbl>
    <w:p w14:paraId="18AFDCCC">
      <w:pPr>
        <w:spacing w:line="360" w:lineRule="auto"/>
        <w:ind w:firstLine="422"/>
        <w:rPr>
          <w:rFonts w:hint="eastAsia" w:ascii="仿宋" w:hAnsi="仿宋" w:eastAsia="仿宋" w:cs="仿宋"/>
          <w:b/>
          <w:bCs/>
          <w:sz w:val="28"/>
          <w:szCs w:val="28"/>
        </w:rPr>
      </w:pPr>
      <w:r>
        <w:rPr>
          <w:rFonts w:hint="eastAsia" w:ascii="仿宋" w:hAnsi="仿宋" w:eastAsia="仿宋" w:cs="仿宋"/>
          <w:b/>
          <w:bCs/>
          <w:sz w:val="28"/>
          <w:szCs w:val="28"/>
        </w:rPr>
        <w:t>十、其它</w:t>
      </w:r>
    </w:p>
    <w:p w14:paraId="6CD39748">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1.在管理过程中，因下列事由所致的损害，乙方不负赔偿责任：</w:t>
      </w:r>
    </w:p>
    <w:p w14:paraId="3CDCB0E0">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1.1天灾、地震等不可抗力的事由所致的伤害；</w:t>
      </w:r>
    </w:p>
    <w:p w14:paraId="5DFD28D4">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1.2甲方自理的共用设施设备出现安全隐患等问题，乙方已书面建议，因甲方未受纳或未及时采取措施所致的伤害；</w:t>
      </w:r>
    </w:p>
    <w:p w14:paraId="0A6BA3B8">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2.合同中项目的遗漏或不足，甲乙双方经协商后以协议方式进行补充。</w:t>
      </w:r>
    </w:p>
    <w:p w14:paraId="7EC2E326">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3.服务期内，如遇重大服务工作调整，甲方有权对本合同做出调整或终止，甲方不因此承担任何责任或损失；</w:t>
      </w:r>
    </w:p>
    <w:p w14:paraId="050EAC73">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4.合同未尽事宜，须经双方协商做出补充规定，其与合同具有同等效力。</w:t>
      </w:r>
    </w:p>
    <w:p w14:paraId="42A3F010">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5.下列文件属合同组成部分：招标文件</w:t>
      </w:r>
      <w:r>
        <w:rPr>
          <w:rFonts w:hint="eastAsia" w:ascii="仿宋" w:hAnsi="仿宋" w:eastAsia="仿宋" w:cs="仿宋"/>
          <w:sz w:val="28"/>
          <w:szCs w:val="28"/>
          <w:lang w:eastAsia="zh-CN"/>
        </w:rPr>
        <w:t>、</w:t>
      </w:r>
      <w:r>
        <w:rPr>
          <w:rFonts w:hint="eastAsia" w:ascii="仿宋" w:hAnsi="仿宋" w:eastAsia="仿宋" w:cs="仿宋"/>
          <w:sz w:val="28"/>
          <w:szCs w:val="28"/>
        </w:rPr>
        <w:t>投标文件</w:t>
      </w:r>
      <w:r>
        <w:rPr>
          <w:rFonts w:hint="eastAsia" w:ascii="仿宋" w:hAnsi="仿宋" w:eastAsia="仿宋" w:cs="仿宋"/>
          <w:sz w:val="28"/>
          <w:szCs w:val="28"/>
          <w:lang w:eastAsia="zh-CN"/>
        </w:rPr>
        <w:t>、</w:t>
      </w:r>
      <w:r>
        <w:rPr>
          <w:rFonts w:hint="eastAsia" w:ascii="仿宋" w:hAnsi="仿宋" w:eastAsia="仿宋" w:cs="仿宋"/>
          <w:sz w:val="28"/>
          <w:szCs w:val="28"/>
        </w:rPr>
        <w:t>补充文件</w:t>
      </w:r>
      <w:r>
        <w:rPr>
          <w:rFonts w:hint="eastAsia" w:ascii="仿宋" w:hAnsi="仿宋" w:eastAsia="仿宋" w:cs="仿宋"/>
          <w:sz w:val="28"/>
          <w:szCs w:val="28"/>
          <w:lang w:eastAsia="zh-CN"/>
        </w:rPr>
        <w:t>、物业管理服务考核办法</w:t>
      </w:r>
      <w:r>
        <w:rPr>
          <w:rFonts w:hint="eastAsia" w:ascii="仿宋" w:hAnsi="仿宋" w:eastAsia="仿宋" w:cs="仿宋"/>
          <w:sz w:val="28"/>
          <w:szCs w:val="28"/>
        </w:rPr>
        <w:t>。</w:t>
      </w:r>
    </w:p>
    <w:p w14:paraId="7C2A7CF5">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6.下列文件属合同的附件：补充规定，补充合同。</w:t>
      </w:r>
    </w:p>
    <w:p w14:paraId="05B4609E">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7.本合同经双方签字盖章生效。</w:t>
      </w:r>
    </w:p>
    <w:p w14:paraId="01B04A63">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本合同一式捌份，甲方陆份，乙方贰份。</w:t>
      </w:r>
    </w:p>
    <w:p w14:paraId="0C560849">
      <w:pPr>
        <w:pStyle w:val="51"/>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 xml:space="preserve">甲方（章）：河南应用技术职业学院     乙方（章）： </w:t>
      </w:r>
    </w:p>
    <w:p w14:paraId="4B51F88A">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单位地址：</w:t>
      </w:r>
      <w:r>
        <w:rPr>
          <w:rFonts w:hint="eastAsia" w:ascii="仿宋" w:hAnsi="仿宋" w:eastAsia="仿宋" w:cs="仿宋"/>
          <w:bCs/>
          <w:iCs/>
          <w:sz w:val="28"/>
          <w:szCs w:val="28"/>
        </w:rPr>
        <w:t xml:space="preserve">郑州市建设西路548号      </w:t>
      </w:r>
      <w:r>
        <w:rPr>
          <w:rFonts w:hint="eastAsia" w:ascii="仿宋" w:hAnsi="仿宋" w:eastAsia="仿宋" w:cs="仿宋"/>
          <w:sz w:val="28"/>
          <w:szCs w:val="28"/>
        </w:rPr>
        <w:t xml:space="preserve">单位地址： </w:t>
      </w:r>
    </w:p>
    <w:p w14:paraId="7D57C56A">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 xml:space="preserve">法定代表人(委托代理人)             </w:t>
      </w:r>
      <w:r>
        <w:rPr>
          <w:rFonts w:hint="eastAsia" w:ascii="仿宋" w:hAnsi="仿宋" w:eastAsia="仿宋" w:cs="仿宋"/>
          <w:sz w:val="28"/>
          <w:szCs w:val="28"/>
          <w:lang w:val="en-US"/>
        </w:rPr>
        <w:t xml:space="preserve"> </w:t>
      </w:r>
      <w:r>
        <w:rPr>
          <w:rFonts w:hint="eastAsia" w:ascii="仿宋" w:hAnsi="仿宋" w:eastAsia="仿宋" w:cs="仿宋"/>
          <w:sz w:val="28"/>
          <w:szCs w:val="28"/>
        </w:rPr>
        <w:t>法定代表人(委托代理人)</w:t>
      </w:r>
    </w:p>
    <w:p w14:paraId="3295FE9D">
      <w:pPr>
        <w:pStyle w:val="51"/>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 xml:space="preserve">电话：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电话： </w:t>
      </w:r>
    </w:p>
    <w:p w14:paraId="64C7E971">
      <w:pPr>
        <w:spacing w:line="518" w:lineRule="auto"/>
        <w:ind w:left="6439" w:leftChars="133" w:hanging="6160" w:hangingChars="2200"/>
        <w:rPr>
          <w:rFonts w:hint="eastAsia" w:ascii="仿宋" w:hAnsi="仿宋" w:eastAsia="仿宋" w:cs="仿宋"/>
          <w:sz w:val="28"/>
          <w:szCs w:val="28"/>
        </w:rPr>
      </w:pPr>
      <w:r>
        <w:rPr>
          <w:rFonts w:hint="eastAsia" w:ascii="仿宋" w:hAnsi="仿宋" w:eastAsia="仿宋" w:cs="仿宋"/>
          <w:sz w:val="28"/>
          <w:szCs w:val="28"/>
        </w:rPr>
        <w:t xml:space="preserve">开户银行：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开户银行：  </w:t>
      </w:r>
    </w:p>
    <w:p w14:paraId="481FD0A5">
      <w:pPr>
        <w:pStyle w:val="18"/>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 xml:space="preserve">账号：  </w:t>
      </w:r>
      <w:r>
        <w:rPr>
          <w:rFonts w:hint="eastAsia" w:ascii="仿宋" w:hAnsi="仿宋" w:eastAsia="仿宋" w:cs="仿宋"/>
          <w:sz w:val="28"/>
          <w:szCs w:val="28"/>
        </w:rPr>
        <w:tab/>
      </w:r>
      <w:r>
        <w:rPr>
          <w:rFonts w:hint="eastAsia" w:ascii="仿宋" w:hAnsi="仿宋" w:eastAsia="仿宋" w:cs="仿宋"/>
          <w:sz w:val="28"/>
          <w:szCs w:val="28"/>
        </w:rPr>
        <w:t xml:space="preserve">                          账号：</w:t>
      </w:r>
    </w:p>
    <w:p w14:paraId="4DBF39D4">
      <w:pPr>
        <w:pStyle w:val="51"/>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税号：</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税号：</w:t>
      </w:r>
    </w:p>
    <w:p w14:paraId="5C266663">
      <w:pPr>
        <w:pStyle w:val="51"/>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 xml:space="preserve">邮编：450042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邮编： </w:t>
      </w:r>
    </w:p>
    <w:p w14:paraId="7AD0DE6A">
      <w:pPr>
        <w:pStyle w:val="51"/>
        <w:spacing w:line="360" w:lineRule="auto"/>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签订日期：   年  月  日          签订日期：   年  月  日</w:t>
      </w:r>
    </w:p>
    <w:p w14:paraId="72DD4FF0">
      <w:pPr>
        <w:rPr>
          <w:rFonts w:hint="eastAsia" w:ascii="仿宋" w:hAnsi="仿宋" w:eastAsia="仿宋" w:cs="仿宋"/>
          <w:sz w:val="28"/>
          <w:szCs w:val="28"/>
          <w:lang w:val="en-US" w:eastAsia="zh-CN"/>
        </w:rPr>
      </w:pPr>
    </w:p>
    <w:p w14:paraId="6C1E7183">
      <w:pPr>
        <w:pStyle w:val="51"/>
        <w:jc w:val="center"/>
        <w:outlineLvl w:val="2"/>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val="en-US" w:eastAsia="zh-CN"/>
        </w:rPr>
        <w:t>附件：物业管理服务</w:t>
      </w:r>
      <w:r>
        <w:rPr>
          <w:rFonts w:hint="eastAsia" w:ascii="仿宋" w:hAnsi="仿宋" w:eastAsia="仿宋" w:cs="仿宋"/>
          <w:b/>
          <w:bCs/>
          <w:sz w:val="28"/>
          <w:szCs w:val="28"/>
          <w:highlight w:val="none"/>
          <w:lang w:eastAsia="zh-CN"/>
        </w:rPr>
        <w:t>考核办法</w:t>
      </w:r>
    </w:p>
    <w:p w14:paraId="6C8349AD">
      <w:pPr>
        <w:ind w:firstLine="480"/>
        <w:rPr>
          <w:rFonts w:hint="eastAsia" w:ascii="仿宋" w:hAnsi="仿宋" w:eastAsia="仿宋" w:cs="仿宋"/>
          <w:sz w:val="28"/>
          <w:szCs w:val="28"/>
          <w:lang w:eastAsia="zh-CN"/>
        </w:rPr>
      </w:pPr>
      <w:r>
        <w:rPr>
          <w:rFonts w:hint="eastAsia" w:ascii="仿宋" w:hAnsi="仿宋" w:eastAsia="仿宋" w:cs="仿宋"/>
          <w:sz w:val="28"/>
          <w:szCs w:val="28"/>
          <w:lang w:eastAsia="zh-CN"/>
        </w:rPr>
        <w:t>为提高物业管理的服务质量和工作效率，使物业管理的工作制度化、规范化、科学化，促使物业管理企业按照物管要求切实履行物业合同和落实管理措施，为师生提供更优质和完善的 服务，乙方所有的工作除应按乙方的内部流程实施外，还应接受甲方的监督检查。</w:t>
      </w:r>
    </w:p>
    <w:p w14:paraId="133593A3">
      <w:pPr>
        <w:ind w:firstLine="480"/>
        <w:rPr>
          <w:rFonts w:hint="eastAsia" w:ascii="仿宋" w:hAnsi="仿宋" w:eastAsia="仿宋" w:cs="仿宋"/>
          <w:sz w:val="28"/>
          <w:szCs w:val="28"/>
          <w:lang w:eastAsia="zh-CN"/>
        </w:rPr>
      </w:pPr>
      <w:r>
        <w:rPr>
          <w:rFonts w:hint="eastAsia" w:ascii="仿宋" w:hAnsi="仿宋" w:eastAsia="仿宋" w:cs="仿宋"/>
          <w:sz w:val="28"/>
          <w:szCs w:val="28"/>
          <w:lang w:eastAsia="zh-CN"/>
        </w:rPr>
        <w:t>甲方对乙方物业管理服务工作进行定期或不定期抽查检查，如质量未达到目标，甲方有权提出合理的整改意见。甲方对乙方的综合评定结果应及时通知乙方，并对有关需要改进的事项进行二次监督，促使其整改到位。对于拒不整改的，甲方有权自行聘请其他公司进行整改(甲方聘请临时人员费用标准如下：人员工资按200元/人每日计算；人员工资不足一日按一日计 算)。整改费用从当月乙方物业管理费用中扣除。</w:t>
      </w:r>
    </w:p>
    <w:p w14:paraId="4F1C46A1">
      <w:pPr>
        <w:ind w:firstLine="482"/>
        <w:jc w:val="left"/>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lang w:eastAsia="zh-CN"/>
        </w:rPr>
        <w:t>项目技术规范和服务要求</w:t>
      </w:r>
    </w:p>
    <w:tbl>
      <w:tblPr>
        <w:tblStyle w:val="53"/>
        <w:tblW w:w="0" w:type="auto"/>
        <w:jc w:val="center"/>
        <w:tblLayout w:type="fixed"/>
        <w:tblCellMar>
          <w:top w:w="0" w:type="dxa"/>
          <w:left w:w="10" w:type="dxa"/>
          <w:bottom w:w="0" w:type="dxa"/>
          <w:right w:w="10" w:type="dxa"/>
        </w:tblCellMar>
      </w:tblPr>
      <w:tblGrid>
        <w:gridCol w:w="1151"/>
        <w:gridCol w:w="6948"/>
      </w:tblGrid>
      <w:tr w14:paraId="283791E5">
        <w:tblPrEx>
          <w:tblCellMar>
            <w:top w:w="0" w:type="dxa"/>
            <w:left w:w="10" w:type="dxa"/>
            <w:bottom w:w="0" w:type="dxa"/>
            <w:right w:w="10" w:type="dxa"/>
          </w:tblCellMar>
        </w:tblPrEx>
        <w:trPr>
          <w:trHeight w:val="23" w:hRule="atLeast"/>
          <w:jc w:val="center"/>
        </w:trPr>
        <w:tc>
          <w:tcPr>
            <w:tcW w:w="1151" w:type="dxa"/>
            <w:tcBorders>
              <w:top w:val="single" w:color="auto" w:sz="4" w:space="0"/>
              <w:left w:val="single" w:color="auto" w:sz="4" w:space="0"/>
            </w:tcBorders>
            <w:shd w:val="clear" w:color="auto" w:fill="FFFFFF"/>
            <w:vAlign w:val="bottom"/>
          </w:tcPr>
          <w:p w14:paraId="75AFC76A">
            <w:pPr>
              <w:widowControl w:val="0"/>
              <w:adjustRightInd w:val="0"/>
              <w:snapToGrid w:val="0"/>
              <w:jc w:val="center"/>
              <w:rPr>
                <w:rFonts w:hint="eastAsia" w:ascii="仿宋" w:hAnsi="仿宋" w:eastAsia="仿宋" w:cs="仿宋"/>
                <w:kern w:val="0"/>
                <w:sz w:val="28"/>
                <w:szCs w:val="28"/>
                <w:lang w:bidi="zh-TW"/>
              </w:rPr>
            </w:pPr>
            <w:r>
              <w:rPr>
                <w:rFonts w:hint="eastAsia" w:ascii="仿宋" w:hAnsi="仿宋" w:eastAsia="仿宋" w:cs="仿宋"/>
                <w:kern w:val="0"/>
                <w:sz w:val="28"/>
                <w:szCs w:val="28"/>
                <w:lang w:bidi="zh-TW"/>
              </w:rPr>
              <w:t>项目</w:t>
            </w:r>
          </w:p>
        </w:tc>
        <w:tc>
          <w:tcPr>
            <w:tcW w:w="6948" w:type="dxa"/>
            <w:tcBorders>
              <w:top w:val="single" w:color="auto" w:sz="4" w:space="0"/>
              <w:left w:val="single" w:color="auto" w:sz="4" w:space="0"/>
              <w:right w:val="single" w:color="auto" w:sz="4" w:space="0"/>
            </w:tcBorders>
            <w:shd w:val="clear" w:color="auto" w:fill="FFFFFF"/>
            <w:vAlign w:val="bottom"/>
          </w:tcPr>
          <w:p w14:paraId="4CAC7A41">
            <w:pPr>
              <w:widowControl w:val="0"/>
              <w:adjustRightInd w:val="0"/>
              <w:snapToGrid w:val="0"/>
              <w:jc w:val="center"/>
              <w:rPr>
                <w:rFonts w:hint="eastAsia" w:ascii="仿宋" w:hAnsi="仿宋" w:eastAsia="仿宋" w:cs="仿宋"/>
                <w:kern w:val="0"/>
                <w:sz w:val="28"/>
                <w:szCs w:val="28"/>
                <w:lang w:bidi="zh-TW"/>
              </w:rPr>
            </w:pPr>
            <w:r>
              <w:rPr>
                <w:rFonts w:hint="eastAsia" w:ascii="仿宋" w:hAnsi="仿宋" w:eastAsia="仿宋" w:cs="仿宋"/>
                <w:kern w:val="0"/>
                <w:sz w:val="28"/>
                <w:szCs w:val="28"/>
                <w:lang w:bidi="zh-TW"/>
              </w:rPr>
              <w:t>服务要求</w:t>
            </w:r>
          </w:p>
        </w:tc>
      </w:tr>
      <w:tr w14:paraId="4DFFBD94">
        <w:tblPrEx>
          <w:tblCellMar>
            <w:top w:w="0" w:type="dxa"/>
            <w:left w:w="10" w:type="dxa"/>
            <w:bottom w:w="0" w:type="dxa"/>
            <w:right w:w="10" w:type="dxa"/>
          </w:tblCellMar>
        </w:tblPrEx>
        <w:trPr>
          <w:trHeight w:val="23" w:hRule="atLeast"/>
          <w:jc w:val="center"/>
        </w:trPr>
        <w:tc>
          <w:tcPr>
            <w:tcW w:w="1151" w:type="dxa"/>
            <w:tcBorders>
              <w:top w:val="single" w:color="auto" w:sz="4" w:space="0"/>
              <w:left w:val="single" w:color="auto" w:sz="4" w:space="0"/>
              <w:bottom w:val="single" w:color="auto" w:sz="4" w:space="0"/>
            </w:tcBorders>
            <w:shd w:val="clear" w:color="auto" w:fill="FFFFFF"/>
            <w:vAlign w:val="center"/>
          </w:tcPr>
          <w:p w14:paraId="46F5857C">
            <w:pPr>
              <w:widowControl w:val="0"/>
              <w:adjustRightInd w:val="0"/>
              <w:snapToGrid w:val="0"/>
              <w:jc w:val="center"/>
              <w:rPr>
                <w:rFonts w:hint="eastAsia" w:ascii="仿宋" w:hAnsi="仿宋" w:eastAsia="仿宋" w:cs="仿宋"/>
                <w:kern w:val="0"/>
                <w:sz w:val="28"/>
                <w:szCs w:val="28"/>
                <w:lang w:bidi="zh-TW"/>
              </w:rPr>
            </w:pPr>
            <w:r>
              <w:rPr>
                <w:rFonts w:hint="eastAsia" w:ascii="仿宋" w:hAnsi="仿宋" w:eastAsia="仿宋" w:cs="仿宋"/>
                <w:kern w:val="0"/>
                <w:sz w:val="28"/>
                <w:szCs w:val="28"/>
                <w:lang w:bidi="zh-TW"/>
              </w:rPr>
              <w:t>保</w:t>
            </w:r>
          </w:p>
          <w:p w14:paraId="1998C4FF">
            <w:pPr>
              <w:widowControl w:val="0"/>
              <w:adjustRightInd w:val="0"/>
              <w:snapToGrid w:val="0"/>
              <w:jc w:val="center"/>
              <w:rPr>
                <w:rFonts w:hint="eastAsia" w:ascii="仿宋" w:hAnsi="仿宋" w:eastAsia="仿宋" w:cs="仿宋"/>
                <w:kern w:val="0"/>
                <w:sz w:val="28"/>
                <w:szCs w:val="28"/>
                <w:lang w:bidi="zh-TW"/>
              </w:rPr>
            </w:pPr>
            <w:r>
              <w:rPr>
                <w:rFonts w:hint="eastAsia" w:ascii="仿宋" w:hAnsi="仿宋" w:eastAsia="仿宋" w:cs="仿宋"/>
                <w:kern w:val="0"/>
                <w:sz w:val="28"/>
                <w:szCs w:val="28"/>
                <w:lang w:bidi="zh-TW"/>
              </w:rPr>
              <w:t>洁</w:t>
            </w:r>
          </w:p>
          <w:p w14:paraId="73D164F1">
            <w:pPr>
              <w:widowControl w:val="0"/>
              <w:adjustRightInd w:val="0"/>
              <w:snapToGrid w:val="0"/>
              <w:jc w:val="center"/>
              <w:rPr>
                <w:rFonts w:hint="eastAsia" w:ascii="仿宋" w:hAnsi="仿宋" w:eastAsia="仿宋" w:cs="仿宋"/>
                <w:kern w:val="0"/>
                <w:sz w:val="28"/>
                <w:szCs w:val="28"/>
                <w:lang w:bidi="zh-TW"/>
              </w:rPr>
            </w:pPr>
            <w:r>
              <w:rPr>
                <w:rFonts w:hint="eastAsia" w:ascii="仿宋" w:hAnsi="仿宋" w:eastAsia="仿宋" w:cs="仿宋"/>
                <w:kern w:val="0"/>
                <w:sz w:val="28"/>
                <w:szCs w:val="28"/>
                <w:lang w:bidi="zh-TW"/>
              </w:rPr>
              <w:t>及</w:t>
            </w:r>
          </w:p>
          <w:p w14:paraId="589165BD">
            <w:pPr>
              <w:widowControl w:val="0"/>
              <w:adjustRightInd w:val="0"/>
              <w:snapToGrid w:val="0"/>
              <w:jc w:val="center"/>
              <w:rPr>
                <w:rFonts w:hint="eastAsia" w:ascii="仿宋" w:hAnsi="仿宋" w:eastAsia="仿宋" w:cs="仿宋"/>
                <w:kern w:val="0"/>
                <w:sz w:val="28"/>
                <w:szCs w:val="28"/>
                <w:lang w:bidi="zh-TW"/>
              </w:rPr>
            </w:pPr>
            <w:r>
              <w:rPr>
                <w:rFonts w:hint="eastAsia" w:ascii="仿宋" w:hAnsi="仿宋" w:eastAsia="仿宋" w:cs="仿宋"/>
                <w:kern w:val="0"/>
                <w:sz w:val="28"/>
                <w:szCs w:val="28"/>
                <w:lang w:bidi="zh-TW"/>
              </w:rPr>
              <w:t>服</w:t>
            </w:r>
          </w:p>
          <w:p w14:paraId="0D3954F9">
            <w:pPr>
              <w:widowControl w:val="0"/>
              <w:adjustRightInd w:val="0"/>
              <w:snapToGrid w:val="0"/>
              <w:jc w:val="center"/>
              <w:rPr>
                <w:rFonts w:hint="eastAsia" w:ascii="仿宋" w:hAnsi="仿宋" w:eastAsia="仿宋" w:cs="仿宋"/>
                <w:kern w:val="0"/>
                <w:sz w:val="28"/>
                <w:szCs w:val="28"/>
                <w:lang w:bidi="zh-TW"/>
              </w:rPr>
            </w:pPr>
            <w:r>
              <w:rPr>
                <w:rFonts w:hint="eastAsia" w:ascii="仿宋" w:hAnsi="仿宋" w:eastAsia="仿宋" w:cs="仿宋"/>
                <w:kern w:val="0"/>
                <w:sz w:val="28"/>
                <w:szCs w:val="28"/>
                <w:lang w:bidi="zh-TW"/>
              </w:rPr>
              <w:t>务</w:t>
            </w:r>
          </w:p>
        </w:tc>
        <w:tc>
          <w:tcPr>
            <w:tcW w:w="6948" w:type="dxa"/>
            <w:tcBorders>
              <w:top w:val="single" w:color="auto" w:sz="4" w:space="0"/>
              <w:left w:val="single" w:color="auto" w:sz="4" w:space="0"/>
              <w:bottom w:val="single" w:color="auto" w:sz="4" w:space="0"/>
              <w:right w:val="single" w:color="auto" w:sz="4" w:space="0"/>
            </w:tcBorders>
            <w:shd w:val="clear" w:color="auto" w:fill="FFFFFF"/>
          </w:tcPr>
          <w:p w14:paraId="7D9D67F9">
            <w:pPr>
              <w:widowControl w:val="0"/>
              <w:adjustRightInd w:val="0"/>
              <w:snapToGrid w:val="0"/>
              <w:ind w:firstLine="560" w:firstLineChars="20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val="en-US" w:eastAsia="zh-CN" w:bidi="zh-TW"/>
              </w:rPr>
              <w:t>1.</w:t>
            </w:r>
            <w:r>
              <w:rPr>
                <w:rFonts w:hint="eastAsia" w:ascii="仿宋" w:hAnsi="仿宋" w:eastAsia="仿宋" w:cs="仿宋"/>
                <w:kern w:val="0"/>
                <w:sz w:val="28"/>
                <w:szCs w:val="28"/>
                <w:lang w:bidi="zh-TW"/>
              </w:rPr>
              <w:t>人员要求</w:t>
            </w:r>
          </w:p>
          <w:p w14:paraId="1921883F">
            <w:pPr>
              <w:widowControl w:val="0"/>
              <w:adjustRightInd w:val="0"/>
              <w:snapToGrid w:val="0"/>
              <w:ind w:firstLine="560" w:firstLineChars="20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bidi="zh-TW"/>
              </w:rPr>
              <w:t>工作认真负责并定期接受培训。上岗时佩戴统一标志，按需求穿戴统一制服，仪 容仪表规范整齐。文明工作，训练有素，言语规范，认真负责。</w:t>
            </w:r>
          </w:p>
          <w:p w14:paraId="14C1171A">
            <w:pPr>
              <w:widowControl w:val="0"/>
              <w:adjustRightInd w:val="0"/>
              <w:snapToGrid w:val="0"/>
              <w:ind w:firstLine="560" w:firstLineChars="20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bidi="zh-TW"/>
              </w:rPr>
              <w:t>室内（公共区域）</w:t>
            </w:r>
          </w:p>
          <w:p w14:paraId="7FB6F87D">
            <w:pPr>
              <w:widowControl w:val="0"/>
              <w:adjustRightInd w:val="0"/>
              <w:snapToGrid w:val="0"/>
              <w:ind w:firstLine="560" w:firstLineChars="20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bidi="zh-TW"/>
              </w:rPr>
              <w:t>楼道地面、楼梯每日拖洗一次，巡回保洁，无积灰、污迹、垃圾、水。开关盒、 表箱盖：2米以下每日擦抹一次；2米以上每周一次，无灰尘、污迹。扶手、门：每日 擦抹一次，无灰尘、污迹。天花板、公共楼道灯、会议室和活动室吊灯：每季除尘一 次，无明显积灰、虫网。玻璃：每季清洁一次，无明显积灰、污迹。卫生间每天至少 拖洗一次，保持地面清洁、无杂物、无积水、无毛发、无异味、便池、水池下水道要 畅通。墙面四周及阴角做到无水迹、无蜘蛛网；镜子及金属部分：应保持干净，无浮 尘、污渍、手印、水迹、无锈斑；天花板上无污渍、无漏水或有小水泡等现象，保持 干净、清洁，完好无损；确保运作正常；配备洗手液，每日检査，发现用完及时补充。 瓷砖：2米以下每日擦抹一次；2米以上每月清洁一次，无明显积灰、水渍。</w:t>
            </w:r>
          </w:p>
          <w:p w14:paraId="209A7AA9">
            <w:pPr>
              <w:widowControl w:val="0"/>
              <w:adjustRightInd w:val="0"/>
              <w:snapToGrid w:val="0"/>
              <w:ind w:firstLine="560" w:firstLineChars="20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val="en-US" w:eastAsia="zh-CN" w:bidi="zh-TW"/>
              </w:rPr>
              <w:t>3.</w:t>
            </w:r>
            <w:r>
              <w:rPr>
                <w:rFonts w:hint="eastAsia" w:ascii="仿宋" w:hAnsi="仿宋" w:eastAsia="仿宋" w:cs="仿宋"/>
                <w:kern w:val="0"/>
                <w:sz w:val="28"/>
                <w:szCs w:val="28"/>
                <w:lang w:bidi="zh-TW"/>
              </w:rPr>
              <w:t>室外</w:t>
            </w:r>
          </w:p>
          <w:p w14:paraId="406F2E25">
            <w:pPr>
              <w:widowControl w:val="0"/>
              <w:adjustRightInd w:val="0"/>
              <w:snapToGrid w:val="0"/>
              <w:ind w:firstLine="560" w:firstLineChars="20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bidi="zh-TW"/>
              </w:rPr>
              <w:t>道路地面、绿地、门窗档遮雨棚顶（视线所到之处）：每日清扫一次，并巡回保 洁，无明显暴露垃圾、卫生死角；院内硬化地面无痰渍、污渍、纸片、塑料袋、烟头 等。</w:t>
            </w:r>
          </w:p>
          <w:p w14:paraId="0D0D89E7">
            <w:pPr>
              <w:widowControl w:val="0"/>
              <w:adjustRightInd w:val="0"/>
              <w:snapToGrid w:val="0"/>
              <w:ind w:firstLine="560" w:firstLineChars="20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bidi="zh-TW"/>
              </w:rPr>
              <w:t>花坛：每天擦抹一次，无积灰、无污迹、无纸片、无塑料袋、无烟头。</w:t>
            </w:r>
          </w:p>
          <w:p w14:paraId="2EFBA7A7">
            <w:pPr>
              <w:widowControl w:val="0"/>
              <w:adjustRightInd w:val="0"/>
              <w:snapToGrid w:val="0"/>
              <w:ind w:firstLine="560" w:firstLineChars="20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bidi="zh-TW"/>
              </w:rPr>
              <w:t>垃圾收集：对垃圾每天进行清除、外运，做到垃圾日产日清，保持垃圾全部进垃 圾箱，保持箱外无垃圾。</w:t>
            </w:r>
          </w:p>
          <w:p w14:paraId="3DBF979C">
            <w:pPr>
              <w:widowControl w:val="0"/>
              <w:adjustRightInd w:val="0"/>
              <w:snapToGrid w:val="0"/>
              <w:ind w:firstLine="560" w:firstLineChars="20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bidi="zh-TW"/>
              </w:rPr>
              <w:t>垃圾桶（箱）：配备足量垃圾箱（筒），对垃圾箱（桶）每天清刷，做到箱（桶） 体清洁无污迹、无异味、无损坏。</w:t>
            </w:r>
          </w:p>
          <w:p w14:paraId="4A8DE66A">
            <w:pPr>
              <w:widowControl w:val="0"/>
              <w:adjustRightInd w:val="0"/>
              <w:snapToGrid w:val="0"/>
              <w:ind w:firstLine="560" w:firstLineChars="20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bidi="zh-TW"/>
              </w:rPr>
              <w:t>大门：每月擦拭一次，无灰尘、无污迹。</w:t>
            </w:r>
          </w:p>
          <w:p w14:paraId="6D3B2F32">
            <w:pPr>
              <w:widowControl w:val="0"/>
              <w:adjustRightInd w:val="0"/>
              <w:snapToGrid w:val="0"/>
              <w:ind w:firstLine="560" w:firstLineChars="20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bidi="zh-TW"/>
              </w:rPr>
              <w:t>窖井（含集水井）每半年清理一次 内壁无粘附物、井底无沉淀物。</w:t>
            </w:r>
          </w:p>
          <w:p w14:paraId="7048AD8C">
            <w:pPr>
              <w:widowControl w:val="0"/>
              <w:adjustRightInd w:val="0"/>
              <w:snapToGrid w:val="0"/>
              <w:ind w:firstLine="560" w:firstLineChars="20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bidi="zh-TW"/>
              </w:rPr>
              <w:t>明沟：每周清扫一次，无明显垃圾，无堵塞。</w:t>
            </w:r>
          </w:p>
          <w:p w14:paraId="37FB3CF7">
            <w:pPr>
              <w:widowControl w:val="0"/>
              <w:adjustRightInd w:val="0"/>
              <w:snapToGrid w:val="0"/>
              <w:ind w:firstLine="560" w:firstLineChars="20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bidi="zh-TW"/>
              </w:rPr>
              <w:t>消毒灭害：窖井、明沟、垃圾房喷洒药水，每季一次（6、7、8、9月每月喷洒一 次），每年灭鼠、灭蟬螂三次，无明显蚊蝇滋生地、鼠迹。</w:t>
            </w:r>
          </w:p>
          <w:p w14:paraId="384EB5D7">
            <w:pPr>
              <w:widowControl w:val="0"/>
              <w:adjustRightInd w:val="0"/>
              <w:snapToGrid w:val="0"/>
              <w:ind w:firstLine="560" w:firstLineChars="20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bidi="zh-TW"/>
              </w:rPr>
              <w:t>室内外楼梯、不锈钢扶手：每月清洗一次，无积灰、污迹、垃圾。可上去的屋顶 和雨水沟不定期清扫，要求无积水、无垃圾。校园内树上垃圾如塑料袋等每月清理一 次。</w:t>
            </w:r>
          </w:p>
          <w:p w14:paraId="2526556A">
            <w:pPr>
              <w:widowControl w:val="0"/>
              <w:adjustRightInd w:val="0"/>
              <w:snapToGrid w:val="0"/>
              <w:ind w:firstLine="560" w:firstLineChars="20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val="en-US" w:eastAsia="zh-CN" w:bidi="zh-TW"/>
              </w:rPr>
              <w:t>4.</w:t>
            </w:r>
            <w:r>
              <w:rPr>
                <w:rFonts w:hint="eastAsia" w:ascii="仿宋" w:hAnsi="仿宋" w:eastAsia="仿宋" w:cs="仿宋"/>
                <w:kern w:val="0"/>
                <w:sz w:val="28"/>
                <w:szCs w:val="28"/>
                <w:lang w:bidi="zh-TW"/>
              </w:rPr>
              <w:t>其他</w:t>
            </w:r>
          </w:p>
          <w:p w14:paraId="78A3E645">
            <w:pPr>
              <w:widowControl w:val="0"/>
              <w:adjustRightInd w:val="0"/>
              <w:snapToGrid w:val="0"/>
              <w:ind w:firstLine="560" w:firstLineChars="20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bidi="zh-TW"/>
              </w:rPr>
              <w:t>全院每月一次大扫除。</w:t>
            </w:r>
          </w:p>
          <w:p w14:paraId="169C3AD9">
            <w:pPr>
              <w:widowControl w:val="0"/>
              <w:adjustRightInd w:val="0"/>
              <w:snapToGrid w:val="0"/>
              <w:ind w:firstLine="560" w:firstLineChars="20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bidi="zh-TW"/>
              </w:rPr>
              <w:t>工作纪律：保洁员在工作期间要接受甲方的领导和监督，遵守甲方的有关规章制 度。</w:t>
            </w:r>
          </w:p>
          <w:p w14:paraId="592F1510">
            <w:pPr>
              <w:widowControl w:val="0"/>
              <w:adjustRightInd w:val="0"/>
              <w:snapToGrid w:val="0"/>
              <w:ind w:firstLine="560" w:firstLineChars="20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bidi="zh-TW"/>
              </w:rPr>
              <w:t>业主帮助：在遇到来院学习的人员需要帮助时，应主动热情。</w:t>
            </w:r>
          </w:p>
          <w:p w14:paraId="18F28579">
            <w:pPr>
              <w:widowControl w:val="0"/>
              <w:adjustRightInd w:val="0"/>
              <w:snapToGrid w:val="0"/>
              <w:ind w:firstLine="560" w:firstLineChars="20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bidi="zh-TW"/>
              </w:rPr>
              <w:t>完成学院交办的一些临时工作。</w:t>
            </w:r>
          </w:p>
        </w:tc>
      </w:tr>
      <w:tr w14:paraId="5599B195">
        <w:tblPrEx>
          <w:tblCellMar>
            <w:top w:w="0" w:type="dxa"/>
            <w:left w:w="10" w:type="dxa"/>
            <w:bottom w:w="0" w:type="dxa"/>
            <w:right w:w="10" w:type="dxa"/>
          </w:tblCellMar>
        </w:tblPrEx>
        <w:trPr>
          <w:trHeight w:val="23" w:hRule="atLeast"/>
          <w:jc w:val="center"/>
        </w:trPr>
        <w:tc>
          <w:tcPr>
            <w:tcW w:w="1151" w:type="dxa"/>
            <w:tcBorders>
              <w:top w:val="single" w:color="auto" w:sz="4" w:space="0"/>
              <w:left w:val="single" w:color="auto" w:sz="4" w:space="0"/>
              <w:bottom w:val="single" w:color="auto" w:sz="4" w:space="0"/>
            </w:tcBorders>
            <w:shd w:val="clear" w:color="auto" w:fill="FFFFFF"/>
            <w:vAlign w:val="center"/>
          </w:tcPr>
          <w:p w14:paraId="09FF0C97">
            <w:pPr>
              <w:widowControl w:val="0"/>
              <w:adjustRightInd w:val="0"/>
              <w:snapToGrid w:val="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bidi="zh-TW"/>
              </w:rPr>
              <w:t>公寓管理员</w:t>
            </w:r>
          </w:p>
        </w:tc>
        <w:tc>
          <w:tcPr>
            <w:tcW w:w="6948" w:type="dxa"/>
            <w:tcBorders>
              <w:top w:val="single" w:color="auto" w:sz="4" w:space="0"/>
              <w:left w:val="single" w:color="auto" w:sz="4" w:space="0"/>
              <w:bottom w:val="single" w:color="auto" w:sz="4" w:space="0"/>
              <w:right w:val="single" w:color="auto" w:sz="4" w:space="0"/>
            </w:tcBorders>
            <w:shd w:val="clear" w:color="auto" w:fill="FFFFFF"/>
          </w:tcPr>
          <w:p w14:paraId="2BFE5C87">
            <w:pPr>
              <w:widowControl w:val="0"/>
              <w:adjustRightInd w:val="0"/>
              <w:snapToGrid w:val="0"/>
              <w:ind w:firstLine="560" w:firstLineChars="20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bidi="zh-TW"/>
              </w:rPr>
              <w:t>1、学生公寓管理员在学生处领导下进行住宿生管理工作，按时上报各种材料， 协助学生处管理好学生宿舍。</w:t>
            </w:r>
          </w:p>
          <w:p w14:paraId="490A0725">
            <w:pPr>
              <w:widowControl w:val="0"/>
              <w:adjustRightInd w:val="0"/>
              <w:snapToGrid w:val="0"/>
              <w:ind w:firstLine="560" w:firstLineChars="20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bidi="zh-TW"/>
              </w:rPr>
              <w:t>2、负责外来人员进入公寓的查询与登记，对无有效证件的人员严禁进入学生公 寓。</w:t>
            </w:r>
          </w:p>
          <w:p w14:paraId="78B2F50C">
            <w:pPr>
              <w:widowControl w:val="0"/>
              <w:adjustRightInd w:val="0"/>
              <w:snapToGrid w:val="0"/>
              <w:ind w:firstLine="560" w:firstLineChars="20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bidi="zh-TW"/>
              </w:rPr>
              <w:t xml:space="preserve"> 3、积极组织住宿生开展文娱、体育、宿舍文化建设等有益的活动，积极创建文 明</w:t>
            </w:r>
            <w:r>
              <w:rPr>
                <w:rFonts w:hint="eastAsia" w:ascii="仿宋" w:hAnsi="仿宋" w:eastAsia="仿宋" w:cs="仿宋"/>
                <w:kern w:val="0"/>
                <w:sz w:val="28"/>
                <w:szCs w:val="28"/>
                <w:lang w:val="zh-CN" w:eastAsia="zh-CN" w:bidi="zh-TW"/>
              </w:rPr>
              <w:t>宿舍。</w:t>
            </w:r>
          </w:p>
          <w:p w14:paraId="5CD51AEC">
            <w:pPr>
              <w:widowControl w:val="0"/>
              <w:adjustRightInd w:val="0"/>
              <w:snapToGrid w:val="0"/>
              <w:ind w:firstLine="560" w:firstLineChars="20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bidi="zh-TW"/>
              </w:rPr>
              <w:t>4、督促住宿学生注意生命财产安全；负责好学生宿舍的防火、防盗工作，对消 防栓、灭火器进行定期性的检査，防止损坏、丢失和被盗现象的发生；发现“四防” 所涉及的问题立即上报学生处、主管部门。</w:t>
            </w:r>
          </w:p>
          <w:p w14:paraId="6BB78D61">
            <w:pPr>
              <w:widowControl w:val="0"/>
              <w:adjustRightInd w:val="0"/>
              <w:snapToGrid w:val="0"/>
              <w:ind w:firstLine="560" w:firstLineChars="20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bidi="zh-TW"/>
              </w:rPr>
              <w:t>5、督促学生搞好宿舍的内务卫生，按时起床、按时上课、按时就寝，对晚归学生 进行登记及时开门放行，如遇火灾、踩踏、重大疾病及学生发生斗殴事件及时上报学 生处和主管部门。</w:t>
            </w:r>
          </w:p>
          <w:p w14:paraId="1998A06A">
            <w:pPr>
              <w:widowControl w:val="0"/>
              <w:adjustRightInd w:val="0"/>
              <w:snapToGrid w:val="0"/>
              <w:ind w:firstLine="560" w:firstLineChars="20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bidi="zh-TW"/>
              </w:rPr>
              <w:t>6、保管好学生宿舍钥匙，不随手乱扔、乱放，借用时必须登记。按时开关宿舍 门、熄灯，坚守工作岗位，不得擅自脱岗。</w:t>
            </w:r>
          </w:p>
          <w:p w14:paraId="4B7B3498">
            <w:pPr>
              <w:widowControl w:val="0"/>
              <w:adjustRightInd w:val="0"/>
              <w:snapToGrid w:val="0"/>
              <w:ind w:firstLine="560" w:firstLineChars="20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bidi="zh-TW"/>
              </w:rPr>
              <w:t>7、坚持每天宿舍巡査制度，如实填写巡査登记表，发现情况及时上报学生处。</w:t>
            </w:r>
          </w:p>
          <w:p w14:paraId="05A2C509">
            <w:pPr>
              <w:widowControl w:val="0"/>
              <w:adjustRightInd w:val="0"/>
              <w:snapToGrid w:val="0"/>
              <w:ind w:firstLine="560" w:firstLineChars="20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bidi="zh-TW"/>
              </w:rPr>
              <w:t>8、负责公寓内学生宿舍的住宿情况登记及调整。</w:t>
            </w:r>
          </w:p>
          <w:p w14:paraId="6FDF255B">
            <w:pPr>
              <w:widowControl w:val="0"/>
              <w:adjustRightInd w:val="0"/>
              <w:snapToGrid w:val="0"/>
              <w:ind w:firstLine="560" w:firstLineChars="20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bidi="zh-TW"/>
              </w:rPr>
              <w:t>9、学生宿舍出现需要维修的水、电、木工等现象，将学生反映情况详细记录， 并对维修情况进行监督，进行维修合格后签字。对于没有及时维修的，应及时上报。</w:t>
            </w:r>
          </w:p>
          <w:p w14:paraId="5BB5A251">
            <w:pPr>
              <w:widowControl w:val="0"/>
              <w:adjustRightInd w:val="0"/>
              <w:snapToGrid w:val="0"/>
              <w:ind w:firstLine="560" w:firstLineChars="200"/>
              <w:jc w:val="left"/>
              <w:rPr>
                <w:rFonts w:hint="eastAsia" w:ascii="仿宋" w:hAnsi="仿宋" w:eastAsia="仿宋" w:cs="仿宋"/>
                <w:kern w:val="0"/>
                <w:sz w:val="28"/>
                <w:szCs w:val="28"/>
                <w:lang w:val="en-US" w:eastAsia="zh-CN" w:bidi="zh-TW"/>
              </w:rPr>
            </w:pPr>
            <w:r>
              <w:rPr>
                <w:rFonts w:hint="eastAsia" w:ascii="仿宋" w:hAnsi="仿宋" w:eastAsia="仿宋" w:cs="仿宋"/>
                <w:kern w:val="0"/>
                <w:sz w:val="28"/>
                <w:szCs w:val="28"/>
                <w:lang w:val="en-US" w:eastAsia="zh-CN" w:bidi="zh-TW"/>
              </w:rPr>
              <w:t>10、完成好学院交办的各种其它工作。</w:t>
            </w:r>
          </w:p>
        </w:tc>
      </w:tr>
      <w:tr w14:paraId="465E1461">
        <w:tblPrEx>
          <w:tblCellMar>
            <w:top w:w="0" w:type="dxa"/>
            <w:left w:w="10" w:type="dxa"/>
            <w:bottom w:w="0" w:type="dxa"/>
            <w:right w:w="10" w:type="dxa"/>
          </w:tblCellMar>
        </w:tblPrEx>
        <w:trPr>
          <w:trHeight w:val="23" w:hRule="atLeast"/>
          <w:jc w:val="center"/>
        </w:trPr>
        <w:tc>
          <w:tcPr>
            <w:tcW w:w="1151" w:type="dxa"/>
            <w:tcBorders>
              <w:top w:val="single" w:color="auto" w:sz="4" w:space="0"/>
              <w:left w:val="single" w:color="auto" w:sz="4" w:space="0"/>
              <w:bottom w:val="single" w:color="auto" w:sz="4" w:space="0"/>
            </w:tcBorders>
            <w:shd w:val="clear" w:color="auto" w:fill="FFFFFF"/>
            <w:vAlign w:val="center"/>
          </w:tcPr>
          <w:p w14:paraId="4E7F2B22">
            <w:pPr>
              <w:widowControl w:val="0"/>
              <w:adjustRightInd w:val="0"/>
              <w:snapToGrid w:val="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bidi="zh-TW"/>
              </w:rPr>
              <w:t>水电工</w:t>
            </w:r>
          </w:p>
        </w:tc>
        <w:tc>
          <w:tcPr>
            <w:tcW w:w="6948" w:type="dxa"/>
            <w:tcBorders>
              <w:top w:val="single" w:color="auto" w:sz="4" w:space="0"/>
              <w:left w:val="single" w:color="auto" w:sz="4" w:space="0"/>
              <w:bottom w:val="single" w:color="auto" w:sz="4" w:space="0"/>
              <w:right w:val="single" w:color="auto" w:sz="4" w:space="0"/>
            </w:tcBorders>
            <w:shd w:val="clear" w:color="auto" w:fill="FFFFFF"/>
          </w:tcPr>
          <w:p w14:paraId="27D05B4E">
            <w:pPr>
              <w:widowControl w:val="0"/>
              <w:adjustRightInd w:val="0"/>
              <w:snapToGrid w:val="0"/>
              <w:ind w:firstLine="560" w:firstLineChars="20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eastAsia="zh-CN" w:bidi="zh-TW"/>
              </w:rPr>
              <w:t>1</w:t>
            </w:r>
            <w:r>
              <w:rPr>
                <w:rFonts w:hint="eastAsia" w:ascii="仿宋" w:hAnsi="仿宋" w:eastAsia="仿宋" w:cs="仿宋"/>
                <w:kern w:val="0"/>
                <w:sz w:val="28"/>
                <w:szCs w:val="28"/>
                <w:lang w:bidi="zh-TW"/>
              </w:rPr>
              <w:t>.</w:t>
            </w:r>
            <w:r>
              <w:rPr>
                <w:rFonts w:hint="eastAsia" w:ascii="仿宋" w:hAnsi="仿宋" w:eastAsia="仿宋" w:cs="仿宋"/>
                <w:kern w:val="0"/>
                <w:sz w:val="28"/>
                <w:szCs w:val="28"/>
                <w:lang w:eastAsia="zh-CN" w:bidi="zh-TW"/>
              </w:rPr>
              <w:t>热爱本职工作，遵守工作纪律，坚守岗位，不迟到，不早退，有病、有事要提 前请假。工作时间内不干私活，不做与工作无关的事情，严禁喝酒上岗，要穿工作服 上岗，按安全规程操作。</w:t>
            </w:r>
            <w:r>
              <w:rPr>
                <w:rFonts w:hint="eastAsia" w:ascii="仿宋" w:hAnsi="仿宋" w:eastAsia="仿宋" w:cs="仿宋"/>
                <w:kern w:val="0"/>
                <w:sz w:val="28"/>
                <w:szCs w:val="28"/>
                <w:lang w:eastAsia="zh-CN" w:bidi="zh-TW"/>
              </w:rPr>
              <w:cr/>
            </w:r>
            <w:r>
              <w:rPr>
                <w:rFonts w:hint="eastAsia" w:ascii="仿宋" w:hAnsi="仿宋" w:eastAsia="仿宋" w:cs="仿宋"/>
                <w:kern w:val="0"/>
                <w:sz w:val="28"/>
                <w:szCs w:val="28"/>
                <w:lang w:bidi="zh-TW"/>
              </w:rPr>
              <w:t>2.</w:t>
            </w:r>
            <w:r>
              <w:rPr>
                <w:rFonts w:hint="eastAsia" w:ascii="仿宋" w:hAnsi="仿宋" w:eastAsia="仿宋" w:cs="仿宋"/>
                <w:kern w:val="0"/>
                <w:sz w:val="28"/>
                <w:szCs w:val="28"/>
                <w:lang w:eastAsia="zh-CN" w:bidi="zh-TW"/>
              </w:rPr>
              <w:t>负责指定区域（包括室内和公共区域）内的照明灯、插座、电路、电表、等电 器设施的安装，维修保养护及维修更换。</w:t>
            </w:r>
            <w:r>
              <w:rPr>
                <w:rFonts w:hint="eastAsia" w:ascii="仿宋" w:hAnsi="仿宋" w:eastAsia="仿宋" w:cs="仿宋"/>
                <w:kern w:val="0"/>
                <w:sz w:val="28"/>
                <w:szCs w:val="28"/>
                <w:lang w:eastAsia="zh-CN" w:bidi="zh-TW"/>
              </w:rPr>
              <w:cr/>
            </w:r>
            <w:r>
              <w:rPr>
                <w:rFonts w:hint="eastAsia" w:ascii="仿宋" w:hAnsi="仿宋" w:eastAsia="仿宋" w:cs="仿宋"/>
                <w:kern w:val="0"/>
                <w:sz w:val="28"/>
                <w:szCs w:val="28"/>
                <w:lang w:bidi="zh-TW"/>
              </w:rPr>
              <w:t>3.</w:t>
            </w:r>
            <w:r>
              <w:rPr>
                <w:rFonts w:hint="eastAsia" w:ascii="仿宋" w:hAnsi="仿宋" w:eastAsia="仿宋" w:cs="仿宋"/>
                <w:kern w:val="0"/>
                <w:sz w:val="28"/>
                <w:szCs w:val="28"/>
                <w:lang w:eastAsia="zh-CN" w:bidi="zh-TW"/>
              </w:rPr>
              <w:t>每天按时到指定值班室接收当日报修任务，或在报修系统上接受任务，认真核 对报修本上记录的维修项目，做到当日报修当日维修，不偷工减料，维修完毕后将维 修现场清理完毕，不能及时完成的维修项目要说明原因，告知何时解决；维修完成后 通知查看维修结果，并在维修记录本上签名。报修工作完成后还要经常在楼内巡回检 査，发现问题及时维修，修复时间原则不能过夜。工程量较大的事件报负责人同意， 处理时间不得超过三天。</w:t>
            </w:r>
            <w:r>
              <w:rPr>
                <w:rFonts w:hint="eastAsia" w:ascii="仿宋" w:hAnsi="仿宋" w:eastAsia="仿宋" w:cs="仿宋"/>
                <w:kern w:val="0"/>
                <w:sz w:val="28"/>
                <w:szCs w:val="28"/>
                <w:lang w:eastAsia="zh-CN" w:bidi="zh-TW"/>
              </w:rPr>
              <w:cr/>
            </w:r>
            <w:r>
              <w:rPr>
                <w:rFonts w:hint="eastAsia" w:ascii="仿宋" w:hAnsi="仿宋" w:eastAsia="仿宋" w:cs="仿宋"/>
                <w:kern w:val="0"/>
                <w:sz w:val="28"/>
                <w:szCs w:val="28"/>
                <w:lang w:bidi="zh-TW"/>
              </w:rPr>
              <w:t>4.</w:t>
            </w:r>
            <w:r>
              <w:rPr>
                <w:rFonts w:hint="eastAsia" w:ascii="仿宋" w:hAnsi="仿宋" w:eastAsia="仿宋" w:cs="仿宋"/>
                <w:kern w:val="0"/>
                <w:sz w:val="28"/>
                <w:szCs w:val="28"/>
                <w:lang w:eastAsia="zh-CN" w:bidi="zh-TW"/>
              </w:rPr>
              <w:t>经常对工作区内用电运行情况进行检查，发现问题及时处理，积极配合主管部 门査处违规用电情况。</w:t>
            </w:r>
            <w:r>
              <w:rPr>
                <w:rFonts w:hint="eastAsia" w:ascii="仿宋" w:hAnsi="仿宋" w:eastAsia="仿宋" w:cs="仿宋"/>
                <w:kern w:val="0"/>
                <w:sz w:val="28"/>
                <w:szCs w:val="28"/>
                <w:lang w:eastAsia="zh-CN" w:bidi="zh-TW"/>
              </w:rPr>
              <w:cr/>
            </w:r>
            <w:r>
              <w:rPr>
                <w:rFonts w:hint="eastAsia" w:ascii="仿宋" w:hAnsi="仿宋" w:eastAsia="仿宋" w:cs="仿宋"/>
                <w:kern w:val="0"/>
                <w:sz w:val="28"/>
                <w:szCs w:val="28"/>
                <w:lang w:bidi="zh-TW"/>
              </w:rPr>
              <w:t>5.</w:t>
            </w:r>
            <w:r>
              <w:rPr>
                <w:rFonts w:hint="eastAsia" w:ascii="仿宋" w:hAnsi="仿宋" w:eastAsia="仿宋" w:cs="仿宋"/>
                <w:kern w:val="0"/>
                <w:sz w:val="28"/>
                <w:szCs w:val="28"/>
                <w:lang w:eastAsia="zh-CN" w:bidi="zh-TW"/>
              </w:rPr>
              <w:t>负责指定区域内电器设施的维修和更换，属自然损坏的给予更换，作好登记并上报，属人为损坏的由当事者照价赔偿并受教育，督促其交费后，方可使用。</w:t>
            </w:r>
            <w:r>
              <w:rPr>
                <w:rFonts w:hint="eastAsia" w:ascii="仿宋" w:hAnsi="仿宋" w:eastAsia="仿宋" w:cs="仿宋"/>
                <w:kern w:val="0"/>
                <w:sz w:val="28"/>
                <w:szCs w:val="28"/>
                <w:lang w:eastAsia="zh-CN" w:bidi="zh-TW"/>
              </w:rPr>
              <w:cr/>
            </w:r>
            <w:r>
              <w:rPr>
                <w:rFonts w:hint="eastAsia" w:ascii="仿宋" w:hAnsi="仿宋" w:eastAsia="仿宋" w:cs="仿宋"/>
                <w:kern w:val="0"/>
                <w:sz w:val="28"/>
                <w:szCs w:val="28"/>
                <w:lang w:bidi="zh-TW"/>
              </w:rPr>
              <w:t>6.</w:t>
            </w:r>
            <w:r>
              <w:rPr>
                <w:rFonts w:hint="eastAsia" w:ascii="仿宋" w:hAnsi="仿宋" w:eastAsia="仿宋" w:cs="仿宋"/>
                <w:kern w:val="0"/>
                <w:sz w:val="28"/>
                <w:szCs w:val="28"/>
                <w:lang w:eastAsia="zh-CN" w:bidi="zh-TW"/>
              </w:rPr>
              <w:t>领用的电器维修材料必须要合理使用，做到领用签字，帐物相符，不能公物私用。</w:t>
            </w:r>
          </w:p>
          <w:p w14:paraId="1839EB4C">
            <w:pPr>
              <w:widowControl w:val="0"/>
              <w:adjustRightInd w:val="0"/>
              <w:snapToGrid w:val="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eastAsia="zh-CN" w:bidi="zh-TW"/>
              </w:rPr>
              <w:t>7</w:t>
            </w:r>
            <w:r>
              <w:rPr>
                <w:rFonts w:hint="eastAsia" w:ascii="仿宋" w:hAnsi="仿宋" w:eastAsia="仿宋" w:cs="仿宋"/>
                <w:kern w:val="0"/>
                <w:sz w:val="28"/>
                <w:szCs w:val="28"/>
                <w:lang w:bidi="zh-TW"/>
              </w:rPr>
              <w:t>.</w:t>
            </w:r>
            <w:r>
              <w:rPr>
                <w:rFonts w:hint="eastAsia" w:ascii="仿宋" w:hAnsi="仿宋" w:eastAsia="仿宋" w:cs="仿宋"/>
                <w:kern w:val="0"/>
                <w:sz w:val="28"/>
                <w:szCs w:val="28"/>
                <w:lang w:eastAsia="zh-CN" w:bidi="zh-TW"/>
              </w:rPr>
              <w:t>遇到给水阀门坏，下水道管堵塞时，要做到随喊随到，必须及时处理（时间不得超过两小时）。</w:t>
            </w:r>
          </w:p>
          <w:p w14:paraId="05015872">
            <w:pPr>
              <w:widowControl w:val="0"/>
              <w:adjustRightInd w:val="0"/>
              <w:snapToGrid w:val="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eastAsia="zh-CN" w:bidi="zh-TW"/>
              </w:rPr>
              <w:t>8</w:t>
            </w:r>
            <w:r>
              <w:rPr>
                <w:rFonts w:hint="eastAsia" w:ascii="仿宋" w:hAnsi="仿宋" w:eastAsia="仿宋" w:cs="仿宋"/>
                <w:kern w:val="0"/>
                <w:sz w:val="28"/>
                <w:szCs w:val="28"/>
                <w:lang w:bidi="zh-TW"/>
              </w:rPr>
              <w:t>.</w:t>
            </w:r>
            <w:r>
              <w:rPr>
                <w:rFonts w:hint="eastAsia" w:ascii="仿宋" w:hAnsi="仿宋" w:eastAsia="仿宋" w:cs="仿宋"/>
                <w:kern w:val="0"/>
                <w:sz w:val="28"/>
                <w:szCs w:val="28"/>
                <w:lang w:eastAsia="zh-CN" w:bidi="zh-TW"/>
              </w:rPr>
              <w:t>负责下水管道和水阀门的日常维修工作，属自然损坏的给予修复或更换，作好 登记。属于人为损坏的要查明当事者，并由当事者照价赔偿，报学院备案。</w:t>
            </w:r>
          </w:p>
          <w:p w14:paraId="7728C6D1">
            <w:pPr>
              <w:widowControl w:val="0"/>
              <w:adjustRightInd w:val="0"/>
              <w:snapToGrid w:val="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eastAsia="zh-CN" w:bidi="zh-TW"/>
              </w:rPr>
              <w:t>9</w:t>
            </w:r>
            <w:r>
              <w:rPr>
                <w:rFonts w:hint="eastAsia" w:ascii="仿宋" w:hAnsi="仿宋" w:eastAsia="仿宋" w:cs="仿宋"/>
                <w:kern w:val="0"/>
                <w:sz w:val="28"/>
                <w:szCs w:val="28"/>
                <w:lang w:bidi="zh-TW"/>
              </w:rPr>
              <w:t>.</w:t>
            </w:r>
            <w:r>
              <w:rPr>
                <w:rFonts w:hint="eastAsia" w:ascii="仿宋" w:hAnsi="仿宋" w:eastAsia="仿宋" w:cs="仿宋"/>
                <w:kern w:val="0"/>
                <w:sz w:val="28"/>
                <w:szCs w:val="28"/>
                <w:lang w:eastAsia="zh-CN" w:bidi="zh-TW"/>
              </w:rPr>
              <w:t>维修工作本着节约用料的原则，领料时要签字，作到以旧换新，反对浪费。</w:t>
            </w:r>
          </w:p>
          <w:p w14:paraId="0ECB4849">
            <w:pPr>
              <w:widowControl w:val="0"/>
              <w:adjustRightInd w:val="0"/>
              <w:snapToGrid w:val="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eastAsia="zh-CN" w:bidi="zh-TW"/>
              </w:rPr>
              <w:t>1</w:t>
            </w:r>
            <w:r>
              <w:rPr>
                <w:rFonts w:hint="eastAsia" w:ascii="仿宋" w:hAnsi="仿宋" w:eastAsia="仿宋" w:cs="仿宋"/>
                <w:kern w:val="0"/>
                <w:sz w:val="28"/>
                <w:szCs w:val="28"/>
                <w:lang w:bidi="zh-TW"/>
              </w:rPr>
              <w:t>0.</w:t>
            </w:r>
            <w:r>
              <w:rPr>
                <w:rFonts w:hint="eastAsia" w:ascii="仿宋" w:hAnsi="仿宋" w:eastAsia="仿宋" w:cs="仿宋"/>
                <w:kern w:val="0"/>
                <w:sz w:val="28"/>
                <w:szCs w:val="28"/>
                <w:lang w:eastAsia="zh-CN" w:bidi="zh-TW"/>
              </w:rPr>
              <w:t>做好学院安排的夜间值班工作。</w:t>
            </w:r>
          </w:p>
          <w:p w14:paraId="560F927A">
            <w:pPr>
              <w:widowControl w:val="0"/>
              <w:adjustRightInd w:val="0"/>
              <w:snapToGrid w:val="0"/>
              <w:jc w:val="left"/>
              <w:rPr>
                <w:rFonts w:hint="eastAsia" w:ascii="仿宋" w:hAnsi="仿宋" w:eastAsia="仿宋" w:cs="仿宋"/>
                <w:kern w:val="0"/>
                <w:sz w:val="28"/>
                <w:szCs w:val="28"/>
                <w:lang w:eastAsia="zh-CN" w:bidi="zh-TW"/>
              </w:rPr>
            </w:pPr>
            <w:r>
              <w:rPr>
                <w:rFonts w:hint="eastAsia" w:ascii="仿宋" w:hAnsi="仿宋" w:eastAsia="仿宋" w:cs="仿宋"/>
                <w:kern w:val="0"/>
                <w:sz w:val="28"/>
                <w:szCs w:val="28"/>
                <w:lang w:eastAsia="zh-CN" w:bidi="zh-TW"/>
              </w:rPr>
              <w:t>1</w:t>
            </w:r>
            <w:r>
              <w:rPr>
                <w:rFonts w:hint="eastAsia" w:ascii="仿宋" w:hAnsi="仿宋" w:eastAsia="仿宋" w:cs="仿宋"/>
                <w:kern w:val="0"/>
                <w:sz w:val="28"/>
                <w:szCs w:val="28"/>
                <w:lang w:bidi="zh-TW"/>
              </w:rPr>
              <w:t>1.</w:t>
            </w:r>
            <w:r>
              <w:rPr>
                <w:rFonts w:hint="eastAsia" w:ascii="仿宋" w:hAnsi="仿宋" w:eastAsia="仿宋" w:cs="仿宋"/>
                <w:kern w:val="0"/>
                <w:sz w:val="28"/>
                <w:szCs w:val="28"/>
                <w:lang w:eastAsia="zh-CN" w:bidi="zh-TW"/>
              </w:rPr>
              <w:t>认真完成部门领导交办的其他工作。</w:t>
            </w:r>
          </w:p>
        </w:tc>
      </w:tr>
      <w:tr w14:paraId="49E95741">
        <w:tblPrEx>
          <w:tblCellMar>
            <w:top w:w="0" w:type="dxa"/>
            <w:left w:w="10" w:type="dxa"/>
            <w:bottom w:w="0" w:type="dxa"/>
            <w:right w:w="10" w:type="dxa"/>
          </w:tblCellMar>
        </w:tblPrEx>
        <w:trPr>
          <w:trHeight w:val="23" w:hRule="atLeast"/>
          <w:jc w:val="center"/>
        </w:trPr>
        <w:tc>
          <w:tcPr>
            <w:tcW w:w="1151" w:type="dxa"/>
            <w:tcBorders>
              <w:top w:val="single" w:color="auto" w:sz="4" w:space="0"/>
              <w:left w:val="single" w:color="auto" w:sz="4" w:space="0"/>
              <w:bottom w:val="single" w:color="auto" w:sz="4" w:space="0"/>
            </w:tcBorders>
            <w:shd w:val="clear" w:color="auto" w:fill="FFFFFF"/>
            <w:vAlign w:val="center"/>
          </w:tcPr>
          <w:p w14:paraId="340D13F8">
            <w:pPr>
              <w:widowControl w:val="0"/>
              <w:adjustRightInd w:val="0"/>
              <w:snapToGrid w:val="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bidi="zh-TW"/>
              </w:rPr>
              <w:t>绿化工</w:t>
            </w:r>
          </w:p>
        </w:tc>
        <w:tc>
          <w:tcPr>
            <w:tcW w:w="6948" w:type="dxa"/>
            <w:tcBorders>
              <w:top w:val="single" w:color="auto" w:sz="4" w:space="0"/>
              <w:left w:val="single" w:color="auto" w:sz="4" w:space="0"/>
              <w:bottom w:val="single" w:color="auto" w:sz="4" w:space="0"/>
              <w:right w:val="single" w:color="auto" w:sz="4" w:space="0"/>
            </w:tcBorders>
            <w:shd w:val="clear" w:color="auto" w:fill="FFFFFF"/>
          </w:tcPr>
          <w:p w14:paraId="38FCB0CB">
            <w:pPr>
              <w:widowControl w:val="0"/>
              <w:adjustRightInd w:val="0"/>
              <w:snapToGrid w:val="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eastAsia="zh-CN" w:bidi="zh-TW"/>
              </w:rPr>
              <w:t>1.</w:t>
            </w:r>
            <w:r>
              <w:rPr>
                <w:rFonts w:hint="eastAsia" w:ascii="仿宋" w:hAnsi="仿宋" w:eastAsia="仿宋" w:cs="仿宋"/>
                <w:kern w:val="0"/>
                <w:sz w:val="28"/>
                <w:szCs w:val="28"/>
                <w:lang w:eastAsia="zh-CN" w:bidi="zh-TW"/>
              </w:rPr>
              <w:tab/>
            </w:r>
            <w:r>
              <w:rPr>
                <w:rFonts w:hint="eastAsia" w:ascii="仿宋" w:hAnsi="仿宋" w:eastAsia="仿宋" w:cs="仿宋"/>
                <w:kern w:val="0"/>
                <w:sz w:val="28"/>
                <w:szCs w:val="28"/>
                <w:lang w:eastAsia="zh-CN" w:bidi="zh-TW"/>
              </w:rPr>
              <w:t>热爱本职工作，遵守工作纪律，坚守岗位，不迟到，不早退，有病、有事要提 前请假。工作时间内不干私活，不做与工作无关的事情，严禁喝酒上岗，要穿工作服 上岗，按安全规程操作。</w:t>
            </w:r>
          </w:p>
          <w:p w14:paraId="07659D3D">
            <w:pPr>
              <w:widowControl w:val="0"/>
              <w:adjustRightInd w:val="0"/>
              <w:snapToGrid w:val="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eastAsia="zh-CN" w:bidi="zh-TW"/>
              </w:rPr>
              <w:t>2.</w:t>
            </w:r>
            <w:r>
              <w:rPr>
                <w:rFonts w:hint="eastAsia" w:ascii="仿宋" w:hAnsi="仿宋" w:eastAsia="仿宋" w:cs="仿宋"/>
                <w:kern w:val="0"/>
                <w:sz w:val="28"/>
                <w:szCs w:val="28"/>
                <w:lang w:eastAsia="zh-CN" w:bidi="zh-TW"/>
              </w:rPr>
              <w:tab/>
            </w:r>
            <w:r>
              <w:rPr>
                <w:rFonts w:hint="eastAsia" w:ascii="仿宋" w:hAnsi="仿宋" w:eastAsia="仿宋" w:cs="仿宋"/>
                <w:kern w:val="0"/>
                <w:sz w:val="28"/>
                <w:szCs w:val="28"/>
                <w:lang w:eastAsia="zh-CN" w:bidi="zh-TW"/>
              </w:rPr>
              <w:t>服从安排，听从指挥，吃苦耐劳，有扎实、认真、自觉、细致的工作精神，负 责工作职责范围之内的安全。</w:t>
            </w:r>
          </w:p>
          <w:p w14:paraId="73BB0C77">
            <w:pPr>
              <w:widowControl w:val="0"/>
              <w:adjustRightInd w:val="0"/>
              <w:snapToGrid w:val="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eastAsia="zh-CN" w:bidi="zh-TW"/>
              </w:rPr>
              <w:t>3.</w:t>
            </w:r>
            <w:r>
              <w:rPr>
                <w:rFonts w:hint="eastAsia" w:ascii="仿宋" w:hAnsi="仿宋" w:eastAsia="仿宋" w:cs="仿宋"/>
                <w:kern w:val="0"/>
                <w:sz w:val="28"/>
                <w:szCs w:val="28"/>
                <w:lang w:eastAsia="zh-CN" w:bidi="zh-TW"/>
              </w:rPr>
              <w:tab/>
            </w:r>
            <w:r>
              <w:rPr>
                <w:rFonts w:hint="eastAsia" w:ascii="仿宋" w:hAnsi="仿宋" w:eastAsia="仿宋" w:cs="仿宋"/>
                <w:kern w:val="0"/>
                <w:sz w:val="28"/>
                <w:szCs w:val="28"/>
                <w:lang w:eastAsia="zh-CN" w:bidi="zh-TW"/>
              </w:rPr>
              <w:t>根据采购人总体规划，按不同绿化区域的条件、类别、作用以及植物不同生长习 性，因地制宜、因时制宜地种植各种花卉、树木及草类，搞好校园花木的有机配植。 花草种植要做到配植合理，还要做到四季常青、四季花开。</w:t>
            </w:r>
          </w:p>
          <w:p w14:paraId="39BC86EA">
            <w:pPr>
              <w:widowControl w:val="0"/>
              <w:adjustRightInd w:val="0"/>
              <w:snapToGrid w:val="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eastAsia="zh-CN" w:bidi="zh-TW"/>
              </w:rPr>
              <w:t>4.负责花木的常规管理，做到栽一株，活一株；种一片，活一片。</w:t>
            </w:r>
          </w:p>
          <w:p w14:paraId="54CCADCC">
            <w:pPr>
              <w:widowControl w:val="0"/>
              <w:adjustRightInd w:val="0"/>
              <w:snapToGrid w:val="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eastAsia="zh-CN" w:bidi="zh-TW"/>
              </w:rPr>
              <w:t>5.搞好校园花木的维护保养，做到“四要”：即春要栽、夏要剪、秋要管、冬 要保，还要做到适时施肥、绕水、松土、防冻、防高温等，从而达到绿化美化校园的目的。</w:t>
            </w:r>
          </w:p>
          <w:p w14:paraId="27103CC3">
            <w:pPr>
              <w:widowControl w:val="0"/>
              <w:adjustRightInd w:val="0"/>
              <w:snapToGrid w:val="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eastAsia="zh-CN" w:bidi="zh-TW"/>
              </w:rPr>
              <w:t>6.搞好校园绿化区内的路树、球花、绿篱、花池、花带的修剪、整型，做到形状 逼真，整齐美观，并将修剪下来的枯枝、败叶等杂物进行妥善处理。</w:t>
            </w:r>
          </w:p>
          <w:p w14:paraId="663D81DD">
            <w:pPr>
              <w:widowControl w:val="0"/>
              <w:adjustRightInd w:val="0"/>
              <w:snapToGrid w:val="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eastAsia="zh-CN" w:bidi="zh-TW"/>
              </w:rPr>
              <w:t>7.负责绿化区内的杂草、残枝、败叶、垃圾、纸屑等清理工作，保持绿化区内 基本看不到杂草杂物。</w:t>
            </w:r>
          </w:p>
          <w:p w14:paraId="5AE5EC20">
            <w:pPr>
              <w:widowControl w:val="0"/>
              <w:adjustRightInd w:val="0"/>
              <w:snapToGrid w:val="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eastAsia="zh-CN" w:bidi="zh-TW"/>
              </w:rPr>
              <w:t>8.搞好采购人花木的虫害防治，定期对花木进行防虫、杀虫、刷裝等工作。</w:t>
            </w:r>
          </w:p>
          <w:p w14:paraId="13690B83">
            <w:pPr>
              <w:widowControl w:val="0"/>
              <w:adjustRightInd w:val="0"/>
              <w:snapToGrid w:val="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eastAsia="zh-CN" w:bidi="zh-TW"/>
              </w:rPr>
              <w:t>9.及时处理非正常气候造成折断树木、花弃的清理工作，对折断、枯死花木要 及时补苗。</w:t>
            </w:r>
          </w:p>
          <w:p w14:paraId="6E5C8944">
            <w:pPr>
              <w:widowControl w:val="0"/>
              <w:adjustRightInd w:val="0"/>
              <w:snapToGrid w:val="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eastAsia="zh-CN" w:bidi="zh-TW"/>
              </w:rPr>
              <w:t>10.</w:t>
            </w:r>
            <w:r>
              <w:rPr>
                <w:rFonts w:hint="eastAsia" w:ascii="仿宋" w:hAnsi="仿宋" w:eastAsia="仿宋" w:cs="仿宋"/>
                <w:kern w:val="0"/>
                <w:sz w:val="28"/>
                <w:szCs w:val="28"/>
                <w:lang w:eastAsia="zh-CN" w:bidi="zh-TW"/>
              </w:rPr>
              <w:tab/>
            </w:r>
            <w:r>
              <w:rPr>
                <w:rFonts w:hint="eastAsia" w:ascii="仿宋" w:hAnsi="仿宋" w:eastAsia="仿宋" w:cs="仿宋"/>
                <w:kern w:val="0"/>
                <w:sz w:val="28"/>
                <w:szCs w:val="28"/>
                <w:lang w:eastAsia="zh-CN" w:bidi="zh-TW"/>
              </w:rPr>
              <w:t>自己釆集母枝，定向培育新、优、靓花品种。做好校园各种花丼苗木的培育、 移栽，做到“以绿化养绿化”，从而增强绿化自我发展的能力，达到增收节支的目的。</w:t>
            </w:r>
          </w:p>
          <w:p w14:paraId="14CA5F52">
            <w:pPr>
              <w:widowControl w:val="0"/>
              <w:adjustRightInd w:val="0"/>
              <w:snapToGrid w:val="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eastAsia="zh-CN" w:bidi="zh-TW"/>
              </w:rPr>
              <w:t>11.</w:t>
            </w:r>
            <w:r>
              <w:rPr>
                <w:rFonts w:hint="eastAsia" w:ascii="仿宋" w:hAnsi="仿宋" w:eastAsia="仿宋" w:cs="仿宋"/>
                <w:kern w:val="0"/>
                <w:sz w:val="28"/>
                <w:szCs w:val="28"/>
                <w:lang w:eastAsia="zh-CN" w:bidi="zh-TW"/>
              </w:rPr>
              <w:tab/>
            </w:r>
            <w:r>
              <w:rPr>
                <w:rFonts w:hint="eastAsia" w:ascii="仿宋" w:hAnsi="仿宋" w:eastAsia="仿宋" w:cs="仿宋"/>
                <w:kern w:val="0"/>
                <w:sz w:val="28"/>
                <w:szCs w:val="28"/>
                <w:lang w:eastAsia="zh-CN" w:bidi="zh-TW"/>
              </w:rPr>
              <w:t>未经批准不得私自用花卉、苗木做人情拉关系。对名贵花木要建账立册。</w:t>
            </w:r>
          </w:p>
          <w:p w14:paraId="41854B88">
            <w:pPr>
              <w:widowControl w:val="0"/>
              <w:adjustRightInd w:val="0"/>
              <w:snapToGrid w:val="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eastAsia="zh-CN" w:bidi="zh-TW"/>
              </w:rPr>
              <w:t>12.</w:t>
            </w:r>
            <w:r>
              <w:rPr>
                <w:rFonts w:hint="eastAsia" w:ascii="仿宋" w:hAnsi="仿宋" w:eastAsia="仿宋" w:cs="仿宋"/>
                <w:kern w:val="0"/>
                <w:sz w:val="28"/>
                <w:szCs w:val="28"/>
                <w:lang w:eastAsia="zh-CN" w:bidi="zh-TW"/>
              </w:rPr>
              <w:tab/>
            </w:r>
            <w:r>
              <w:rPr>
                <w:rFonts w:hint="eastAsia" w:ascii="仿宋" w:hAnsi="仿宋" w:eastAsia="仿宋" w:cs="仿宋"/>
                <w:kern w:val="0"/>
                <w:sz w:val="28"/>
                <w:szCs w:val="28"/>
                <w:lang w:eastAsia="zh-CN" w:bidi="zh-TW"/>
              </w:rPr>
              <w:t>做好工具、化肥、农药、汽油的保管。做到出库入库手续清楚，并提醒用药、 用肥分量，注意用药、用油安全。防止浪费现象。</w:t>
            </w:r>
          </w:p>
          <w:p w14:paraId="5B603A93">
            <w:pPr>
              <w:widowControl w:val="0"/>
              <w:adjustRightInd w:val="0"/>
              <w:snapToGrid w:val="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eastAsia="zh-CN" w:bidi="zh-TW"/>
              </w:rPr>
              <w:t>13.</w:t>
            </w:r>
            <w:r>
              <w:rPr>
                <w:rFonts w:hint="eastAsia" w:ascii="仿宋" w:hAnsi="仿宋" w:eastAsia="仿宋" w:cs="仿宋"/>
                <w:kern w:val="0"/>
                <w:sz w:val="28"/>
                <w:szCs w:val="28"/>
                <w:lang w:eastAsia="zh-CN" w:bidi="zh-TW"/>
              </w:rPr>
              <w:tab/>
            </w:r>
            <w:r>
              <w:rPr>
                <w:rFonts w:hint="eastAsia" w:ascii="仿宋" w:hAnsi="仿宋" w:eastAsia="仿宋" w:cs="仿宋"/>
                <w:kern w:val="0"/>
                <w:sz w:val="28"/>
                <w:szCs w:val="28"/>
                <w:lang w:eastAsia="zh-CN" w:bidi="zh-TW"/>
              </w:rPr>
              <w:t>爱护工具，负责剪草机等机械部件的简单维修、检查工作。工具房的卫生，保 持整洁干净，做好防火、防盗工作，防止一切事故的发生。</w:t>
            </w:r>
          </w:p>
          <w:p w14:paraId="3DFF77A0">
            <w:pPr>
              <w:widowControl w:val="0"/>
              <w:adjustRightInd w:val="0"/>
              <w:snapToGrid w:val="0"/>
              <w:jc w:val="left"/>
              <w:rPr>
                <w:rFonts w:hint="eastAsia" w:ascii="仿宋" w:hAnsi="仿宋" w:eastAsia="仿宋" w:cs="仿宋"/>
                <w:kern w:val="0"/>
                <w:sz w:val="28"/>
                <w:szCs w:val="28"/>
                <w:lang w:bidi="zh-TW"/>
              </w:rPr>
            </w:pPr>
            <w:r>
              <w:rPr>
                <w:rFonts w:hint="eastAsia" w:ascii="仿宋" w:hAnsi="仿宋" w:eastAsia="仿宋" w:cs="仿宋"/>
                <w:kern w:val="0"/>
                <w:sz w:val="28"/>
                <w:szCs w:val="28"/>
                <w:lang w:eastAsia="zh-CN" w:bidi="zh-TW"/>
              </w:rPr>
              <w:t>14.</w:t>
            </w:r>
            <w:r>
              <w:rPr>
                <w:rFonts w:hint="eastAsia" w:ascii="仿宋" w:hAnsi="仿宋" w:eastAsia="仿宋" w:cs="仿宋"/>
                <w:kern w:val="0"/>
                <w:sz w:val="28"/>
                <w:szCs w:val="28"/>
                <w:lang w:eastAsia="zh-CN" w:bidi="zh-TW"/>
              </w:rPr>
              <w:tab/>
            </w:r>
            <w:r>
              <w:rPr>
                <w:rFonts w:hint="eastAsia" w:ascii="仿宋" w:hAnsi="仿宋" w:eastAsia="仿宋" w:cs="仿宋"/>
                <w:kern w:val="0"/>
                <w:sz w:val="28"/>
                <w:szCs w:val="28"/>
                <w:lang w:eastAsia="zh-CN" w:bidi="zh-TW"/>
              </w:rPr>
              <w:t>负责</w:t>
            </w:r>
            <w:r>
              <w:rPr>
                <w:rFonts w:hint="eastAsia" w:ascii="仿宋" w:hAnsi="仿宋" w:eastAsia="仿宋" w:cs="仿宋"/>
                <w:kern w:val="0"/>
                <w:sz w:val="28"/>
                <w:szCs w:val="28"/>
                <w:lang w:val="en-US" w:eastAsia="zh-CN" w:bidi="zh-TW"/>
              </w:rPr>
              <w:t>采购人</w:t>
            </w:r>
            <w:r>
              <w:rPr>
                <w:rFonts w:hint="eastAsia" w:ascii="仿宋" w:hAnsi="仿宋" w:eastAsia="仿宋" w:cs="仿宋"/>
                <w:kern w:val="0"/>
                <w:sz w:val="28"/>
                <w:szCs w:val="28"/>
                <w:lang w:eastAsia="zh-CN" w:bidi="zh-TW"/>
              </w:rPr>
              <w:t>灭蚊工作。</w:t>
            </w:r>
          </w:p>
          <w:p w14:paraId="400DD3C5">
            <w:pPr>
              <w:widowControl w:val="0"/>
              <w:adjustRightInd w:val="0"/>
              <w:snapToGrid w:val="0"/>
              <w:jc w:val="left"/>
              <w:rPr>
                <w:rFonts w:hint="eastAsia" w:ascii="仿宋" w:hAnsi="仿宋" w:eastAsia="仿宋" w:cs="仿宋"/>
                <w:kern w:val="0"/>
                <w:sz w:val="28"/>
                <w:szCs w:val="28"/>
                <w:lang w:eastAsia="zh-CN" w:bidi="zh-TW"/>
              </w:rPr>
            </w:pPr>
            <w:r>
              <w:rPr>
                <w:rFonts w:hint="eastAsia" w:ascii="仿宋" w:hAnsi="仿宋" w:eastAsia="仿宋" w:cs="仿宋"/>
                <w:kern w:val="0"/>
                <w:sz w:val="28"/>
                <w:szCs w:val="28"/>
                <w:lang w:eastAsia="zh-CN" w:bidi="zh-TW"/>
              </w:rPr>
              <w:t>15.</w:t>
            </w:r>
            <w:r>
              <w:rPr>
                <w:rFonts w:hint="eastAsia" w:ascii="仿宋" w:hAnsi="仿宋" w:eastAsia="仿宋" w:cs="仿宋"/>
                <w:kern w:val="0"/>
                <w:sz w:val="28"/>
                <w:szCs w:val="28"/>
                <w:lang w:eastAsia="zh-CN" w:bidi="zh-TW"/>
              </w:rPr>
              <w:tab/>
            </w:r>
            <w:r>
              <w:rPr>
                <w:rFonts w:hint="eastAsia" w:ascii="仿宋" w:hAnsi="仿宋" w:eastAsia="仿宋" w:cs="仿宋"/>
                <w:kern w:val="0"/>
                <w:sz w:val="28"/>
                <w:szCs w:val="28"/>
                <w:lang w:eastAsia="zh-CN" w:bidi="zh-TW"/>
              </w:rPr>
              <w:t>完成</w:t>
            </w:r>
            <w:r>
              <w:rPr>
                <w:rFonts w:hint="eastAsia" w:ascii="仿宋" w:hAnsi="仿宋" w:eastAsia="仿宋" w:cs="仿宋"/>
                <w:kern w:val="0"/>
                <w:sz w:val="28"/>
                <w:szCs w:val="28"/>
                <w:lang w:val="en-US" w:eastAsia="zh-CN" w:bidi="zh-TW"/>
              </w:rPr>
              <w:t>采购人</w:t>
            </w:r>
            <w:r>
              <w:rPr>
                <w:rFonts w:hint="eastAsia" w:ascii="仿宋" w:hAnsi="仿宋" w:eastAsia="仿宋" w:cs="仿宋"/>
                <w:kern w:val="0"/>
                <w:sz w:val="28"/>
                <w:szCs w:val="28"/>
                <w:lang w:eastAsia="zh-CN" w:bidi="zh-TW"/>
              </w:rPr>
              <w:t>交办的其他工作。</w:t>
            </w:r>
          </w:p>
        </w:tc>
      </w:tr>
    </w:tbl>
    <w:p w14:paraId="72EF24C7">
      <w:pPr>
        <w:ind w:firstLine="482"/>
        <w:rPr>
          <w:rFonts w:hint="eastAsia" w:ascii="仿宋" w:hAnsi="仿宋" w:eastAsia="仿宋" w:cs="仿宋"/>
          <w:sz w:val="28"/>
          <w:szCs w:val="28"/>
          <w:lang w:eastAsia="zh-CN"/>
        </w:rPr>
      </w:pPr>
      <w:r>
        <w:rPr>
          <w:rFonts w:hint="eastAsia" w:ascii="仿宋" w:hAnsi="仿宋" w:eastAsia="仿宋" w:cs="仿宋"/>
          <w:b/>
          <w:bCs/>
          <w:sz w:val="28"/>
          <w:szCs w:val="28"/>
          <w:lang w:val="en-US" w:eastAsia="zh-CN"/>
        </w:rPr>
        <w:t>2.物业</w:t>
      </w:r>
      <w:r>
        <w:rPr>
          <w:rFonts w:hint="eastAsia" w:ascii="仿宋" w:hAnsi="仿宋" w:eastAsia="仿宋" w:cs="仿宋"/>
          <w:b/>
          <w:bCs/>
          <w:sz w:val="28"/>
          <w:szCs w:val="28"/>
          <w:lang w:eastAsia="zh-CN"/>
        </w:rPr>
        <w:t>管理服务应达到的各项指标：</w:t>
      </w:r>
    </w:p>
    <w:p w14:paraId="56FDFE3D">
      <w:pPr>
        <w:widowControl w:val="0"/>
        <w:numPr>
          <w:ilvl w:val="0"/>
          <w:numId w:val="0"/>
        </w:numPr>
        <w:adjustRightInd w:val="0"/>
        <w:snapToGrid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1）项目技术规范和服务要求,每有一项达不到要求扣0.5分；</w:t>
      </w:r>
    </w:p>
    <w:p w14:paraId="74484F90">
      <w:pPr>
        <w:widowControl w:val="0"/>
        <w:numPr>
          <w:ilvl w:val="0"/>
          <w:numId w:val="0"/>
        </w:num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rPr>
        <w:t>环境卫生、清洁率达99%；</w:t>
      </w:r>
    </w:p>
    <w:p w14:paraId="504DEC0D">
      <w:pPr>
        <w:widowControl w:val="0"/>
        <w:numPr>
          <w:ilvl w:val="0"/>
          <w:numId w:val="0"/>
        </w:numPr>
        <w:adjustRightInd w:val="0"/>
        <w:snapToGrid w:val="0"/>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）服务有效投诉少于1%,处理率100%；</w:t>
      </w:r>
    </w:p>
    <w:p w14:paraId="345F5B1D">
      <w:pPr>
        <w:widowControl w:val="0"/>
        <w:numPr>
          <w:ilvl w:val="0"/>
          <w:numId w:val="0"/>
        </w:num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满意率95%及以上。</w:t>
      </w:r>
    </w:p>
    <w:p w14:paraId="13B48EF7">
      <w:pPr>
        <w:ind w:firstLine="482"/>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lang w:eastAsia="zh-CN"/>
        </w:rPr>
        <w:t>考核办法及考核工作要求结果运用</w:t>
      </w:r>
    </w:p>
    <w:p w14:paraId="2ED7BE9F">
      <w:pPr>
        <w:ind w:left="420" w:left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）考核办法</w:t>
      </w:r>
    </w:p>
    <w:p w14:paraId="054D9163">
      <w:pPr>
        <w:ind w:left="420" w:leftChars="20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考核办法：考核实行百分制。</w:t>
      </w:r>
    </w:p>
    <w:p w14:paraId="3EC7775E">
      <w:pPr>
        <w:ind w:left="420" w:leftChars="200" w:firstLine="480"/>
        <w:rPr>
          <w:rFonts w:hint="eastAsia" w:ascii="仿宋" w:hAnsi="仿宋" w:eastAsia="仿宋" w:cs="仿宋"/>
          <w:sz w:val="28"/>
          <w:szCs w:val="28"/>
          <w:lang w:eastAsia="zh-CN"/>
        </w:rPr>
      </w:pPr>
      <w:r>
        <w:rPr>
          <w:rFonts w:hint="eastAsia" w:ascii="仿宋" w:hAnsi="仿宋" w:eastAsia="仿宋" w:cs="仿宋"/>
          <w:sz w:val="28"/>
          <w:szCs w:val="28"/>
          <w:lang w:eastAsia="zh-CN"/>
        </w:rPr>
        <w:t>月度考核：参照《河南应用技术职业学院物业服务月度综合考核表》执行。每月1次检查抽查，月度考核得分90分及以上的为</w:t>
      </w:r>
      <w:r>
        <w:rPr>
          <w:rFonts w:hint="eastAsia" w:ascii="仿宋" w:hAnsi="仿宋" w:eastAsia="仿宋" w:cs="仿宋"/>
          <w:sz w:val="28"/>
          <w:szCs w:val="28"/>
          <w:lang w:val="en-US" w:eastAsia="zh-CN"/>
        </w:rPr>
        <w:t>优秀</w:t>
      </w:r>
      <w:r>
        <w:rPr>
          <w:rFonts w:hint="eastAsia" w:ascii="仿宋" w:hAnsi="仿宋" w:eastAsia="仿宋" w:cs="仿宋"/>
          <w:sz w:val="28"/>
          <w:szCs w:val="28"/>
          <w:lang w:eastAsia="zh-CN"/>
        </w:rPr>
        <w:t>，80-89分的（含80分）为</w:t>
      </w:r>
      <w:r>
        <w:rPr>
          <w:rFonts w:hint="eastAsia" w:ascii="仿宋" w:hAnsi="仿宋" w:eastAsia="仿宋" w:cs="仿宋"/>
          <w:sz w:val="28"/>
          <w:szCs w:val="28"/>
          <w:lang w:val="en-US" w:eastAsia="zh-CN"/>
        </w:rPr>
        <w:t>良好</w:t>
      </w:r>
      <w:r>
        <w:rPr>
          <w:rFonts w:hint="eastAsia" w:ascii="仿宋" w:hAnsi="仿宋" w:eastAsia="仿宋" w:cs="仿宋"/>
          <w:sz w:val="28"/>
          <w:szCs w:val="28"/>
          <w:lang w:eastAsia="zh-CN"/>
        </w:rPr>
        <w:t>，60-79分（含 60分）的为合格；60分以下的为不合格。</w:t>
      </w:r>
    </w:p>
    <w:p w14:paraId="2B926639">
      <w:pPr>
        <w:ind w:left="420" w:left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）考核结果运用</w:t>
      </w:r>
    </w:p>
    <w:p w14:paraId="07070A6A">
      <w:pPr>
        <w:ind w:left="420" w:leftChars="20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1.月度考核</w:t>
      </w:r>
      <w:r>
        <w:rPr>
          <w:rFonts w:hint="eastAsia" w:ascii="仿宋" w:hAnsi="仿宋" w:eastAsia="仿宋" w:cs="仿宋"/>
          <w:sz w:val="28"/>
          <w:szCs w:val="28"/>
          <w:lang w:val="en-US" w:eastAsia="zh-CN"/>
        </w:rPr>
        <w:t>优秀，分数在90分及以上</w:t>
      </w:r>
      <w:r>
        <w:rPr>
          <w:rFonts w:hint="eastAsia" w:ascii="仿宋" w:hAnsi="仿宋" w:eastAsia="仿宋" w:cs="仿宋"/>
          <w:sz w:val="28"/>
          <w:szCs w:val="28"/>
          <w:lang w:eastAsia="zh-CN"/>
        </w:rPr>
        <w:t>的，月度物业服务费按考核结果足额拨付。</w:t>
      </w:r>
    </w:p>
    <w:p w14:paraId="198B98F5">
      <w:pPr>
        <w:ind w:left="420" w:leftChars="20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2.月度考核</w:t>
      </w:r>
      <w:r>
        <w:rPr>
          <w:rFonts w:hint="eastAsia" w:ascii="仿宋" w:hAnsi="仿宋" w:eastAsia="仿宋" w:cs="仿宋"/>
          <w:sz w:val="28"/>
          <w:szCs w:val="28"/>
          <w:lang w:val="en-US" w:eastAsia="zh-CN"/>
        </w:rPr>
        <w:t>良好，</w:t>
      </w:r>
      <w:r>
        <w:rPr>
          <w:rFonts w:hint="eastAsia" w:ascii="仿宋" w:hAnsi="仿宋" w:eastAsia="仿宋" w:cs="仿宋"/>
          <w:sz w:val="28"/>
          <w:szCs w:val="28"/>
          <w:lang w:eastAsia="zh-CN"/>
        </w:rPr>
        <w:t>分数在80-89分（含80分）的，扣拨月度物业服务费的千分之五。</w:t>
      </w:r>
    </w:p>
    <w:p w14:paraId="0CEA5C05">
      <w:pPr>
        <w:ind w:left="420" w:leftChars="200"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3.月度考核分数</w:t>
      </w:r>
      <w:r>
        <w:rPr>
          <w:rFonts w:hint="eastAsia" w:ascii="仿宋" w:hAnsi="仿宋" w:eastAsia="仿宋" w:cs="仿宋"/>
          <w:sz w:val="28"/>
          <w:szCs w:val="28"/>
          <w:lang w:val="en-US" w:eastAsia="zh-CN"/>
        </w:rPr>
        <w:t>合格，分数</w:t>
      </w:r>
      <w:r>
        <w:rPr>
          <w:rFonts w:hint="eastAsia" w:ascii="仿宋" w:hAnsi="仿宋" w:eastAsia="仿宋" w:cs="仿宋"/>
          <w:sz w:val="28"/>
          <w:szCs w:val="28"/>
          <w:lang w:eastAsia="zh-CN"/>
        </w:rPr>
        <w:t>在60-79分（含60分）的，扣拨月度物业服务费的千分之十。</w:t>
      </w:r>
    </w:p>
    <w:p w14:paraId="147A2B79">
      <w:pPr>
        <w:ind w:left="420" w:leftChars="200"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月度考核分数连续三个月不合格的，</w:t>
      </w:r>
      <w:r>
        <w:rPr>
          <w:rFonts w:hint="eastAsia" w:ascii="仿宋" w:hAnsi="仿宋" w:eastAsia="仿宋" w:cs="仿宋"/>
          <w:sz w:val="28"/>
          <w:szCs w:val="28"/>
          <w:lang w:val="en-US" w:eastAsia="zh-CN"/>
        </w:rPr>
        <w:t>分数在60分以下的，采购人</w:t>
      </w:r>
      <w:r>
        <w:rPr>
          <w:rFonts w:hint="eastAsia" w:ascii="仿宋" w:hAnsi="仿宋" w:eastAsia="仿宋" w:cs="仿宋"/>
          <w:sz w:val="28"/>
          <w:szCs w:val="28"/>
          <w:lang w:eastAsia="zh-CN"/>
        </w:rPr>
        <w:t>有权解除物业服务合同。</w:t>
      </w:r>
    </w:p>
    <w:p w14:paraId="3F495C23">
      <w:pPr>
        <w:jc w:val="center"/>
        <w:rPr>
          <w:rFonts w:hint="eastAsia" w:ascii="仿宋" w:hAnsi="仿宋" w:eastAsia="仿宋" w:cs="仿宋"/>
          <w:sz w:val="28"/>
          <w:szCs w:val="28"/>
        </w:rPr>
      </w:pPr>
      <w:r>
        <w:rPr>
          <w:rFonts w:hint="eastAsia" w:ascii="仿宋" w:hAnsi="仿宋" w:eastAsia="仿宋" w:cs="仿宋"/>
          <w:sz w:val="28"/>
          <w:szCs w:val="28"/>
          <w:lang w:eastAsia="zh-CN"/>
        </w:rPr>
        <w:br w:type="page"/>
      </w:r>
      <w:r>
        <w:rPr>
          <w:rFonts w:hint="eastAsia" w:ascii="仿宋" w:hAnsi="仿宋" w:eastAsia="仿宋" w:cs="仿宋"/>
          <w:sz w:val="28"/>
          <w:szCs w:val="28"/>
          <w:lang w:eastAsia="zh-CN"/>
        </w:rPr>
        <w:t>《河南应用技术职业学院物业服务月度综合考核表》</w:t>
      </w:r>
    </w:p>
    <w:p w14:paraId="3EEC761C">
      <w:pPr>
        <w:pStyle w:val="283"/>
        <w:tabs>
          <w:tab w:val="left" w:pos="3157"/>
        </w:tabs>
        <w:ind w:left="2940"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26B67464">
      <w:pPr>
        <w:pStyle w:val="283"/>
        <w:tabs>
          <w:tab w:val="left" w:pos="3157"/>
        </w:tabs>
        <w:ind w:left="2940" w:firstLine="1680" w:firstLineChars="600"/>
        <w:rPr>
          <w:rFonts w:hint="eastAsia" w:ascii="仿宋" w:hAnsi="仿宋" w:eastAsia="仿宋" w:cs="仿宋"/>
          <w:sz w:val="28"/>
          <w:szCs w:val="28"/>
        </w:rPr>
      </w:pPr>
      <w:r>
        <w:rPr>
          <w:rFonts w:hint="eastAsia" w:ascii="仿宋" w:hAnsi="仿宋" w:eastAsia="仿宋" w:cs="仿宋"/>
          <w:sz w:val="28"/>
          <w:szCs w:val="28"/>
        </w:rPr>
        <w:t>填报时间:</w:t>
      </w:r>
      <w:r>
        <w:rPr>
          <w:rFonts w:hint="eastAsia" w:ascii="仿宋" w:hAnsi="仿宋" w:eastAsia="仿宋" w:cs="仿宋"/>
          <w:sz w:val="28"/>
          <w:szCs w:val="28"/>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月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tbl>
      <w:tblPr>
        <w:tblStyle w:val="53"/>
        <w:tblW w:w="0" w:type="auto"/>
        <w:jc w:val="center"/>
        <w:tblLayout w:type="fixed"/>
        <w:tblCellMar>
          <w:top w:w="0" w:type="dxa"/>
          <w:left w:w="10" w:type="dxa"/>
          <w:bottom w:w="0" w:type="dxa"/>
          <w:right w:w="10" w:type="dxa"/>
        </w:tblCellMar>
      </w:tblPr>
      <w:tblGrid>
        <w:gridCol w:w="2786"/>
        <w:gridCol w:w="6236"/>
      </w:tblGrid>
      <w:tr w14:paraId="21043D31">
        <w:tblPrEx>
          <w:tblCellMar>
            <w:top w:w="0" w:type="dxa"/>
            <w:left w:w="10" w:type="dxa"/>
            <w:bottom w:w="0" w:type="dxa"/>
            <w:right w:w="10" w:type="dxa"/>
          </w:tblCellMar>
        </w:tblPrEx>
        <w:trPr>
          <w:trHeight w:val="1474" w:hRule="atLeast"/>
          <w:jc w:val="center"/>
        </w:trPr>
        <w:tc>
          <w:tcPr>
            <w:tcW w:w="2786" w:type="dxa"/>
            <w:tcBorders>
              <w:top w:val="single" w:color="auto" w:sz="4" w:space="0"/>
              <w:left w:val="single" w:color="auto" w:sz="4" w:space="0"/>
            </w:tcBorders>
            <w:shd w:val="clear" w:color="auto" w:fill="FFFFFF"/>
            <w:vAlign w:val="center"/>
          </w:tcPr>
          <w:p w14:paraId="07C5371E">
            <w:pPr>
              <w:pStyle w:val="279"/>
              <w:spacing w:line="360" w:lineRule="auto"/>
              <w:ind w:firstLine="480"/>
              <w:jc w:val="center"/>
              <w:rPr>
                <w:rFonts w:hint="eastAsia" w:ascii="仿宋" w:hAnsi="仿宋" w:eastAsia="仿宋" w:cs="仿宋"/>
                <w:sz w:val="28"/>
                <w:szCs w:val="28"/>
              </w:rPr>
            </w:pPr>
            <w:r>
              <w:rPr>
                <w:rFonts w:hint="eastAsia" w:ascii="仿宋" w:hAnsi="仿宋" w:eastAsia="仿宋" w:cs="仿宋"/>
                <w:sz w:val="28"/>
                <w:szCs w:val="28"/>
              </w:rPr>
              <w:t>物业服务区域</w:t>
            </w:r>
          </w:p>
        </w:tc>
        <w:tc>
          <w:tcPr>
            <w:tcW w:w="6236" w:type="dxa"/>
            <w:tcBorders>
              <w:top w:val="single" w:color="auto" w:sz="4" w:space="0"/>
              <w:left w:val="single" w:color="auto" w:sz="4" w:space="0"/>
              <w:right w:val="single" w:color="auto" w:sz="4" w:space="0"/>
            </w:tcBorders>
            <w:shd w:val="clear" w:color="auto" w:fill="FFFFFF"/>
          </w:tcPr>
          <w:p w14:paraId="4649B17F">
            <w:pPr>
              <w:ind w:firstLine="480"/>
              <w:rPr>
                <w:rFonts w:hint="eastAsia" w:ascii="仿宋" w:hAnsi="仿宋" w:eastAsia="仿宋" w:cs="仿宋"/>
                <w:sz w:val="28"/>
                <w:szCs w:val="28"/>
              </w:rPr>
            </w:pPr>
          </w:p>
        </w:tc>
      </w:tr>
      <w:tr w14:paraId="2103E17A">
        <w:tblPrEx>
          <w:tblCellMar>
            <w:top w:w="0" w:type="dxa"/>
            <w:left w:w="10" w:type="dxa"/>
            <w:bottom w:w="0" w:type="dxa"/>
            <w:right w:w="10" w:type="dxa"/>
          </w:tblCellMar>
        </w:tblPrEx>
        <w:trPr>
          <w:trHeight w:val="1474" w:hRule="atLeast"/>
          <w:jc w:val="center"/>
        </w:trPr>
        <w:tc>
          <w:tcPr>
            <w:tcW w:w="2786" w:type="dxa"/>
            <w:tcBorders>
              <w:top w:val="single" w:color="auto" w:sz="4" w:space="0"/>
              <w:left w:val="single" w:color="auto" w:sz="4" w:space="0"/>
            </w:tcBorders>
            <w:shd w:val="clear" w:color="auto" w:fill="FFFFFF"/>
            <w:vAlign w:val="center"/>
          </w:tcPr>
          <w:p w14:paraId="0BFE7E82">
            <w:pPr>
              <w:pStyle w:val="279"/>
              <w:spacing w:line="360" w:lineRule="auto"/>
              <w:ind w:firstLine="480"/>
              <w:jc w:val="center"/>
              <w:rPr>
                <w:rFonts w:hint="eastAsia" w:ascii="仿宋" w:hAnsi="仿宋" w:eastAsia="仿宋" w:cs="仿宋"/>
                <w:sz w:val="28"/>
                <w:szCs w:val="28"/>
              </w:rPr>
            </w:pPr>
            <w:r>
              <w:rPr>
                <w:rFonts w:hint="eastAsia" w:ascii="仿宋" w:hAnsi="仿宋" w:eastAsia="仿宋" w:cs="仿宋"/>
                <w:sz w:val="28"/>
                <w:szCs w:val="28"/>
              </w:rPr>
              <w:t>综合考评结果</w:t>
            </w:r>
          </w:p>
        </w:tc>
        <w:tc>
          <w:tcPr>
            <w:tcW w:w="6236" w:type="dxa"/>
            <w:tcBorders>
              <w:top w:val="single" w:color="auto" w:sz="4" w:space="0"/>
              <w:left w:val="single" w:color="auto" w:sz="4" w:space="0"/>
              <w:right w:val="single" w:color="auto" w:sz="4" w:space="0"/>
            </w:tcBorders>
            <w:shd w:val="clear" w:color="auto" w:fill="FFFFFF"/>
            <w:vAlign w:val="center"/>
          </w:tcPr>
          <w:p w14:paraId="3137FD9F">
            <w:pPr>
              <w:pStyle w:val="279"/>
              <w:tabs>
                <w:tab w:val="left" w:pos="742"/>
                <w:tab w:val="left" w:pos="1817"/>
              </w:tabs>
              <w:spacing w:line="360" w:lineRule="auto"/>
              <w:ind w:firstLine="480"/>
              <w:jc w:val="center"/>
              <w:rPr>
                <w:rFonts w:hint="eastAsia" w:ascii="仿宋" w:hAnsi="仿宋" w:eastAsia="仿宋" w:cs="仿宋"/>
                <w:sz w:val="28"/>
                <w:szCs w:val="28"/>
              </w:rPr>
            </w:pPr>
            <w:r>
              <w:rPr>
                <w:rFonts w:hint="eastAsia" w:ascii="仿宋" w:hAnsi="仿宋" w:eastAsia="仿宋" w:cs="仿宋"/>
                <w:sz w:val="28"/>
                <w:szCs w:val="28"/>
              </w:rPr>
              <w:t>口</w:t>
            </w:r>
            <w:r>
              <w:rPr>
                <w:rFonts w:hint="eastAsia" w:ascii="仿宋" w:hAnsi="仿宋" w:eastAsia="仿宋" w:cs="仿宋"/>
                <w:sz w:val="28"/>
                <w:szCs w:val="28"/>
                <w:lang w:val="en-US" w:eastAsia="zh-CN"/>
              </w:rPr>
              <w:t>优秀</w:t>
            </w:r>
            <w:r>
              <w:rPr>
                <w:rFonts w:hint="eastAsia" w:ascii="仿宋" w:hAnsi="仿宋" w:eastAsia="仿宋" w:cs="仿宋"/>
                <w:sz w:val="28"/>
                <w:szCs w:val="28"/>
              </w:rPr>
              <w:tab/>
            </w:r>
            <w:r>
              <w:rPr>
                <w:rFonts w:hint="eastAsia" w:ascii="仿宋" w:hAnsi="仿宋" w:eastAsia="仿宋" w:cs="仿宋"/>
                <w:sz w:val="28"/>
                <w:szCs w:val="28"/>
              </w:rPr>
              <w:t>□</w:t>
            </w:r>
            <w:r>
              <w:rPr>
                <w:rFonts w:hint="eastAsia" w:ascii="仿宋" w:hAnsi="仿宋" w:eastAsia="仿宋" w:cs="仿宋"/>
                <w:sz w:val="28"/>
                <w:szCs w:val="28"/>
                <w:lang w:val="en-US" w:eastAsia="zh-CN"/>
              </w:rPr>
              <w:t>良好</w:t>
            </w:r>
            <w:r>
              <w:rPr>
                <w:rFonts w:hint="eastAsia" w:ascii="仿宋" w:hAnsi="仿宋" w:eastAsia="仿宋" w:cs="仿宋"/>
                <w:sz w:val="28"/>
                <w:szCs w:val="28"/>
              </w:rPr>
              <w:tab/>
            </w:r>
            <w:r>
              <w:rPr>
                <w:rFonts w:hint="eastAsia" w:ascii="仿宋" w:hAnsi="仿宋" w:eastAsia="仿宋" w:cs="仿宋"/>
                <w:sz w:val="28"/>
                <w:szCs w:val="28"/>
              </w:rPr>
              <w:t>□合格</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□不合格</w:t>
            </w:r>
          </w:p>
        </w:tc>
      </w:tr>
      <w:tr w14:paraId="6EA23150">
        <w:tblPrEx>
          <w:tblCellMar>
            <w:top w:w="0" w:type="dxa"/>
            <w:left w:w="10" w:type="dxa"/>
            <w:bottom w:w="0" w:type="dxa"/>
            <w:right w:w="10" w:type="dxa"/>
          </w:tblCellMar>
        </w:tblPrEx>
        <w:trPr>
          <w:trHeight w:val="1474" w:hRule="atLeast"/>
          <w:jc w:val="center"/>
        </w:trPr>
        <w:tc>
          <w:tcPr>
            <w:tcW w:w="2786" w:type="dxa"/>
            <w:tcBorders>
              <w:top w:val="single" w:color="auto" w:sz="4" w:space="0"/>
              <w:left w:val="single" w:color="auto" w:sz="4" w:space="0"/>
            </w:tcBorders>
            <w:shd w:val="clear" w:color="auto" w:fill="FFFFFF"/>
            <w:vAlign w:val="center"/>
          </w:tcPr>
          <w:p w14:paraId="52D76812">
            <w:pPr>
              <w:pStyle w:val="279"/>
              <w:spacing w:line="360" w:lineRule="auto"/>
              <w:ind w:firstLine="480"/>
              <w:jc w:val="center"/>
              <w:rPr>
                <w:rFonts w:hint="eastAsia" w:ascii="仿宋" w:hAnsi="仿宋" w:eastAsia="仿宋" w:cs="仿宋"/>
                <w:sz w:val="28"/>
                <w:szCs w:val="28"/>
              </w:rPr>
            </w:pPr>
            <w:r>
              <w:rPr>
                <w:rFonts w:hint="eastAsia" w:ascii="仿宋" w:hAnsi="仿宋" w:eastAsia="仿宋" w:cs="仿宋"/>
                <w:sz w:val="28"/>
                <w:szCs w:val="28"/>
              </w:rPr>
              <w:t>具体问题说明</w:t>
            </w:r>
          </w:p>
        </w:tc>
        <w:tc>
          <w:tcPr>
            <w:tcW w:w="6236" w:type="dxa"/>
            <w:tcBorders>
              <w:top w:val="single" w:color="auto" w:sz="4" w:space="0"/>
              <w:left w:val="single" w:color="auto" w:sz="4" w:space="0"/>
              <w:right w:val="single" w:color="auto" w:sz="4" w:space="0"/>
            </w:tcBorders>
            <w:shd w:val="clear" w:color="auto" w:fill="FFFFFF"/>
          </w:tcPr>
          <w:p w14:paraId="3E0B4806">
            <w:pPr>
              <w:ind w:firstLine="480"/>
              <w:rPr>
                <w:rFonts w:hint="eastAsia" w:ascii="仿宋" w:hAnsi="仿宋" w:eastAsia="仿宋" w:cs="仿宋"/>
                <w:sz w:val="28"/>
                <w:szCs w:val="28"/>
              </w:rPr>
            </w:pPr>
          </w:p>
        </w:tc>
      </w:tr>
      <w:tr w14:paraId="5CFB7EC6">
        <w:tblPrEx>
          <w:tblCellMar>
            <w:top w:w="0" w:type="dxa"/>
            <w:left w:w="10" w:type="dxa"/>
            <w:bottom w:w="0" w:type="dxa"/>
            <w:right w:w="10" w:type="dxa"/>
          </w:tblCellMar>
        </w:tblPrEx>
        <w:trPr>
          <w:trHeight w:val="1474" w:hRule="atLeast"/>
          <w:jc w:val="center"/>
        </w:trPr>
        <w:tc>
          <w:tcPr>
            <w:tcW w:w="2786" w:type="dxa"/>
            <w:tcBorders>
              <w:top w:val="single" w:color="auto" w:sz="4" w:space="0"/>
              <w:left w:val="single" w:color="auto" w:sz="4" w:space="0"/>
            </w:tcBorders>
            <w:shd w:val="clear" w:color="auto" w:fill="FFFFFF"/>
            <w:vAlign w:val="center"/>
          </w:tcPr>
          <w:p w14:paraId="36B7C709">
            <w:pPr>
              <w:pStyle w:val="279"/>
              <w:spacing w:line="360" w:lineRule="auto"/>
              <w:ind w:firstLine="480"/>
              <w:jc w:val="center"/>
              <w:rPr>
                <w:rFonts w:hint="eastAsia" w:ascii="仿宋" w:hAnsi="仿宋" w:eastAsia="仿宋" w:cs="仿宋"/>
                <w:sz w:val="28"/>
                <w:szCs w:val="28"/>
              </w:rPr>
            </w:pPr>
            <w:r>
              <w:rPr>
                <w:rFonts w:hint="eastAsia" w:ascii="仿宋" w:hAnsi="仿宋" w:eastAsia="仿宋" w:cs="仿宋"/>
                <w:sz w:val="28"/>
                <w:szCs w:val="28"/>
              </w:rPr>
              <w:t>惩处意见</w:t>
            </w:r>
          </w:p>
        </w:tc>
        <w:tc>
          <w:tcPr>
            <w:tcW w:w="6236" w:type="dxa"/>
            <w:tcBorders>
              <w:top w:val="single" w:color="auto" w:sz="4" w:space="0"/>
              <w:left w:val="single" w:color="auto" w:sz="4" w:space="0"/>
              <w:right w:val="single" w:color="auto" w:sz="4" w:space="0"/>
            </w:tcBorders>
            <w:shd w:val="clear" w:color="auto" w:fill="FFFFFF"/>
          </w:tcPr>
          <w:p w14:paraId="4E51B0CE">
            <w:pPr>
              <w:ind w:firstLine="480"/>
              <w:rPr>
                <w:rFonts w:hint="eastAsia" w:ascii="仿宋" w:hAnsi="仿宋" w:eastAsia="仿宋" w:cs="仿宋"/>
                <w:sz w:val="28"/>
                <w:szCs w:val="28"/>
              </w:rPr>
            </w:pPr>
          </w:p>
        </w:tc>
      </w:tr>
      <w:tr w14:paraId="028C4970">
        <w:tblPrEx>
          <w:tblCellMar>
            <w:top w:w="0" w:type="dxa"/>
            <w:left w:w="10" w:type="dxa"/>
            <w:bottom w:w="0" w:type="dxa"/>
            <w:right w:w="10" w:type="dxa"/>
          </w:tblCellMar>
        </w:tblPrEx>
        <w:trPr>
          <w:trHeight w:val="1474" w:hRule="atLeast"/>
          <w:jc w:val="center"/>
        </w:trPr>
        <w:tc>
          <w:tcPr>
            <w:tcW w:w="2786" w:type="dxa"/>
            <w:tcBorders>
              <w:top w:val="single" w:color="auto" w:sz="4" w:space="0"/>
              <w:left w:val="single" w:color="auto" w:sz="4" w:space="0"/>
            </w:tcBorders>
            <w:shd w:val="clear" w:color="auto" w:fill="FFFFFF"/>
            <w:vAlign w:val="center"/>
          </w:tcPr>
          <w:p w14:paraId="1B97D4FB">
            <w:pPr>
              <w:pStyle w:val="279"/>
              <w:spacing w:line="360" w:lineRule="auto"/>
              <w:ind w:firstLine="480"/>
              <w:jc w:val="center"/>
              <w:rPr>
                <w:rFonts w:hint="eastAsia" w:ascii="仿宋" w:hAnsi="仿宋" w:eastAsia="仿宋" w:cs="仿宋"/>
                <w:sz w:val="28"/>
                <w:szCs w:val="28"/>
              </w:rPr>
            </w:pPr>
            <w:r>
              <w:rPr>
                <w:rFonts w:hint="eastAsia" w:ascii="仿宋" w:hAnsi="仿宋" w:eastAsia="仿宋" w:cs="仿宋"/>
                <w:sz w:val="28"/>
                <w:szCs w:val="28"/>
              </w:rPr>
              <w:t>考评签字</w:t>
            </w:r>
          </w:p>
        </w:tc>
        <w:tc>
          <w:tcPr>
            <w:tcW w:w="6236" w:type="dxa"/>
            <w:tcBorders>
              <w:top w:val="single" w:color="auto" w:sz="4" w:space="0"/>
              <w:left w:val="single" w:color="auto" w:sz="4" w:space="0"/>
              <w:right w:val="single" w:color="auto" w:sz="4" w:space="0"/>
            </w:tcBorders>
            <w:shd w:val="clear" w:color="auto" w:fill="FFFFFF"/>
          </w:tcPr>
          <w:p w14:paraId="72776DBF">
            <w:pPr>
              <w:ind w:firstLine="480"/>
              <w:rPr>
                <w:rFonts w:hint="eastAsia" w:ascii="仿宋" w:hAnsi="仿宋" w:eastAsia="仿宋" w:cs="仿宋"/>
                <w:sz w:val="28"/>
                <w:szCs w:val="28"/>
              </w:rPr>
            </w:pPr>
          </w:p>
        </w:tc>
      </w:tr>
      <w:tr w14:paraId="17608657">
        <w:tblPrEx>
          <w:tblCellMar>
            <w:top w:w="0" w:type="dxa"/>
            <w:left w:w="10" w:type="dxa"/>
            <w:bottom w:w="0" w:type="dxa"/>
            <w:right w:w="10" w:type="dxa"/>
          </w:tblCellMar>
        </w:tblPrEx>
        <w:trPr>
          <w:trHeight w:val="1474" w:hRule="atLeast"/>
          <w:jc w:val="center"/>
        </w:trPr>
        <w:tc>
          <w:tcPr>
            <w:tcW w:w="2786" w:type="dxa"/>
            <w:tcBorders>
              <w:top w:val="single" w:color="auto" w:sz="4" w:space="0"/>
              <w:left w:val="single" w:color="auto" w:sz="4" w:space="0"/>
              <w:bottom w:val="single" w:color="auto" w:sz="4" w:space="0"/>
            </w:tcBorders>
            <w:shd w:val="clear" w:color="auto" w:fill="FFFFFF"/>
            <w:vAlign w:val="center"/>
          </w:tcPr>
          <w:p w14:paraId="751F237D">
            <w:pPr>
              <w:pStyle w:val="279"/>
              <w:spacing w:line="360" w:lineRule="auto"/>
              <w:ind w:firstLine="480"/>
              <w:jc w:val="center"/>
              <w:rPr>
                <w:rFonts w:hint="eastAsia" w:ascii="仿宋" w:hAnsi="仿宋" w:eastAsia="仿宋" w:cs="仿宋"/>
                <w:sz w:val="28"/>
                <w:szCs w:val="28"/>
              </w:rPr>
            </w:pPr>
            <w:r>
              <w:rPr>
                <w:rFonts w:hint="eastAsia" w:ascii="仿宋" w:hAnsi="仿宋" w:eastAsia="仿宋" w:cs="仿宋"/>
                <w:sz w:val="28"/>
                <w:szCs w:val="28"/>
              </w:rPr>
              <w:t>管理部门负责人签字</w:t>
            </w:r>
          </w:p>
        </w:tc>
        <w:tc>
          <w:tcPr>
            <w:tcW w:w="6236" w:type="dxa"/>
            <w:tcBorders>
              <w:top w:val="single" w:color="auto" w:sz="4" w:space="0"/>
              <w:left w:val="single" w:color="auto" w:sz="4" w:space="0"/>
              <w:bottom w:val="single" w:color="auto" w:sz="4" w:space="0"/>
              <w:right w:val="single" w:color="auto" w:sz="4" w:space="0"/>
            </w:tcBorders>
            <w:shd w:val="clear" w:color="auto" w:fill="FFFFFF"/>
          </w:tcPr>
          <w:p w14:paraId="214BB4C2">
            <w:pPr>
              <w:ind w:firstLine="480"/>
              <w:rPr>
                <w:rFonts w:hint="eastAsia" w:ascii="仿宋" w:hAnsi="仿宋" w:eastAsia="仿宋" w:cs="仿宋"/>
                <w:sz w:val="28"/>
                <w:szCs w:val="28"/>
              </w:rPr>
            </w:pPr>
          </w:p>
        </w:tc>
      </w:tr>
    </w:tbl>
    <w:p w14:paraId="5DB5285B">
      <w:pPr>
        <w:spacing w:after="339"/>
        <w:ind w:firstLine="480"/>
        <w:rPr>
          <w:rFonts w:hint="eastAsia" w:ascii="仿宋" w:hAnsi="仿宋" w:eastAsia="仿宋" w:cs="仿宋"/>
          <w:sz w:val="28"/>
          <w:szCs w:val="28"/>
        </w:rPr>
      </w:pPr>
    </w:p>
    <w:p w14:paraId="5282E9D1">
      <w:pPr>
        <w:pStyle w:val="151"/>
        <w:spacing w:after="340" w:line="360" w:lineRule="auto"/>
        <w:ind w:left="1020" w:firstLine="3992" w:firstLineChars="1426"/>
        <w:rPr>
          <w:rFonts w:hint="eastAsia" w:ascii="仿宋" w:hAnsi="仿宋" w:eastAsia="仿宋" w:cs="仿宋"/>
          <w:sz w:val="28"/>
          <w:szCs w:val="28"/>
        </w:rPr>
      </w:pPr>
      <w:r>
        <w:rPr>
          <w:rFonts w:hint="eastAsia" w:ascii="仿宋" w:hAnsi="仿宋" w:eastAsia="仿宋" w:cs="仿宋"/>
          <w:sz w:val="28"/>
          <w:szCs w:val="28"/>
        </w:rPr>
        <w:t>（管理部门名称）盖章</w:t>
      </w:r>
    </w:p>
    <w:p w14:paraId="6A87D170">
      <w:pPr>
        <w:pStyle w:val="151"/>
        <w:spacing w:after="340" w:line="360" w:lineRule="auto"/>
        <w:ind w:left="1020" w:firstLine="3422" w:firstLineChars="1426"/>
        <w:rPr>
          <w:sz w:val="24"/>
          <w:szCs w:val="24"/>
        </w:rPr>
      </w:pPr>
    </w:p>
    <w:p w14:paraId="73888105">
      <w:pPr>
        <w:pStyle w:val="2"/>
        <w:spacing w:before="0" w:after="0" w:line="360" w:lineRule="auto"/>
        <w:jc w:val="center"/>
        <w:rPr>
          <w:rFonts w:ascii="宋体" w:hAnsi="宋体" w:eastAsia="宋体" w:cs="宋体"/>
          <w:sz w:val="32"/>
          <w:szCs w:val="32"/>
          <w:lang w:val="en-US" w:eastAsia="zh-CN"/>
        </w:rPr>
      </w:pPr>
      <w:r>
        <w:rPr>
          <w:rFonts w:hint="eastAsia" w:ascii="宋体" w:hAnsi="宋体" w:eastAsia="宋体" w:cs="宋体"/>
          <w:sz w:val="32"/>
          <w:szCs w:val="32"/>
          <w:lang w:val="en-US" w:eastAsia="zh-CN"/>
        </w:rPr>
        <w:br w:type="page"/>
      </w:r>
      <w:r>
        <w:rPr>
          <w:rFonts w:hint="eastAsia" w:ascii="宋体" w:hAnsi="宋体" w:eastAsia="宋体" w:cs="宋体"/>
          <w:sz w:val="32"/>
          <w:szCs w:val="32"/>
          <w:lang w:val="en-US" w:eastAsia="zh-CN"/>
        </w:rPr>
        <w:t>第九章 附件</w:t>
      </w:r>
      <w:bookmarkEnd w:id="592"/>
      <w:bookmarkEnd w:id="593"/>
      <w:bookmarkEnd w:id="594"/>
      <w:bookmarkEnd w:id="595"/>
      <w:bookmarkEnd w:id="611"/>
    </w:p>
    <w:bookmarkEnd w:id="596"/>
    <w:bookmarkEnd w:id="597"/>
    <w:bookmarkEnd w:id="598"/>
    <w:bookmarkEnd w:id="599"/>
    <w:bookmarkEnd w:id="600"/>
    <w:bookmarkEnd w:id="601"/>
    <w:bookmarkEnd w:id="602"/>
    <w:bookmarkEnd w:id="603"/>
    <w:bookmarkEnd w:id="604"/>
    <w:bookmarkEnd w:id="605"/>
    <w:bookmarkEnd w:id="606"/>
    <w:bookmarkEnd w:id="607"/>
    <w:p w14:paraId="34AF5491">
      <w:pPr>
        <w:keepNext/>
        <w:keepLines/>
        <w:widowControl w:val="0"/>
        <w:autoSpaceDE w:val="0"/>
        <w:autoSpaceDN w:val="0"/>
        <w:adjustRightInd w:val="0"/>
        <w:spacing w:line="360" w:lineRule="auto"/>
        <w:outlineLvl w:val="1"/>
        <w:rPr>
          <w:rFonts w:hint="default" w:ascii="Times New Roman" w:hAnsi="Times New Roman" w:eastAsia="仿宋_GB2312" w:cs="Times New Roman"/>
          <w:bCs/>
          <w:color w:val="auto"/>
          <w:kern w:val="0"/>
          <w:sz w:val="28"/>
          <w:szCs w:val="28"/>
          <w:lang w:val="en-US" w:eastAsia="zh-CN"/>
        </w:rPr>
      </w:pPr>
      <w:bookmarkStart w:id="612" w:name="_Toc1250555939_WPSOffice_Level1"/>
      <w:bookmarkStart w:id="613" w:name="_Toc1681897155"/>
      <w:r>
        <w:rPr>
          <w:rFonts w:hint="default" w:ascii="Times New Roman" w:hAnsi="Times New Roman" w:eastAsia="仿宋_GB2312" w:cs="Times New Roman"/>
          <w:bCs/>
          <w:color w:val="auto"/>
          <w:kern w:val="0"/>
          <w:sz w:val="28"/>
          <w:szCs w:val="28"/>
          <w:lang w:val="en-US" w:eastAsia="zh-CN"/>
        </w:rPr>
        <w:t>附件1：河南省政府采购合同融资政策告知函</w:t>
      </w:r>
      <w:bookmarkEnd w:id="612"/>
      <w:bookmarkEnd w:id="613"/>
    </w:p>
    <w:p w14:paraId="40C37824">
      <w:pPr>
        <w:widowControl w:val="0"/>
        <w:spacing w:line="360" w:lineRule="auto"/>
        <w:jc w:val="left"/>
        <w:rPr>
          <w:rFonts w:hint="default" w:ascii="Times New Roman" w:hAnsi="Times New Roman" w:eastAsia="仿宋_GB2312" w:cs="Times New Roman"/>
          <w:b/>
          <w:bCs/>
          <w:color w:val="auto"/>
          <w:sz w:val="28"/>
          <w:szCs w:val="28"/>
          <w:lang w:val="en-US" w:eastAsia="zh-CN"/>
        </w:rPr>
      </w:pPr>
    </w:p>
    <w:p w14:paraId="23A99E86">
      <w:pPr>
        <w:spacing w:line="360" w:lineRule="auto"/>
        <w:jc w:val="center"/>
        <w:rPr>
          <w:rFonts w:hint="default" w:ascii="Times New Roman" w:hAnsi="Times New Roman" w:eastAsia="仿宋_GB2312" w:cs="Times New Roman"/>
          <w:b/>
          <w:bCs/>
          <w:color w:val="auto"/>
          <w:sz w:val="28"/>
          <w:szCs w:val="28"/>
          <w:lang w:val="en-US" w:eastAsia="zh-CN"/>
        </w:rPr>
      </w:pPr>
      <w:bookmarkStart w:id="614" w:name="_Toc495162933_WPSOffice_Level2"/>
      <w:bookmarkStart w:id="615" w:name="_Toc1775221587_WPSOffice_Level1"/>
      <w:bookmarkStart w:id="616" w:name="_Toc587059936_WPSOffice_Level2"/>
      <w:bookmarkStart w:id="617" w:name="_Toc285380293_WPSOffice_Level1"/>
      <w:bookmarkStart w:id="618" w:name="_Toc1740618990_WPSOffice_Level1"/>
      <w:r>
        <w:rPr>
          <w:rFonts w:hint="default" w:ascii="Times New Roman" w:hAnsi="Times New Roman" w:eastAsia="仿宋_GB2312" w:cs="Times New Roman"/>
          <w:b/>
          <w:bCs/>
          <w:color w:val="auto"/>
          <w:sz w:val="28"/>
          <w:szCs w:val="28"/>
          <w:lang w:val="en-US" w:eastAsia="zh-CN"/>
        </w:rPr>
        <w:t>河南省政府采购合同融资政策告知函</w:t>
      </w:r>
      <w:bookmarkEnd w:id="614"/>
      <w:bookmarkEnd w:id="615"/>
      <w:bookmarkEnd w:id="616"/>
      <w:bookmarkEnd w:id="617"/>
      <w:bookmarkEnd w:id="618"/>
    </w:p>
    <w:p w14:paraId="7659BCCD">
      <w:pPr>
        <w:widowControl w:val="0"/>
        <w:spacing w:line="360" w:lineRule="auto"/>
        <w:rPr>
          <w:rFonts w:hint="default" w:ascii="Times New Roman" w:hAnsi="Times New Roman" w:eastAsia="仿宋_GB2312" w:cs="Times New Roman"/>
          <w:color w:val="auto"/>
          <w:sz w:val="28"/>
          <w:szCs w:val="28"/>
          <w:lang w:val="en-US" w:eastAsia="zh-CN"/>
        </w:rPr>
      </w:pPr>
    </w:p>
    <w:p w14:paraId="74C5A836">
      <w:pPr>
        <w:widowControl w:val="0"/>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各供应商：</w:t>
      </w:r>
    </w:p>
    <w:p w14:paraId="22410FB9">
      <w:pPr>
        <w:widowControl w:val="0"/>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欢迎贵公司参与河南省政府采购活动！</w:t>
      </w:r>
    </w:p>
    <w:p w14:paraId="32199C36">
      <w:pPr>
        <w:widowControl w:val="0"/>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政府采购合同融资是河南省财政厅支持中小微企业发展，针对参与政府采购活动的投标人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5478C0A4">
      <w:pPr>
        <w:pStyle w:val="47"/>
        <w:spacing w:line="48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贷款渠道和提供贷款的金融机构，可在河南省政府采购网“河南省政府采购合同融资平台”查询联系。</w:t>
      </w:r>
    </w:p>
    <w:p w14:paraId="4ED45746">
      <w:pPr>
        <w:jc w:val="lef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sz w:val="28"/>
          <w:szCs w:val="28"/>
          <w:lang w:eastAsia="zh-CN"/>
        </w:rPr>
        <w:br w:type="page"/>
      </w:r>
    </w:p>
    <w:p w14:paraId="0C377F3E">
      <w:pPr>
        <w:jc w:val="center"/>
        <w:outlineLvl w:val="1"/>
        <w:rPr>
          <w:rFonts w:hint="default" w:ascii="Times New Roman" w:hAnsi="Times New Roman" w:cs="Times New Roman"/>
          <w:b/>
          <w:bCs/>
          <w:color w:val="auto"/>
          <w:sz w:val="32"/>
          <w:szCs w:val="32"/>
          <w:lang w:eastAsia="zh-CN"/>
        </w:rPr>
      </w:pPr>
      <w:r>
        <w:rPr>
          <w:rFonts w:hint="default" w:ascii="Times New Roman" w:hAnsi="Times New Roman" w:eastAsia="仿宋_GB2312" w:cs="Times New Roman"/>
          <w:bCs/>
          <w:color w:val="auto"/>
          <w:kern w:val="0"/>
          <w:sz w:val="28"/>
          <w:szCs w:val="28"/>
          <w:lang w:val="en-US" w:eastAsia="zh-CN"/>
        </w:rPr>
        <w:t>附件2：</w:t>
      </w:r>
      <w:bookmarkStart w:id="619" w:name="_Toc658018444_WPSOffice_Level2"/>
      <w:bookmarkStart w:id="620" w:name="_Toc1587242122"/>
      <w:bookmarkStart w:id="621" w:name="_Toc347624563"/>
      <w:bookmarkStart w:id="622" w:name="_Toc853194655"/>
      <w:r>
        <w:rPr>
          <w:rFonts w:hint="default" w:ascii="Times New Roman" w:hAnsi="Times New Roman" w:cs="Times New Roman"/>
          <w:b/>
          <w:bCs/>
          <w:color w:val="auto"/>
          <w:sz w:val="32"/>
          <w:szCs w:val="32"/>
          <w:lang w:eastAsia="zh-CN"/>
        </w:rPr>
        <w:t>关于印发中小企业划型标准规定的通知</w:t>
      </w:r>
      <w:bookmarkEnd w:id="619"/>
      <w:bookmarkEnd w:id="620"/>
      <w:bookmarkEnd w:id="621"/>
      <w:bookmarkEnd w:id="622"/>
    </w:p>
    <w:p w14:paraId="410E2A27">
      <w:pPr>
        <w:pStyle w:val="47"/>
        <w:spacing w:line="480" w:lineRule="exact"/>
        <w:jc w:val="center"/>
        <w:rPr>
          <w:rFonts w:hint="default" w:ascii="Times New Roman" w:hAnsi="Times New Roman" w:eastAsia="仿宋_GB2312" w:cs="Times New Roman"/>
          <w:color w:val="auto"/>
          <w:sz w:val="28"/>
          <w:szCs w:val="28"/>
        </w:rPr>
      </w:pPr>
      <w:bookmarkStart w:id="623" w:name="_Toc1413325678_WPSOffice_Level3"/>
      <w:r>
        <w:rPr>
          <w:rFonts w:hint="default" w:ascii="Times New Roman" w:hAnsi="Times New Roman" w:eastAsia="仿宋_GB2312" w:cs="Times New Roman"/>
          <w:color w:val="auto"/>
          <w:sz w:val="28"/>
          <w:szCs w:val="28"/>
        </w:rPr>
        <w:t>工信部联企业[2011]300号</w:t>
      </w:r>
      <w:bookmarkEnd w:id="623"/>
    </w:p>
    <w:p w14:paraId="2BBB69AF">
      <w:pPr>
        <w:pStyle w:val="47"/>
        <w:spacing w:line="48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各省、自治区、直辖市人民政府，国务院各部委、各直属机构及有关单位：</w:t>
      </w:r>
    </w:p>
    <w:p w14:paraId="452109AF">
      <w:pPr>
        <w:pStyle w:val="47"/>
        <w:spacing w:line="48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8FD9C22">
      <w:pPr>
        <w:pStyle w:val="47"/>
        <w:spacing w:line="480" w:lineRule="exact"/>
        <w:jc w:val="righ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工业和信息化部　国家统计局</w:t>
      </w:r>
    </w:p>
    <w:p w14:paraId="5F8D8A4F">
      <w:pPr>
        <w:pStyle w:val="47"/>
        <w:spacing w:line="480" w:lineRule="exact"/>
        <w:jc w:val="righ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国家发展和改革委员会　财政部</w:t>
      </w:r>
    </w:p>
    <w:p w14:paraId="228B76ED">
      <w:pPr>
        <w:pStyle w:val="47"/>
        <w:spacing w:line="480" w:lineRule="exact"/>
        <w:jc w:val="righ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二〇一一年六月十八日</w:t>
      </w:r>
    </w:p>
    <w:p w14:paraId="5306AC02">
      <w:pPr>
        <w:pStyle w:val="47"/>
        <w:spacing w:line="48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附件： </w:t>
      </w:r>
    </w:p>
    <w:p w14:paraId="38083E2D">
      <w:pPr>
        <w:pStyle w:val="47"/>
        <w:spacing w:line="480" w:lineRule="exact"/>
        <w:jc w:val="center"/>
        <w:rPr>
          <w:rFonts w:hint="default" w:ascii="Times New Roman" w:hAnsi="Times New Roman" w:eastAsia="仿宋_GB2312" w:cs="Times New Roman"/>
          <w:color w:val="auto"/>
          <w:sz w:val="28"/>
          <w:szCs w:val="28"/>
        </w:rPr>
      </w:pPr>
      <w:bookmarkStart w:id="624" w:name="_Toc1817875417_WPSOffice_Level2"/>
      <w:r>
        <w:rPr>
          <w:rStyle w:val="56"/>
          <w:rFonts w:hint="default" w:ascii="Times New Roman" w:hAnsi="Times New Roman" w:eastAsia="仿宋_GB2312" w:cs="Times New Roman"/>
          <w:color w:val="auto"/>
          <w:sz w:val="28"/>
          <w:szCs w:val="28"/>
        </w:rPr>
        <w:t>中小企业划型标准规定</w:t>
      </w:r>
      <w:bookmarkEnd w:id="624"/>
    </w:p>
    <w:p w14:paraId="64E22F5D">
      <w:pPr>
        <w:pStyle w:val="47"/>
        <w:spacing w:line="48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一、根据《中华人民共和国中小企业促进法》和《国务院关于进一步促进中小企业发展的若干意见》(国发〔2009〕36号)，制定本规定。</w:t>
      </w:r>
    </w:p>
    <w:p w14:paraId="3B105358">
      <w:pPr>
        <w:pStyle w:val="47"/>
        <w:spacing w:line="48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二、中小企业划分为中型、小型、微型三种类型，具体标准根据企业从业人员、营业收入、资产总额等指标，结合行业特点制定。</w:t>
      </w:r>
    </w:p>
    <w:p w14:paraId="59E78D55">
      <w:pPr>
        <w:pStyle w:val="47"/>
        <w:spacing w:line="48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1027179">
      <w:pPr>
        <w:pStyle w:val="47"/>
        <w:spacing w:line="48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四、各行业划型标准为：</w:t>
      </w:r>
    </w:p>
    <w:p w14:paraId="6FE8FDEE">
      <w:pPr>
        <w:pStyle w:val="47"/>
        <w:spacing w:line="48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（一）农、林、牧、渔业。营业收入20000万元以下的为中小微型企业。其中，营业收入500万元及以上的为中型企业，营业收入50万元及以上的为小型企业，营业收入50万元以下的为微型企业。</w:t>
      </w:r>
    </w:p>
    <w:p w14:paraId="722EF993">
      <w:pPr>
        <w:pStyle w:val="47"/>
        <w:spacing w:line="48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9AAC846">
      <w:pPr>
        <w:pStyle w:val="47"/>
        <w:spacing w:line="48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64FF9AF">
      <w:pPr>
        <w:pStyle w:val="47"/>
        <w:spacing w:line="48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525D33F">
      <w:pPr>
        <w:pStyle w:val="47"/>
        <w:spacing w:line="48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DF34B41">
      <w:pPr>
        <w:pStyle w:val="47"/>
        <w:spacing w:line="48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C136A07">
      <w:pPr>
        <w:pStyle w:val="47"/>
        <w:spacing w:line="48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18B01E7">
      <w:pPr>
        <w:pStyle w:val="47"/>
        <w:spacing w:line="48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826BBC5">
      <w:pPr>
        <w:pStyle w:val="47"/>
        <w:spacing w:line="48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CD87C8E">
      <w:pPr>
        <w:pStyle w:val="47"/>
        <w:spacing w:line="48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057D4E1">
      <w:pPr>
        <w:pStyle w:val="47"/>
        <w:spacing w:line="48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07CE26B">
      <w:pPr>
        <w:pStyle w:val="47"/>
        <w:spacing w:line="48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BD6AF70">
      <w:pPr>
        <w:pStyle w:val="47"/>
        <w:spacing w:line="48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004BCEC">
      <w:pPr>
        <w:pStyle w:val="47"/>
        <w:spacing w:line="48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231D666">
      <w:pPr>
        <w:pStyle w:val="47"/>
        <w:spacing w:line="48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BC9F4A1">
      <w:pPr>
        <w:pStyle w:val="47"/>
        <w:spacing w:line="48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（十六）其他未列明行业。从业人员300人以下的为中小微型企业。其中，从业人员100人及以上的为中型企业；从业人员10人及以上的为小型企业；从业人员10人以下的为微型企业。</w:t>
      </w:r>
    </w:p>
    <w:p w14:paraId="5A9AC9DD">
      <w:pPr>
        <w:pStyle w:val="47"/>
        <w:spacing w:line="48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五、企业类型的划分以统计部门的统计数据为依据。</w:t>
      </w:r>
    </w:p>
    <w:p w14:paraId="4EB02612">
      <w:pPr>
        <w:pStyle w:val="47"/>
        <w:spacing w:line="48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六、本规定适用于在中华人民共和国境内依法设立的各类所有制和各种组织形式的企业。个体工商户和本规定以外的行业，参照本规定进行划型。</w:t>
      </w:r>
    </w:p>
    <w:p w14:paraId="768EF7EA">
      <w:pPr>
        <w:pStyle w:val="47"/>
        <w:spacing w:line="48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七、本规定的中型企业标准上限即为大型企业标准的下限，国家统计部门据此制定大中小微型企业的统计分类。国务院有关部门据此进行相关数据分析，不得制定与本规定不一致的企业划型标准。</w:t>
      </w:r>
    </w:p>
    <w:p w14:paraId="543C7272">
      <w:pPr>
        <w:pStyle w:val="47"/>
        <w:spacing w:line="48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八、本规定由工业和信息化部、国家统计局会同有关部门根据《国民经济行业分类》修订情况和企业发展变化情况适时修订。</w:t>
      </w:r>
    </w:p>
    <w:p w14:paraId="7DAE8625">
      <w:pPr>
        <w:pStyle w:val="47"/>
        <w:spacing w:line="48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九、本规定由工业和信息化部、国家统计局会同有关部门负责解释。</w:t>
      </w:r>
    </w:p>
    <w:p w14:paraId="250DA7F0">
      <w:pPr>
        <w:pStyle w:val="47"/>
        <w:spacing w:line="48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　　十、本规定自发布之日起执行，原国家经贸委、原国家计委、财政部和国家统计局2003年颁布的《中小企业标准暂行规定》同时废止。</w:t>
      </w:r>
    </w:p>
    <w:p w14:paraId="719C4220">
      <w:pPr>
        <w:pStyle w:val="47"/>
        <w:spacing w:line="480" w:lineRule="exact"/>
        <w:rPr>
          <w:color w:val="000000"/>
          <w:sz w:val="28"/>
          <w:szCs w:val="28"/>
        </w:rPr>
      </w:pPr>
    </w:p>
    <w:sectPr>
      <w:headerReference r:id="rId13" w:type="default"/>
      <w:footerReference r:id="rId14" w:type="default"/>
      <w:pgSz w:w="11900" w:h="16840"/>
      <w:pgMar w:top="1440" w:right="1797" w:bottom="1440" w:left="1797" w:header="851"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onospace">
    <w:altName w:val="华文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Helvetica Neue">
    <w:altName w:val="Times New Roman"/>
    <w:panose1 w:val="00000000000000000000"/>
    <w:charset w:val="00"/>
    <w:family w:val="auto"/>
    <w:pitch w:val="default"/>
    <w:sig w:usb0="00000000" w:usb1="00000000" w:usb2="0000001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ESI楷体-GB2312">
    <w:altName w:val="宋体"/>
    <w:panose1 w:val="02000500000000000000"/>
    <w:charset w:val="86"/>
    <w:family w:val="auto"/>
    <w:pitch w:val="default"/>
    <w:sig w:usb0="00000000" w:usb1="00000000" w:usb2="00000012"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FABB1">
    <w:pPr>
      <w:pStyle w:val="3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27BC656">
                          <w:pPr>
                            <w:pStyle w:val="30"/>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BPCYi02wEAAMADAAAOAAAAAAAAAAEA&#10;IAAAAB4BAABkcnMvZTJvRG9jLnhtbFBLBQYAAAAABgAGAFkBAABrBQAAAAA=&#10;">
              <v:fill on="f" focussize="0,0"/>
              <v:stroke on="f"/>
              <v:imagedata o:title=""/>
              <o:lock v:ext="edit" aspectratio="f"/>
              <v:textbox inset="0mm,0mm,0mm,0mm" style="mso-fit-shape-to-text:t;">
                <w:txbxContent>
                  <w:p w14:paraId="727BC656">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E48C3">
    <w:pPr>
      <w:pStyle w:val="3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63195"/>
              <wp:effectExtent l="0" t="0" r="0" b="0"/>
              <wp:wrapNone/>
              <wp:docPr id="282014154"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86385" cy="163195"/>
                      </a:xfrm>
                      <a:prstGeom prst="rect">
                        <a:avLst/>
                      </a:prstGeom>
                      <a:noFill/>
                      <a:ln>
                        <a:noFill/>
                      </a:ln>
                      <a:effectLst/>
                    </wps:spPr>
                    <wps:txbx>
                      <w:txbxContent>
                        <w:p w14:paraId="3A3D32BB">
                          <w:pPr>
                            <w:pStyle w:val="30"/>
                          </w:pPr>
                          <w:r>
                            <w:fldChar w:fldCharType="begin"/>
                          </w:r>
                          <w:r>
                            <w:instrText xml:space="preserve"> PAGE  \* MERGEFORMAT </w:instrText>
                          </w:r>
                          <w:r>
                            <w:fldChar w:fldCharType="separate"/>
                          </w:r>
                          <w:r>
                            <w:t>38</w:t>
                          </w:r>
                          <w:r>
                            <w:fldChar w:fldCharType="end"/>
                          </w:r>
                        </w:p>
                      </w:txbxContent>
                    </wps:txbx>
                    <wps:bodyPr rot="0" vert="horz" wrap="square" lIns="0" tIns="0" rIns="0" bIns="0" anchor="t" anchorCtr="0" upright="1">
                      <a:noAutofit/>
                    </wps:bodyPr>
                  </wps:wsp>
                </a:graphicData>
              </a:graphic>
            </wp:anchor>
          </w:drawing>
        </mc:Choice>
        <mc:Fallback>
          <w:pict>
            <v:shape id="文本框 6" o:spid="_x0000_s1026" o:spt="202" type="#_x0000_t202" style="position:absolute;left:0pt;margin-top:0pt;height:12.85pt;width:22.55pt;mso-position-horizontal:center;mso-position-horizontal-relative:margin;z-index:251660288;mso-width-relative:page;mso-height-relative:page;" filled="f" stroked="f" coordsize="21600,21600" o:gfxdata="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IF4o3UAAAAAwEAAA8AAAAA&#10;AAAAAQAgAAAAIgAAAGRycy9kb3ducmV2LnhtbFBLAQIUABQAAAAIAIdO4kB5Q/ETGAIAABoEAAAO&#10;AAAAAAAAAAEAIAAAACMBAABkcnMvZTJvRG9jLnhtbFBLBQYAAAAABgAGAFkBAACtBQAAAAA=&#10;">
              <v:fill on="f" focussize="0,0"/>
              <v:stroke on="f"/>
              <v:imagedata o:title=""/>
              <o:lock v:ext="edit" aspectratio="f"/>
              <v:textbox inset="0mm,0mm,0mm,0mm">
                <w:txbxContent>
                  <w:p w14:paraId="3A3D32BB">
                    <w:pPr>
                      <w:pStyle w:val="3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BF168">
    <w:pPr>
      <w:pStyle w:val="30"/>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47955"/>
              <wp:effectExtent l="0" t="0" r="0" b="0"/>
              <wp:wrapNone/>
              <wp:docPr id="192011403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14:paraId="2055551A">
                          <w:pPr>
                            <w:pStyle w:val="30"/>
                            <w:rPr>
                              <w:rFonts w:hint="eastAsia"/>
                            </w:rPr>
                          </w:pPr>
                          <w:r>
                            <w:fldChar w:fldCharType="begin"/>
                          </w:r>
                          <w:r>
                            <w:instrText xml:space="preserve"> PAGE  \* MERGEFORMAT </w:instrText>
                          </w:r>
                          <w:r>
                            <w:fldChar w:fldCharType="separate"/>
                          </w:r>
                          <w:r>
                            <w:t>47</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65pt;width:9.05pt;mso-position-horizontal:center;mso-position-horizontal-relative:margin;mso-wrap-style:none;z-index:25166438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ulvw/RAAAAAwEAAA8AAAAAAAAAAQAg&#10;AAAAIgAAAGRycy9kb3ducmV2LnhtbFBLAQIUABQAAAAIAIdO4kBYuHFvFQIAABkEAAAOAAAAAAAA&#10;AAEAIAAAACABAABkcnMvZTJvRG9jLnhtbFBLBQYAAAAABgAGAFkBAACnBQAAAAA=&#10;">
              <v:fill on="f" focussize="0,0"/>
              <v:stroke on="f"/>
              <v:imagedata o:title=""/>
              <o:lock v:ext="edit" aspectratio="f"/>
              <v:textbox inset="0mm,0mm,0mm,0mm" style="mso-fit-shape-to-text:t;">
                <w:txbxContent>
                  <w:p w14:paraId="2055551A">
                    <w:pPr>
                      <w:pStyle w:val="30"/>
                      <w:rPr>
                        <w:rFonts w:hint="eastAsia"/>
                      </w:rPr>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FC0F6">
    <w:pPr>
      <w:pStyle w:val="30"/>
      <w:rPr>
        <w:rFonts w:hint="eastAsia"/>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47955"/>
              <wp:effectExtent l="0" t="0" r="0" b="0"/>
              <wp:wrapNone/>
              <wp:docPr id="564297008"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14:paraId="4DA04DDB">
                          <w:pPr>
                            <w:pStyle w:val="30"/>
                            <w:rPr>
                              <w:rFonts w:hint="eastAsia"/>
                            </w:rPr>
                          </w:pPr>
                          <w:r>
                            <w:fldChar w:fldCharType="begin"/>
                          </w:r>
                          <w:r>
                            <w:instrText xml:space="preserve"> PAGE  \* MERGEFORMAT </w:instrText>
                          </w:r>
                          <w:r>
                            <w:fldChar w:fldCharType="separate"/>
                          </w:r>
                          <w:r>
                            <w:t>51</w:t>
                          </w:r>
                          <w:r>
                            <w:fldChar w:fldCharType="end"/>
                          </w: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11.65pt;width:9.05pt;mso-position-horizontal:center;mso-position-horizontal-relative:margin;mso-wrap-style:none;z-index:251665408;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rpb8P0QAAAAMBAAAPAAAAAAAAAAEA&#10;IAAAACIAAABkcnMvZG93bnJldi54bWxQSwECFAAUAAAACACHTuJAnyEQhxYCAAAYBAAADgAAAAAA&#10;AAABACAAAAAgAQAAZHJzL2Uyb0RvYy54bWxQSwUGAAAAAAYABgBZAQAAqAUAAAAA&#10;">
              <v:fill on="f" focussize="0,0"/>
              <v:stroke on="f"/>
              <v:imagedata o:title=""/>
              <o:lock v:ext="edit" aspectratio="f"/>
              <v:textbox inset="0mm,0mm,0mm,0mm" style="mso-fit-shape-to-text:t;">
                <w:txbxContent>
                  <w:p w14:paraId="4DA04DDB">
                    <w:pPr>
                      <w:pStyle w:val="30"/>
                      <w:rPr>
                        <w:rFonts w:hint="eastAsia"/>
                      </w:rPr>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80A4A">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316067578"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14:paraId="611154D6">
                          <w:pPr>
                            <w:pStyle w:val="30"/>
                          </w:pPr>
                          <w:r>
                            <w:fldChar w:fldCharType="begin"/>
                          </w:r>
                          <w:r>
                            <w:instrText xml:space="preserve"> PAGE  \* MERGEFORMAT </w:instrText>
                          </w:r>
                          <w:r>
                            <w:fldChar w:fldCharType="separate"/>
                          </w:r>
                          <w:r>
                            <w:t>47</w:t>
                          </w:r>
                          <w: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rpb8P0QAAAAMBAAAPAAAAAAAAAAEA&#10;IAAAACIAAABkcnMvZG93bnJldi54bWxQSwECFAAUAAAACACHTuJAuZTEcBYCAAAYBAAADgAAAAAA&#10;AAABACAAAAAgAQAAZHJzL2Uyb0RvYy54bWxQSwUGAAAAAAYABgBZAQAAqAUAAAAA&#10;">
              <v:fill on="f" focussize="0,0"/>
              <v:stroke on="f"/>
              <v:imagedata o:title=""/>
              <o:lock v:ext="edit" aspectratio="f"/>
              <v:textbox inset="0mm,0mm,0mm,0mm" style="mso-fit-shape-to-text:t;">
                <w:txbxContent>
                  <w:p w14:paraId="611154D6">
                    <w:pPr>
                      <w:pStyle w:val="3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E6416">
    <w:pPr>
      <w:pStyle w:val="30"/>
      <w:ind w:right="360"/>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F0D5060">
                          <w:pPr>
                            <w:pStyle w:val="30"/>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Iseos0BAACnAwAADgAAAAAAAAABACAAAAAeAQAAZHJzL2Uy&#10;b0RvYy54bWxQSwUGAAAAAAYABgBZAQAAXQUAAAAA&#10;">
              <v:fill on="f" focussize="0,0"/>
              <v:stroke on="f"/>
              <v:imagedata o:title=""/>
              <o:lock v:ext="edit" aspectratio="f"/>
              <v:textbox inset="0mm,0mm,0mm,0mm" style="mso-fit-shape-to-text:t;">
                <w:txbxContent>
                  <w:p w14:paraId="0F0D5060">
                    <w:pPr>
                      <w:pStyle w:val="30"/>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D31D11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4D31D11F"/>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EF5CF">
    <w:pPr>
      <w:pStyle w:val="30"/>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47955"/>
              <wp:effectExtent l="0" t="0" r="0" b="0"/>
              <wp:wrapNone/>
              <wp:docPr id="69114463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14:paraId="36595B46">
                          <w:pPr>
                            <w:pStyle w:val="30"/>
                          </w:pPr>
                          <w:r>
                            <w:fldChar w:fldCharType="begin"/>
                          </w:r>
                          <w:r>
                            <w:instrText xml:space="preserve"> PAGE  \* MERGEFORMAT </w:instrText>
                          </w:r>
                          <w:r>
                            <w:fldChar w:fldCharType="separate"/>
                          </w:r>
                          <w:r>
                            <w:t>70</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65pt;width:9.05pt;mso-position-horizontal:center;mso-position-horizontal-relative:margin;mso-wrap-style:none;z-index:251662336;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rpb8P0QAAAAMBAAAPAAAAAAAAAAEA&#10;IAAAACIAAABkcnMvZG93bnJldi54bWxQSwECFAAUAAAACACHTuJARt5uExYCAAAYBAAADgAAAAAA&#10;AAABACAAAAAgAQAAZHJzL2Uyb0RvYy54bWxQSwUGAAAAAAYABgBZAQAAqAUAAAAA&#10;">
              <v:fill on="f" focussize="0,0"/>
              <v:stroke on="f"/>
              <v:imagedata o:title=""/>
              <o:lock v:ext="edit" aspectratio="f"/>
              <v:textbox inset="0mm,0mm,0mm,0mm" style="mso-fit-shape-to-text:t;">
                <w:txbxContent>
                  <w:p w14:paraId="36595B46">
                    <w:pPr>
                      <w:pStyle w:val="30"/>
                    </w:pPr>
                    <w:r>
                      <w:fldChar w:fldCharType="begin"/>
                    </w:r>
                    <w:r>
                      <w:instrText xml:space="preserve"> PAGE  \* MERGEFORMAT </w:instrText>
                    </w:r>
                    <w:r>
                      <w:fldChar w:fldCharType="separate"/>
                    </w:r>
                    <w:r>
                      <w:t>70</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53035"/>
              <wp:effectExtent l="0" t="0" r="0" b="0"/>
              <wp:wrapNone/>
              <wp:docPr id="1073133986"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ffectLst/>
                    </wps:spPr>
                    <wps:txbx>
                      <w:txbxContent>
                        <w:p w14:paraId="3ADE473B">
                          <w:pPr>
                            <w:rPr>
                              <w:rFonts w:hint="default"/>
                            </w:rPr>
                          </w:pP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05pt;width:9.05pt;mso-position-horizontal:center;mso-position-horizontal-relative:margin;mso-wrap-style:none;z-index:251663360;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QVPmtAAAAADAQAADwAAAAAAAAABACAA&#10;AAAiAAAAZHJzL2Rvd25yZXYueG1sUEsBAhQAFAAAAAgAh07iQFXaenAVAgAAGQQAAA4AAAAAAAAA&#10;AQAgAAAAHwEAAGRycy9lMm9Eb2MueG1sUEsFBgAAAAAGAAYAWQEAAKYFAAAAAA==&#10;">
              <v:fill on="f" focussize="0,0"/>
              <v:stroke on="f"/>
              <v:imagedata o:title=""/>
              <o:lock v:ext="edit" aspectratio="f"/>
              <v:textbox inset="0mm,0mm,0mm,0mm" style="mso-fit-shape-to-text:t;">
                <w:txbxContent>
                  <w:p w14:paraId="3ADE473B">
                    <w:pPr>
                      <w:rPr>
                        <w:rFonts w:hint="default"/>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4AFEB">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3CE7A">
    <w:pPr>
      <w:pStyle w:val="18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C118E">
    <w:pPr>
      <w:pStyle w:val="18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53F4B">
    <w:pPr>
      <w:pStyle w:val="184"/>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EBBB4">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DF505"/>
    <w:multiLevelType w:val="singleLevel"/>
    <w:tmpl w:val="889DF505"/>
    <w:lvl w:ilvl="0" w:tentative="0">
      <w:start w:val="4"/>
      <w:numFmt w:val="chineseCounting"/>
      <w:suff w:val="nothing"/>
      <w:lvlText w:val="%1、"/>
      <w:lvlJc w:val="left"/>
      <w:rPr>
        <w:rFonts w:hint="eastAsia"/>
      </w:rPr>
    </w:lvl>
  </w:abstractNum>
  <w:abstractNum w:abstractNumId="1">
    <w:nsid w:val="F535068F"/>
    <w:multiLevelType w:val="singleLevel"/>
    <w:tmpl w:val="F535068F"/>
    <w:lvl w:ilvl="0" w:tentative="0">
      <w:start w:val="6"/>
      <w:numFmt w:val="chineseCounting"/>
      <w:suff w:val="space"/>
      <w:lvlText w:val="第%1章"/>
      <w:lvlJc w:val="left"/>
      <w:rPr>
        <w:rFonts w:hint="eastAsia"/>
      </w:rPr>
    </w:lvl>
  </w:abstractNum>
  <w:abstractNum w:abstractNumId="2">
    <w:nsid w:val="3153D635"/>
    <w:multiLevelType w:val="singleLevel"/>
    <w:tmpl w:val="3153D635"/>
    <w:lvl w:ilvl="0" w:tentative="0">
      <w:start w:val="2"/>
      <w:numFmt w:val="decimal"/>
      <w:suff w:val="nothing"/>
      <w:lvlText w:val="（%1）"/>
      <w:lvlJc w:val="left"/>
      <w:pPr>
        <w:ind w:left="560" w:firstLine="0"/>
      </w:pPr>
    </w:lvl>
  </w:abstractNum>
  <w:abstractNum w:abstractNumId="3">
    <w:nsid w:val="62656752"/>
    <w:multiLevelType w:val="multilevel"/>
    <w:tmpl w:val="62656752"/>
    <w:lvl w:ilvl="0" w:tentative="0">
      <w:start w:val="11"/>
      <w:numFmt w:val="decimal"/>
      <w:suff w:val="nothing"/>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
    <w:nsid w:val="6E9A9296"/>
    <w:multiLevelType w:val="singleLevel"/>
    <w:tmpl w:val="6E9A9296"/>
    <w:lvl w:ilvl="0" w:tentative="0">
      <w:start w:val="2"/>
      <w:numFmt w:val="decimal"/>
      <w:lvlText w:val="%1."/>
      <w:lvlJc w:val="left"/>
      <w:pPr>
        <w:tabs>
          <w:tab w:val="left" w:pos="312"/>
        </w:tabs>
      </w:pPr>
    </w:lvl>
  </w:abstractNum>
  <w:abstractNum w:abstractNumId="5">
    <w:nsid w:val="7F7BE2C3"/>
    <w:multiLevelType w:val="singleLevel"/>
    <w:tmpl w:val="7F7BE2C3"/>
    <w:lvl w:ilvl="0" w:tentative="0">
      <w:start w:val="1"/>
      <w:numFmt w:val="chineseCounting"/>
      <w:suff w:val="space"/>
      <w:lvlText w:val="第%1章"/>
      <w:lvlJc w:val="left"/>
      <w:rPr>
        <w:rFonts w:hint="eastAsia"/>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1MzFhYzhmZjhiNDYxODI2ODA4MjU5OTdjNTI2NGIifQ=="/>
    <w:docVar w:name="KSO_WPS_MARK_KEY" w:val="3744f22e-c4fe-43f0-b56d-9a3c5376fde0"/>
  </w:docVars>
  <w:rsids>
    <w:rsidRoot w:val="00172A27"/>
    <w:rsid w:val="00001953"/>
    <w:rsid w:val="0000339B"/>
    <w:rsid w:val="00005D94"/>
    <w:rsid w:val="00007CA4"/>
    <w:rsid w:val="00013FA9"/>
    <w:rsid w:val="0002279F"/>
    <w:rsid w:val="00023995"/>
    <w:rsid w:val="000278F5"/>
    <w:rsid w:val="00030E2D"/>
    <w:rsid w:val="00032D59"/>
    <w:rsid w:val="000340B2"/>
    <w:rsid w:val="000350BE"/>
    <w:rsid w:val="00040BA2"/>
    <w:rsid w:val="00040E52"/>
    <w:rsid w:val="00041A6C"/>
    <w:rsid w:val="00043282"/>
    <w:rsid w:val="00050BCF"/>
    <w:rsid w:val="00056878"/>
    <w:rsid w:val="00060BC3"/>
    <w:rsid w:val="00063FA1"/>
    <w:rsid w:val="00066EBC"/>
    <w:rsid w:val="000702AC"/>
    <w:rsid w:val="0007049F"/>
    <w:rsid w:val="000708D6"/>
    <w:rsid w:val="00073941"/>
    <w:rsid w:val="00076791"/>
    <w:rsid w:val="000768FB"/>
    <w:rsid w:val="00077205"/>
    <w:rsid w:val="00080242"/>
    <w:rsid w:val="00083D5E"/>
    <w:rsid w:val="00086D49"/>
    <w:rsid w:val="000941D4"/>
    <w:rsid w:val="00094ACC"/>
    <w:rsid w:val="000A0377"/>
    <w:rsid w:val="000A25C2"/>
    <w:rsid w:val="000A3106"/>
    <w:rsid w:val="000A3DFC"/>
    <w:rsid w:val="000A4465"/>
    <w:rsid w:val="000B0077"/>
    <w:rsid w:val="000B13BA"/>
    <w:rsid w:val="000B340A"/>
    <w:rsid w:val="000B69C5"/>
    <w:rsid w:val="000B7ED5"/>
    <w:rsid w:val="000C46FC"/>
    <w:rsid w:val="000C77F0"/>
    <w:rsid w:val="000D1261"/>
    <w:rsid w:val="000D5739"/>
    <w:rsid w:val="000D66F9"/>
    <w:rsid w:val="000E1629"/>
    <w:rsid w:val="000E19B1"/>
    <w:rsid w:val="000E3CD1"/>
    <w:rsid w:val="000E459D"/>
    <w:rsid w:val="000F047E"/>
    <w:rsid w:val="000F1067"/>
    <w:rsid w:val="000F3A03"/>
    <w:rsid w:val="000F48D2"/>
    <w:rsid w:val="000F5220"/>
    <w:rsid w:val="000F56A0"/>
    <w:rsid w:val="000F76A5"/>
    <w:rsid w:val="00100BFC"/>
    <w:rsid w:val="001028E5"/>
    <w:rsid w:val="00103728"/>
    <w:rsid w:val="00104FD4"/>
    <w:rsid w:val="0011787C"/>
    <w:rsid w:val="00131758"/>
    <w:rsid w:val="00133AC5"/>
    <w:rsid w:val="001341E0"/>
    <w:rsid w:val="001359C5"/>
    <w:rsid w:val="001371D6"/>
    <w:rsid w:val="001435EA"/>
    <w:rsid w:val="00146A9F"/>
    <w:rsid w:val="00152BB5"/>
    <w:rsid w:val="00153C28"/>
    <w:rsid w:val="00160226"/>
    <w:rsid w:val="00163227"/>
    <w:rsid w:val="00165A43"/>
    <w:rsid w:val="00165D07"/>
    <w:rsid w:val="00167E96"/>
    <w:rsid w:val="00172A27"/>
    <w:rsid w:val="001734CC"/>
    <w:rsid w:val="00174096"/>
    <w:rsid w:val="00175178"/>
    <w:rsid w:val="001811B2"/>
    <w:rsid w:val="001828B5"/>
    <w:rsid w:val="00192365"/>
    <w:rsid w:val="00196B51"/>
    <w:rsid w:val="001A0B0B"/>
    <w:rsid w:val="001A3C68"/>
    <w:rsid w:val="001A7E62"/>
    <w:rsid w:val="001B6B5A"/>
    <w:rsid w:val="001C1447"/>
    <w:rsid w:val="001C7E3B"/>
    <w:rsid w:val="001D0DE6"/>
    <w:rsid w:val="001D16CC"/>
    <w:rsid w:val="001D1848"/>
    <w:rsid w:val="001D25F1"/>
    <w:rsid w:val="001D3EBB"/>
    <w:rsid w:val="001E0808"/>
    <w:rsid w:val="001E2BFA"/>
    <w:rsid w:val="001E2D18"/>
    <w:rsid w:val="001E78A9"/>
    <w:rsid w:val="001F1D9E"/>
    <w:rsid w:val="001F3AC0"/>
    <w:rsid w:val="001F68EC"/>
    <w:rsid w:val="00202E75"/>
    <w:rsid w:val="002044CB"/>
    <w:rsid w:val="002046D7"/>
    <w:rsid w:val="00204923"/>
    <w:rsid w:val="0021412B"/>
    <w:rsid w:val="00216A94"/>
    <w:rsid w:val="00217F9F"/>
    <w:rsid w:val="002206B7"/>
    <w:rsid w:val="002237BC"/>
    <w:rsid w:val="00223B9E"/>
    <w:rsid w:val="002258F0"/>
    <w:rsid w:val="00230A77"/>
    <w:rsid w:val="00232D71"/>
    <w:rsid w:val="00234100"/>
    <w:rsid w:val="00236352"/>
    <w:rsid w:val="00245934"/>
    <w:rsid w:val="00246F78"/>
    <w:rsid w:val="00247D20"/>
    <w:rsid w:val="00250D8F"/>
    <w:rsid w:val="002560AA"/>
    <w:rsid w:val="00263DD7"/>
    <w:rsid w:val="00267021"/>
    <w:rsid w:val="00270F4D"/>
    <w:rsid w:val="00273B04"/>
    <w:rsid w:val="002740BF"/>
    <w:rsid w:val="00280746"/>
    <w:rsid w:val="002807C8"/>
    <w:rsid w:val="00282055"/>
    <w:rsid w:val="002A05BB"/>
    <w:rsid w:val="002A13CE"/>
    <w:rsid w:val="002A52BA"/>
    <w:rsid w:val="002A5A62"/>
    <w:rsid w:val="002B0422"/>
    <w:rsid w:val="002B069D"/>
    <w:rsid w:val="002B216E"/>
    <w:rsid w:val="002B59F3"/>
    <w:rsid w:val="002B6FB9"/>
    <w:rsid w:val="002B7307"/>
    <w:rsid w:val="002C1E69"/>
    <w:rsid w:val="002C7317"/>
    <w:rsid w:val="002D1B9B"/>
    <w:rsid w:val="002E6413"/>
    <w:rsid w:val="002F3B84"/>
    <w:rsid w:val="002F7C5C"/>
    <w:rsid w:val="00306509"/>
    <w:rsid w:val="00312262"/>
    <w:rsid w:val="00312F8B"/>
    <w:rsid w:val="003146DD"/>
    <w:rsid w:val="00317F86"/>
    <w:rsid w:val="0032097B"/>
    <w:rsid w:val="0032361D"/>
    <w:rsid w:val="003316B4"/>
    <w:rsid w:val="00341FEA"/>
    <w:rsid w:val="00343936"/>
    <w:rsid w:val="00352430"/>
    <w:rsid w:val="00354EBD"/>
    <w:rsid w:val="0036364E"/>
    <w:rsid w:val="00364FA8"/>
    <w:rsid w:val="00365A07"/>
    <w:rsid w:val="00365D57"/>
    <w:rsid w:val="00372EE0"/>
    <w:rsid w:val="00374202"/>
    <w:rsid w:val="00376200"/>
    <w:rsid w:val="00380482"/>
    <w:rsid w:val="00390856"/>
    <w:rsid w:val="003920CD"/>
    <w:rsid w:val="0039526F"/>
    <w:rsid w:val="00395310"/>
    <w:rsid w:val="003A1411"/>
    <w:rsid w:val="003A688F"/>
    <w:rsid w:val="003B2B3C"/>
    <w:rsid w:val="003B407A"/>
    <w:rsid w:val="003B6D07"/>
    <w:rsid w:val="003C109B"/>
    <w:rsid w:val="003D1FAE"/>
    <w:rsid w:val="003E0F11"/>
    <w:rsid w:val="003E26F2"/>
    <w:rsid w:val="003E5A26"/>
    <w:rsid w:val="003F0138"/>
    <w:rsid w:val="003F1F8D"/>
    <w:rsid w:val="003F78A5"/>
    <w:rsid w:val="00404BF9"/>
    <w:rsid w:val="00406DBB"/>
    <w:rsid w:val="00413EAF"/>
    <w:rsid w:val="0041706C"/>
    <w:rsid w:val="00420217"/>
    <w:rsid w:val="004215D5"/>
    <w:rsid w:val="00426C7C"/>
    <w:rsid w:val="0042798D"/>
    <w:rsid w:val="004330A9"/>
    <w:rsid w:val="00435C05"/>
    <w:rsid w:val="00442B80"/>
    <w:rsid w:val="00445670"/>
    <w:rsid w:val="00445E70"/>
    <w:rsid w:val="004505CA"/>
    <w:rsid w:val="00450FFC"/>
    <w:rsid w:val="00452AC8"/>
    <w:rsid w:val="00462D9E"/>
    <w:rsid w:val="00463F76"/>
    <w:rsid w:val="00465593"/>
    <w:rsid w:val="00466704"/>
    <w:rsid w:val="004667CC"/>
    <w:rsid w:val="004670FA"/>
    <w:rsid w:val="004837B6"/>
    <w:rsid w:val="00484D54"/>
    <w:rsid w:val="004A0263"/>
    <w:rsid w:val="004A1FE2"/>
    <w:rsid w:val="004A34FB"/>
    <w:rsid w:val="004A40A8"/>
    <w:rsid w:val="004A700E"/>
    <w:rsid w:val="004A7684"/>
    <w:rsid w:val="004B5648"/>
    <w:rsid w:val="004B7B6A"/>
    <w:rsid w:val="004C1A1D"/>
    <w:rsid w:val="004C32E9"/>
    <w:rsid w:val="004C47F1"/>
    <w:rsid w:val="004C58BA"/>
    <w:rsid w:val="004C693F"/>
    <w:rsid w:val="004D27C7"/>
    <w:rsid w:val="004E5E99"/>
    <w:rsid w:val="004F291E"/>
    <w:rsid w:val="004F480E"/>
    <w:rsid w:val="004F5D3B"/>
    <w:rsid w:val="004F64EF"/>
    <w:rsid w:val="00501CFD"/>
    <w:rsid w:val="00505367"/>
    <w:rsid w:val="0050673E"/>
    <w:rsid w:val="00506DA2"/>
    <w:rsid w:val="005138EF"/>
    <w:rsid w:val="005160F8"/>
    <w:rsid w:val="00523698"/>
    <w:rsid w:val="00525434"/>
    <w:rsid w:val="00526B78"/>
    <w:rsid w:val="00527EC5"/>
    <w:rsid w:val="005317A2"/>
    <w:rsid w:val="00535DE9"/>
    <w:rsid w:val="00546D18"/>
    <w:rsid w:val="00547F71"/>
    <w:rsid w:val="00553B8C"/>
    <w:rsid w:val="00553CD8"/>
    <w:rsid w:val="00554586"/>
    <w:rsid w:val="0055604B"/>
    <w:rsid w:val="00560480"/>
    <w:rsid w:val="005616CA"/>
    <w:rsid w:val="00561870"/>
    <w:rsid w:val="00563BD4"/>
    <w:rsid w:val="0056418B"/>
    <w:rsid w:val="0058164E"/>
    <w:rsid w:val="005857BA"/>
    <w:rsid w:val="00591976"/>
    <w:rsid w:val="00592788"/>
    <w:rsid w:val="00593D29"/>
    <w:rsid w:val="005A5982"/>
    <w:rsid w:val="005A6493"/>
    <w:rsid w:val="005A7D1D"/>
    <w:rsid w:val="005B0A57"/>
    <w:rsid w:val="005B0A9E"/>
    <w:rsid w:val="005B59E1"/>
    <w:rsid w:val="005C0B69"/>
    <w:rsid w:val="005C2730"/>
    <w:rsid w:val="005C5058"/>
    <w:rsid w:val="005C6ADC"/>
    <w:rsid w:val="005D09AD"/>
    <w:rsid w:val="005D152F"/>
    <w:rsid w:val="005D6CC6"/>
    <w:rsid w:val="005E36FC"/>
    <w:rsid w:val="005E421E"/>
    <w:rsid w:val="005E46E0"/>
    <w:rsid w:val="005E7C1C"/>
    <w:rsid w:val="005F5F08"/>
    <w:rsid w:val="005F7E31"/>
    <w:rsid w:val="0060016A"/>
    <w:rsid w:val="00603330"/>
    <w:rsid w:val="00611E75"/>
    <w:rsid w:val="00617818"/>
    <w:rsid w:val="00622A81"/>
    <w:rsid w:val="00623DC3"/>
    <w:rsid w:val="00632324"/>
    <w:rsid w:val="0063335D"/>
    <w:rsid w:val="006344AB"/>
    <w:rsid w:val="0063724F"/>
    <w:rsid w:val="00640D49"/>
    <w:rsid w:val="00643DE3"/>
    <w:rsid w:val="0064505A"/>
    <w:rsid w:val="006458F4"/>
    <w:rsid w:val="00653AE2"/>
    <w:rsid w:val="006566A7"/>
    <w:rsid w:val="00663245"/>
    <w:rsid w:val="00677215"/>
    <w:rsid w:val="00680BB7"/>
    <w:rsid w:val="0068270E"/>
    <w:rsid w:val="00683499"/>
    <w:rsid w:val="006844D7"/>
    <w:rsid w:val="00691E7C"/>
    <w:rsid w:val="00692E09"/>
    <w:rsid w:val="0069744B"/>
    <w:rsid w:val="006A3543"/>
    <w:rsid w:val="006A37E1"/>
    <w:rsid w:val="006A7A5C"/>
    <w:rsid w:val="006A7E0C"/>
    <w:rsid w:val="006B0FA0"/>
    <w:rsid w:val="006C2008"/>
    <w:rsid w:val="006C56B8"/>
    <w:rsid w:val="006D00CC"/>
    <w:rsid w:val="006D6422"/>
    <w:rsid w:val="006D7E77"/>
    <w:rsid w:val="006E0C8B"/>
    <w:rsid w:val="006E5272"/>
    <w:rsid w:val="006E5586"/>
    <w:rsid w:val="006F19B5"/>
    <w:rsid w:val="006F1B7F"/>
    <w:rsid w:val="006F563B"/>
    <w:rsid w:val="006F6399"/>
    <w:rsid w:val="006F68B9"/>
    <w:rsid w:val="007007DA"/>
    <w:rsid w:val="00704218"/>
    <w:rsid w:val="00705C5D"/>
    <w:rsid w:val="007077FF"/>
    <w:rsid w:val="00710FDA"/>
    <w:rsid w:val="00715E8C"/>
    <w:rsid w:val="00717BBE"/>
    <w:rsid w:val="00717C57"/>
    <w:rsid w:val="007320ED"/>
    <w:rsid w:val="00732AF5"/>
    <w:rsid w:val="00733F94"/>
    <w:rsid w:val="00735205"/>
    <w:rsid w:val="00735E6A"/>
    <w:rsid w:val="00742358"/>
    <w:rsid w:val="007467AE"/>
    <w:rsid w:val="007578B3"/>
    <w:rsid w:val="007604C5"/>
    <w:rsid w:val="00762A9D"/>
    <w:rsid w:val="00770ED5"/>
    <w:rsid w:val="007759CC"/>
    <w:rsid w:val="007807DB"/>
    <w:rsid w:val="0078132B"/>
    <w:rsid w:val="007815A4"/>
    <w:rsid w:val="007816D5"/>
    <w:rsid w:val="00783C90"/>
    <w:rsid w:val="00784AF2"/>
    <w:rsid w:val="00785EAA"/>
    <w:rsid w:val="007863FD"/>
    <w:rsid w:val="00793FCF"/>
    <w:rsid w:val="007942C6"/>
    <w:rsid w:val="007A2296"/>
    <w:rsid w:val="007A6C49"/>
    <w:rsid w:val="007A6EFF"/>
    <w:rsid w:val="007A6F63"/>
    <w:rsid w:val="007B1C3F"/>
    <w:rsid w:val="007B5606"/>
    <w:rsid w:val="007B76FC"/>
    <w:rsid w:val="007C344B"/>
    <w:rsid w:val="007C5D46"/>
    <w:rsid w:val="007D244C"/>
    <w:rsid w:val="007E2E71"/>
    <w:rsid w:val="007F0A1D"/>
    <w:rsid w:val="007F0B68"/>
    <w:rsid w:val="007F48FA"/>
    <w:rsid w:val="007F5B05"/>
    <w:rsid w:val="007F747E"/>
    <w:rsid w:val="00804611"/>
    <w:rsid w:val="00806264"/>
    <w:rsid w:val="00806DF9"/>
    <w:rsid w:val="008141DD"/>
    <w:rsid w:val="00814E5B"/>
    <w:rsid w:val="008160BF"/>
    <w:rsid w:val="008255D7"/>
    <w:rsid w:val="008319A0"/>
    <w:rsid w:val="008349F7"/>
    <w:rsid w:val="008428D3"/>
    <w:rsid w:val="00854338"/>
    <w:rsid w:val="00854BF6"/>
    <w:rsid w:val="008608B3"/>
    <w:rsid w:val="00862CC4"/>
    <w:rsid w:val="00867FFD"/>
    <w:rsid w:val="008714C1"/>
    <w:rsid w:val="00871A0D"/>
    <w:rsid w:val="00884208"/>
    <w:rsid w:val="008864B2"/>
    <w:rsid w:val="00895168"/>
    <w:rsid w:val="0089557C"/>
    <w:rsid w:val="00895F56"/>
    <w:rsid w:val="00896C15"/>
    <w:rsid w:val="008B02C5"/>
    <w:rsid w:val="008B19D6"/>
    <w:rsid w:val="008B5A35"/>
    <w:rsid w:val="008B6839"/>
    <w:rsid w:val="008B6D78"/>
    <w:rsid w:val="008C63A7"/>
    <w:rsid w:val="008D0AE3"/>
    <w:rsid w:val="008E6272"/>
    <w:rsid w:val="008F222A"/>
    <w:rsid w:val="0091007D"/>
    <w:rsid w:val="00912744"/>
    <w:rsid w:val="00913DC4"/>
    <w:rsid w:val="00914179"/>
    <w:rsid w:val="00916456"/>
    <w:rsid w:val="00917970"/>
    <w:rsid w:val="00921183"/>
    <w:rsid w:val="00921C9D"/>
    <w:rsid w:val="00923D5B"/>
    <w:rsid w:val="0093438F"/>
    <w:rsid w:val="009350E8"/>
    <w:rsid w:val="00937F9C"/>
    <w:rsid w:val="00947B80"/>
    <w:rsid w:val="00947F0F"/>
    <w:rsid w:val="00951F40"/>
    <w:rsid w:val="00952370"/>
    <w:rsid w:val="00956E41"/>
    <w:rsid w:val="0096594C"/>
    <w:rsid w:val="00965D35"/>
    <w:rsid w:val="00967F69"/>
    <w:rsid w:val="00971476"/>
    <w:rsid w:val="00971821"/>
    <w:rsid w:val="00973331"/>
    <w:rsid w:val="00973574"/>
    <w:rsid w:val="00973A7E"/>
    <w:rsid w:val="009748ED"/>
    <w:rsid w:val="009776C8"/>
    <w:rsid w:val="00980901"/>
    <w:rsid w:val="00981DD4"/>
    <w:rsid w:val="009839BF"/>
    <w:rsid w:val="00986DBD"/>
    <w:rsid w:val="009877E2"/>
    <w:rsid w:val="00991236"/>
    <w:rsid w:val="00993064"/>
    <w:rsid w:val="00993C0D"/>
    <w:rsid w:val="0099593B"/>
    <w:rsid w:val="00997B5E"/>
    <w:rsid w:val="009A098D"/>
    <w:rsid w:val="009A4615"/>
    <w:rsid w:val="009B0452"/>
    <w:rsid w:val="009B0C8C"/>
    <w:rsid w:val="009B2974"/>
    <w:rsid w:val="009B2E49"/>
    <w:rsid w:val="009B3F76"/>
    <w:rsid w:val="009B41D7"/>
    <w:rsid w:val="009B677A"/>
    <w:rsid w:val="009B6838"/>
    <w:rsid w:val="009C02FD"/>
    <w:rsid w:val="009C0491"/>
    <w:rsid w:val="009C1F61"/>
    <w:rsid w:val="009C2A19"/>
    <w:rsid w:val="009C670D"/>
    <w:rsid w:val="009D4E3C"/>
    <w:rsid w:val="009D6CEF"/>
    <w:rsid w:val="009E0464"/>
    <w:rsid w:val="009E4692"/>
    <w:rsid w:val="009F5748"/>
    <w:rsid w:val="00A00FF9"/>
    <w:rsid w:val="00A03327"/>
    <w:rsid w:val="00A12686"/>
    <w:rsid w:val="00A13447"/>
    <w:rsid w:val="00A235B8"/>
    <w:rsid w:val="00A259FC"/>
    <w:rsid w:val="00A25A04"/>
    <w:rsid w:val="00A30FB7"/>
    <w:rsid w:val="00A31225"/>
    <w:rsid w:val="00A336E6"/>
    <w:rsid w:val="00A404D9"/>
    <w:rsid w:val="00A4532D"/>
    <w:rsid w:val="00A45467"/>
    <w:rsid w:val="00A548B5"/>
    <w:rsid w:val="00A57E90"/>
    <w:rsid w:val="00A6042C"/>
    <w:rsid w:val="00A607EF"/>
    <w:rsid w:val="00A700B5"/>
    <w:rsid w:val="00A70566"/>
    <w:rsid w:val="00A70591"/>
    <w:rsid w:val="00A72455"/>
    <w:rsid w:val="00A804DF"/>
    <w:rsid w:val="00AA3E08"/>
    <w:rsid w:val="00AB3655"/>
    <w:rsid w:val="00AB6312"/>
    <w:rsid w:val="00AB7DF2"/>
    <w:rsid w:val="00AC03E3"/>
    <w:rsid w:val="00AC2742"/>
    <w:rsid w:val="00AC29D8"/>
    <w:rsid w:val="00AC2EBF"/>
    <w:rsid w:val="00AC4858"/>
    <w:rsid w:val="00AC5238"/>
    <w:rsid w:val="00AE2D12"/>
    <w:rsid w:val="00AE386D"/>
    <w:rsid w:val="00AE4366"/>
    <w:rsid w:val="00AE54B3"/>
    <w:rsid w:val="00AF1BA3"/>
    <w:rsid w:val="00B026A6"/>
    <w:rsid w:val="00B060B9"/>
    <w:rsid w:val="00B06449"/>
    <w:rsid w:val="00B0755B"/>
    <w:rsid w:val="00B21334"/>
    <w:rsid w:val="00B23D8E"/>
    <w:rsid w:val="00B240BB"/>
    <w:rsid w:val="00B30267"/>
    <w:rsid w:val="00B31765"/>
    <w:rsid w:val="00B373C9"/>
    <w:rsid w:val="00B40A30"/>
    <w:rsid w:val="00B41DEB"/>
    <w:rsid w:val="00B43123"/>
    <w:rsid w:val="00B44A87"/>
    <w:rsid w:val="00B460BC"/>
    <w:rsid w:val="00B47433"/>
    <w:rsid w:val="00B57782"/>
    <w:rsid w:val="00B606A4"/>
    <w:rsid w:val="00B610D7"/>
    <w:rsid w:val="00B803CA"/>
    <w:rsid w:val="00B8386A"/>
    <w:rsid w:val="00B8409E"/>
    <w:rsid w:val="00B85220"/>
    <w:rsid w:val="00B87A8B"/>
    <w:rsid w:val="00B965D0"/>
    <w:rsid w:val="00BA3F9C"/>
    <w:rsid w:val="00BA7CA7"/>
    <w:rsid w:val="00BB0B0C"/>
    <w:rsid w:val="00BB55E6"/>
    <w:rsid w:val="00BC1581"/>
    <w:rsid w:val="00BE04EF"/>
    <w:rsid w:val="00BE3D96"/>
    <w:rsid w:val="00BF0298"/>
    <w:rsid w:val="00BF02E8"/>
    <w:rsid w:val="00BF53CA"/>
    <w:rsid w:val="00C00ECF"/>
    <w:rsid w:val="00C0368C"/>
    <w:rsid w:val="00C03B7C"/>
    <w:rsid w:val="00C03EA8"/>
    <w:rsid w:val="00C044E9"/>
    <w:rsid w:val="00C05E41"/>
    <w:rsid w:val="00C12660"/>
    <w:rsid w:val="00C1652D"/>
    <w:rsid w:val="00C26BCD"/>
    <w:rsid w:val="00C304C7"/>
    <w:rsid w:val="00C406CD"/>
    <w:rsid w:val="00C4631D"/>
    <w:rsid w:val="00C52BB8"/>
    <w:rsid w:val="00C53D3B"/>
    <w:rsid w:val="00C62A91"/>
    <w:rsid w:val="00C62E24"/>
    <w:rsid w:val="00C67CC4"/>
    <w:rsid w:val="00C71306"/>
    <w:rsid w:val="00C72E01"/>
    <w:rsid w:val="00C83E23"/>
    <w:rsid w:val="00C86B65"/>
    <w:rsid w:val="00C92B0C"/>
    <w:rsid w:val="00CA3C79"/>
    <w:rsid w:val="00CA6AF8"/>
    <w:rsid w:val="00CB0DFF"/>
    <w:rsid w:val="00CB1465"/>
    <w:rsid w:val="00CB360C"/>
    <w:rsid w:val="00CB7E87"/>
    <w:rsid w:val="00CC07FD"/>
    <w:rsid w:val="00CD0BC1"/>
    <w:rsid w:val="00CD4FD7"/>
    <w:rsid w:val="00CE0D56"/>
    <w:rsid w:val="00CE767E"/>
    <w:rsid w:val="00CF0993"/>
    <w:rsid w:val="00CF2378"/>
    <w:rsid w:val="00D004C5"/>
    <w:rsid w:val="00D007C0"/>
    <w:rsid w:val="00D066BB"/>
    <w:rsid w:val="00D143BF"/>
    <w:rsid w:val="00D205D3"/>
    <w:rsid w:val="00D206A7"/>
    <w:rsid w:val="00D3023B"/>
    <w:rsid w:val="00D37AD5"/>
    <w:rsid w:val="00D43107"/>
    <w:rsid w:val="00D45983"/>
    <w:rsid w:val="00D47E9C"/>
    <w:rsid w:val="00D5380E"/>
    <w:rsid w:val="00D5710B"/>
    <w:rsid w:val="00D61C43"/>
    <w:rsid w:val="00D6270D"/>
    <w:rsid w:val="00D64227"/>
    <w:rsid w:val="00D64BEB"/>
    <w:rsid w:val="00D65064"/>
    <w:rsid w:val="00D85E34"/>
    <w:rsid w:val="00D868C0"/>
    <w:rsid w:val="00D9156D"/>
    <w:rsid w:val="00D91ADB"/>
    <w:rsid w:val="00DA1491"/>
    <w:rsid w:val="00DA1F32"/>
    <w:rsid w:val="00DA5973"/>
    <w:rsid w:val="00DB0C31"/>
    <w:rsid w:val="00DB20F7"/>
    <w:rsid w:val="00DB2943"/>
    <w:rsid w:val="00DB76C1"/>
    <w:rsid w:val="00DC3330"/>
    <w:rsid w:val="00DC3360"/>
    <w:rsid w:val="00DC58DA"/>
    <w:rsid w:val="00DD1033"/>
    <w:rsid w:val="00DD398A"/>
    <w:rsid w:val="00DD76C1"/>
    <w:rsid w:val="00DE01E0"/>
    <w:rsid w:val="00DE21A3"/>
    <w:rsid w:val="00DF029D"/>
    <w:rsid w:val="00DF08A9"/>
    <w:rsid w:val="00DF1720"/>
    <w:rsid w:val="00DF24B6"/>
    <w:rsid w:val="00DF7A5A"/>
    <w:rsid w:val="00E0413F"/>
    <w:rsid w:val="00E06D34"/>
    <w:rsid w:val="00E1119C"/>
    <w:rsid w:val="00E11685"/>
    <w:rsid w:val="00E11993"/>
    <w:rsid w:val="00E12512"/>
    <w:rsid w:val="00E133E5"/>
    <w:rsid w:val="00E15234"/>
    <w:rsid w:val="00E20D6D"/>
    <w:rsid w:val="00E20F31"/>
    <w:rsid w:val="00E21D59"/>
    <w:rsid w:val="00E2466F"/>
    <w:rsid w:val="00E263F7"/>
    <w:rsid w:val="00E331E8"/>
    <w:rsid w:val="00E402FE"/>
    <w:rsid w:val="00E4451B"/>
    <w:rsid w:val="00E473B1"/>
    <w:rsid w:val="00E53159"/>
    <w:rsid w:val="00E5428B"/>
    <w:rsid w:val="00E55879"/>
    <w:rsid w:val="00E561AF"/>
    <w:rsid w:val="00E57AC7"/>
    <w:rsid w:val="00E57D78"/>
    <w:rsid w:val="00E61395"/>
    <w:rsid w:val="00E645F8"/>
    <w:rsid w:val="00E648C7"/>
    <w:rsid w:val="00E65900"/>
    <w:rsid w:val="00E65A0F"/>
    <w:rsid w:val="00E67CC6"/>
    <w:rsid w:val="00E70889"/>
    <w:rsid w:val="00E74137"/>
    <w:rsid w:val="00E744E0"/>
    <w:rsid w:val="00E746F4"/>
    <w:rsid w:val="00E755D3"/>
    <w:rsid w:val="00E75697"/>
    <w:rsid w:val="00E821A4"/>
    <w:rsid w:val="00E87C0A"/>
    <w:rsid w:val="00E90CCB"/>
    <w:rsid w:val="00E9125B"/>
    <w:rsid w:val="00E91DC0"/>
    <w:rsid w:val="00E97BD0"/>
    <w:rsid w:val="00EA3E73"/>
    <w:rsid w:val="00EA4DF7"/>
    <w:rsid w:val="00EA7101"/>
    <w:rsid w:val="00EB1F43"/>
    <w:rsid w:val="00EB49CF"/>
    <w:rsid w:val="00EB5F95"/>
    <w:rsid w:val="00EB7982"/>
    <w:rsid w:val="00EC197E"/>
    <w:rsid w:val="00EC3B59"/>
    <w:rsid w:val="00EC4044"/>
    <w:rsid w:val="00ED3C0D"/>
    <w:rsid w:val="00ED628B"/>
    <w:rsid w:val="00ED7DEB"/>
    <w:rsid w:val="00EE03E4"/>
    <w:rsid w:val="00EE0B2D"/>
    <w:rsid w:val="00EE371F"/>
    <w:rsid w:val="00EE575A"/>
    <w:rsid w:val="00EE74A7"/>
    <w:rsid w:val="00EF0042"/>
    <w:rsid w:val="00EF0BF3"/>
    <w:rsid w:val="00EF152A"/>
    <w:rsid w:val="00EF4E67"/>
    <w:rsid w:val="00F05477"/>
    <w:rsid w:val="00F10102"/>
    <w:rsid w:val="00F12E9E"/>
    <w:rsid w:val="00F15BF9"/>
    <w:rsid w:val="00F209D8"/>
    <w:rsid w:val="00F27C1D"/>
    <w:rsid w:val="00F31CA9"/>
    <w:rsid w:val="00F3532F"/>
    <w:rsid w:val="00F3632E"/>
    <w:rsid w:val="00F4212B"/>
    <w:rsid w:val="00F42205"/>
    <w:rsid w:val="00F45343"/>
    <w:rsid w:val="00F4702A"/>
    <w:rsid w:val="00F5036E"/>
    <w:rsid w:val="00F51BA2"/>
    <w:rsid w:val="00F5250D"/>
    <w:rsid w:val="00F529C6"/>
    <w:rsid w:val="00F57AAB"/>
    <w:rsid w:val="00F60BF6"/>
    <w:rsid w:val="00F60C68"/>
    <w:rsid w:val="00F63432"/>
    <w:rsid w:val="00F64AC7"/>
    <w:rsid w:val="00F64C20"/>
    <w:rsid w:val="00F72952"/>
    <w:rsid w:val="00F731A0"/>
    <w:rsid w:val="00F739C8"/>
    <w:rsid w:val="00F748B5"/>
    <w:rsid w:val="00F74F9C"/>
    <w:rsid w:val="00F75FC2"/>
    <w:rsid w:val="00F775A2"/>
    <w:rsid w:val="00F83D40"/>
    <w:rsid w:val="00F86757"/>
    <w:rsid w:val="00F8777B"/>
    <w:rsid w:val="00F909FF"/>
    <w:rsid w:val="00F90E6B"/>
    <w:rsid w:val="00FA0241"/>
    <w:rsid w:val="00FA164F"/>
    <w:rsid w:val="00FA2437"/>
    <w:rsid w:val="00FA308C"/>
    <w:rsid w:val="00FA6D8A"/>
    <w:rsid w:val="00FA749C"/>
    <w:rsid w:val="00FA7747"/>
    <w:rsid w:val="00FB115A"/>
    <w:rsid w:val="00FB119A"/>
    <w:rsid w:val="00FC0CA8"/>
    <w:rsid w:val="00FC4DBD"/>
    <w:rsid w:val="00FC4F5A"/>
    <w:rsid w:val="00FC58E6"/>
    <w:rsid w:val="00FC5E21"/>
    <w:rsid w:val="00FC6488"/>
    <w:rsid w:val="00FD0750"/>
    <w:rsid w:val="00FD749F"/>
    <w:rsid w:val="00FE216B"/>
    <w:rsid w:val="00FE7F01"/>
    <w:rsid w:val="00FF0932"/>
    <w:rsid w:val="00FF151A"/>
    <w:rsid w:val="00FF568F"/>
    <w:rsid w:val="0100553C"/>
    <w:rsid w:val="01064C9A"/>
    <w:rsid w:val="010C47B7"/>
    <w:rsid w:val="0112363F"/>
    <w:rsid w:val="01156698"/>
    <w:rsid w:val="01193185"/>
    <w:rsid w:val="011A4D50"/>
    <w:rsid w:val="01206530"/>
    <w:rsid w:val="0127533C"/>
    <w:rsid w:val="01315D00"/>
    <w:rsid w:val="013435B5"/>
    <w:rsid w:val="0136557F"/>
    <w:rsid w:val="0155241A"/>
    <w:rsid w:val="01593B8E"/>
    <w:rsid w:val="018A58CB"/>
    <w:rsid w:val="019B3634"/>
    <w:rsid w:val="01AC6828"/>
    <w:rsid w:val="01AE3368"/>
    <w:rsid w:val="01BD17FD"/>
    <w:rsid w:val="01C043F1"/>
    <w:rsid w:val="01C725F7"/>
    <w:rsid w:val="01D775B9"/>
    <w:rsid w:val="01E7687A"/>
    <w:rsid w:val="01EB45BC"/>
    <w:rsid w:val="01F05F54"/>
    <w:rsid w:val="01F66ABD"/>
    <w:rsid w:val="0204742C"/>
    <w:rsid w:val="02106709"/>
    <w:rsid w:val="0216715F"/>
    <w:rsid w:val="02176416"/>
    <w:rsid w:val="02242CC3"/>
    <w:rsid w:val="0224362A"/>
    <w:rsid w:val="022A6766"/>
    <w:rsid w:val="023F0464"/>
    <w:rsid w:val="02497534"/>
    <w:rsid w:val="025E4CA2"/>
    <w:rsid w:val="02624152"/>
    <w:rsid w:val="027A5940"/>
    <w:rsid w:val="027C5C61"/>
    <w:rsid w:val="02A66735"/>
    <w:rsid w:val="02AD361F"/>
    <w:rsid w:val="02B30F4C"/>
    <w:rsid w:val="02B532B3"/>
    <w:rsid w:val="02C40969"/>
    <w:rsid w:val="02C600A3"/>
    <w:rsid w:val="02D36DFE"/>
    <w:rsid w:val="02DC2156"/>
    <w:rsid w:val="02DC3F04"/>
    <w:rsid w:val="02E84657"/>
    <w:rsid w:val="02EA2B78"/>
    <w:rsid w:val="02F76749"/>
    <w:rsid w:val="03060F81"/>
    <w:rsid w:val="03100052"/>
    <w:rsid w:val="0317318F"/>
    <w:rsid w:val="031F665B"/>
    <w:rsid w:val="033C0E47"/>
    <w:rsid w:val="035148F2"/>
    <w:rsid w:val="03546191"/>
    <w:rsid w:val="03575C81"/>
    <w:rsid w:val="03577A2F"/>
    <w:rsid w:val="03667C72"/>
    <w:rsid w:val="03685798"/>
    <w:rsid w:val="03804398"/>
    <w:rsid w:val="03885E3A"/>
    <w:rsid w:val="038A3960"/>
    <w:rsid w:val="03C03826"/>
    <w:rsid w:val="03C5243A"/>
    <w:rsid w:val="03CE5F43"/>
    <w:rsid w:val="03DB41BC"/>
    <w:rsid w:val="03E05C76"/>
    <w:rsid w:val="03E07A24"/>
    <w:rsid w:val="03E20BAC"/>
    <w:rsid w:val="03E373E7"/>
    <w:rsid w:val="03F31CB7"/>
    <w:rsid w:val="04074FB1"/>
    <w:rsid w:val="040E6340"/>
    <w:rsid w:val="0410030A"/>
    <w:rsid w:val="0414147C"/>
    <w:rsid w:val="041F2294"/>
    <w:rsid w:val="04206237"/>
    <w:rsid w:val="04304467"/>
    <w:rsid w:val="0433224A"/>
    <w:rsid w:val="043B2EAD"/>
    <w:rsid w:val="0442553D"/>
    <w:rsid w:val="04461E7D"/>
    <w:rsid w:val="04554655"/>
    <w:rsid w:val="045C2016"/>
    <w:rsid w:val="0471630E"/>
    <w:rsid w:val="04784101"/>
    <w:rsid w:val="047B0D01"/>
    <w:rsid w:val="048760F2"/>
    <w:rsid w:val="04951B45"/>
    <w:rsid w:val="049F168E"/>
    <w:rsid w:val="04A36A89"/>
    <w:rsid w:val="04A951DB"/>
    <w:rsid w:val="04B35139"/>
    <w:rsid w:val="04BD7D66"/>
    <w:rsid w:val="04DC3081"/>
    <w:rsid w:val="04EB4302"/>
    <w:rsid w:val="04FB71D2"/>
    <w:rsid w:val="04FD0162"/>
    <w:rsid w:val="050447EE"/>
    <w:rsid w:val="050F05C1"/>
    <w:rsid w:val="0517381B"/>
    <w:rsid w:val="052027CE"/>
    <w:rsid w:val="05216546"/>
    <w:rsid w:val="052E6336"/>
    <w:rsid w:val="0530678A"/>
    <w:rsid w:val="053E4A03"/>
    <w:rsid w:val="054412C6"/>
    <w:rsid w:val="05483AD3"/>
    <w:rsid w:val="055404AA"/>
    <w:rsid w:val="05663F59"/>
    <w:rsid w:val="057743B8"/>
    <w:rsid w:val="05962D81"/>
    <w:rsid w:val="05A76A4C"/>
    <w:rsid w:val="05C173E2"/>
    <w:rsid w:val="05C70E9C"/>
    <w:rsid w:val="05CA44E8"/>
    <w:rsid w:val="05D84E57"/>
    <w:rsid w:val="05EF3192"/>
    <w:rsid w:val="05FB3F65"/>
    <w:rsid w:val="060743F1"/>
    <w:rsid w:val="06093262"/>
    <w:rsid w:val="060C4DD3"/>
    <w:rsid w:val="061B11E8"/>
    <w:rsid w:val="06287E53"/>
    <w:rsid w:val="062A4F87"/>
    <w:rsid w:val="062C6F51"/>
    <w:rsid w:val="063B5518"/>
    <w:rsid w:val="06456265"/>
    <w:rsid w:val="06500E91"/>
    <w:rsid w:val="06581AF4"/>
    <w:rsid w:val="069025ED"/>
    <w:rsid w:val="0691471E"/>
    <w:rsid w:val="06AB256C"/>
    <w:rsid w:val="06B238FA"/>
    <w:rsid w:val="06B72BC7"/>
    <w:rsid w:val="06C61131"/>
    <w:rsid w:val="06D575E9"/>
    <w:rsid w:val="06DE46EF"/>
    <w:rsid w:val="06E7C2D2"/>
    <w:rsid w:val="06ED6FA7"/>
    <w:rsid w:val="06EE0437"/>
    <w:rsid w:val="06F35CC1"/>
    <w:rsid w:val="06F37A6F"/>
    <w:rsid w:val="07027CB2"/>
    <w:rsid w:val="07097292"/>
    <w:rsid w:val="070F3EAA"/>
    <w:rsid w:val="07124399"/>
    <w:rsid w:val="071D4AEC"/>
    <w:rsid w:val="071F68B2"/>
    <w:rsid w:val="072B0FB7"/>
    <w:rsid w:val="072C758B"/>
    <w:rsid w:val="073562D9"/>
    <w:rsid w:val="074D224E"/>
    <w:rsid w:val="075274FC"/>
    <w:rsid w:val="075971C8"/>
    <w:rsid w:val="07630750"/>
    <w:rsid w:val="0764271A"/>
    <w:rsid w:val="076A5F83"/>
    <w:rsid w:val="076FAA59"/>
    <w:rsid w:val="077566D6"/>
    <w:rsid w:val="07794418"/>
    <w:rsid w:val="077F1302"/>
    <w:rsid w:val="07837045"/>
    <w:rsid w:val="079C0106"/>
    <w:rsid w:val="07A442D4"/>
    <w:rsid w:val="07AB5A00"/>
    <w:rsid w:val="07C03DF5"/>
    <w:rsid w:val="07D01B5E"/>
    <w:rsid w:val="07D63618"/>
    <w:rsid w:val="07DB2536"/>
    <w:rsid w:val="07DC0503"/>
    <w:rsid w:val="07E51AAD"/>
    <w:rsid w:val="07F27D26"/>
    <w:rsid w:val="07F817E1"/>
    <w:rsid w:val="07F95559"/>
    <w:rsid w:val="07FE9BBE"/>
    <w:rsid w:val="08002FFD"/>
    <w:rsid w:val="08003DC4"/>
    <w:rsid w:val="080C0DE8"/>
    <w:rsid w:val="08275DCF"/>
    <w:rsid w:val="082779D0"/>
    <w:rsid w:val="084C5688"/>
    <w:rsid w:val="085E00A1"/>
    <w:rsid w:val="085F761F"/>
    <w:rsid w:val="086956BA"/>
    <w:rsid w:val="086A00E6"/>
    <w:rsid w:val="087D1CE6"/>
    <w:rsid w:val="08892439"/>
    <w:rsid w:val="08B33959"/>
    <w:rsid w:val="08B4560F"/>
    <w:rsid w:val="08B5322E"/>
    <w:rsid w:val="08BB636A"/>
    <w:rsid w:val="08CC4A1B"/>
    <w:rsid w:val="08D31906"/>
    <w:rsid w:val="08E93645"/>
    <w:rsid w:val="08F17FDE"/>
    <w:rsid w:val="08FF094D"/>
    <w:rsid w:val="08FF6B9F"/>
    <w:rsid w:val="090C4E18"/>
    <w:rsid w:val="09102B5A"/>
    <w:rsid w:val="091423DD"/>
    <w:rsid w:val="09173EE8"/>
    <w:rsid w:val="091F4B4B"/>
    <w:rsid w:val="09226386"/>
    <w:rsid w:val="09271C52"/>
    <w:rsid w:val="092C1016"/>
    <w:rsid w:val="092E1232"/>
    <w:rsid w:val="09336848"/>
    <w:rsid w:val="093E2CBE"/>
    <w:rsid w:val="093E76C7"/>
    <w:rsid w:val="093F343F"/>
    <w:rsid w:val="09412D13"/>
    <w:rsid w:val="09475E50"/>
    <w:rsid w:val="09572F58"/>
    <w:rsid w:val="09581E0B"/>
    <w:rsid w:val="0960344D"/>
    <w:rsid w:val="09691028"/>
    <w:rsid w:val="096B3BF3"/>
    <w:rsid w:val="0970184A"/>
    <w:rsid w:val="09736C45"/>
    <w:rsid w:val="0973759F"/>
    <w:rsid w:val="097536D0"/>
    <w:rsid w:val="099B2D17"/>
    <w:rsid w:val="09AA4D5C"/>
    <w:rsid w:val="09AA7B54"/>
    <w:rsid w:val="09B47989"/>
    <w:rsid w:val="09BB7DD7"/>
    <w:rsid w:val="09C15C02"/>
    <w:rsid w:val="09C676BC"/>
    <w:rsid w:val="09CD45A7"/>
    <w:rsid w:val="09CF6571"/>
    <w:rsid w:val="09D26108"/>
    <w:rsid w:val="09DB3168"/>
    <w:rsid w:val="09F63AFE"/>
    <w:rsid w:val="0A0A1357"/>
    <w:rsid w:val="0A0A75A9"/>
    <w:rsid w:val="0A1B3564"/>
    <w:rsid w:val="0A1B5312"/>
    <w:rsid w:val="0A314B36"/>
    <w:rsid w:val="0A4A209B"/>
    <w:rsid w:val="0A4F6B43"/>
    <w:rsid w:val="0A53782A"/>
    <w:rsid w:val="0A540824"/>
    <w:rsid w:val="0A56459C"/>
    <w:rsid w:val="0A59408D"/>
    <w:rsid w:val="0A6273E5"/>
    <w:rsid w:val="0A71587A"/>
    <w:rsid w:val="0A726EFC"/>
    <w:rsid w:val="0A747118"/>
    <w:rsid w:val="0A7669ED"/>
    <w:rsid w:val="0A7705F9"/>
    <w:rsid w:val="0A7A4013"/>
    <w:rsid w:val="0A9926DB"/>
    <w:rsid w:val="0A9E5F43"/>
    <w:rsid w:val="0AAD02CE"/>
    <w:rsid w:val="0ABB08A3"/>
    <w:rsid w:val="0ABD7054"/>
    <w:rsid w:val="0AC27C6A"/>
    <w:rsid w:val="0ACA278E"/>
    <w:rsid w:val="0ACE7E1A"/>
    <w:rsid w:val="0ACF434F"/>
    <w:rsid w:val="0AD00EBD"/>
    <w:rsid w:val="0AD11B2D"/>
    <w:rsid w:val="0AD57BB7"/>
    <w:rsid w:val="0AE85B89"/>
    <w:rsid w:val="0AF53DB5"/>
    <w:rsid w:val="0AF777D1"/>
    <w:rsid w:val="0AFC96EE"/>
    <w:rsid w:val="0B05139F"/>
    <w:rsid w:val="0B1A3A0F"/>
    <w:rsid w:val="0B1F7084"/>
    <w:rsid w:val="0B217619"/>
    <w:rsid w:val="0B24468A"/>
    <w:rsid w:val="0B372620"/>
    <w:rsid w:val="0B3A2110"/>
    <w:rsid w:val="0B3F3282"/>
    <w:rsid w:val="0B48482D"/>
    <w:rsid w:val="0B505490"/>
    <w:rsid w:val="0B534F80"/>
    <w:rsid w:val="0B5D195B"/>
    <w:rsid w:val="0B5F0FE5"/>
    <w:rsid w:val="0B6131F9"/>
    <w:rsid w:val="0B6251C3"/>
    <w:rsid w:val="0B786794"/>
    <w:rsid w:val="0B801A3F"/>
    <w:rsid w:val="0B844339"/>
    <w:rsid w:val="0B8C27E0"/>
    <w:rsid w:val="0B952446"/>
    <w:rsid w:val="0B97475E"/>
    <w:rsid w:val="0BA27BE5"/>
    <w:rsid w:val="0BA63302"/>
    <w:rsid w:val="0BAB0918"/>
    <w:rsid w:val="0BB579E9"/>
    <w:rsid w:val="0BBFB1C5"/>
    <w:rsid w:val="0BC11EE9"/>
    <w:rsid w:val="0BD07432"/>
    <w:rsid w:val="0BE36304"/>
    <w:rsid w:val="0C1558EC"/>
    <w:rsid w:val="0C2C5C40"/>
    <w:rsid w:val="0C452F2C"/>
    <w:rsid w:val="0C460641"/>
    <w:rsid w:val="0C48541E"/>
    <w:rsid w:val="0C57284E"/>
    <w:rsid w:val="0C6112A5"/>
    <w:rsid w:val="0C6271A8"/>
    <w:rsid w:val="0C6A2581"/>
    <w:rsid w:val="0C75623D"/>
    <w:rsid w:val="0C7C4062"/>
    <w:rsid w:val="0C7C409E"/>
    <w:rsid w:val="0C886EAB"/>
    <w:rsid w:val="0CAA68DE"/>
    <w:rsid w:val="0CB3147A"/>
    <w:rsid w:val="0CBE28CD"/>
    <w:rsid w:val="0CC07B24"/>
    <w:rsid w:val="0CD67C16"/>
    <w:rsid w:val="0CD8573D"/>
    <w:rsid w:val="0CD93263"/>
    <w:rsid w:val="0CE560AB"/>
    <w:rsid w:val="0CE57E5A"/>
    <w:rsid w:val="0CE95B9C"/>
    <w:rsid w:val="0CE9794A"/>
    <w:rsid w:val="0CF32F00"/>
    <w:rsid w:val="0CF44970"/>
    <w:rsid w:val="0CFC588E"/>
    <w:rsid w:val="0CFE6269"/>
    <w:rsid w:val="0D0F4ED6"/>
    <w:rsid w:val="0D152A80"/>
    <w:rsid w:val="0D1A3FA7"/>
    <w:rsid w:val="0D2210AE"/>
    <w:rsid w:val="0D2E35AF"/>
    <w:rsid w:val="0D334126"/>
    <w:rsid w:val="0D38442D"/>
    <w:rsid w:val="0D3E1A6A"/>
    <w:rsid w:val="0D400A33"/>
    <w:rsid w:val="0D42705A"/>
    <w:rsid w:val="0D4E1EA3"/>
    <w:rsid w:val="0D553231"/>
    <w:rsid w:val="0D5B011C"/>
    <w:rsid w:val="0D611BD6"/>
    <w:rsid w:val="0D643474"/>
    <w:rsid w:val="0D690A8B"/>
    <w:rsid w:val="0D766D04"/>
    <w:rsid w:val="0D780CCE"/>
    <w:rsid w:val="0D8C6527"/>
    <w:rsid w:val="0D933D59"/>
    <w:rsid w:val="0D9F26FE"/>
    <w:rsid w:val="0DA90E87"/>
    <w:rsid w:val="0DB12B4A"/>
    <w:rsid w:val="0DB62EC2"/>
    <w:rsid w:val="0DD00B0A"/>
    <w:rsid w:val="0DDA1988"/>
    <w:rsid w:val="0DE10621"/>
    <w:rsid w:val="0DED16BC"/>
    <w:rsid w:val="0DF465A6"/>
    <w:rsid w:val="0DFD060A"/>
    <w:rsid w:val="0DFE7425"/>
    <w:rsid w:val="0E1C7FA0"/>
    <w:rsid w:val="0E2F75DE"/>
    <w:rsid w:val="0E325320"/>
    <w:rsid w:val="0E357D86"/>
    <w:rsid w:val="0E383AA8"/>
    <w:rsid w:val="0E3E10C3"/>
    <w:rsid w:val="0E54415D"/>
    <w:rsid w:val="0E5A59BA"/>
    <w:rsid w:val="0E6A4ABA"/>
    <w:rsid w:val="0E770F85"/>
    <w:rsid w:val="0E820056"/>
    <w:rsid w:val="0E9953A0"/>
    <w:rsid w:val="0E9E4764"/>
    <w:rsid w:val="0E9F3E75"/>
    <w:rsid w:val="0EAD49A7"/>
    <w:rsid w:val="0EBE5C1F"/>
    <w:rsid w:val="0ECA37AB"/>
    <w:rsid w:val="0EDB32C2"/>
    <w:rsid w:val="0EDC7FE2"/>
    <w:rsid w:val="0EE52393"/>
    <w:rsid w:val="0F0C0596"/>
    <w:rsid w:val="0F1467D4"/>
    <w:rsid w:val="0F1477D9"/>
    <w:rsid w:val="0F1D7D7F"/>
    <w:rsid w:val="0F362BEE"/>
    <w:rsid w:val="0F384BB8"/>
    <w:rsid w:val="0F403A6D"/>
    <w:rsid w:val="0F476BAA"/>
    <w:rsid w:val="0F4C5F6E"/>
    <w:rsid w:val="0F6459AD"/>
    <w:rsid w:val="0F696B20"/>
    <w:rsid w:val="0F6C5013"/>
    <w:rsid w:val="0F7F04E1"/>
    <w:rsid w:val="0F8E2A2A"/>
    <w:rsid w:val="0F8E47D8"/>
    <w:rsid w:val="0F96368D"/>
    <w:rsid w:val="0FA364D6"/>
    <w:rsid w:val="0FA620EE"/>
    <w:rsid w:val="0FAD27A1"/>
    <w:rsid w:val="0FB57FB7"/>
    <w:rsid w:val="0FBD5E71"/>
    <w:rsid w:val="0FC404B7"/>
    <w:rsid w:val="0FC621C4"/>
    <w:rsid w:val="0FCF4BD5"/>
    <w:rsid w:val="0FD52407"/>
    <w:rsid w:val="0FE05E95"/>
    <w:rsid w:val="0FE07842"/>
    <w:rsid w:val="0FE16FFE"/>
    <w:rsid w:val="0FE4264A"/>
    <w:rsid w:val="0FED7751"/>
    <w:rsid w:val="0FEE5277"/>
    <w:rsid w:val="0FFD240A"/>
    <w:rsid w:val="0FFE370C"/>
    <w:rsid w:val="10036F74"/>
    <w:rsid w:val="100B7BD7"/>
    <w:rsid w:val="1025513D"/>
    <w:rsid w:val="10264A11"/>
    <w:rsid w:val="1030349B"/>
    <w:rsid w:val="1033383A"/>
    <w:rsid w:val="10390BE8"/>
    <w:rsid w:val="10545A22"/>
    <w:rsid w:val="10580021"/>
    <w:rsid w:val="10685029"/>
    <w:rsid w:val="106F63B8"/>
    <w:rsid w:val="10923E54"/>
    <w:rsid w:val="10967DE9"/>
    <w:rsid w:val="109776BD"/>
    <w:rsid w:val="10A60810"/>
    <w:rsid w:val="10A87B1C"/>
    <w:rsid w:val="10AA3894"/>
    <w:rsid w:val="10B5192F"/>
    <w:rsid w:val="10B85FB1"/>
    <w:rsid w:val="10CA5CE4"/>
    <w:rsid w:val="10E77FBE"/>
    <w:rsid w:val="10F60887"/>
    <w:rsid w:val="10F90377"/>
    <w:rsid w:val="1125116C"/>
    <w:rsid w:val="11274EE5"/>
    <w:rsid w:val="112F5B47"/>
    <w:rsid w:val="1131366D"/>
    <w:rsid w:val="11334496"/>
    <w:rsid w:val="11370089"/>
    <w:rsid w:val="113C3A20"/>
    <w:rsid w:val="11494E5B"/>
    <w:rsid w:val="114A0BD3"/>
    <w:rsid w:val="11502559"/>
    <w:rsid w:val="11553BDD"/>
    <w:rsid w:val="115B06EA"/>
    <w:rsid w:val="117E738F"/>
    <w:rsid w:val="1182211B"/>
    <w:rsid w:val="11867E5D"/>
    <w:rsid w:val="11967974"/>
    <w:rsid w:val="11B36778"/>
    <w:rsid w:val="11B40530"/>
    <w:rsid w:val="11B45ED9"/>
    <w:rsid w:val="11B62F80"/>
    <w:rsid w:val="11BD75F7"/>
    <w:rsid w:val="11C97F1A"/>
    <w:rsid w:val="11DF36A1"/>
    <w:rsid w:val="11E35AA0"/>
    <w:rsid w:val="11E9219A"/>
    <w:rsid w:val="11FE3E97"/>
    <w:rsid w:val="120668A8"/>
    <w:rsid w:val="120E2CCF"/>
    <w:rsid w:val="12152F8F"/>
    <w:rsid w:val="122554C6"/>
    <w:rsid w:val="12323B41"/>
    <w:rsid w:val="12411FD6"/>
    <w:rsid w:val="12437AFC"/>
    <w:rsid w:val="12614426"/>
    <w:rsid w:val="126227B4"/>
    <w:rsid w:val="126C7543"/>
    <w:rsid w:val="12745F08"/>
    <w:rsid w:val="12754F46"/>
    <w:rsid w:val="12847AFA"/>
    <w:rsid w:val="12863E8D"/>
    <w:rsid w:val="12A85BB1"/>
    <w:rsid w:val="12AA1929"/>
    <w:rsid w:val="12AF1FE4"/>
    <w:rsid w:val="12B97DBE"/>
    <w:rsid w:val="12BB3B36"/>
    <w:rsid w:val="12C351C4"/>
    <w:rsid w:val="12D2317B"/>
    <w:rsid w:val="12DB0594"/>
    <w:rsid w:val="12DB7D35"/>
    <w:rsid w:val="12DE7825"/>
    <w:rsid w:val="12E55FEE"/>
    <w:rsid w:val="12F31522"/>
    <w:rsid w:val="1300779B"/>
    <w:rsid w:val="13082AF4"/>
    <w:rsid w:val="130D615E"/>
    <w:rsid w:val="131674A1"/>
    <w:rsid w:val="131D034D"/>
    <w:rsid w:val="13283524"/>
    <w:rsid w:val="13315BA7"/>
    <w:rsid w:val="13392358"/>
    <w:rsid w:val="133B07D3"/>
    <w:rsid w:val="135D699C"/>
    <w:rsid w:val="136B3218"/>
    <w:rsid w:val="136C3EED"/>
    <w:rsid w:val="13813B6F"/>
    <w:rsid w:val="138D03AF"/>
    <w:rsid w:val="139236BB"/>
    <w:rsid w:val="139879D4"/>
    <w:rsid w:val="139F6FB4"/>
    <w:rsid w:val="13A26AA4"/>
    <w:rsid w:val="13B642FE"/>
    <w:rsid w:val="13BB1914"/>
    <w:rsid w:val="13BB206E"/>
    <w:rsid w:val="13D1738A"/>
    <w:rsid w:val="13D80718"/>
    <w:rsid w:val="13D950E1"/>
    <w:rsid w:val="13DC1FB6"/>
    <w:rsid w:val="13E15699"/>
    <w:rsid w:val="13EA1E74"/>
    <w:rsid w:val="13EF3E23"/>
    <w:rsid w:val="13FDE4E9"/>
    <w:rsid w:val="13FF5CA5"/>
    <w:rsid w:val="14005579"/>
    <w:rsid w:val="140B63F8"/>
    <w:rsid w:val="142851FC"/>
    <w:rsid w:val="143F42F3"/>
    <w:rsid w:val="1448764C"/>
    <w:rsid w:val="145853B5"/>
    <w:rsid w:val="14714425"/>
    <w:rsid w:val="14773A8D"/>
    <w:rsid w:val="14785E3A"/>
    <w:rsid w:val="147E5129"/>
    <w:rsid w:val="14812B5E"/>
    <w:rsid w:val="14830684"/>
    <w:rsid w:val="148E75B8"/>
    <w:rsid w:val="148F527B"/>
    <w:rsid w:val="149573A0"/>
    <w:rsid w:val="14972381"/>
    <w:rsid w:val="14A32AD4"/>
    <w:rsid w:val="14A81E98"/>
    <w:rsid w:val="14AD3953"/>
    <w:rsid w:val="14C119F5"/>
    <w:rsid w:val="14C17E60"/>
    <w:rsid w:val="14C36CD2"/>
    <w:rsid w:val="14CA6F83"/>
    <w:rsid w:val="14E05AD6"/>
    <w:rsid w:val="14E07884"/>
    <w:rsid w:val="14FB2910"/>
    <w:rsid w:val="15080B89"/>
    <w:rsid w:val="150C1BA5"/>
    <w:rsid w:val="151B4D60"/>
    <w:rsid w:val="152C3F68"/>
    <w:rsid w:val="15524618"/>
    <w:rsid w:val="155E2E9F"/>
    <w:rsid w:val="155E4C4D"/>
    <w:rsid w:val="156009C5"/>
    <w:rsid w:val="15602773"/>
    <w:rsid w:val="15785D0F"/>
    <w:rsid w:val="157B75AD"/>
    <w:rsid w:val="157F52EF"/>
    <w:rsid w:val="15843123"/>
    <w:rsid w:val="15846453"/>
    <w:rsid w:val="158741A4"/>
    <w:rsid w:val="15973CBB"/>
    <w:rsid w:val="159B421A"/>
    <w:rsid w:val="159D5775"/>
    <w:rsid w:val="15AE4CA6"/>
    <w:rsid w:val="15BD5E17"/>
    <w:rsid w:val="15CA22E2"/>
    <w:rsid w:val="15CE200E"/>
    <w:rsid w:val="15D1541F"/>
    <w:rsid w:val="15E30B21"/>
    <w:rsid w:val="15E92769"/>
    <w:rsid w:val="15F1161D"/>
    <w:rsid w:val="15F7693B"/>
    <w:rsid w:val="15F86E50"/>
    <w:rsid w:val="15FFD219"/>
    <w:rsid w:val="160643EA"/>
    <w:rsid w:val="160B6B83"/>
    <w:rsid w:val="16113B89"/>
    <w:rsid w:val="161B48EC"/>
    <w:rsid w:val="16221E64"/>
    <w:rsid w:val="16353C00"/>
    <w:rsid w:val="16491C86"/>
    <w:rsid w:val="16573B76"/>
    <w:rsid w:val="166743C0"/>
    <w:rsid w:val="16691AFB"/>
    <w:rsid w:val="166938A9"/>
    <w:rsid w:val="166A1D5B"/>
    <w:rsid w:val="16797F90"/>
    <w:rsid w:val="169923E1"/>
    <w:rsid w:val="16996F47"/>
    <w:rsid w:val="16A3500D"/>
    <w:rsid w:val="16AB5C70"/>
    <w:rsid w:val="16AD7C3A"/>
    <w:rsid w:val="16C810CC"/>
    <w:rsid w:val="16C83453"/>
    <w:rsid w:val="16DF3B6C"/>
    <w:rsid w:val="16E573D4"/>
    <w:rsid w:val="16EB0762"/>
    <w:rsid w:val="16EF0253"/>
    <w:rsid w:val="17017F86"/>
    <w:rsid w:val="17081314"/>
    <w:rsid w:val="17216BF1"/>
    <w:rsid w:val="17342109"/>
    <w:rsid w:val="173B5246"/>
    <w:rsid w:val="17430527"/>
    <w:rsid w:val="1743234C"/>
    <w:rsid w:val="174560AE"/>
    <w:rsid w:val="17465CF0"/>
    <w:rsid w:val="174A246D"/>
    <w:rsid w:val="174A7237"/>
    <w:rsid w:val="176B686C"/>
    <w:rsid w:val="176C5189"/>
    <w:rsid w:val="17793522"/>
    <w:rsid w:val="178D35C8"/>
    <w:rsid w:val="1794305D"/>
    <w:rsid w:val="17AA1223"/>
    <w:rsid w:val="17B84AE8"/>
    <w:rsid w:val="17C20AF1"/>
    <w:rsid w:val="17CE7E68"/>
    <w:rsid w:val="17CF3BE0"/>
    <w:rsid w:val="17D31922"/>
    <w:rsid w:val="17DF02C7"/>
    <w:rsid w:val="17E05DED"/>
    <w:rsid w:val="17E458DD"/>
    <w:rsid w:val="17EC6540"/>
    <w:rsid w:val="17F90C5D"/>
    <w:rsid w:val="17FE0021"/>
    <w:rsid w:val="17FFF359"/>
    <w:rsid w:val="18040B17"/>
    <w:rsid w:val="18147EF7"/>
    <w:rsid w:val="1824217E"/>
    <w:rsid w:val="182C4B8E"/>
    <w:rsid w:val="1836143D"/>
    <w:rsid w:val="183F2B14"/>
    <w:rsid w:val="183F4A1B"/>
    <w:rsid w:val="18561D8C"/>
    <w:rsid w:val="18636858"/>
    <w:rsid w:val="186802BC"/>
    <w:rsid w:val="18692356"/>
    <w:rsid w:val="186C142F"/>
    <w:rsid w:val="187327BD"/>
    <w:rsid w:val="18822A00"/>
    <w:rsid w:val="18893D8F"/>
    <w:rsid w:val="188A28AC"/>
    <w:rsid w:val="188C387F"/>
    <w:rsid w:val="18980476"/>
    <w:rsid w:val="18B51028"/>
    <w:rsid w:val="18B552A6"/>
    <w:rsid w:val="18B72FDA"/>
    <w:rsid w:val="18BA663E"/>
    <w:rsid w:val="18BD7EDC"/>
    <w:rsid w:val="18C354F3"/>
    <w:rsid w:val="18CB084B"/>
    <w:rsid w:val="18D21BDA"/>
    <w:rsid w:val="18E147A1"/>
    <w:rsid w:val="18EB6B88"/>
    <w:rsid w:val="19292A5B"/>
    <w:rsid w:val="193B4FD0"/>
    <w:rsid w:val="19483C4A"/>
    <w:rsid w:val="196640D0"/>
    <w:rsid w:val="196675A6"/>
    <w:rsid w:val="196C3C60"/>
    <w:rsid w:val="196E69FF"/>
    <w:rsid w:val="19826C1B"/>
    <w:rsid w:val="19834C82"/>
    <w:rsid w:val="198D79E3"/>
    <w:rsid w:val="199155F1"/>
    <w:rsid w:val="1997072D"/>
    <w:rsid w:val="199E386A"/>
    <w:rsid w:val="19A30E80"/>
    <w:rsid w:val="19AA3D70"/>
    <w:rsid w:val="19B4188F"/>
    <w:rsid w:val="19B66E06"/>
    <w:rsid w:val="19C257AA"/>
    <w:rsid w:val="19F23D5E"/>
    <w:rsid w:val="19F441E8"/>
    <w:rsid w:val="19F50C03"/>
    <w:rsid w:val="19FA13E8"/>
    <w:rsid w:val="19FA57AF"/>
    <w:rsid w:val="19FB6F0E"/>
    <w:rsid w:val="19FD2C86"/>
    <w:rsid w:val="19FF69FF"/>
    <w:rsid w:val="1A15655E"/>
    <w:rsid w:val="1A1A55E6"/>
    <w:rsid w:val="1A1B135F"/>
    <w:rsid w:val="1A3146DE"/>
    <w:rsid w:val="1A3D3083"/>
    <w:rsid w:val="1A3F6DFB"/>
    <w:rsid w:val="1A402B73"/>
    <w:rsid w:val="1A4563DB"/>
    <w:rsid w:val="1A5A3055"/>
    <w:rsid w:val="1A5E5585"/>
    <w:rsid w:val="1A772A39"/>
    <w:rsid w:val="1A7E085D"/>
    <w:rsid w:val="1A8C7B66"/>
    <w:rsid w:val="1A8D1FDE"/>
    <w:rsid w:val="1A930EF5"/>
    <w:rsid w:val="1A9B6960"/>
    <w:rsid w:val="1A9D1D74"/>
    <w:rsid w:val="1AB538EA"/>
    <w:rsid w:val="1AB64BE3"/>
    <w:rsid w:val="1ACC326C"/>
    <w:rsid w:val="1AD35795"/>
    <w:rsid w:val="1AD559B1"/>
    <w:rsid w:val="1AE14356"/>
    <w:rsid w:val="1AF04599"/>
    <w:rsid w:val="1AF35E37"/>
    <w:rsid w:val="1AFB6815"/>
    <w:rsid w:val="1AFC6A9A"/>
    <w:rsid w:val="1AFED777"/>
    <w:rsid w:val="1B122762"/>
    <w:rsid w:val="1B18764C"/>
    <w:rsid w:val="1B1B1DD5"/>
    <w:rsid w:val="1B2304CB"/>
    <w:rsid w:val="1B247C49"/>
    <w:rsid w:val="1B324BB2"/>
    <w:rsid w:val="1B3F0D70"/>
    <w:rsid w:val="1B3F1135"/>
    <w:rsid w:val="1B487F31"/>
    <w:rsid w:val="1B670381"/>
    <w:rsid w:val="1B6B3C20"/>
    <w:rsid w:val="1B707488"/>
    <w:rsid w:val="1B772E08"/>
    <w:rsid w:val="1B852378"/>
    <w:rsid w:val="1B866CAC"/>
    <w:rsid w:val="1B8D003A"/>
    <w:rsid w:val="1BA21B7B"/>
    <w:rsid w:val="1BAB2470"/>
    <w:rsid w:val="1BAF1D5E"/>
    <w:rsid w:val="1BB67591"/>
    <w:rsid w:val="1BBF6939"/>
    <w:rsid w:val="1BCD48DA"/>
    <w:rsid w:val="1BD96DDB"/>
    <w:rsid w:val="1BDFC116"/>
    <w:rsid w:val="1BE107B4"/>
    <w:rsid w:val="1BE4113E"/>
    <w:rsid w:val="1BE839E6"/>
    <w:rsid w:val="1BF9B495"/>
    <w:rsid w:val="1BFCA88A"/>
    <w:rsid w:val="1BFE6842"/>
    <w:rsid w:val="1C00080C"/>
    <w:rsid w:val="1C057BD0"/>
    <w:rsid w:val="1C093B64"/>
    <w:rsid w:val="1C27223D"/>
    <w:rsid w:val="1C2C1601"/>
    <w:rsid w:val="1C2F2E9F"/>
    <w:rsid w:val="1C4C1CA3"/>
    <w:rsid w:val="1C500517"/>
    <w:rsid w:val="1C5E5533"/>
    <w:rsid w:val="1C614B7E"/>
    <w:rsid w:val="1C626DD1"/>
    <w:rsid w:val="1C7134B8"/>
    <w:rsid w:val="1C735482"/>
    <w:rsid w:val="1C7A236C"/>
    <w:rsid w:val="1C8B5289"/>
    <w:rsid w:val="1C8E406A"/>
    <w:rsid w:val="1C962F1E"/>
    <w:rsid w:val="1C9A0C60"/>
    <w:rsid w:val="1CBA6C0D"/>
    <w:rsid w:val="1CC57360"/>
    <w:rsid w:val="1CD162D3"/>
    <w:rsid w:val="1CD71683"/>
    <w:rsid w:val="1CE1785A"/>
    <w:rsid w:val="1CE26164"/>
    <w:rsid w:val="1CEB478D"/>
    <w:rsid w:val="1CF06AD2"/>
    <w:rsid w:val="1CF365C3"/>
    <w:rsid w:val="1CFA16FF"/>
    <w:rsid w:val="1CFF7FAA"/>
    <w:rsid w:val="1D036806"/>
    <w:rsid w:val="1D1A3B4F"/>
    <w:rsid w:val="1D1F1166"/>
    <w:rsid w:val="1D3179E7"/>
    <w:rsid w:val="1D320E99"/>
    <w:rsid w:val="1D3C5874"/>
    <w:rsid w:val="1D3F35B6"/>
    <w:rsid w:val="1D540E0F"/>
    <w:rsid w:val="1D5BD51B"/>
    <w:rsid w:val="1D5D0FA4"/>
    <w:rsid w:val="1D5E1C8E"/>
    <w:rsid w:val="1D631052"/>
    <w:rsid w:val="1D6327E7"/>
    <w:rsid w:val="1D6C19D4"/>
    <w:rsid w:val="1D6D3C7F"/>
    <w:rsid w:val="1D770853"/>
    <w:rsid w:val="1D8A5AE8"/>
    <w:rsid w:val="1D905BC0"/>
    <w:rsid w:val="1D925CFF"/>
    <w:rsid w:val="1DBFC4B2"/>
    <w:rsid w:val="1DC74FF4"/>
    <w:rsid w:val="1DCD471E"/>
    <w:rsid w:val="1DCF66E8"/>
    <w:rsid w:val="1DD41F50"/>
    <w:rsid w:val="1DD93CC7"/>
    <w:rsid w:val="1DDFF5FF"/>
    <w:rsid w:val="1DED6B6E"/>
    <w:rsid w:val="1DF3687A"/>
    <w:rsid w:val="1DFB572F"/>
    <w:rsid w:val="1E01086B"/>
    <w:rsid w:val="1E0B5246"/>
    <w:rsid w:val="1E18008F"/>
    <w:rsid w:val="1E2258EB"/>
    <w:rsid w:val="1E2527AC"/>
    <w:rsid w:val="1E2A6014"/>
    <w:rsid w:val="1E312B23"/>
    <w:rsid w:val="1E367A74"/>
    <w:rsid w:val="1E391DB3"/>
    <w:rsid w:val="1E3E386E"/>
    <w:rsid w:val="1E432C32"/>
    <w:rsid w:val="1E5310C7"/>
    <w:rsid w:val="1E6257AE"/>
    <w:rsid w:val="1E641526"/>
    <w:rsid w:val="1E656462"/>
    <w:rsid w:val="1E74728F"/>
    <w:rsid w:val="1E7F289E"/>
    <w:rsid w:val="1E805C34"/>
    <w:rsid w:val="1E85324A"/>
    <w:rsid w:val="1E937715"/>
    <w:rsid w:val="1E9C4BD8"/>
    <w:rsid w:val="1EA35FEA"/>
    <w:rsid w:val="1EA41923"/>
    <w:rsid w:val="1EAE09F3"/>
    <w:rsid w:val="1EBA2EF4"/>
    <w:rsid w:val="1EBB4EBE"/>
    <w:rsid w:val="1EBF49AE"/>
    <w:rsid w:val="1EC04596"/>
    <w:rsid w:val="1ED55F80"/>
    <w:rsid w:val="1ED709CD"/>
    <w:rsid w:val="1EE05092"/>
    <w:rsid w:val="1EE2244B"/>
    <w:rsid w:val="1EEB653C"/>
    <w:rsid w:val="1EEF9422"/>
    <w:rsid w:val="1EF81DD0"/>
    <w:rsid w:val="1F0A0121"/>
    <w:rsid w:val="1F0C3495"/>
    <w:rsid w:val="1F0C74C8"/>
    <w:rsid w:val="1F0E3240"/>
    <w:rsid w:val="1F234F3D"/>
    <w:rsid w:val="1F274302"/>
    <w:rsid w:val="1F2B2044"/>
    <w:rsid w:val="1F2D2183"/>
    <w:rsid w:val="1F301408"/>
    <w:rsid w:val="1F430A42"/>
    <w:rsid w:val="1F4629DA"/>
    <w:rsid w:val="1F481CE3"/>
    <w:rsid w:val="1F4C5B16"/>
    <w:rsid w:val="1F5570C1"/>
    <w:rsid w:val="1F58270D"/>
    <w:rsid w:val="1F585875"/>
    <w:rsid w:val="1F6B41EE"/>
    <w:rsid w:val="1F705CA9"/>
    <w:rsid w:val="1F713C61"/>
    <w:rsid w:val="1F7421F4"/>
    <w:rsid w:val="1F7834B8"/>
    <w:rsid w:val="1F7C289F"/>
    <w:rsid w:val="1F7C464D"/>
    <w:rsid w:val="1F841754"/>
    <w:rsid w:val="1F8802F8"/>
    <w:rsid w:val="1F8B663F"/>
    <w:rsid w:val="1F951B51"/>
    <w:rsid w:val="1FA37E2C"/>
    <w:rsid w:val="1FB42039"/>
    <w:rsid w:val="1FBB9104"/>
    <w:rsid w:val="1FC35DD8"/>
    <w:rsid w:val="1FDA1374"/>
    <w:rsid w:val="1FDB7F9A"/>
    <w:rsid w:val="1FF1BAE6"/>
    <w:rsid w:val="1FF35968"/>
    <w:rsid w:val="1FF786E4"/>
    <w:rsid w:val="1FFE4B2A"/>
    <w:rsid w:val="20032679"/>
    <w:rsid w:val="200C3C23"/>
    <w:rsid w:val="20162EA9"/>
    <w:rsid w:val="201C198C"/>
    <w:rsid w:val="201E74B3"/>
    <w:rsid w:val="20230F6D"/>
    <w:rsid w:val="202E4C3E"/>
    <w:rsid w:val="20325E0F"/>
    <w:rsid w:val="203B510F"/>
    <w:rsid w:val="2040567B"/>
    <w:rsid w:val="20542ED4"/>
    <w:rsid w:val="20605D1D"/>
    <w:rsid w:val="20746E58"/>
    <w:rsid w:val="20825C93"/>
    <w:rsid w:val="20983709"/>
    <w:rsid w:val="20A16773"/>
    <w:rsid w:val="20A53730"/>
    <w:rsid w:val="20B00A53"/>
    <w:rsid w:val="20C20786"/>
    <w:rsid w:val="20DA787E"/>
    <w:rsid w:val="20E00C0C"/>
    <w:rsid w:val="20E017E3"/>
    <w:rsid w:val="20E0229D"/>
    <w:rsid w:val="20EF23DB"/>
    <w:rsid w:val="20FF4FC7"/>
    <w:rsid w:val="21081851"/>
    <w:rsid w:val="210C3853"/>
    <w:rsid w:val="211E20A8"/>
    <w:rsid w:val="21254871"/>
    <w:rsid w:val="2129610F"/>
    <w:rsid w:val="214116AB"/>
    <w:rsid w:val="21486EDD"/>
    <w:rsid w:val="214C004F"/>
    <w:rsid w:val="21556F04"/>
    <w:rsid w:val="21563120"/>
    <w:rsid w:val="21701F90"/>
    <w:rsid w:val="2173382E"/>
    <w:rsid w:val="217D645B"/>
    <w:rsid w:val="2197576F"/>
    <w:rsid w:val="219C3D3D"/>
    <w:rsid w:val="21C9556D"/>
    <w:rsid w:val="21CE6CB6"/>
    <w:rsid w:val="21D267A7"/>
    <w:rsid w:val="21DA38AD"/>
    <w:rsid w:val="21F11323"/>
    <w:rsid w:val="21F66939"/>
    <w:rsid w:val="21FBEBEB"/>
    <w:rsid w:val="21FE759C"/>
    <w:rsid w:val="220152DE"/>
    <w:rsid w:val="22105521"/>
    <w:rsid w:val="22197BD3"/>
    <w:rsid w:val="2221328A"/>
    <w:rsid w:val="22242C4B"/>
    <w:rsid w:val="222A213F"/>
    <w:rsid w:val="222E0711"/>
    <w:rsid w:val="22342FBD"/>
    <w:rsid w:val="223905D4"/>
    <w:rsid w:val="223F7389"/>
    <w:rsid w:val="22400EBD"/>
    <w:rsid w:val="22446596"/>
    <w:rsid w:val="22477195"/>
    <w:rsid w:val="225F3691"/>
    <w:rsid w:val="22646256"/>
    <w:rsid w:val="226A69DF"/>
    <w:rsid w:val="227026FD"/>
    <w:rsid w:val="22771FA7"/>
    <w:rsid w:val="22791318"/>
    <w:rsid w:val="22825920"/>
    <w:rsid w:val="22853819"/>
    <w:rsid w:val="228757E3"/>
    <w:rsid w:val="22A7378F"/>
    <w:rsid w:val="22A939AB"/>
    <w:rsid w:val="22B1460E"/>
    <w:rsid w:val="22C67236"/>
    <w:rsid w:val="22CB4050"/>
    <w:rsid w:val="22CB59C2"/>
    <w:rsid w:val="22CC58EC"/>
    <w:rsid w:val="22D20787"/>
    <w:rsid w:val="22DC46F3"/>
    <w:rsid w:val="22E9024C"/>
    <w:rsid w:val="22F86E90"/>
    <w:rsid w:val="230C3F3A"/>
    <w:rsid w:val="232272BA"/>
    <w:rsid w:val="23243F69"/>
    <w:rsid w:val="232623FE"/>
    <w:rsid w:val="23264FFC"/>
    <w:rsid w:val="232B1F13"/>
    <w:rsid w:val="232C1EE7"/>
    <w:rsid w:val="232F7A8C"/>
    <w:rsid w:val="23377209"/>
    <w:rsid w:val="233B3FF1"/>
    <w:rsid w:val="233D2346"/>
    <w:rsid w:val="23432A93"/>
    <w:rsid w:val="23447230"/>
    <w:rsid w:val="2346654E"/>
    <w:rsid w:val="234B4A63"/>
    <w:rsid w:val="2355768F"/>
    <w:rsid w:val="23623B5A"/>
    <w:rsid w:val="23627FFE"/>
    <w:rsid w:val="23647A3F"/>
    <w:rsid w:val="23711FEF"/>
    <w:rsid w:val="23735D67"/>
    <w:rsid w:val="237415CC"/>
    <w:rsid w:val="23791F56"/>
    <w:rsid w:val="2388552B"/>
    <w:rsid w:val="239634D6"/>
    <w:rsid w:val="23A405B6"/>
    <w:rsid w:val="23A67EEB"/>
    <w:rsid w:val="23B14ACF"/>
    <w:rsid w:val="23B175F2"/>
    <w:rsid w:val="23BF2D5B"/>
    <w:rsid w:val="23C022CC"/>
    <w:rsid w:val="23CF8B6C"/>
    <w:rsid w:val="23E80503"/>
    <w:rsid w:val="23EE527F"/>
    <w:rsid w:val="23FA0813"/>
    <w:rsid w:val="240370EB"/>
    <w:rsid w:val="240B5FA0"/>
    <w:rsid w:val="24267432"/>
    <w:rsid w:val="242A28CA"/>
    <w:rsid w:val="24397F95"/>
    <w:rsid w:val="243B1825"/>
    <w:rsid w:val="246D6C5B"/>
    <w:rsid w:val="246F4781"/>
    <w:rsid w:val="24831FDA"/>
    <w:rsid w:val="24854AAB"/>
    <w:rsid w:val="24877D1C"/>
    <w:rsid w:val="249266C1"/>
    <w:rsid w:val="24945F95"/>
    <w:rsid w:val="24A77945"/>
    <w:rsid w:val="24AC1531"/>
    <w:rsid w:val="24AC1A70"/>
    <w:rsid w:val="24B6415E"/>
    <w:rsid w:val="24C34ACD"/>
    <w:rsid w:val="24CA7C09"/>
    <w:rsid w:val="24D9609E"/>
    <w:rsid w:val="24DE57D6"/>
    <w:rsid w:val="24DF7B38"/>
    <w:rsid w:val="24EF141E"/>
    <w:rsid w:val="250B4B52"/>
    <w:rsid w:val="251D242F"/>
    <w:rsid w:val="25205A7B"/>
    <w:rsid w:val="2536704D"/>
    <w:rsid w:val="25381017"/>
    <w:rsid w:val="254E083A"/>
    <w:rsid w:val="25592D3B"/>
    <w:rsid w:val="2559439E"/>
    <w:rsid w:val="255C5828"/>
    <w:rsid w:val="256F255E"/>
    <w:rsid w:val="25710DD0"/>
    <w:rsid w:val="2572277A"/>
    <w:rsid w:val="25757B75"/>
    <w:rsid w:val="25950217"/>
    <w:rsid w:val="259C15A5"/>
    <w:rsid w:val="25AFFA62"/>
    <w:rsid w:val="25B932FA"/>
    <w:rsid w:val="25C428AA"/>
    <w:rsid w:val="25C64874"/>
    <w:rsid w:val="25DF76E4"/>
    <w:rsid w:val="25E35426"/>
    <w:rsid w:val="25F56F08"/>
    <w:rsid w:val="2601765A"/>
    <w:rsid w:val="26127ABA"/>
    <w:rsid w:val="26171E73"/>
    <w:rsid w:val="26503617"/>
    <w:rsid w:val="26571970"/>
    <w:rsid w:val="265D380A"/>
    <w:rsid w:val="266320C3"/>
    <w:rsid w:val="26667E05"/>
    <w:rsid w:val="266A16A4"/>
    <w:rsid w:val="266F2816"/>
    <w:rsid w:val="266F6CBA"/>
    <w:rsid w:val="26793695"/>
    <w:rsid w:val="2685203A"/>
    <w:rsid w:val="26856E3E"/>
    <w:rsid w:val="268B6B8C"/>
    <w:rsid w:val="26932C8A"/>
    <w:rsid w:val="269C3827"/>
    <w:rsid w:val="269E134D"/>
    <w:rsid w:val="26AB1368"/>
    <w:rsid w:val="26AC3A6A"/>
    <w:rsid w:val="26B11081"/>
    <w:rsid w:val="26C80178"/>
    <w:rsid w:val="26C863CA"/>
    <w:rsid w:val="26CF7759"/>
    <w:rsid w:val="26DE6C18"/>
    <w:rsid w:val="26E41767"/>
    <w:rsid w:val="26ED5E15"/>
    <w:rsid w:val="26F92A28"/>
    <w:rsid w:val="27194E78"/>
    <w:rsid w:val="272950BB"/>
    <w:rsid w:val="2732271F"/>
    <w:rsid w:val="27343A60"/>
    <w:rsid w:val="273C2207"/>
    <w:rsid w:val="27433CA3"/>
    <w:rsid w:val="27457128"/>
    <w:rsid w:val="27587B2E"/>
    <w:rsid w:val="275B1765"/>
    <w:rsid w:val="275B723E"/>
    <w:rsid w:val="276032C4"/>
    <w:rsid w:val="27624129"/>
    <w:rsid w:val="27663AD0"/>
    <w:rsid w:val="27673E71"/>
    <w:rsid w:val="27781B9E"/>
    <w:rsid w:val="27983FEE"/>
    <w:rsid w:val="279D7857"/>
    <w:rsid w:val="27A40BE5"/>
    <w:rsid w:val="27A75FE0"/>
    <w:rsid w:val="27AF30E6"/>
    <w:rsid w:val="27BA3F65"/>
    <w:rsid w:val="27C76682"/>
    <w:rsid w:val="27CA519C"/>
    <w:rsid w:val="27D003F3"/>
    <w:rsid w:val="27D25752"/>
    <w:rsid w:val="27D75F18"/>
    <w:rsid w:val="27DE7FB7"/>
    <w:rsid w:val="27E962E8"/>
    <w:rsid w:val="27EE00B2"/>
    <w:rsid w:val="27EE2498"/>
    <w:rsid w:val="27F5CDC8"/>
    <w:rsid w:val="27F65B6B"/>
    <w:rsid w:val="27F82CDF"/>
    <w:rsid w:val="28001620"/>
    <w:rsid w:val="28081174"/>
    <w:rsid w:val="28094EEC"/>
    <w:rsid w:val="2810627B"/>
    <w:rsid w:val="28117E77"/>
    <w:rsid w:val="28180C8B"/>
    <w:rsid w:val="281C5B9F"/>
    <w:rsid w:val="281E1197"/>
    <w:rsid w:val="28277120"/>
    <w:rsid w:val="28335AC5"/>
    <w:rsid w:val="28375F5F"/>
    <w:rsid w:val="28461C9C"/>
    <w:rsid w:val="284E72DC"/>
    <w:rsid w:val="285F68BA"/>
    <w:rsid w:val="286D547B"/>
    <w:rsid w:val="287A1946"/>
    <w:rsid w:val="28920A3E"/>
    <w:rsid w:val="28924EE2"/>
    <w:rsid w:val="289A5B44"/>
    <w:rsid w:val="289F1401"/>
    <w:rsid w:val="28A54C15"/>
    <w:rsid w:val="28AD1D1C"/>
    <w:rsid w:val="28AF339E"/>
    <w:rsid w:val="28C17575"/>
    <w:rsid w:val="28D728F5"/>
    <w:rsid w:val="28D75265"/>
    <w:rsid w:val="28F2772E"/>
    <w:rsid w:val="28F811E9"/>
    <w:rsid w:val="28F96D0F"/>
    <w:rsid w:val="28FE2577"/>
    <w:rsid w:val="28FE60D3"/>
    <w:rsid w:val="28FF0239"/>
    <w:rsid w:val="290302E2"/>
    <w:rsid w:val="290C4C94"/>
    <w:rsid w:val="290D23D9"/>
    <w:rsid w:val="292813A2"/>
    <w:rsid w:val="293036D9"/>
    <w:rsid w:val="294607E9"/>
    <w:rsid w:val="29493808"/>
    <w:rsid w:val="294A57BC"/>
    <w:rsid w:val="29514455"/>
    <w:rsid w:val="29613FA7"/>
    <w:rsid w:val="296323DA"/>
    <w:rsid w:val="296B671C"/>
    <w:rsid w:val="296B9323"/>
    <w:rsid w:val="296C128F"/>
    <w:rsid w:val="296D0004"/>
    <w:rsid w:val="297F5466"/>
    <w:rsid w:val="29842A7C"/>
    <w:rsid w:val="298C36DF"/>
    <w:rsid w:val="29A0362E"/>
    <w:rsid w:val="29A547A1"/>
    <w:rsid w:val="29AA0009"/>
    <w:rsid w:val="29B570DA"/>
    <w:rsid w:val="29B844D4"/>
    <w:rsid w:val="29CC61D1"/>
    <w:rsid w:val="29D72644"/>
    <w:rsid w:val="29E66BFE"/>
    <w:rsid w:val="29E73757"/>
    <w:rsid w:val="29E928DF"/>
    <w:rsid w:val="29ED173B"/>
    <w:rsid w:val="2A04596B"/>
    <w:rsid w:val="2A170E1D"/>
    <w:rsid w:val="2A267326"/>
    <w:rsid w:val="2A481CFC"/>
    <w:rsid w:val="2A4F6D47"/>
    <w:rsid w:val="2A581813"/>
    <w:rsid w:val="2A5F446A"/>
    <w:rsid w:val="2A704DAF"/>
    <w:rsid w:val="2A872B65"/>
    <w:rsid w:val="2A8C1F5E"/>
    <w:rsid w:val="2AA36F32"/>
    <w:rsid w:val="2AAA6513"/>
    <w:rsid w:val="2AAE3CB0"/>
    <w:rsid w:val="2AB7478C"/>
    <w:rsid w:val="2ABF1892"/>
    <w:rsid w:val="2AD03A9F"/>
    <w:rsid w:val="2AD510B6"/>
    <w:rsid w:val="2AE035FF"/>
    <w:rsid w:val="2AE32F87"/>
    <w:rsid w:val="2AE632C3"/>
    <w:rsid w:val="2AF21C68"/>
    <w:rsid w:val="2AF27EBA"/>
    <w:rsid w:val="2AF54D2B"/>
    <w:rsid w:val="2AF61758"/>
    <w:rsid w:val="2AFA0B1C"/>
    <w:rsid w:val="2B1B2F6C"/>
    <w:rsid w:val="2B1C6CE5"/>
    <w:rsid w:val="2B22345B"/>
    <w:rsid w:val="2B2838DB"/>
    <w:rsid w:val="2B2D0EF2"/>
    <w:rsid w:val="2B30453E"/>
    <w:rsid w:val="2B317A55"/>
    <w:rsid w:val="2B33475A"/>
    <w:rsid w:val="2B381D70"/>
    <w:rsid w:val="2B430715"/>
    <w:rsid w:val="2B4A1AA4"/>
    <w:rsid w:val="2B5054D5"/>
    <w:rsid w:val="2B507DFE"/>
    <w:rsid w:val="2B6A3EF4"/>
    <w:rsid w:val="2B6F150A"/>
    <w:rsid w:val="2B7408CF"/>
    <w:rsid w:val="2B794137"/>
    <w:rsid w:val="2B7D59D5"/>
    <w:rsid w:val="2B7E4987"/>
    <w:rsid w:val="2B807273"/>
    <w:rsid w:val="2B89481A"/>
    <w:rsid w:val="2B8E7BE2"/>
    <w:rsid w:val="2B940F71"/>
    <w:rsid w:val="2B960845"/>
    <w:rsid w:val="2BA246DE"/>
    <w:rsid w:val="2BA47406"/>
    <w:rsid w:val="2BA80578"/>
    <w:rsid w:val="2BB470B9"/>
    <w:rsid w:val="2BB55BD0"/>
    <w:rsid w:val="2BBB30B6"/>
    <w:rsid w:val="2BC00E57"/>
    <w:rsid w:val="2BC03B14"/>
    <w:rsid w:val="2BC453B2"/>
    <w:rsid w:val="2BCC070B"/>
    <w:rsid w:val="2BCE5F4F"/>
    <w:rsid w:val="2BD55811"/>
    <w:rsid w:val="2BDDE61A"/>
    <w:rsid w:val="2BE75544"/>
    <w:rsid w:val="2BEC2B5B"/>
    <w:rsid w:val="2BEFB4B2"/>
    <w:rsid w:val="2BFB307B"/>
    <w:rsid w:val="2BFB8CCA"/>
    <w:rsid w:val="2BFD08C4"/>
    <w:rsid w:val="2C077995"/>
    <w:rsid w:val="2C100EEC"/>
    <w:rsid w:val="2C106849"/>
    <w:rsid w:val="2C11436F"/>
    <w:rsid w:val="2C13380B"/>
    <w:rsid w:val="2C1856FE"/>
    <w:rsid w:val="2C206143"/>
    <w:rsid w:val="2C2C3157"/>
    <w:rsid w:val="2C2E7758"/>
    <w:rsid w:val="2C5A3F68"/>
    <w:rsid w:val="2C5A5D16"/>
    <w:rsid w:val="2C610E53"/>
    <w:rsid w:val="2C6F72CA"/>
    <w:rsid w:val="2C734E31"/>
    <w:rsid w:val="2C7A0167"/>
    <w:rsid w:val="2C7A1F15"/>
    <w:rsid w:val="2C7D1479"/>
    <w:rsid w:val="2C862667"/>
    <w:rsid w:val="2C8B4122"/>
    <w:rsid w:val="2C8F6D87"/>
    <w:rsid w:val="2C98683F"/>
    <w:rsid w:val="2CA04A4F"/>
    <w:rsid w:val="2CA376BD"/>
    <w:rsid w:val="2CAD3E75"/>
    <w:rsid w:val="2CB05936"/>
    <w:rsid w:val="2CB31D78"/>
    <w:rsid w:val="2CB72057"/>
    <w:rsid w:val="2CBA9371"/>
    <w:rsid w:val="2CBD0053"/>
    <w:rsid w:val="2CBE62A5"/>
    <w:rsid w:val="2CBF3DCB"/>
    <w:rsid w:val="2CBF6E23"/>
    <w:rsid w:val="2CC43190"/>
    <w:rsid w:val="2CC55886"/>
    <w:rsid w:val="2CCF04B2"/>
    <w:rsid w:val="2CD63BB6"/>
    <w:rsid w:val="2CE3118E"/>
    <w:rsid w:val="2CE90E48"/>
    <w:rsid w:val="2CF75313"/>
    <w:rsid w:val="2CF972DD"/>
    <w:rsid w:val="2D013C8E"/>
    <w:rsid w:val="2D094880"/>
    <w:rsid w:val="2D103148"/>
    <w:rsid w:val="2D151C3D"/>
    <w:rsid w:val="2D19172E"/>
    <w:rsid w:val="2D217755"/>
    <w:rsid w:val="2D263E4A"/>
    <w:rsid w:val="2D265BF9"/>
    <w:rsid w:val="2D2A56E9"/>
    <w:rsid w:val="2D2D25FE"/>
    <w:rsid w:val="2D3447B9"/>
    <w:rsid w:val="2D377E06"/>
    <w:rsid w:val="2D3E1B7B"/>
    <w:rsid w:val="2D510EC7"/>
    <w:rsid w:val="2D6E589A"/>
    <w:rsid w:val="2DA03AA4"/>
    <w:rsid w:val="2DA57465"/>
    <w:rsid w:val="2DBB27E5"/>
    <w:rsid w:val="2DCC49F2"/>
    <w:rsid w:val="2DD37B2E"/>
    <w:rsid w:val="2DD62C52"/>
    <w:rsid w:val="2DDDF8D2"/>
    <w:rsid w:val="2DDF1017"/>
    <w:rsid w:val="2DE25133"/>
    <w:rsid w:val="2DE64648"/>
    <w:rsid w:val="2DF52218"/>
    <w:rsid w:val="2DF61A6F"/>
    <w:rsid w:val="2E0C3040"/>
    <w:rsid w:val="2E107C6F"/>
    <w:rsid w:val="2E1F0FC6"/>
    <w:rsid w:val="2E277E7A"/>
    <w:rsid w:val="2E291E44"/>
    <w:rsid w:val="2E323F32"/>
    <w:rsid w:val="2E344345"/>
    <w:rsid w:val="2E3C1B78"/>
    <w:rsid w:val="2E442832"/>
    <w:rsid w:val="2E5067EC"/>
    <w:rsid w:val="2E513149"/>
    <w:rsid w:val="2E5972BA"/>
    <w:rsid w:val="2E5A1FFE"/>
    <w:rsid w:val="2E5E6A04"/>
    <w:rsid w:val="2E6115DE"/>
    <w:rsid w:val="2E7E50BE"/>
    <w:rsid w:val="2E8452CD"/>
    <w:rsid w:val="2E84707B"/>
    <w:rsid w:val="2E851686"/>
    <w:rsid w:val="2E8E50A7"/>
    <w:rsid w:val="2E921798"/>
    <w:rsid w:val="2E9F3EB4"/>
    <w:rsid w:val="2EA414CB"/>
    <w:rsid w:val="2EB55684"/>
    <w:rsid w:val="2EBA2A9C"/>
    <w:rsid w:val="2EBC7D67"/>
    <w:rsid w:val="2EC15BD9"/>
    <w:rsid w:val="2EC41B6D"/>
    <w:rsid w:val="2EC76F67"/>
    <w:rsid w:val="2EC97664"/>
    <w:rsid w:val="2ECB2EFB"/>
    <w:rsid w:val="2EE330A1"/>
    <w:rsid w:val="2EE45D6B"/>
    <w:rsid w:val="2EF05516"/>
    <w:rsid w:val="2EF7784D"/>
    <w:rsid w:val="2EFE0BDB"/>
    <w:rsid w:val="2F0F2DE8"/>
    <w:rsid w:val="2F132EC6"/>
    <w:rsid w:val="2F155773"/>
    <w:rsid w:val="2F2820FC"/>
    <w:rsid w:val="2F28553F"/>
    <w:rsid w:val="2F4259D2"/>
    <w:rsid w:val="2F511653"/>
    <w:rsid w:val="2F662C24"/>
    <w:rsid w:val="2F77273B"/>
    <w:rsid w:val="2F8F217B"/>
    <w:rsid w:val="2F9368EB"/>
    <w:rsid w:val="2F9F5E0E"/>
    <w:rsid w:val="2FA63021"/>
    <w:rsid w:val="2FA9127F"/>
    <w:rsid w:val="2FAA48BF"/>
    <w:rsid w:val="2FD45DE0"/>
    <w:rsid w:val="2FD99BD1"/>
    <w:rsid w:val="2FE32273"/>
    <w:rsid w:val="301405BF"/>
    <w:rsid w:val="301A386E"/>
    <w:rsid w:val="302208F9"/>
    <w:rsid w:val="30436BF9"/>
    <w:rsid w:val="30450A8C"/>
    <w:rsid w:val="305E0556"/>
    <w:rsid w:val="30633BEA"/>
    <w:rsid w:val="30683C8B"/>
    <w:rsid w:val="307931FA"/>
    <w:rsid w:val="3082583C"/>
    <w:rsid w:val="30847806"/>
    <w:rsid w:val="30A33DBB"/>
    <w:rsid w:val="30A734F4"/>
    <w:rsid w:val="30AA184F"/>
    <w:rsid w:val="30B023A9"/>
    <w:rsid w:val="30BA3228"/>
    <w:rsid w:val="30C23E8A"/>
    <w:rsid w:val="30CB044F"/>
    <w:rsid w:val="30D2231F"/>
    <w:rsid w:val="30D37306"/>
    <w:rsid w:val="30EC75C0"/>
    <w:rsid w:val="30F304E8"/>
    <w:rsid w:val="30F93D50"/>
    <w:rsid w:val="30FF50DE"/>
    <w:rsid w:val="310261D1"/>
    <w:rsid w:val="310E5321"/>
    <w:rsid w:val="311346E6"/>
    <w:rsid w:val="311566B0"/>
    <w:rsid w:val="311A4951"/>
    <w:rsid w:val="31215667"/>
    <w:rsid w:val="31274127"/>
    <w:rsid w:val="31382DE1"/>
    <w:rsid w:val="313E1763"/>
    <w:rsid w:val="31436D79"/>
    <w:rsid w:val="314739AD"/>
    <w:rsid w:val="314B3E80"/>
    <w:rsid w:val="314F1BC2"/>
    <w:rsid w:val="315C608D"/>
    <w:rsid w:val="317071E6"/>
    <w:rsid w:val="31745184"/>
    <w:rsid w:val="317A6513"/>
    <w:rsid w:val="319C46DB"/>
    <w:rsid w:val="31A17801"/>
    <w:rsid w:val="31A6555A"/>
    <w:rsid w:val="31B22151"/>
    <w:rsid w:val="31C0329F"/>
    <w:rsid w:val="31C47AE2"/>
    <w:rsid w:val="31C51E84"/>
    <w:rsid w:val="31C81974"/>
    <w:rsid w:val="31D01111"/>
    <w:rsid w:val="31E26DD0"/>
    <w:rsid w:val="31F25E95"/>
    <w:rsid w:val="31F34EE6"/>
    <w:rsid w:val="32075FF9"/>
    <w:rsid w:val="320C5601"/>
    <w:rsid w:val="320E382B"/>
    <w:rsid w:val="32130E41"/>
    <w:rsid w:val="323F60E0"/>
    <w:rsid w:val="32410D7E"/>
    <w:rsid w:val="324C3414"/>
    <w:rsid w:val="325517A0"/>
    <w:rsid w:val="32570855"/>
    <w:rsid w:val="32585395"/>
    <w:rsid w:val="325D3E6B"/>
    <w:rsid w:val="32613717"/>
    <w:rsid w:val="326351F9"/>
    <w:rsid w:val="32754CF2"/>
    <w:rsid w:val="3287538B"/>
    <w:rsid w:val="32892EB1"/>
    <w:rsid w:val="32A61AD2"/>
    <w:rsid w:val="32A76766"/>
    <w:rsid w:val="32A97FCE"/>
    <w:rsid w:val="32AE0770"/>
    <w:rsid w:val="32AF4A8A"/>
    <w:rsid w:val="32B819E9"/>
    <w:rsid w:val="32BB42A1"/>
    <w:rsid w:val="32BF2D77"/>
    <w:rsid w:val="32C47B0D"/>
    <w:rsid w:val="32D37A29"/>
    <w:rsid w:val="32E620B2"/>
    <w:rsid w:val="32EE0F67"/>
    <w:rsid w:val="32FA790B"/>
    <w:rsid w:val="3307371A"/>
    <w:rsid w:val="330E5059"/>
    <w:rsid w:val="332323A0"/>
    <w:rsid w:val="33260700"/>
    <w:rsid w:val="33294694"/>
    <w:rsid w:val="332E3A59"/>
    <w:rsid w:val="3330157F"/>
    <w:rsid w:val="3333344C"/>
    <w:rsid w:val="33370B5F"/>
    <w:rsid w:val="33415945"/>
    <w:rsid w:val="334F5387"/>
    <w:rsid w:val="33552D94"/>
    <w:rsid w:val="335A484E"/>
    <w:rsid w:val="33620986"/>
    <w:rsid w:val="33684063"/>
    <w:rsid w:val="33791178"/>
    <w:rsid w:val="337A5FAB"/>
    <w:rsid w:val="338901E8"/>
    <w:rsid w:val="338D3F51"/>
    <w:rsid w:val="338E49F3"/>
    <w:rsid w:val="33A71A8D"/>
    <w:rsid w:val="33AF4B9A"/>
    <w:rsid w:val="33B95A18"/>
    <w:rsid w:val="33CA3782"/>
    <w:rsid w:val="33D64A34"/>
    <w:rsid w:val="33D94FDC"/>
    <w:rsid w:val="33E81E5A"/>
    <w:rsid w:val="33EC2509"/>
    <w:rsid w:val="33F508A6"/>
    <w:rsid w:val="34014CC9"/>
    <w:rsid w:val="340A6274"/>
    <w:rsid w:val="341B3FDD"/>
    <w:rsid w:val="342122C0"/>
    <w:rsid w:val="34384B8F"/>
    <w:rsid w:val="3448551B"/>
    <w:rsid w:val="345C0152"/>
    <w:rsid w:val="34610250"/>
    <w:rsid w:val="346516FC"/>
    <w:rsid w:val="346C793A"/>
    <w:rsid w:val="346D5909"/>
    <w:rsid w:val="347100A1"/>
    <w:rsid w:val="34763909"/>
    <w:rsid w:val="348422A0"/>
    <w:rsid w:val="34871673"/>
    <w:rsid w:val="34880F47"/>
    <w:rsid w:val="348E2A01"/>
    <w:rsid w:val="34A22009"/>
    <w:rsid w:val="34A715A5"/>
    <w:rsid w:val="34A72487"/>
    <w:rsid w:val="34AE5ED7"/>
    <w:rsid w:val="34AF6504"/>
    <w:rsid w:val="34B34216"/>
    <w:rsid w:val="34BD5094"/>
    <w:rsid w:val="34D348B8"/>
    <w:rsid w:val="34D66156"/>
    <w:rsid w:val="34DD1293"/>
    <w:rsid w:val="35075065"/>
    <w:rsid w:val="350A1334"/>
    <w:rsid w:val="350C1B78"/>
    <w:rsid w:val="350E3B42"/>
    <w:rsid w:val="3511718E"/>
    <w:rsid w:val="35123632"/>
    <w:rsid w:val="35131158"/>
    <w:rsid w:val="35301D0A"/>
    <w:rsid w:val="353F1A6B"/>
    <w:rsid w:val="35415CC5"/>
    <w:rsid w:val="35496928"/>
    <w:rsid w:val="355132A8"/>
    <w:rsid w:val="355E3CBE"/>
    <w:rsid w:val="35613C72"/>
    <w:rsid w:val="356279EA"/>
    <w:rsid w:val="356B689E"/>
    <w:rsid w:val="357C75E6"/>
    <w:rsid w:val="35832375"/>
    <w:rsid w:val="358A316B"/>
    <w:rsid w:val="35901FE7"/>
    <w:rsid w:val="3590706C"/>
    <w:rsid w:val="35A46254"/>
    <w:rsid w:val="35A87AF3"/>
    <w:rsid w:val="35AE2C2F"/>
    <w:rsid w:val="35B20971"/>
    <w:rsid w:val="35BC274B"/>
    <w:rsid w:val="35C0308E"/>
    <w:rsid w:val="35C97A69"/>
    <w:rsid w:val="35D23C4B"/>
    <w:rsid w:val="35D94150"/>
    <w:rsid w:val="35DE31B8"/>
    <w:rsid w:val="35E07771"/>
    <w:rsid w:val="35E548A3"/>
    <w:rsid w:val="35F03248"/>
    <w:rsid w:val="35FA5E74"/>
    <w:rsid w:val="35FD055A"/>
    <w:rsid w:val="3600792F"/>
    <w:rsid w:val="3609071C"/>
    <w:rsid w:val="361E6007"/>
    <w:rsid w:val="362A675A"/>
    <w:rsid w:val="362C50F3"/>
    <w:rsid w:val="363475D8"/>
    <w:rsid w:val="36372C24"/>
    <w:rsid w:val="36393C99"/>
    <w:rsid w:val="363F6260"/>
    <w:rsid w:val="364A067C"/>
    <w:rsid w:val="364D2448"/>
    <w:rsid w:val="365077E6"/>
    <w:rsid w:val="366923C4"/>
    <w:rsid w:val="36785717"/>
    <w:rsid w:val="36847069"/>
    <w:rsid w:val="369462C9"/>
    <w:rsid w:val="369E0EF6"/>
    <w:rsid w:val="36AA5EF7"/>
    <w:rsid w:val="36B6623F"/>
    <w:rsid w:val="36BB5A02"/>
    <w:rsid w:val="36BF44BC"/>
    <w:rsid w:val="36CD6E4D"/>
    <w:rsid w:val="36D3294D"/>
    <w:rsid w:val="36D668E1"/>
    <w:rsid w:val="36D84407"/>
    <w:rsid w:val="36DF8D7D"/>
    <w:rsid w:val="36E1693A"/>
    <w:rsid w:val="36E92171"/>
    <w:rsid w:val="36EE59D9"/>
    <w:rsid w:val="36F01751"/>
    <w:rsid w:val="36F05718"/>
    <w:rsid w:val="36F16AE9"/>
    <w:rsid w:val="36F31241"/>
    <w:rsid w:val="36F9612C"/>
    <w:rsid w:val="36FD1DF8"/>
    <w:rsid w:val="37027952"/>
    <w:rsid w:val="370F316F"/>
    <w:rsid w:val="37103BA1"/>
    <w:rsid w:val="37113475"/>
    <w:rsid w:val="371A67CE"/>
    <w:rsid w:val="372702D2"/>
    <w:rsid w:val="373A6628"/>
    <w:rsid w:val="37571B2F"/>
    <w:rsid w:val="375A306E"/>
    <w:rsid w:val="375A4E1C"/>
    <w:rsid w:val="375C0B95"/>
    <w:rsid w:val="37620175"/>
    <w:rsid w:val="376D0FF4"/>
    <w:rsid w:val="377759CE"/>
    <w:rsid w:val="377C4D93"/>
    <w:rsid w:val="377FBC6A"/>
    <w:rsid w:val="378325C5"/>
    <w:rsid w:val="37904CE2"/>
    <w:rsid w:val="3790548B"/>
    <w:rsid w:val="37926D8D"/>
    <w:rsid w:val="379E11AD"/>
    <w:rsid w:val="379E5D0E"/>
    <w:rsid w:val="379F5B99"/>
    <w:rsid w:val="37A367C3"/>
    <w:rsid w:val="37A458F7"/>
    <w:rsid w:val="37A97B52"/>
    <w:rsid w:val="37B26A07"/>
    <w:rsid w:val="37B7226F"/>
    <w:rsid w:val="37C249A0"/>
    <w:rsid w:val="37C91FA2"/>
    <w:rsid w:val="37D456E4"/>
    <w:rsid w:val="37D50947"/>
    <w:rsid w:val="37D769AC"/>
    <w:rsid w:val="37D921E5"/>
    <w:rsid w:val="37DA5F5D"/>
    <w:rsid w:val="37DC695A"/>
    <w:rsid w:val="37DF20DE"/>
    <w:rsid w:val="37DF3574"/>
    <w:rsid w:val="37E727ED"/>
    <w:rsid w:val="37FA215C"/>
    <w:rsid w:val="37FC5ED4"/>
    <w:rsid w:val="382471D8"/>
    <w:rsid w:val="382C22E7"/>
    <w:rsid w:val="382F62A9"/>
    <w:rsid w:val="38305B7D"/>
    <w:rsid w:val="383438BF"/>
    <w:rsid w:val="384635F3"/>
    <w:rsid w:val="385E6B8E"/>
    <w:rsid w:val="38686159"/>
    <w:rsid w:val="3877074E"/>
    <w:rsid w:val="387737AC"/>
    <w:rsid w:val="387C7014"/>
    <w:rsid w:val="38921239"/>
    <w:rsid w:val="38AA327E"/>
    <w:rsid w:val="38B844F1"/>
    <w:rsid w:val="38B92017"/>
    <w:rsid w:val="38C033A5"/>
    <w:rsid w:val="38C5276A"/>
    <w:rsid w:val="38CA494E"/>
    <w:rsid w:val="38CA5FD2"/>
    <w:rsid w:val="38D942CD"/>
    <w:rsid w:val="38D97FC3"/>
    <w:rsid w:val="38E726E0"/>
    <w:rsid w:val="38E83C52"/>
    <w:rsid w:val="38F65019"/>
    <w:rsid w:val="38FE77AF"/>
    <w:rsid w:val="39052611"/>
    <w:rsid w:val="39061A6B"/>
    <w:rsid w:val="390C65EA"/>
    <w:rsid w:val="390E4110"/>
    <w:rsid w:val="39111E53"/>
    <w:rsid w:val="391A34DD"/>
    <w:rsid w:val="391B3E89"/>
    <w:rsid w:val="391B4A7F"/>
    <w:rsid w:val="391F631E"/>
    <w:rsid w:val="39241696"/>
    <w:rsid w:val="39273424"/>
    <w:rsid w:val="393D67A4"/>
    <w:rsid w:val="39427657"/>
    <w:rsid w:val="395D29A2"/>
    <w:rsid w:val="39600BD1"/>
    <w:rsid w:val="39602492"/>
    <w:rsid w:val="396106E4"/>
    <w:rsid w:val="39677CC5"/>
    <w:rsid w:val="39700927"/>
    <w:rsid w:val="397A17A6"/>
    <w:rsid w:val="39B527DE"/>
    <w:rsid w:val="39BC2C84"/>
    <w:rsid w:val="39C24EFB"/>
    <w:rsid w:val="39D215E2"/>
    <w:rsid w:val="39DC1F22"/>
    <w:rsid w:val="39E9692C"/>
    <w:rsid w:val="39ED1F78"/>
    <w:rsid w:val="39F50E2C"/>
    <w:rsid w:val="39F5444A"/>
    <w:rsid w:val="3A2611D5"/>
    <w:rsid w:val="3A2F4EFB"/>
    <w:rsid w:val="3A437DEA"/>
    <w:rsid w:val="3A4A561C"/>
    <w:rsid w:val="3A4A73CA"/>
    <w:rsid w:val="3A543444"/>
    <w:rsid w:val="3A5468F0"/>
    <w:rsid w:val="3A565A92"/>
    <w:rsid w:val="3A6402D8"/>
    <w:rsid w:val="3A6B26F1"/>
    <w:rsid w:val="3A6D130B"/>
    <w:rsid w:val="3A6D4E67"/>
    <w:rsid w:val="3A6F93E2"/>
    <w:rsid w:val="3A78307D"/>
    <w:rsid w:val="3A8F2034"/>
    <w:rsid w:val="3A992100"/>
    <w:rsid w:val="3A995C5C"/>
    <w:rsid w:val="3AA06FEA"/>
    <w:rsid w:val="3ABC194A"/>
    <w:rsid w:val="3ABC4F58"/>
    <w:rsid w:val="3ABDBD39"/>
    <w:rsid w:val="3AD244C6"/>
    <w:rsid w:val="3AE10910"/>
    <w:rsid w:val="3AE61666"/>
    <w:rsid w:val="3AE670D0"/>
    <w:rsid w:val="3AFA4E66"/>
    <w:rsid w:val="3B0E6D2D"/>
    <w:rsid w:val="3B225C51"/>
    <w:rsid w:val="3B2E76B7"/>
    <w:rsid w:val="3B4F7FC0"/>
    <w:rsid w:val="3B6303AB"/>
    <w:rsid w:val="3B691AD2"/>
    <w:rsid w:val="3B6C3370"/>
    <w:rsid w:val="3B6E533A"/>
    <w:rsid w:val="3B714E2B"/>
    <w:rsid w:val="3B7D6A70"/>
    <w:rsid w:val="3B8C3A12"/>
    <w:rsid w:val="3B9A7EDD"/>
    <w:rsid w:val="3B9F54F4"/>
    <w:rsid w:val="3BA725FA"/>
    <w:rsid w:val="3BAC527C"/>
    <w:rsid w:val="3BB03EA1"/>
    <w:rsid w:val="3BB56AC5"/>
    <w:rsid w:val="3BB942D0"/>
    <w:rsid w:val="3BBF16F2"/>
    <w:rsid w:val="3BC136BC"/>
    <w:rsid w:val="3BC35686"/>
    <w:rsid w:val="3BC751DB"/>
    <w:rsid w:val="3BD01B51"/>
    <w:rsid w:val="3BD21844"/>
    <w:rsid w:val="3BDB4052"/>
    <w:rsid w:val="3BDB5A22"/>
    <w:rsid w:val="3BEF4334"/>
    <w:rsid w:val="3BF21AC7"/>
    <w:rsid w:val="3BF32D1F"/>
    <w:rsid w:val="3BF4434D"/>
    <w:rsid w:val="3BF80112"/>
    <w:rsid w:val="3BF9FF42"/>
    <w:rsid w:val="3BFF5005"/>
    <w:rsid w:val="3BFF9F95"/>
    <w:rsid w:val="3C072F0D"/>
    <w:rsid w:val="3C2D0D52"/>
    <w:rsid w:val="3C487939"/>
    <w:rsid w:val="3C4B0050"/>
    <w:rsid w:val="3C53062C"/>
    <w:rsid w:val="3C533473"/>
    <w:rsid w:val="3C544530"/>
    <w:rsid w:val="3C5750D0"/>
    <w:rsid w:val="3C597D99"/>
    <w:rsid w:val="3C5BB11A"/>
    <w:rsid w:val="3C611042"/>
    <w:rsid w:val="3C6D114E"/>
    <w:rsid w:val="3C6D55F2"/>
    <w:rsid w:val="3C770CC6"/>
    <w:rsid w:val="3C7F7112"/>
    <w:rsid w:val="3C834E15"/>
    <w:rsid w:val="3C8360C6"/>
    <w:rsid w:val="3C887370"/>
    <w:rsid w:val="3C8A1D00"/>
    <w:rsid w:val="3C9169E0"/>
    <w:rsid w:val="3C9B0273"/>
    <w:rsid w:val="3CA408E8"/>
    <w:rsid w:val="3CA51213"/>
    <w:rsid w:val="3CA803D8"/>
    <w:rsid w:val="3CC81218"/>
    <w:rsid w:val="3CD31F26"/>
    <w:rsid w:val="3CD92C87"/>
    <w:rsid w:val="3CDFDA6E"/>
    <w:rsid w:val="3CE33B06"/>
    <w:rsid w:val="3CED6733"/>
    <w:rsid w:val="3CF12590"/>
    <w:rsid w:val="3CF7E3B0"/>
    <w:rsid w:val="3CF96E86"/>
    <w:rsid w:val="3CFB0E50"/>
    <w:rsid w:val="3CFE5D89"/>
    <w:rsid w:val="3D0221DE"/>
    <w:rsid w:val="3D0715A3"/>
    <w:rsid w:val="3D0777F5"/>
    <w:rsid w:val="3D08531B"/>
    <w:rsid w:val="3D204412"/>
    <w:rsid w:val="3D393726"/>
    <w:rsid w:val="3D3A716B"/>
    <w:rsid w:val="3D3F6F8E"/>
    <w:rsid w:val="3D430101"/>
    <w:rsid w:val="3D436353"/>
    <w:rsid w:val="3D6C3AFB"/>
    <w:rsid w:val="3D7D4F5E"/>
    <w:rsid w:val="3D804EB1"/>
    <w:rsid w:val="3D874491"/>
    <w:rsid w:val="3D891FB8"/>
    <w:rsid w:val="3D8F1598"/>
    <w:rsid w:val="3D9170BE"/>
    <w:rsid w:val="3D932E36"/>
    <w:rsid w:val="3DA70690"/>
    <w:rsid w:val="3DA72718"/>
    <w:rsid w:val="3DA908AC"/>
    <w:rsid w:val="3DBE0B4C"/>
    <w:rsid w:val="3DC54FBA"/>
    <w:rsid w:val="3DCB3446"/>
    <w:rsid w:val="3DCE7D24"/>
    <w:rsid w:val="3DD205B0"/>
    <w:rsid w:val="3DD609B3"/>
    <w:rsid w:val="3DDC47DD"/>
    <w:rsid w:val="3DE2791A"/>
    <w:rsid w:val="3DE713D4"/>
    <w:rsid w:val="3DEE2762"/>
    <w:rsid w:val="3DF1C583"/>
    <w:rsid w:val="3DF7F809"/>
    <w:rsid w:val="3DFD29A6"/>
    <w:rsid w:val="3DFD4754"/>
    <w:rsid w:val="3DFD81AF"/>
    <w:rsid w:val="3E0930F8"/>
    <w:rsid w:val="3E23065E"/>
    <w:rsid w:val="3E2919ED"/>
    <w:rsid w:val="3E2E0DB1"/>
    <w:rsid w:val="3E3143FD"/>
    <w:rsid w:val="3E4A5A01"/>
    <w:rsid w:val="3E500D27"/>
    <w:rsid w:val="3E530817"/>
    <w:rsid w:val="3E541B20"/>
    <w:rsid w:val="3E5C2E71"/>
    <w:rsid w:val="3E6807DB"/>
    <w:rsid w:val="3E6F4B9A"/>
    <w:rsid w:val="3E7F33BB"/>
    <w:rsid w:val="3E834880"/>
    <w:rsid w:val="3E853C97"/>
    <w:rsid w:val="3E907376"/>
    <w:rsid w:val="3E921340"/>
    <w:rsid w:val="3E9450B8"/>
    <w:rsid w:val="3EBBE5D2"/>
    <w:rsid w:val="3EBD31E5"/>
    <w:rsid w:val="3EC3599D"/>
    <w:rsid w:val="3ED656D0"/>
    <w:rsid w:val="3ED87E4C"/>
    <w:rsid w:val="3EDE27D7"/>
    <w:rsid w:val="3EE651E8"/>
    <w:rsid w:val="3EF64C1F"/>
    <w:rsid w:val="3EFA5B79"/>
    <w:rsid w:val="3EFB2499"/>
    <w:rsid w:val="3EFE614D"/>
    <w:rsid w:val="3EFEF4BD"/>
    <w:rsid w:val="3F010273"/>
    <w:rsid w:val="3F0563ED"/>
    <w:rsid w:val="3F0833B0"/>
    <w:rsid w:val="3F220916"/>
    <w:rsid w:val="3F243ABF"/>
    <w:rsid w:val="3F2A77CA"/>
    <w:rsid w:val="3F2D72BA"/>
    <w:rsid w:val="3F373C95"/>
    <w:rsid w:val="3F376A69"/>
    <w:rsid w:val="3F3E3276"/>
    <w:rsid w:val="3F4A7E6C"/>
    <w:rsid w:val="3F4E607F"/>
    <w:rsid w:val="3F4E6449"/>
    <w:rsid w:val="3F4F0FDF"/>
    <w:rsid w:val="3F4F42A7"/>
    <w:rsid w:val="3F520ACF"/>
    <w:rsid w:val="3F5A4F0B"/>
    <w:rsid w:val="3F6A5E19"/>
    <w:rsid w:val="3F6A7BC7"/>
    <w:rsid w:val="3F6C7DE3"/>
    <w:rsid w:val="3F760C61"/>
    <w:rsid w:val="3F771878"/>
    <w:rsid w:val="3F779E02"/>
    <w:rsid w:val="3F79605C"/>
    <w:rsid w:val="3F7F9605"/>
    <w:rsid w:val="3F870779"/>
    <w:rsid w:val="3F9904AC"/>
    <w:rsid w:val="3FA330D9"/>
    <w:rsid w:val="3FA57874"/>
    <w:rsid w:val="3FAC01DF"/>
    <w:rsid w:val="3FAE03FB"/>
    <w:rsid w:val="3FB53538"/>
    <w:rsid w:val="3FB7E63A"/>
    <w:rsid w:val="3FBBDF25"/>
    <w:rsid w:val="3FBD23C0"/>
    <w:rsid w:val="3FC512A1"/>
    <w:rsid w:val="3FC65745"/>
    <w:rsid w:val="3FCDC299"/>
    <w:rsid w:val="3FCEED26"/>
    <w:rsid w:val="3FDA11F0"/>
    <w:rsid w:val="3FDD65EB"/>
    <w:rsid w:val="3FDE10EE"/>
    <w:rsid w:val="3FDE717E"/>
    <w:rsid w:val="3FDF239A"/>
    <w:rsid w:val="3FDFFAB3"/>
    <w:rsid w:val="3FE1257F"/>
    <w:rsid w:val="3FE78F4C"/>
    <w:rsid w:val="3FECD332"/>
    <w:rsid w:val="3FED0E5F"/>
    <w:rsid w:val="3FEFFACE"/>
    <w:rsid w:val="3FF74CD3"/>
    <w:rsid w:val="3FFE71BE"/>
    <w:rsid w:val="3FFF61E2"/>
    <w:rsid w:val="3FFF761B"/>
    <w:rsid w:val="3FFF9C09"/>
    <w:rsid w:val="3FFFCE42"/>
    <w:rsid w:val="4004382A"/>
    <w:rsid w:val="400B13AA"/>
    <w:rsid w:val="400B75FC"/>
    <w:rsid w:val="400C5122"/>
    <w:rsid w:val="400E49F6"/>
    <w:rsid w:val="40104C12"/>
    <w:rsid w:val="40155D85"/>
    <w:rsid w:val="40271F5C"/>
    <w:rsid w:val="40307062"/>
    <w:rsid w:val="40363F4D"/>
    <w:rsid w:val="40387CC5"/>
    <w:rsid w:val="40450B2D"/>
    <w:rsid w:val="40491ED2"/>
    <w:rsid w:val="406010FB"/>
    <w:rsid w:val="4061721C"/>
    <w:rsid w:val="40644F5E"/>
    <w:rsid w:val="40692574"/>
    <w:rsid w:val="4081341A"/>
    <w:rsid w:val="409749EB"/>
    <w:rsid w:val="409C0254"/>
    <w:rsid w:val="40A23390"/>
    <w:rsid w:val="40A35A86"/>
    <w:rsid w:val="40A43FE1"/>
    <w:rsid w:val="40AA2BC7"/>
    <w:rsid w:val="40B7508E"/>
    <w:rsid w:val="40BF3F42"/>
    <w:rsid w:val="40C17CBA"/>
    <w:rsid w:val="40CD253B"/>
    <w:rsid w:val="40CD2C30"/>
    <w:rsid w:val="40DB4F03"/>
    <w:rsid w:val="410302D3"/>
    <w:rsid w:val="41151699"/>
    <w:rsid w:val="41384420"/>
    <w:rsid w:val="41391F47"/>
    <w:rsid w:val="413C37E5"/>
    <w:rsid w:val="413D1A37"/>
    <w:rsid w:val="41434B73"/>
    <w:rsid w:val="41452699"/>
    <w:rsid w:val="414B1AB2"/>
    <w:rsid w:val="414F176A"/>
    <w:rsid w:val="415154E2"/>
    <w:rsid w:val="41523008"/>
    <w:rsid w:val="41727207"/>
    <w:rsid w:val="417B430D"/>
    <w:rsid w:val="41801923"/>
    <w:rsid w:val="4193340B"/>
    <w:rsid w:val="41990C37"/>
    <w:rsid w:val="41A05B22"/>
    <w:rsid w:val="41A25D3E"/>
    <w:rsid w:val="41A978DB"/>
    <w:rsid w:val="41AE46E3"/>
    <w:rsid w:val="41B4781F"/>
    <w:rsid w:val="41C236CA"/>
    <w:rsid w:val="41C37A62"/>
    <w:rsid w:val="41CF23CD"/>
    <w:rsid w:val="41D103D1"/>
    <w:rsid w:val="41E06866"/>
    <w:rsid w:val="41E579D9"/>
    <w:rsid w:val="41E80D5B"/>
    <w:rsid w:val="41FB36A0"/>
    <w:rsid w:val="42010CB6"/>
    <w:rsid w:val="423E37F0"/>
    <w:rsid w:val="423F17DF"/>
    <w:rsid w:val="4251506E"/>
    <w:rsid w:val="425A0F71"/>
    <w:rsid w:val="42613AF4"/>
    <w:rsid w:val="42664FBD"/>
    <w:rsid w:val="426B25D4"/>
    <w:rsid w:val="42707E35"/>
    <w:rsid w:val="42785676"/>
    <w:rsid w:val="4286740D"/>
    <w:rsid w:val="4292190E"/>
    <w:rsid w:val="429F402B"/>
    <w:rsid w:val="42A258CA"/>
    <w:rsid w:val="42A31D6D"/>
    <w:rsid w:val="42B1052C"/>
    <w:rsid w:val="42BA2C13"/>
    <w:rsid w:val="42BC2E2F"/>
    <w:rsid w:val="42BC3382"/>
    <w:rsid w:val="42CD2946"/>
    <w:rsid w:val="42D75573"/>
    <w:rsid w:val="42F02E93"/>
    <w:rsid w:val="42F563BE"/>
    <w:rsid w:val="43012E27"/>
    <w:rsid w:val="431C567C"/>
    <w:rsid w:val="432D197A"/>
    <w:rsid w:val="432F53AF"/>
    <w:rsid w:val="435B016E"/>
    <w:rsid w:val="435B2648"/>
    <w:rsid w:val="43617533"/>
    <w:rsid w:val="436A288B"/>
    <w:rsid w:val="4374370A"/>
    <w:rsid w:val="4376F5CB"/>
    <w:rsid w:val="437D25BE"/>
    <w:rsid w:val="43882D11"/>
    <w:rsid w:val="438D20D6"/>
    <w:rsid w:val="43A1468D"/>
    <w:rsid w:val="43A708F0"/>
    <w:rsid w:val="43AA712C"/>
    <w:rsid w:val="43B35F95"/>
    <w:rsid w:val="43BE25BE"/>
    <w:rsid w:val="43BE4985"/>
    <w:rsid w:val="43C006FD"/>
    <w:rsid w:val="43C81360"/>
    <w:rsid w:val="43CE4CBB"/>
    <w:rsid w:val="43D16466"/>
    <w:rsid w:val="43D877F5"/>
    <w:rsid w:val="43D91B38"/>
    <w:rsid w:val="43EA577A"/>
    <w:rsid w:val="43EC504E"/>
    <w:rsid w:val="44006983"/>
    <w:rsid w:val="4416253F"/>
    <w:rsid w:val="44217FF5"/>
    <w:rsid w:val="442B6866"/>
    <w:rsid w:val="442C7B41"/>
    <w:rsid w:val="443D58AA"/>
    <w:rsid w:val="443F7874"/>
    <w:rsid w:val="444078CC"/>
    <w:rsid w:val="445A645C"/>
    <w:rsid w:val="44626CE7"/>
    <w:rsid w:val="44775260"/>
    <w:rsid w:val="447A6AFE"/>
    <w:rsid w:val="447B4624"/>
    <w:rsid w:val="447F2366"/>
    <w:rsid w:val="4483305F"/>
    <w:rsid w:val="449C4CC6"/>
    <w:rsid w:val="44A616A1"/>
    <w:rsid w:val="44AB315B"/>
    <w:rsid w:val="44B10046"/>
    <w:rsid w:val="44B87626"/>
    <w:rsid w:val="44DC072C"/>
    <w:rsid w:val="44DE708D"/>
    <w:rsid w:val="44E4041B"/>
    <w:rsid w:val="44ED72D0"/>
    <w:rsid w:val="44F97EC4"/>
    <w:rsid w:val="44FE760D"/>
    <w:rsid w:val="450D7972"/>
    <w:rsid w:val="452829E7"/>
    <w:rsid w:val="45285204"/>
    <w:rsid w:val="45401AF6"/>
    <w:rsid w:val="454060D8"/>
    <w:rsid w:val="45435142"/>
    <w:rsid w:val="45480448"/>
    <w:rsid w:val="454809AA"/>
    <w:rsid w:val="454F3AE7"/>
    <w:rsid w:val="4550160D"/>
    <w:rsid w:val="455C4456"/>
    <w:rsid w:val="457F1844"/>
    <w:rsid w:val="45815C6A"/>
    <w:rsid w:val="458E4348"/>
    <w:rsid w:val="45950612"/>
    <w:rsid w:val="459C013A"/>
    <w:rsid w:val="45A1630C"/>
    <w:rsid w:val="45A23CFB"/>
    <w:rsid w:val="45AA6F6F"/>
    <w:rsid w:val="45BB73CE"/>
    <w:rsid w:val="45BD3146"/>
    <w:rsid w:val="45C0528B"/>
    <w:rsid w:val="45CC5137"/>
    <w:rsid w:val="45CE588F"/>
    <w:rsid w:val="45D93CF8"/>
    <w:rsid w:val="45DC5246"/>
    <w:rsid w:val="45ED50AE"/>
    <w:rsid w:val="45EE1552"/>
    <w:rsid w:val="45F55910"/>
    <w:rsid w:val="45FB3C6E"/>
    <w:rsid w:val="460103E6"/>
    <w:rsid w:val="46032E8D"/>
    <w:rsid w:val="46164604"/>
    <w:rsid w:val="462F148B"/>
    <w:rsid w:val="464A2500"/>
    <w:rsid w:val="4651154E"/>
    <w:rsid w:val="466B2BA2"/>
    <w:rsid w:val="466E4440"/>
    <w:rsid w:val="46737CA9"/>
    <w:rsid w:val="468769E1"/>
    <w:rsid w:val="46965745"/>
    <w:rsid w:val="46A55352"/>
    <w:rsid w:val="46A56CC0"/>
    <w:rsid w:val="46B06893"/>
    <w:rsid w:val="46BA7686"/>
    <w:rsid w:val="46D00C57"/>
    <w:rsid w:val="46E06E25"/>
    <w:rsid w:val="46E44703"/>
    <w:rsid w:val="46EC2FAB"/>
    <w:rsid w:val="46FA2178"/>
    <w:rsid w:val="46FA5CD4"/>
    <w:rsid w:val="47135EB8"/>
    <w:rsid w:val="47136072"/>
    <w:rsid w:val="47241D78"/>
    <w:rsid w:val="4729480B"/>
    <w:rsid w:val="473F5DDD"/>
    <w:rsid w:val="47451645"/>
    <w:rsid w:val="474E7DCE"/>
    <w:rsid w:val="47637D1D"/>
    <w:rsid w:val="477517FF"/>
    <w:rsid w:val="47867568"/>
    <w:rsid w:val="47876F78"/>
    <w:rsid w:val="478E5712"/>
    <w:rsid w:val="47961EA1"/>
    <w:rsid w:val="479D1AB0"/>
    <w:rsid w:val="479E0D55"/>
    <w:rsid w:val="47AB6FCE"/>
    <w:rsid w:val="47AD0F98"/>
    <w:rsid w:val="47AF2F63"/>
    <w:rsid w:val="47C47D13"/>
    <w:rsid w:val="47D46525"/>
    <w:rsid w:val="47D65A37"/>
    <w:rsid w:val="47D93B3C"/>
    <w:rsid w:val="47DE7EE8"/>
    <w:rsid w:val="47DF88D5"/>
    <w:rsid w:val="47E10211"/>
    <w:rsid w:val="47E30789"/>
    <w:rsid w:val="47ED2D5B"/>
    <w:rsid w:val="47F72214"/>
    <w:rsid w:val="47FFB856"/>
    <w:rsid w:val="4803505C"/>
    <w:rsid w:val="480706A9"/>
    <w:rsid w:val="480865AC"/>
    <w:rsid w:val="481A184C"/>
    <w:rsid w:val="481D7ECC"/>
    <w:rsid w:val="48217291"/>
    <w:rsid w:val="48270D4B"/>
    <w:rsid w:val="482E3254"/>
    <w:rsid w:val="483515BE"/>
    <w:rsid w:val="48376AB4"/>
    <w:rsid w:val="48564021"/>
    <w:rsid w:val="485853A8"/>
    <w:rsid w:val="486FB1D0"/>
    <w:rsid w:val="48764738"/>
    <w:rsid w:val="487F78EF"/>
    <w:rsid w:val="48895562"/>
    <w:rsid w:val="488E2B78"/>
    <w:rsid w:val="489A776F"/>
    <w:rsid w:val="489D74E4"/>
    <w:rsid w:val="48A51C70"/>
    <w:rsid w:val="48A97D2E"/>
    <w:rsid w:val="48B545A9"/>
    <w:rsid w:val="48BD345D"/>
    <w:rsid w:val="48C26CC5"/>
    <w:rsid w:val="48CF7385"/>
    <w:rsid w:val="48D013E2"/>
    <w:rsid w:val="48D16F09"/>
    <w:rsid w:val="48D2515B"/>
    <w:rsid w:val="48D367DD"/>
    <w:rsid w:val="48D83DF3"/>
    <w:rsid w:val="48DF9B51"/>
    <w:rsid w:val="48E24C72"/>
    <w:rsid w:val="48E72288"/>
    <w:rsid w:val="48FA020D"/>
    <w:rsid w:val="48FF54C6"/>
    <w:rsid w:val="4916491B"/>
    <w:rsid w:val="491C794F"/>
    <w:rsid w:val="491D0E0D"/>
    <w:rsid w:val="492359B6"/>
    <w:rsid w:val="49357497"/>
    <w:rsid w:val="49396F88"/>
    <w:rsid w:val="493D634C"/>
    <w:rsid w:val="493F3E72"/>
    <w:rsid w:val="494E4BF6"/>
    <w:rsid w:val="49535B70"/>
    <w:rsid w:val="4953791E"/>
    <w:rsid w:val="496078E9"/>
    <w:rsid w:val="496F2E7F"/>
    <w:rsid w:val="49747FC0"/>
    <w:rsid w:val="497A528F"/>
    <w:rsid w:val="498D2E30"/>
    <w:rsid w:val="49975BCE"/>
    <w:rsid w:val="499A16F3"/>
    <w:rsid w:val="499E503D"/>
    <w:rsid w:val="49A14B2D"/>
    <w:rsid w:val="49B22896"/>
    <w:rsid w:val="49B74350"/>
    <w:rsid w:val="49C0125A"/>
    <w:rsid w:val="49D85702"/>
    <w:rsid w:val="49D95ED1"/>
    <w:rsid w:val="49DC5B65"/>
    <w:rsid w:val="49EA64D4"/>
    <w:rsid w:val="49F17862"/>
    <w:rsid w:val="49F36F4F"/>
    <w:rsid w:val="49F42090"/>
    <w:rsid w:val="49F71731"/>
    <w:rsid w:val="4A082D0D"/>
    <w:rsid w:val="4A0C0D60"/>
    <w:rsid w:val="4A111B4D"/>
    <w:rsid w:val="4A1277D9"/>
    <w:rsid w:val="4A137725"/>
    <w:rsid w:val="4A192915"/>
    <w:rsid w:val="4A2117CA"/>
    <w:rsid w:val="4A2319E6"/>
    <w:rsid w:val="4A253F1B"/>
    <w:rsid w:val="4A273284"/>
    <w:rsid w:val="4A343701"/>
    <w:rsid w:val="4A3B288C"/>
    <w:rsid w:val="4A463ED2"/>
    <w:rsid w:val="4A5C6177"/>
    <w:rsid w:val="4A6A13C3"/>
    <w:rsid w:val="4A6C513B"/>
    <w:rsid w:val="4A742241"/>
    <w:rsid w:val="4A752C5B"/>
    <w:rsid w:val="4A7933B4"/>
    <w:rsid w:val="4A8561FD"/>
    <w:rsid w:val="4A98521F"/>
    <w:rsid w:val="4A9E2E1A"/>
    <w:rsid w:val="4AA20B5D"/>
    <w:rsid w:val="4AA258AB"/>
    <w:rsid w:val="4AA76173"/>
    <w:rsid w:val="4AAC19DB"/>
    <w:rsid w:val="4AB02606"/>
    <w:rsid w:val="4AB5384C"/>
    <w:rsid w:val="4AB70571"/>
    <w:rsid w:val="4AC62843"/>
    <w:rsid w:val="4ADF3CAD"/>
    <w:rsid w:val="4AE50A49"/>
    <w:rsid w:val="4AE7656F"/>
    <w:rsid w:val="4AE802F1"/>
    <w:rsid w:val="4AFB026D"/>
    <w:rsid w:val="4AFD5315"/>
    <w:rsid w:val="4B0233A9"/>
    <w:rsid w:val="4B082FDE"/>
    <w:rsid w:val="4B3043BA"/>
    <w:rsid w:val="4B335C59"/>
    <w:rsid w:val="4B3774F7"/>
    <w:rsid w:val="4B3C2D5F"/>
    <w:rsid w:val="4B44381C"/>
    <w:rsid w:val="4B4D6D1A"/>
    <w:rsid w:val="4B524331"/>
    <w:rsid w:val="4B5A1437"/>
    <w:rsid w:val="4B663938"/>
    <w:rsid w:val="4B7788DC"/>
    <w:rsid w:val="4B8464B4"/>
    <w:rsid w:val="4B8D612B"/>
    <w:rsid w:val="4B8D7117"/>
    <w:rsid w:val="4B8F7333"/>
    <w:rsid w:val="4B9A1834"/>
    <w:rsid w:val="4BB85BF2"/>
    <w:rsid w:val="4BCF3BD3"/>
    <w:rsid w:val="4BD7D080"/>
    <w:rsid w:val="4BDC009E"/>
    <w:rsid w:val="4BDC3BFA"/>
    <w:rsid w:val="4BE43C24"/>
    <w:rsid w:val="4BF70A34"/>
    <w:rsid w:val="4BF74ED8"/>
    <w:rsid w:val="4BFBF060"/>
    <w:rsid w:val="4BFECABF"/>
    <w:rsid w:val="4BFFF18B"/>
    <w:rsid w:val="4C013661"/>
    <w:rsid w:val="4C107D48"/>
    <w:rsid w:val="4C1E4244"/>
    <w:rsid w:val="4C261064"/>
    <w:rsid w:val="4C2D3C0D"/>
    <w:rsid w:val="4C327580"/>
    <w:rsid w:val="4C37699C"/>
    <w:rsid w:val="4C3B3017"/>
    <w:rsid w:val="4C4579F1"/>
    <w:rsid w:val="4C5916EF"/>
    <w:rsid w:val="4C5D11DF"/>
    <w:rsid w:val="4C6523CA"/>
    <w:rsid w:val="4C687AA8"/>
    <w:rsid w:val="4C714C8A"/>
    <w:rsid w:val="4C724422"/>
    <w:rsid w:val="4C7B1665"/>
    <w:rsid w:val="4C7C718B"/>
    <w:rsid w:val="4CA95B79"/>
    <w:rsid w:val="4CB42DC9"/>
    <w:rsid w:val="4CC0176E"/>
    <w:rsid w:val="4CC90D88"/>
    <w:rsid w:val="4CCF19B1"/>
    <w:rsid w:val="4CF338F1"/>
    <w:rsid w:val="4D054A99"/>
    <w:rsid w:val="4D0B0C3B"/>
    <w:rsid w:val="4D0E1E95"/>
    <w:rsid w:val="4D106251"/>
    <w:rsid w:val="4D135D42"/>
    <w:rsid w:val="4D27359B"/>
    <w:rsid w:val="4D2F4299"/>
    <w:rsid w:val="4D355CB8"/>
    <w:rsid w:val="4D4B1038"/>
    <w:rsid w:val="4D4E1E90"/>
    <w:rsid w:val="4D693BB4"/>
    <w:rsid w:val="4D6B3488"/>
    <w:rsid w:val="4D7D22A3"/>
    <w:rsid w:val="4D7E0DAB"/>
    <w:rsid w:val="4D8409ED"/>
    <w:rsid w:val="4DA92202"/>
    <w:rsid w:val="4DAE26E6"/>
    <w:rsid w:val="4DAE5A6A"/>
    <w:rsid w:val="4DB03590"/>
    <w:rsid w:val="4DBD7A5B"/>
    <w:rsid w:val="4DC64B62"/>
    <w:rsid w:val="4DD43C4A"/>
    <w:rsid w:val="4DE76116"/>
    <w:rsid w:val="4DE864AD"/>
    <w:rsid w:val="4DED5753"/>
    <w:rsid w:val="4DEF230B"/>
    <w:rsid w:val="4DF72F6D"/>
    <w:rsid w:val="4DFD5221"/>
    <w:rsid w:val="4E035DB6"/>
    <w:rsid w:val="4E0A1F86"/>
    <w:rsid w:val="4E0F475B"/>
    <w:rsid w:val="4E2B0E69"/>
    <w:rsid w:val="4E320449"/>
    <w:rsid w:val="4E3715BC"/>
    <w:rsid w:val="4E3917D8"/>
    <w:rsid w:val="4E402B66"/>
    <w:rsid w:val="4E5151A3"/>
    <w:rsid w:val="4E52289A"/>
    <w:rsid w:val="4E5376DC"/>
    <w:rsid w:val="4E6F6FA8"/>
    <w:rsid w:val="4E7CBBA0"/>
    <w:rsid w:val="4E8441C7"/>
    <w:rsid w:val="4E8D742E"/>
    <w:rsid w:val="4E9C58C3"/>
    <w:rsid w:val="4E9D5F4E"/>
    <w:rsid w:val="4EA12ED9"/>
    <w:rsid w:val="4EA34EA3"/>
    <w:rsid w:val="4EAF6D04"/>
    <w:rsid w:val="4EB1136E"/>
    <w:rsid w:val="4EB62E28"/>
    <w:rsid w:val="4EB64BD7"/>
    <w:rsid w:val="4EC24573"/>
    <w:rsid w:val="4EC46BBF"/>
    <w:rsid w:val="4EC5306C"/>
    <w:rsid w:val="4EC77901"/>
    <w:rsid w:val="4ECE0172"/>
    <w:rsid w:val="4ED07495"/>
    <w:rsid w:val="4ED212E5"/>
    <w:rsid w:val="4EDB63EB"/>
    <w:rsid w:val="4EEF633A"/>
    <w:rsid w:val="4EEF78F4"/>
    <w:rsid w:val="4F082F58"/>
    <w:rsid w:val="4F165675"/>
    <w:rsid w:val="4F22226C"/>
    <w:rsid w:val="4F28465E"/>
    <w:rsid w:val="4F407255"/>
    <w:rsid w:val="4F6505F9"/>
    <w:rsid w:val="4F6E725F"/>
    <w:rsid w:val="4F760C0C"/>
    <w:rsid w:val="4F7A5C04"/>
    <w:rsid w:val="4F9A46E8"/>
    <w:rsid w:val="4F9D31CA"/>
    <w:rsid w:val="4F9F4271"/>
    <w:rsid w:val="4FAE1D52"/>
    <w:rsid w:val="4FBA002E"/>
    <w:rsid w:val="4FBC446F"/>
    <w:rsid w:val="4FBD1F95"/>
    <w:rsid w:val="4FCB2904"/>
    <w:rsid w:val="4FCC21D8"/>
    <w:rsid w:val="4FDBE75C"/>
    <w:rsid w:val="4FDC066D"/>
    <w:rsid w:val="4FED4628"/>
    <w:rsid w:val="4FF71E65"/>
    <w:rsid w:val="4FF72B12"/>
    <w:rsid w:val="4FFBB516"/>
    <w:rsid w:val="4FFE73E9"/>
    <w:rsid w:val="4FFF25AD"/>
    <w:rsid w:val="4FFF27A4"/>
    <w:rsid w:val="4FFFF8EC"/>
    <w:rsid w:val="5003209D"/>
    <w:rsid w:val="500D6A78"/>
    <w:rsid w:val="501064BB"/>
    <w:rsid w:val="501F0559"/>
    <w:rsid w:val="50203983"/>
    <w:rsid w:val="502618E8"/>
    <w:rsid w:val="502C78BD"/>
    <w:rsid w:val="503404A9"/>
    <w:rsid w:val="503C1837"/>
    <w:rsid w:val="50403624"/>
    <w:rsid w:val="50544AFE"/>
    <w:rsid w:val="50812FC2"/>
    <w:rsid w:val="508B5BEF"/>
    <w:rsid w:val="509C604E"/>
    <w:rsid w:val="50A078EC"/>
    <w:rsid w:val="50A66D16"/>
    <w:rsid w:val="50A849F3"/>
    <w:rsid w:val="50DB26D2"/>
    <w:rsid w:val="50EE4E08"/>
    <w:rsid w:val="50FE2426"/>
    <w:rsid w:val="51121E6C"/>
    <w:rsid w:val="512F0C70"/>
    <w:rsid w:val="5139389D"/>
    <w:rsid w:val="514648DC"/>
    <w:rsid w:val="514D5652"/>
    <w:rsid w:val="5150785C"/>
    <w:rsid w:val="51510BE7"/>
    <w:rsid w:val="515A41E2"/>
    <w:rsid w:val="5160707C"/>
    <w:rsid w:val="516721B8"/>
    <w:rsid w:val="51675356"/>
    <w:rsid w:val="51692B2E"/>
    <w:rsid w:val="517B5C63"/>
    <w:rsid w:val="517F39A6"/>
    <w:rsid w:val="517F3E24"/>
    <w:rsid w:val="51914954"/>
    <w:rsid w:val="51960CEF"/>
    <w:rsid w:val="519948ED"/>
    <w:rsid w:val="519F5DF6"/>
    <w:rsid w:val="51AD665B"/>
    <w:rsid w:val="51B05EC9"/>
    <w:rsid w:val="51C4760A"/>
    <w:rsid w:val="51CF7F2C"/>
    <w:rsid w:val="51DE0059"/>
    <w:rsid w:val="51E1640E"/>
    <w:rsid w:val="51F2795F"/>
    <w:rsid w:val="51F31C9E"/>
    <w:rsid w:val="51F37EF0"/>
    <w:rsid w:val="51FA6C65"/>
    <w:rsid w:val="51FD48CA"/>
    <w:rsid w:val="520B3C6B"/>
    <w:rsid w:val="52101963"/>
    <w:rsid w:val="52110A39"/>
    <w:rsid w:val="521A1920"/>
    <w:rsid w:val="521D4F6D"/>
    <w:rsid w:val="52397095"/>
    <w:rsid w:val="52492E45"/>
    <w:rsid w:val="524D7600"/>
    <w:rsid w:val="5257222D"/>
    <w:rsid w:val="52595FA5"/>
    <w:rsid w:val="525D691E"/>
    <w:rsid w:val="525F5585"/>
    <w:rsid w:val="526130AB"/>
    <w:rsid w:val="526737EA"/>
    <w:rsid w:val="5272350A"/>
    <w:rsid w:val="52756B57"/>
    <w:rsid w:val="528D5C4E"/>
    <w:rsid w:val="528F7C18"/>
    <w:rsid w:val="52926C9E"/>
    <w:rsid w:val="52AA6800"/>
    <w:rsid w:val="52AB07CA"/>
    <w:rsid w:val="52AF2069"/>
    <w:rsid w:val="52B26FAC"/>
    <w:rsid w:val="52BC4786"/>
    <w:rsid w:val="52CA0C50"/>
    <w:rsid w:val="52CD24EF"/>
    <w:rsid w:val="52D03D8D"/>
    <w:rsid w:val="52E77A54"/>
    <w:rsid w:val="52E962D5"/>
    <w:rsid w:val="52F65EE9"/>
    <w:rsid w:val="52F82D3C"/>
    <w:rsid w:val="53004672"/>
    <w:rsid w:val="5311687F"/>
    <w:rsid w:val="53134EDD"/>
    <w:rsid w:val="531E7B67"/>
    <w:rsid w:val="531F6449"/>
    <w:rsid w:val="53215D20"/>
    <w:rsid w:val="532306A7"/>
    <w:rsid w:val="5325368A"/>
    <w:rsid w:val="532C06D7"/>
    <w:rsid w:val="533423A7"/>
    <w:rsid w:val="53394028"/>
    <w:rsid w:val="533F1412"/>
    <w:rsid w:val="534349C0"/>
    <w:rsid w:val="534A1D91"/>
    <w:rsid w:val="534A7FE3"/>
    <w:rsid w:val="534B71BB"/>
    <w:rsid w:val="534C2DE1"/>
    <w:rsid w:val="53530C46"/>
    <w:rsid w:val="535449BE"/>
    <w:rsid w:val="5358625C"/>
    <w:rsid w:val="535D3873"/>
    <w:rsid w:val="53626B0C"/>
    <w:rsid w:val="536A5F90"/>
    <w:rsid w:val="536F35A6"/>
    <w:rsid w:val="5371731E"/>
    <w:rsid w:val="53764934"/>
    <w:rsid w:val="537B12B5"/>
    <w:rsid w:val="53807561"/>
    <w:rsid w:val="53856A26"/>
    <w:rsid w:val="5394300C"/>
    <w:rsid w:val="539A14F0"/>
    <w:rsid w:val="539B083F"/>
    <w:rsid w:val="53A21BCD"/>
    <w:rsid w:val="53A45945"/>
    <w:rsid w:val="53A741DD"/>
    <w:rsid w:val="53AA2830"/>
    <w:rsid w:val="53ABD743"/>
    <w:rsid w:val="53BA6F17"/>
    <w:rsid w:val="53BC2B2A"/>
    <w:rsid w:val="53BD558C"/>
    <w:rsid w:val="53BF62DB"/>
    <w:rsid w:val="53C36A62"/>
    <w:rsid w:val="53C75B65"/>
    <w:rsid w:val="53CE4770"/>
    <w:rsid w:val="53D37FD9"/>
    <w:rsid w:val="53D6C66D"/>
    <w:rsid w:val="53DA1367"/>
    <w:rsid w:val="53E13325"/>
    <w:rsid w:val="53E2021C"/>
    <w:rsid w:val="53E421E6"/>
    <w:rsid w:val="53E75832"/>
    <w:rsid w:val="53E94A32"/>
    <w:rsid w:val="53EE619C"/>
    <w:rsid w:val="53FA5565"/>
    <w:rsid w:val="540208BE"/>
    <w:rsid w:val="541D3A51"/>
    <w:rsid w:val="542919A7"/>
    <w:rsid w:val="543640C4"/>
    <w:rsid w:val="544B62CC"/>
    <w:rsid w:val="547370C6"/>
    <w:rsid w:val="547F3CBD"/>
    <w:rsid w:val="5483555B"/>
    <w:rsid w:val="54880DC3"/>
    <w:rsid w:val="548A1708"/>
    <w:rsid w:val="548E0DEC"/>
    <w:rsid w:val="54A454D1"/>
    <w:rsid w:val="54AB7B01"/>
    <w:rsid w:val="54AC2F51"/>
    <w:rsid w:val="54AD4386"/>
    <w:rsid w:val="54B24092"/>
    <w:rsid w:val="54BE1A66"/>
    <w:rsid w:val="54BF230B"/>
    <w:rsid w:val="54C60002"/>
    <w:rsid w:val="54C618EB"/>
    <w:rsid w:val="54CF69F2"/>
    <w:rsid w:val="54D04518"/>
    <w:rsid w:val="54D062C6"/>
    <w:rsid w:val="54DE09E3"/>
    <w:rsid w:val="54E32728"/>
    <w:rsid w:val="54E66A4D"/>
    <w:rsid w:val="54F02663"/>
    <w:rsid w:val="54FE2E33"/>
    <w:rsid w:val="5509476E"/>
    <w:rsid w:val="55147A1D"/>
    <w:rsid w:val="551B39E5"/>
    <w:rsid w:val="551D59AF"/>
    <w:rsid w:val="552705DC"/>
    <w:rsid w:val="55287EB0"/>
    <w:rsid w:val="553E73B3"/>
    <w:rsid w:val="55434CEA"/>
    <w:rsid w:val="55651104"/>
    <w:rsid w:val="556C5FEF"/>
    <w:rsid w:val="558275C0"/>
    <w:rsid w:val="55881E63"/>
    <w:rsid w:val="558F7F2F"/>
    <w:rsid w:val="559A7000"/>
    <w:rsid w:val="559E0B25"/>
    <w:rsid w:val="55A03EEB"/>
    <w:rsid w:val="55AF7BDE"/>
    <w:rsid w:val="55B044A8"/>
    <w:rsid w:val="55B7165E"/>
    <w:rsid w:val="55CD75A6"/>
    <w:rsid w:val="55F05BDE"/>
    <w:rsid w:val="55F935FB"/>
    <w:rsid w:val="5601759D"/>
    <w:rsid w:val="5613290E"/>
    <w:rsid w:val="5621585F"/>
    <w:rsid w:val="562E599A"/>
    <w:rsid w:val="56301712"/>
    <w:rsid w:val="56326E73"/>
    <w:rsid w:val="56384C51"/>
    <w:rsid w:val="563C024F"/>
    <w:rsid w:val="56440D1A"/>
    <w:rsid w:val="565F7902"/>
    <w:rsid w:val="56737851"/>
    <w:rsid w:val="567A473C"/>
    <w:rsid w:val="56876E58"/>
    <w:rsid w:val="569278FF"/>
    <w:rsid w:val="56A1616C"/>
    <w:rsid w:val="56B57E6A"/>
    <w:rsid w:val="56CC7222"/>
    <w:rsid w:val="56D025AE"/>
    <w:rsid w:val="56E04EE6"/>
    <w:rsid w:val="56F664B8"/>
    <w:rsid w:val="56F73FDE"/>
    <w:rsid w:val="57064221"/>
    <w:rsid w:val="57195870"/>
    <w:rsid w:val="572940E6"/>
    <w:rsid w:val="572C7C98"/>
    <w:rsid w:val="57342B3C"/>
    <w:rsid w:val="5737262D"/>
    <w:rsid w:val="57392849"/>
    <w:rsid w:val="57413A35"/>
    <w:rsid w:val="574216FD"/>
    <w:rsid w:val="57770C7B"/>
    <w:rsid w:val="57776E1C"/>
    <w:rsid w:val="57794569"/>
    <w:rsid w:val="577DCD24"/>
    <w:rsid w:val="577F6616"/>
    <w:rsid w:val="579212BC"/>
    <w:rsid w:val="57925AB5"/>
    <w:rsid w:val="57A33EBB"/>
    <w:rsid w:val="57BE0CA6"/>
    <w:rsid w:val="57CD4D3F"/>
    <w:rsid w:val="57CE11E3"/>
    <w:rsid w:val="57CF603D"/>
    <w:rsid w:val="57D71812"/>
    <w:rsid w:val="57D9BFF8"/>
    <w:rsid w:val="57E74053"/>
    <w:rsid w:val="57EBC47B"/>
    <w:rsid w:val="57ED767A"/>
    <w:rsid w:val="57F74BE3"/>
    <w:rsid w:val="57F95B34"/>
    <w:rsid w:val="57FB0E67"/>
    <w:rsid w:val="57FC185D"/>
    <w:rsid w:val="57FF5DE3"/>
    <w:rsid w:val="580F4142"/>
    <w:rsid w:val="581110D0"/>
    <w:rsid w:val="581A7F84"/>
    <w:rsid w:val="582232DD"/>
    <w:rsid w:val="582238BC"/>
    <w:rsid w:val="582708F3"/>
    <w:rsid w:val="582C5F09"/>
    <w:rsid w:val="583A6878"/>
    <w:rsid w:val="58403763"/>
    <w:rsid w:val="58405511"/>
    <w:rsid w:val="584F05EC"/>
    <w:rsid w:val="584F5203"/>
    <w:rsid w:val="58501BF8"/>
    <w:rsid w:val="58515970"/>
    <w:rsid w:val="5870318E"/>
    <w:rsid w:val="58733166"/>
    <w:rsid w:val="58734F65"/>
    <w:rsid w:val="587A0A23"/>
    <w:rsid w:val="587F8A93"/>
    <w:rsid w:val="58863015"/>
    <w:rsid w:val="589046EA"/>
    <w:rsid w:val="58937D37"/>
    <w:rsid w:val="58A86818"/>
    <w:rsid w:val="58AB32D2"/>
    <w:rsid w:val="58AC120F"/>
    <w:rsid w:val="58AD4249"/>
    <w:rsid w:val="58B06B3A"/>
    <w:rsid w:val="58B47348"/>
    <w:rsid w:val="58B959EF"/>
    <w:rsid w:val="58D1441F"/>
    <w:rsid w:val="58D2085F"/>
    <w:rsid w:val="58D36385"/>
    <w:rsid w:val="58E442E2"/>
    <w:rsid w:val="58EB1921"/>
    <w:rsid w:val="58F20F01"/>
    <w:rsid w:val="59062983"/>
    <w:rsid w:val="59096FBD"/>
    <w:rsid w:val="591770DF"/>
    <w:rsid w:val="591C7708"/>
    <w:rsid w:val="591F6D94"/>
    <w:rsid w:val="594352B9"/>
    <w:rsid w:val="5947124D"/>
    <w:rsid w:val="59576FB6"/>
    <w:rsid w:val="59590F80"/>
    <w:rsid w:val="59611BE3"/>
    <w:rsid w:val="596334BB"/>
    <w:rsid w:val="59710078"/>
    <w:rsid w:val="597A3BB3"/>
    <w:rsid w:val="597DFBC3"/>
    <w:rsid w:val="597EB301"/>
    <w:rsid w:val="59914276"/>
    <w:rsid w:val="59927FEE"/>
    <w:rsid w:val="599B4757"/>
    <w:rsid w:val="599C0E6D"/>
    <w:rsid w:val="59A71CEC"/>
    <w:rsid w:val="59A860E0"/>
    <w:rsid w:val="59B56DA9"/>
    <w:rsid w:val="59B91A1F"/>
    <w:rsid w:val="59D2668C"/>
    <w:rsid w:val="59D522F0"/>
    <w:rsid w:val="59D5566C"/>
    <w:rsid w:val="59DD74BB"/>
    <w:rsid w:val="59DF315D"/>
    <w:rsid w:val="59F111B9"/>
    <w:rsid w:val="59F1740B"/>
    <w:rsid w:val="59F20A8D"/>
    <w:rsid w:val="59F32CC1"/>
    <w:rsid w:val="59FD7B5D"/>
    <w:rsid w:val="5A0802B0"/>
    <w:rsid w:val="5A0E58C7"/>
    <w:rsid w:val="5A144EA7"/>
    <w:rsid w:val="5A2570B4"/>
    <w:rsid w:val="5A272E2C"/>
    <w:rsid w:val="5A3A2B60"/>
    <w:rsid w:val="5A511C57"/>
    <w:rsid w:val="5A64198B"/>
    <w:rsid w:val="5A6D9B03"/>
    <w:rsid w:val="5A8913F1"/>
    <w:rsid w:val="5A8B33BB"/>
    <w:rsid w:val="5AA94C5A"/>
    <w:rsid w:val="5AAA9A9B"/>
    <w:rsid w:val="5AB67D0C"/>
    <w:rsid w:val="5AC642F3"/>
    <w:rsid w:val="5AC97A40"/>
    <w:rsid w:val="5AE12FDB"/>
    <w:rsid w:val="5AE32609"/>
    <w:rsid w:val="5AE65F83"/>
    <w:rsid w:val="5AED71E7"/>
    <w:rsid w:val="5AF7DC83"/>
    <w:rsid w:val="5AFB3C0F"/>
    <w:rsid w:val="5AFD676A"/>
    <w:rsid w:val="5B224FBB"/>
    <w:rsid w:val="5B2B4256"/>
    <w:rsid w:val="5B2D10C2"/>
    <w:rsid w:val="5B2F01EA"/>
    <w:rsid w:val="5B370E4D"/>
    <w:rsid w:val="5B3B6835"/>
    <w:rsid w:val="5B465534"/>
    <w:rsid w:val="5B4B45B5"/>
    <w:rsid w:val="5B4D1AC8"/>
    <w:rsid w:val="5B57329D"/>
    <w:rsid w:val="5B6360E6"/>
    <w:rsid w:val="5B637E94"/>
    <w:rsid w:val="5B7025B1"/>
    <w:rsid w:val="5B791466"/>
    <w:rsid w:val="5B7B51DE"/>
    <w:rsid w:val="5B7F01A8"/>
    <w:rsid w:val="5B8A3673"/>
    <w:rsid w:val="5B8F0C89"/>
    <w:rsid w:val="5B8F9460"/>
    <w:rsid w:val="5B9B762E"/>
    <w:rsid w:val="5BB57FC4"/>
    <w:rsid w:val="5BBD57F6"/>
    <w:rsid w:val="5BC56459"/>
    <w:rsid w:val="5BC788F6"/>
    <w:rsid w:val="5BD60666"/>
    <w:rsid w:val="5BD946E4"/>
    <w:rsid w:val="5BDC87FF"/>
    <w:rsid w:val="5BDFEF67"/>
    <w:rsid w:val="5BE508A9"/>
    <w:rsid w:val="5BE54D4D"/>
    <w:rsid w:val="5BE79CB2"/>
    <w:rsid w:val="5BE7F760"/>
    <w:rsid w:val="5BEDA6DE"/>
    <w:rsid w:val="5BF67BFC"/>
    <w:rsid w:val="5BFFCE8C"/>
    <w:rsid w:val="5C0E1955"/>
    <w:rsid w:val="5C160025"/>
    <w:rsid w:val="5C164F06"/>
    <w:rsid w:val="5C166CB5"/>
    <w:rsid w:val="5C1D44E7"/>
    <w:rsid w:val="5C1E08A9"/>
    <w:rsid w:val="5C2313D1"/>
    <w:rsid w:val="5C361105"/>
    <w:rsid w:val="5C3C6566"/>
    <w:rsid w:val="5C3F445D"/>
    <w:rsid w:val="5C4A6731"/>
    <w:rsid w:val="5C4E644E"/>
    <w:rsid w:val="5C5477DD"/>
    <w:rsid w:val="5C57753C"/>
    <w:rsid w:val="5C5B500F"/>
    <w:rsid w:val="5C5C0D57"/>
    <w:rsid w:val="5C5F68AD"/>
    <w:rsid w:val="5C7F0CFE"/>
    <w:rsid w:val="5C9116E3"/>
    <w:rsid w:val="5C955DF5"/>
    <w:rsid w:val="5C9C2DD3"/>
    <w:rsid w:val="5C9F6CAA"/>
    <w:rsid w:val="5CBA72B5"/>
    <w:rsid w:val="5CC11316"/>
    <w:rsid w:val="5CC91F79"/>
    <w:rsid w:val="5CD03307"/>
    <w:rsid w:val="5CDA23D8"/>
    <w:rsid w:val="5CDD5A24"/>
    <w:rsid w:val="5CE02B67"/>
    <w:rsid w:val="5CE035D2"/>
    <w:rsid w:val="5CE328FF"/>
    <w:rsid w:val="5CED3EB9"/>
    <w:rsid w:val="5CEF74DD"/>
    <w:rsid w:val="5CFD8D25"/>
    <w:rsid w:val="5D072AA1"/>
    <w:rsid w:val="5D0905C7"/>
    <w:rsid w:val="5D196598"/>
    <w:rsid w:val="5D1969D1"/>
    <w:rsid w:val="5D215911"/>
    <w:rsid w:val="5D2732DD"/>
    <w:rsid w:val="5D375134"/>
    <w:rsid w:val="5D487342"/>
    <w:rsid w:val="5D492BC3"/>
    <w:rsid w:val="5D51013C"/>
    <w:rsid w:val="5D55B19E"/>
    <w:rsid w:val="5D60062B"/>
    <w:rsid w:val="5D7C348F"/>
    <w:rsid w:val="5D8827E5"/>
    <w:rsid w:val="5D883BE2"/>
    <w:rsid w:val="5D916F3A"/>
    <w:rsid w:val="5DA40E67"/>
    <w:rsid w:val="5DA54794"/>
    <w:rsid w:val="5DA606AA"/>
    <w:rsid w:val="5DAE40EE"/>
    <w:rsid w:val="5DB03139"/>
    <w:rsid w:val="5DB06C95"/>
    <w:rsid w:val="5DB287E7"/>
    <w:rsid w:val="5DB72F61"/>
    <w:rsid w:val="5DBB178B"/>
    <w:rsid w:val="5DC7295C"/>
    <w:rsid w:val="5DC7C830"/>
    <w:rsid w:val="5DCF5080"/>
    <w:rsid w:val="5DD38586"/>
    <w:rsid w:val="5DE63AAD"/>
    <w:rsid w:val="5DED09C6"/>
    <w:rsid w:val="5DED7EE9"/>
    <w:rsid w:val="5DEF9A2A"/>
    <w:rsid w:val="5DF22D33"/>
    <w:rsid w:val="5DF64FF0"/>
    <w:rsid w:val="5E0771FD"/>
    <w:rsid w:val="5E1358D5"/>
    <w:rsid w:val="5E1755D6"/>
    <w:rsid w:val="5E2002BE"/>
    <w:rsid w:val="5E241C39"/>
    <w:rsid w:val="5E2A4C99"/>
    <w:rsid w:val="5E2E29DB"/>
    <w:rsid w:val="5E3311D0"/>
    <w:rsid w:val="5E3B2A02"/>
    <w:rsid w:val="5E3FEC27"/>
    <w:rsid w:val="5E420235"/>
    <w:rsid w:val="5E510E61"/>
    <w:rsid w:val="5E5CE77E"/>
    <w:rsid w:val="5E677C9B"/>
    <w:rsid w:val="5E68756F"/>
    <w:rsid w:val="5E6F08FE"/>
    <w:rsid w:val="5E734F09"/>
    <w:rsid w:val="5E8425FB"/>
    <w:rsid w:val="5E87CAFE"/>
    <w:rsid w:val="5E8A5738"/>
    <w:rsid w:val="5E8C6B7C"/>
    <w:rsid w:val="5E930A90"/>
    <w:rsid w:val="5E980234"/>
    <w:rsid w:val="5E987E55"/>
    <w:rsid w:val="5EA762EA"/>
    <w:rsid w:val="5EAE5E8D"/>
    <w:rsid w:val="5EBA601D"/>
    <w:rsid w:val="5EBB25D9"/>
    <w:rsid w:val="5EC2182D"/>
    <w:rsid w:val="5EC92704"/>
    <w:rsid w:val="5ED167B4"/>
    <w:rsid w:val="5ED879CC"/>
    <w:rsid w:val="5EDD9B78"/>
    <w:rsid w:val="5EDF0A38"/>
    <w:rsid w:val="5EE74938"/>
    <w:rsid w:val="5EEB267A"/>
    <w:rsid w:val="5EED0929"/>
    <w:rsid w:val="5EFA0B0F"/>
    <w:rsid w:val="5EFD85ED"/>
    <w:rsid w:val="5EFF2422"/>
    <w:rsid w:val="5F024BF3"/>
    <w:rsid w:val="5F08322C"/>
    <w:rsid w:val="5F0D7D2F"/>
    <w:rsid w:val="5F1119B5"/>
    <w:rsid w:val="5F1F018B"/>
    <w:rsid w:val="5F217E4A"/>
    <w:rsid w:val="5F21B230"/>
    <w:rsid w:val="5F2416E8"/>
    <w:rsid w:val="5F4B3479"/>
    <w:rsid w:val="5F5314D3"/>
    <w:rsid w:val="5F5F0972"/>
    <w:rsid w:val="5F671FB6"/>
    <w:rsid w:val="5F6B3DD1"/>
    <w:rsid w:val="5F7351A8"/>
    <w:rsid w:val="5F745129"/>
    <w:rsid w:val="5F7F74E6"/>
    <w:rsid w:val="5F7F8424"/>
    <w:rsid w:val="5F857B8E"/>
    <w:rsid w:val="5F944AC0"/>
    <w:rsid w:val="5F9A6A4F"/>
    <w:rsid w:val="5F9D6D44"/>
    <w:rsid w:val="5FA16CFD"/>
    <w:rsid w:val="5FA40A7B"/>
    <w:rsid w:val="5FA665A1"/>
    <w:rsid w:val="5FA840C8"/>
    <w:rsid w:val="5FAE5456"/>
    <w:rsid w:val="5FAF18FA"/>
    <w:rsid w:val="5FB9289D"/>
    <w:rsid w:val="5FBA204D"/>
    <w:rsid w:val="5FBB7063"/>
    <w:rsid w:val="5FBE5F8C"/>
    <w:rsid w:val="5FC3E0C2"/>
    <w:rsid w:val="5FCB425A"/>
    <w:rsid w:val="5FCD1D80"/>
    <w:rsid w:val="5FCF3D4A"/>
    <w:rsid w:val="5FD27396"/>
    <w:rsid w:val="5FDC1FC3"/>
    <w:rsid w:val="5FDF5F21"/>
    <w:rsid w:val="5FE70EFC"/>
    <w:rsid w:val="5FEF5AE3"/>
    <w:rsid w:val="5FEF9CDF"/>
    <w:rsid w:val="5FF52FC5"/>
    <w:rsid w:val="5FF98158"/>
    <w:rsid w:val="5FFE92A3"/>
    <w:rsid w:val="5FFF095F"/>
    <w:rsid w:val="5FFF6A55"/>
    <w:rsid w:val="5FFF8B6C"/>
    <w:rsid w:val="5FFF9503"/>
    <w:rsid w:val="5FFFB3F9"/>
    <w:rsid w:val="60010C0C"/>
    <w:rsid w:val="600357A2"/>
    <w:rsid w:val="600449FA"/>
    <w:rsid w:val="60065292"/>
    <w:rsid w:val="600812C2"/>
    <w:rsid w:val="600B4656"/>
    <w:rsid w:val="60206354"/>
    <w:rsid w:val="602A71D2"/>
    <w:rsid w:val="605136F1"/>
    <w:rsid w:val="60566219"/>
    <w:rsid w:val="60641CD3"/>
    <w:rsid w:val="60664487"/>
    <w:rsid w:val="60695F4D"/>
    <w:rsid w:val="60697CFF"/>
    <w:rsid w:val="606A3A73"/>
    <w:rsid w:val="607641C6"/>
    <w:rsid w:val="6081108F"/>
    <w:rsid w:val="608D6D84"/>
    <w:rsid w:val="60911000"/>
    <w:rsid w:val="6098413C"/>
    <w:rsid w:val="60997EB4"/>
    <w:rsid w:val="609A4358"/>
    <w:rsid w:val="60A800F7"/>
    <w:rsid w:val="60AA0313"/>
    <w:rsid w:val="60AC7BE7"/>
    <w:rsid w:val="60BA0556"/>
    <w:rsid w:val="60BD3BA3"/>
    <w:rsid w:val="60D66C58"/>
    <w:rsid w:val="60E47381"/>
    <w:rsid w:val="60EC4488"/>
    <w:rsid w:val="60EF5D26"/>
    <w:rsid w:val="60F34B13"/>
    <w:rsid w:val="60F656FF"/>
    <w:rsid w:val="61030562"/>
    <w:rsid w:val="61053D09"/>
    <w:rsid w:val="61120392"/>
    <w:rsid w:val="61175E6E"/>
    <w:rsid w:val="612C0D28"/>
    <w:rsid w:val="612D34C7"/>
    <w:rsid w:val="613227E3"/>
    <w:rsid w:val="613C5DD2"/>
    <w:rsid w:val="6142679E"/>
    <w:rsid w:val="61497B2C"/>
    <w:rsid w:val="615A1BEB"/>
    <w:rsid w:val="615C785F"/>
    <w:rsid w:val="61614E76"/>
    <w:rsid w:val="61642270"/>
    <w:rsid w:val="61643174"/>
    <w:rsid w:val="61783F6D"/>
    <w:rsid w:val="617F70AA"/>
    <w:rsid w:val="618172C6"/>
    <w:rsid w:val="618E3791"/>
    <w:rsid w:val="618F19E3"/>
    <w:rsid w:val="619146C6"/>
    <w:rsid w:val="619863BE"/>
    <w:rsid w:val="61AE5BE1"/>
    <w:rsid w:val="61AF3E33"/>
    <w:rsid w:val="61B551C2"/>
    <w:rsid w:val="61B56055"/>
    <w:rsid w:val="61C40F61"/>
    <w:rsid w:val="61CD3451"/>
    <w:rsid w:val="61D05B58"/>
    <w:rsid w:val="61EB2991"/>
    <w:rsid w:val="61EB473F"/>
    <w:rsid w:val="61EF51BF"/>
    <w:rsid w:val="61F44573"/>
    <w:rsid w:val="61FF7A18"/>
    <w:rsid w:val="620F54F9"/>
    <w:rsid w:val="621E68C3"/>
    <w:rsid w:val="62261C1B"/>
    <w:rsid w:val="62285994"/>
    <w:rsid w:val="622A170C"/>
    <w:rsid w:val="62311B55"/>
    <w:rsid w:val="62466788"/>
    <w:rsid w:val="62467BC8"/>
    <w:rsid w:val="62471074"/>
    <w:rsid w:val="624D3D9E"/>
    <w:rsid w:val="625BA384"/>
    <w:rsid w:val="62652744"/>
    <w:rsid w:val="62678645"/>
    <w:rsid w:val="626A7047"/>
    <w:rsid w:val="6271733B"/>
    <w:rsid w:val="627273E6"/>
    <w:rsid w:val="62764951"/>
    <w:rsid w:val="628726BA"/>
    <w:rsid w:val="62922E0D"/>
    <w:rsid w:val="62940F02"/>
    <w:rsid w:val="629833BF"/>
    <w:rsid w:val="62A25746"/>
    <w:rsid w:val="62A4530D"/>
    <w:rsid w:val="62B249B4"/>
    <w:rsid w:val="62C751AC"/>
    <w:rsid w:val="62D30729"/>
    <w:rsid w:val="62D701C0"/>
    <w:rsid w:val="62DB769D"/>
    <w:rsid w:val="62E505AE"/>
    <w:rsid w:val="62F31F96"/>
    <w:rsid w:val="62F32190"/>
    <w:rsid w:val="630E6937"/>
    <w:rsid w:val="63155F18"/>
    <w:rsid w:val="63161C90"/>
    <w:rsid w:val="632B74E9"/>
    <w:rsid w:val="632C3261"/>
    <w:rsid w:val="633368CB"/>
    <w:rsid w:val="63413A85"/>
    <w:rsid w:val="63500CFE"/>
    <w:rsid w:val="63520F1A"/>
    <w:rsid w:val="635D78BF"/>
    <w:rsid w:val="63676048"/>
    <w:rsid w:val="636B5B38"/>
    <w:rsid w:val="636F74B8"/>
    <w:rsid w:val="63716EC6"/>
    <w:rsid w:val="637D0D01"/>
    <w:rsid w:val="639130C5"/>
    <w:rsid w:val="639257BA"/>
    <w:rsid w:val="63936E3D"/>
    <w:rsid w:val="63971320"/>
    <w:rsid w:val="639808F7"/>
    <w:rsid w:val="63B03E93"/>
    <w:rsid w:val="63B7BAFE"/>
    <w:rsid w:val="63BE940E"/>
    <w:rsid w:val="63C118F1"/>
    <w:rsid w:val="63D80CF3"/>
    <w:rsid w:val="63D93361"/>
    <w:rsid w:val="63E47698"/>
    <w:rsid w:val="63F7ED2C"/>
    <w:rsid w:val="63F9378B"/>
    <w:rsid w:val="64030466"/>
    <w:rsid w:val="640B731B"/>
    <w:rsid w:val="64141E2A"/>
    <w:rsid w:val="641C32D6"/>
    <w:rsid w:val="641F1AFF"/>
    <w:rsid w:val="64206FFA"/>
    <w:rsid w:val="6423343A"/>
    <w:rsid w:val="64243EAB"/>
    <w:rsid w:val="64267CB1"/>
    <w:rsid w:val="64281C7B"/>
    <w:rsid w:val="64326656"/>
    <w:rsid w:val="64356146"/>
    <w:rsid w:val="643862D7"/>
    <w:rsid w:val="64475C36"/>
    <w:rsid w:val="64553CAC"/>
    <w:rsid w:val="645962D8"/>
    <w:rsid w:val="645E569D"/>
    <w:rsid w:val="64607054"/>
    <w:rsid w:val="64610CE9"/>
    <w:rsid w:val="646D3B32"/>
    <w:rsid w:val="647F14B7"/>
    <w:rsid w:val="64801AB7"/>
    <w:rsid w:val="64805613"/>
    <w:rsid w:val="6486074F"/>
    <w:rsid w:val="648C045C"/>
    <w:rsid w:val="649338E6"/>
    <w:rsid w:val="649410BE"/>
    <w:rsid w:val="649B0CC7"/>
    <w:rsid w:val="649C61C5"/>
    <w:rsid w:val="64A86918"/>
    <w:rsid w:val="64B85A8B"/>
    <w:rsid w:val="64BF3053"/>
    <w:rsid w:val="64D15E6F"/>
    <w:rsid w:val="64D9665F"/>
    <w:rsid w:val="64DD2A65"/>
    <w:rsid w:val="64DE3764"/>
    <w:rsid w:val="64FE7F1B"/>
    <w:rsid w:val="650A483D"/>
    <w:rsid w:val="65143FAD"/>
    <w:rsid w:val="651641C9"/>
    <w:rsid w:val="651F4D8E"/>
    <w:rsid w:val="652E1513"/>
    <w:rsid w:val="6545060B"/>
    <w:rsid w:val="654900FB"/>
    <w:rsid w:val="654B227B"/>
    <w:rsid w:val="65515201"/>
    <w:rsid w:val="65567E1B"/>
    <w:rsid w:val="655D3F95"/>
    <w:rsid w:val="656942F9"/>
    <w:rsid w:val="65764C68"/>
    <w:rsid w:val="657C502B"/>
    <w:rsid w:val="657FA36C"/>
    <w:rsid w:val="65863920"/>
    <w:rsid w:val="658B0713"/>
    <w:rsid w:val="658F66C3"/>
    <w:rsid w:val="65907AD8"/>
    <w:rsid w:val="65A73073"/>
    <w:rsid w:val="65A74E21"/>
    <w:rsid w:val="65A75574"/>
    <w:rsid w:val="65B337C6"/>
    <w:rsid w:val="65BD2897"/>
    <w:rsid w:val="65DA51F7"/>
    <w:rsid w:val="65E07B22"/>
    <w:rsid w:val="65ED47D1"/>
    <w:rsid w:val="65F12C91"/>
    <w:rsid w:val="65FF9DC4"/>
    <w:rsid w:val="660109D5"/>
    <w:rsid w:val="66026D86"/>
    <w:rsid w:val="66091638"/>
    <w:rsid w:val="660B1854"/>
    <w:rsid w:val="660B715E"/>
    <w:rsid w:val="66293A88"/>
    <w:rsid w:val="662F72F1"/>
    <w:rsid w:val="66344907"/>
    <w:rsid w:val="665B6338"/>
    <w:rsid w:val="665C5C0C"/>
    <w:rsid w:val="66680A54"/>
    <w:rsid w:val="668D2028"/>
    <w:rsid w:val="668E41E0"/>
    <w:rsid w:val="669C5E64"/>
    <w:rsid w:val="669F73A8"/>
    <w:rsid w:val="66A001EE"/>
    <w:rsid w:val="66A36A3E"/>
    <w:rsid w:val="66A63D1B"/>
    <w:rsid w:val="66AB0941"/>
    <w:rsid w:val="66B7E23A"/>
    <w:rsid w:val="66BE68C6"/>
    <w:rsid w:val="66C051B1"/>
    <w:rsid w:val="66C11F13"/>
    <w:rsid w:val="66C537B1"/>
    <w:rsid w:val="66CB4B3F"/>
    <w:rsid w:val="66D41C46"/>
    <w:rsid w:val="66D93700"/>
    <w:rsid w:val="66EA092B"/>
    <w:rsid w:val="66EC3434"/>
    <w:rsid w:val="66F10A4A"/>
    <w:rsid w:val="66F44096"/>
    <w:rsid w:val="66F4ECCA"/>
    <w:rsid w:val="66F61BBC"/>
    <w:rsid w:val="66FD73EF"/>
    <w:rsid w:val="670029FC"/>
    <w:rsid w:val="67095D94"/>
    <w:rsid w:val="67217000"/>
    <w:rsid w:val="67281F92"/>
    <w:rsid w:val="67362901"/>
    <w:rsid w:val="67380427"/>
    <w:rsid w:val="67386679"/>
    <w:rsid w:val="673B50C0"/>
    <w:rsid w:val="67470483"/>
    <w:rsid w:val="674F5770"/>
    <w:rsid w:val="67513297"/>
    <w:rsid w:val="67694A84"/>
    <w:rsid w:val="676A25AA"/>
    <w:rsid w:val="67723114"/>
    <w:rsid w:val="678B7CC5"/>
    <w:rsid w:val="67A26C35"/>
    <w:rsid w:val="67A41555"/>
    <w:rsid w:val="67C1041C"/>
    <w:rsid w:val="67CA011C"/>
    <w:rsid w:val="67E3F43C"/>
    <w:rsid w:val="67FF4ED8"/>
    <w:rsid w:val="67FF98FD"/>
    <w:rsid w:val="6805233D"/>
    <w:rsid w:val="68114FF5"/>
    <w:rsid w:val="68142C42"/>
    <w:rsid w:val="68144385"/>
    <w:rsid w:val="68172908"/>
    <w:rsid w:val="68213DB8"/>
    <w:rsid w:val="683E7CBF"/>
    <w:rsid w:val="68437083"/>
    <w:rsid w:val="68460921"/>
    <w:rsid w:val="684B418A"/>
    <w:rsid w:val="684D7F02"/>
    <w:rsid w:val="6855610D"/>
    <w:rsid w:val="685E210F"/>
    <w:rsid w:val="6863405E"/>
    <w:rsid w:val="68727968"/>
    <w:rsid w:val="68790CF7"/>
    <w:rsid w:val="68792AA5"/>
    <w:rsid w:val="68866F70"/>
    <w:rsid w:val="68876093"/>
    <w:rsid w:val="68906041"/>
    <w:rsid w:val="68936625"/>
    <w:rsid w:val="68986ABC"/>
    <w:rsid w:val="68993147"/>
    <w:rsid w:val="689B6EBF"/>
    <w:rsid w:val="68A5389A"/>
    <w:rsid w:val="68B21726"/>
    <w:rsid w:val="68BB30BE"/>
    <w:rsid w:val="68BE2BAE"/>
    <w:rsid w:val="68C56033"/>
    <w:rsid w:val="68CA77A4"/>
    <w:rsid w:val="68CD0CA0"/>
    <w:rsid w:val="68CF0917"/>
    <w:rsid w:val="68D723E3"/>
    <w:rsid w:val="68DC4DE2"/>
    <w:rsid w:val="68EA5954"/>
    <w:rsid w:val="68F14D31"/>
    <w:rsid w:val="68F65167"/>
    <w:rsid w:val="68FC5484"/>
    <w:rsid w:val="68FD817F"/>
    <w:rsid w:val="69004F52"/>
    <w:rsid w:val="690E58E3"/>
    <w:rsid w:val="6910780F"/>
    <w:rsid w:val="6919251C"/>
    <w:rsid w:val="691A1063"/>
    <w:rsid w:val="691A3CCE"/>
    <w:rsid w:val="691B1A58"/>
    <w:rsid w:val="69235354"/>
    <w:rsid w:val="692A1FF1"/>
    <w:rsid w:val="69470DF5"/>
    <w:rsid w:val="695152D1"/>
    <w:rsid w:val="6958090C"/>
    <w:rsid w:val="695B21AB"/>
    <w:rsid w:val="6965626E"/>
    <w:rsid w:val="69667EC4"/>
    <w:rsid w:val="69713C44"/>
    <w:rsid w:val="6986EA0C"/>
    <w:rsid w:val="698C2294"/>
    <w:rsid w:val="698E5BE1"/>
    <w:rsid w:val="699F653B"/>
    <w:rsid w:val="69A078C8"/>
    <w:rsid w:val="69A51678"/>
    <w:rsid w:val="69B31FE7"/>
    <w:rsid w:val="69DD222D"/>
    <w:rsid w:val="69FA4216"/>
    <w:rsid w:val="69FC6AC2"/>
    <w:rsid w:val="6A0D5B9B"/>
    <w:rsid w:val="6A222CC8"/>
    <w:rsid w:val="6A294057"/>
    <w:rsid w:val="6A303637"/>
    <w:rsid w:val="6A3D06FE"/>
    <w:rsid w:val="6A5A4F50"/>
    <w:rsid w:val="6A617C95"/>
    <w:rsid w:val="6A620512"/>
    <w:rsid w:val="6A75729C"/>
    <w:rsid w:val="6A771387"/>
    <w:rsid w:val="6A773014"/>
    <w:rsid w:val="6A7E59E9"/>
    <w:rsid w:val="6A843983"/>
    <w:rsid w:val="6A8A71EB"/>
    <w:rsid w:val="6A8E65B0"/>
    <w:rsid w:val="6A903C04"/>
    <w:rsid w:val="6A9D53A6"/>
    <w:rsid w:val="6AAF6C52"/>
    <w:rsid w:val="6AC124E1"/>
    <w:rsid w:val="6ACB609A"/>
    <w:rsid w:val="6AE10DD5"/>
    <w:rsid w:val="6AE87ED9"/>
    <w:rsid w:val="6AEA7C8A"/>
    <w:rsid w:val="6AFB1985"/>
    <w:rsid w:val="6AFE1AEC"/>
    <w:rsid w:val="6B0845B4"/>
    <w:rsid w:val="6B0A20DA"/>
    <w:rsid w:val="6B0B19AE"/>
    <w:rsid w:val="6B146AB5"/>
    <w:rsid w:val="6B23319C"/>
    <w:rsid w:val="6B292E9C"/>
    <w:rsid w:val="6B297183"/>
    <w:rsid w:val="6B2B6E09"/>
    <w:rsid w:val="6B2D1F37"/>
    <w:rsid w:val="6B362ECF"/>
    <w:rsid w:val="6B3709F5"/>
    <w:rsid w:val="6B3B488D"/>
    <w:rsid w:val="6B5307C5"/>
    <w:rsid w:val="6B543355"/>
    <w:rsid w:val="6B560E7C"/>
    <w:rsid w:val="6B6537B4"/>
    <w:rsid w:val="6B6F50E4"/>
    <w:rsid w:val="6B7E88ED"/>
    <w:rsid w:val="6B880BEA"/>
    <w:rsid w:val="6B9F25B8"/>
    <w:rsid w:val="6BA0659B"/>
    <w:rsid w:val="6BA22313"/>
    <w:rsid w:val="6BA73DCD"/>
    <w:rsid w:val="6BA8544F"/>
    <w:rsid w:val="6BB7E2E0"/>
    <w:rsid w:val="6BBF1117"/>
    <w:rsid w:val="6BBF2EC5"/>
    <w:rsid w:val="6BD9470B"/>
    <w:rsid w:val="6BDC1E93"/>
    <w:rsid w:val="6BFB6C5B"/>
    <w:rsid w:val="6BFC1B57"/>
    <w:rsid w:val="6C0A6040"/>
    <w:rsid w:val="6C0D4ACE"/>
    <w:rsid w:val="6C2076DB"/>
    <w:rsid w:val="6C292A34"/>
    <w:rsid w:val="6C3FAB14"/>
    <w:rsid w:val="6C4360AC"/>
    <w:rsid w:val="6C4A2405"/>
    <w:rsid w:val="6C5C4BB7"/>
    <w:rsid w:val="6C621AA2"/>
    <w:rsid w:val="6C746900"/>
    <w:rsid w:val="6C8934D3"/>
    <w:rsid w:val="6C8C6B1F"/>
    <w:rsid w:val="6C8E2897"/>
    <w:rsid w:val="6C942417"/>
    <w:rsid w:val="6C9D62DF"/>
    <w:rsid w:val="6CA01EA5"/>
    <w:rsid w:val="6CAB5AAE"/>
    <w:rsid w:val="6CAE6FC4"/>
    <w:rsid w:val="6CB06CB1"/>
    <w:rsid w:val="6CB247D7"/>
    <w:rsid w:val="6CB71DEE"/>
    <w:rsid w:val="6CC62031"/>
    <w:rsid w:val="6CCD33BF"/>
    <w:rsid w:val="6CD21986"/>
    <w:rsid w:val="6CD72490"/>
    <w:rsid w:val="6CD96208"/>
    <w:rsid w:val="6CDA788A"/>
    <w:rsid w:val="6CE8644B"/>
    <w:rsid w:val="6CEB7CE9"/>
    <w:rsid w:val="6CED1CB3"/>
    <w:rsid w:val="6CF05300"/>
    <w:rsid w:val="6D013069"/>
    <w:rsid w:val="6D053824"/>
    <w:rsid w:val="6D0770B7"/>
    <w:rsid w:val="6D0A63C2"/>
    <w:rsid w:val="6D140FEE"/>
    <w:rsid w:val="6D1679A1"/>
    <w:rsid w:val="6D1F4781"/>
    <w:rsid w:val="6D234BF1"/>
    <w:rsid w:val="6D247BF4"/>
    <w:rsid w:val="6D2A6A64"/>
    <w:rsid w:val="6D2D0302"/>
    <w:rsid w:val="6D31DCA6"/>
    <w:rsid w:val="6D321304"/>
    <w:rsid w:val="6D417909"/>
    <w:rsid w:val="6D464F20"/>
    <w:rsid w:val="6D535C01"/>
    <w:rsid w:val="6D57337A"/>
    <w:rsid w:val="6D5769BA"/>
    <w:rsid w:val="6D5E04BB"/>
    <w:rsid w:val="6D723F67"/>
    <w:rsid w:val="6D766A8D"/>
    <w:rsid w:val="6D8E6FF3"/>
    <w:rsid w:val="6D985DE1"/>
    <w:rsid w:val="6D9D07BB"/>
    <w:rsid w:val="6DAEC936"/>
    <w:rsid w:val="6DB427D1"/>
    <w:rsid w:val="6DB96BBA"/>
    <w:rsid w:val="6DBE53FE"/>
    <w:rsid w:val="6DBF47B2"/>
    <w:rsid w:val="6DC71477"/>
    <w:rsid w:val="6DC72505"/>
    <w:rsid w:val="6DD137A9"/>
    <w:rsid w:val="6DD644F6"/>
    <w:rsid w:val="6DEBC215"/>
    <w:rsid w:val="6DED2A65"/>
    <w:rsid w:val="6DEE5CE3"/>
    <w:rsid w:val="6DF1621C"/>
    <w:rsid w:val="6DF66475"/>
    <w:rsid w:val="6DF7A619"/>
    <w:rsid w:val="6DFBB71B"/>
    <w:rsid w:val="6DFE5970"/>
    <w:rsid w:val="6E0146AF"/>
    <w:rsid w:val="6E0C7F17"/>
    <w:rsid w:val="6E182D60"/>
    <w:rsid w:val="6E184B0E"/>
    <w:rsid w:val="6E241705"/>
    <w:rsid w:val="6E290AC9"/>
    <w:rsid w:val="6E2A4C3D"/>
    <w:rsid w:val="6E2F3C06"/>
    <w:rsid w:val="6E3336CF"/>
    <w:rsid w:val="6E4027F5"/>
    <w:rsid w:val="6E4B4EE4"/>
    <w:rsid w:val="6E4C47B8"/>
    <w:rsid w:val="6E5518BE"/>
    <w:rsid w:val="6E571528"/>
    <w:rsid w:val="6E5C0465"/>
    <w:rsid w:val="6E805A0E"/>
    <w:rsid w:val="6E843F52"/>
    <w:rsid w:val="6E95615F"/>
    <w:rsid w:val="6E9A24DD"/>
    <w:rsid w:val="6E9B274D"/>
    <w:rsid w:val="6EA2262A"/>
    <w:rsid w:val="6EA42846"/>
    <w:rsid w:val="6EA6036C"/>
    <w:rsid w:val="6EAE52B4"/>
    <w:rsid w:val="6EB34837"/>
    <w:rsid w:val="6EBC7B8F"/>
    <w:rsid w:val="6EBE56B6"/>
    <w:rsid w:val="6EC425A0"/>
    <w:rsid w:val="6ECB392F"/>
    <w:rsid w:val="6ECD4683"/>
    <w:rsid w:val="6ED8429D"/>
    <w:rsid w:val="6EDF8B49"/>
    <w:rsid w:val="6EE011B1"/>
    <w:rsid w:val="6EE9778A"/>
    <w:rsid w:val="6EEA75A4"/>
    <w:rsid w:val="6EFC7F8C"/>
    <w:rsid w:val="6EFF4036"/>
    <w:rsid w:val="6EFF5CCE"/>
    <w:rsid w:val="6EFFB21C"/>
    <w:rsid w:val="6F070DFD"/>
    <w:rsid w:val="6F085ACB"/>
    <w:rsid w:val="6F0D2199"/>
    <w:rsid w:val="6F1E43A6"/>
    <w:rsid w:val="6F1E7F02"/>
    <w:rsid w:val="6F241291"/>
    <w:rsid w:val="6F2D45E9"/>
    <w:rsid w:val="6F2E3EBD"/>
    <w:rsid w:val="6F347726"/>
    <w:rsid w:val="6F35CE87"/>
    <w:rsid w:val="6F370FC4"/>
    <w:rsid w:val="6F3E2CFE"/>
    <w:rsid w:val="6F4B8C15"/>
    <w:rsid w:val="6F4F5740"/>
    <w:rsid w:val="6F597AA1"/>
    <w:rsid w:val="6F5A5D94"/>
    <w:rsid w:val="6F64699B"/>
    <w:rsid w:val="6F6A5DDE"/>
    <w:rsid w:val="6F6C3363"/>
    <w:rsid w:val="6F738D3F"/>
    <w:rsid w:val="6F8A0D93"/>
    <w:rsid w:val="6F8B3406"/>
    <w:rsid w:val="6F912DCA"/>
    <w:rsid w:val="6F9C52CB"/>
    <w:rsid w:val="6F9F7BFE"/>
    <w:rsid w:val="6FA0300D"/>
    <w:rsid w:val="6FA32AFD"/>
    <w:rsid w:val="6FA42E90"/>
    <w:rsid w:val="6FAC19B2"/>
    <w:rsid w:val="6FAF3250"/>
    <w:rsid w:val="6FAFE9CC"/>
    <w:rsid w:val="6FB3C9A7"/>
    <w:rsid w:val="6FB97C2B"/>
    <w:rsid w:val="6FBB2814"/>
    <w:rsid w:val="6FBB4203"/>
    <w:rsid w:val="6FBBE756"/>
    <w:rsid w:val="6FBF4864"/>
    <w:rsid w:val="6FBFAA6A"/>
    <w:rsid w:val="6FCBF9CA"/>
    <w:rsid w:val="6FCE2AEF"/>
    <w:rsid w:val="6FD79E4B"/>
    <w:rsid w:val="6FDB02AB"/>
    <w:rsid w:val="6FDE6714"/>
    <w:rsid w:val="6FDE87ED"/>
    <w:rsid w:val="6FDE8880"/>
    <w:rsid w:val="6FDFA1C0"/>
    <w:rsid w:val="6FDFCCB1"/>
    <w:rsid w:val="6FE74798"/>
    <w:rsid w:val="6FEE4ACD"/>
    <w:rsid w:val="6FF7137A"/>
    <w:rsid w:val="6FFBA2A1"/>
    <w:rsid w:val="6FFE06DC"/>
    <w:rsid w:val="6FFE59A8"/>
    <w:rsid w:val="6FFF2E5A"/>
    <w:rsid w:val="6FFF61EB"/>
    <w:rsid w:val="6FFF93D2"/>
    <w:rsid w:val="70017C18"/>
    <w:rsid w:val="700E45FE"/>
    <w:rsid w:val="701557A9"/>
    <w:rsid w:val="70187047"/>
    <w:rsid w:val="701B2694"/>
    <w:rsid w:val="701E26CF"/>
    <w:rsid w:val="702932C7"/>
    <w:rsid w:val="70313C65"/>
    <w:rsid w:val="70384FF4"/>
    <w:rsid w:val="704B11CB"/>
    <w:rsid w:val="705D032F"/>
    <w:rsid w:val="705D4A5A"/>
    <w:rsid w:val="7060279C"/>
    <w:rsid w:val="70651B61"/>
    <w:rsid w:val="70666005"/>
    <w:rsid w:val="70934920"/>
    <w:rsid w:val="70980188"/>
    <w:rsid w:val="70BC3E77"/>
    <w:rsid w:val="70C525FF"/>
    <w:rsid w:val="70D005A5"/>
    <w:rsid w:val="70DC0075"/>
    <w:rsid w:val="70E60EF4"/>
    <w:rsid w:val="70E62CA2"/>
    <w:rsid w:val="70ED2282"/>
    <w:rsid w:val="70F62BE1"/>
    <w:rsid w:val="70FE89A6"/>
    <w:rsid w:val="71015D2D"/>
    <w:rsid w:val="71025602"/>
    <w:rsid w:val="710E5D1A"/>
    <w:rsid w:val="7113780F"/>
    <w:rsid w:val="71176807"/>
    <w:rsid w:val="711772FF"/>
    <w:rsid w:val="71370EE9"/>
    <w:rsid w:val="713779A1"/>
    <w:rsid w:val="713C0B14"/>
    <w:rsid w:val="713C6D66"/>
    <w:rsid w:val="713D06B9"/>
    <w:rsid w:val="713E1D99"/>
    <w:rsid w:val="714944B3"/>
    <w:rsid w:val="71495B9C"/>
    <w:rsid w:val="71535E5D"/>
    <w:rsid w:val="715615D1"/>
    <w:rsid w:val="71626982"/>
    <w:rsid w:val="716F4E82"/>
    <w:rsid w:val="71791D68"/>
    <w:rsid w:val="717B6A90"/>
    <w:rsid w:val="71836742"/>
    <w:rsid w:val="71881FAB"/>
    <w:rsid w:val="7189187F"/>
    <w:rsid w:val="718E152E"/>
    <w:rsid w:val="718F158B"/>
    <w:rsid w:val="71902C0D"/>
    <w:rsid w:val="71A566B9"/>
    <w:rsid w:val="71ADBE7E"/>
    <w:rsid w:val="71BC7EA6"/>
    <w:rsid w:val="71BDE798"/>
    <w:rsid w:val="71C52A01"/>
    <w:rsid w:val="71C56D5B"/>
    <w:rsid w:val="71CA25C3"/>
    <w:rsid w:val="71CD5C10"/>
    <w:rsid w:val="71D13952"/>
    <w:rsid w:val="71D27ECE"/>
    <w:rsid w:val="71D40D4C"/>
    <w:rsid w:val="71E05943"/>
    <w:rsid w:val="71E7F47A"/>
    <w:rsid w:val="71E83BF1"/>
    <w:rsid w:val="71ED0060"/>
    <w:rsid w:val="71F25676"/>
    <w:rsid w:val="71F413EE"/>
    <w:rsid w:val="71F72C8D"/>
    <w:rsid w:val="71FF0FA3"/>
    <w:rsid w:val="72086C48"/>
    <w:rsid w:val="72117BE8"/>
    <w:rsid w:val="72175F68"/>
    <w:rsid w:val="721D6B97"/>
    <w:rsid w:val="721E646B"/>
    <w:rsid w:val="722738F3"/>
    <w:rsid w:val="72296778"/>
    <w:rsid w:val="723475DE"/>
    <w:rsid w:val="724800A1"/>
    <w:rsid w:val="724C2FD8"/>
    <w:rsid w:val="724E2F8E"/>
    <w:rsid w:val="725105EF"/>
    <w:rsid w:val="725620A9"/>
    <w:rsid w:val="725B146D"/>
    <w:rsid w:val="726227FC"/>
    <w:rsid w:val="726A16B0"/>
    <w:rsid w:val="727E6F0A"/>
    <w:rsid w:val="727F03BC"/>
    <w:rsid w:val="72803F7F"/>
    <w:rsid w:val="72834520"/>
    <w:rsid w:val="729606F7"/>
    <w:rsid w:val="729624A5"/>
    <w:rsid w:val="72A13D86"/>
    <w:rsid w:val="72A5093A"/>
    <w:rsid w:val="72AC3A77"/>
    <w:rsid w:val="72B33057"/>
    <w:rsid w:val="72BB015E"/>
    <w:rsid w:val="72C74D55"/>
    <w:rsid w:val="72C83284"/>
    <w:rsid w:val="72C84365"/>
    <w:rsid w:val="72D54D7C"/>
    <w:rsid w:val="72D80D10"/>
    <w:rsid w:val="72E9ACF4"/>
    <w:rsid w:val="72F13B80"/>
    <w:rsid w:val="72F5541E"/>
    <w:rsid w:val="72F86CBC"/>
    <w:rsid w:val="731E2E6D"/>
    <w:rsid w:val="731E7FAE"/>
    <w:rsid w:val="731F249B"/>
    <w:rsid w:val="732301DD"/>
    <w:rsid w:val="733D0B73"/>
    <w:rsid w:val="734939BC"/>
    <w:rsid w:val="734C0DB6"/>
    <w:rsid w:val="735760D9"/>
    <w:rsid w:val="73577500"/>
    <w:rsid w:val="73683E42"/>
    <w:rsid w:val="736B3932"/>
    <w:rsid w:val="736E5226"/>
    <w:rsid w:val="73752023"/>
    <w:rsid w:val="737652F3"/>
    <w:rsid w:val="737E8ED2"/>
    <w:rsid w:val="73832A2A"/>
    <w:rsid w:val="73927111"/>
    <w:rsid w:val="7399224D"/>
    <w:rsid w:val="739997CC"/>
    <w:rsid w:val="73A12E13"/>
    <w:rsid w:val="73A40BF2"/>
    <w:rsid w:val="73AD3F4B"/>
    <w:rsid w:val="73BE8A55"/>
    <w:rsid w:val="73C47F1D"/>
    <w:rsid w:val="73CA760A"/>
    <w:rsid w:val="73CC612C"/>
    <w:rsid w:val="73DB0AB8"/>
    <w:rsid w:val="73EB6ED7"/>
    <w:rsid w:val="73F662A4"/>
    <w:rsid w:val="73FE0302"/>
    <w:rsid w:val="73FF64A5"/>
    <w:rsid w:val="7414108F"/>
    <w:rsid w:val="742C1313"/>
    <w:rsid w:val="742D6E39"/>
    <w:rsid w:val="744C5512"/>
    <w:rsid w:val="74510D7A"/>
    <w:rsid w:val="74654825"/>
    <w:rsid w:val="746A5998"/>
    <w:rsid w:val="746D368D"/>
    <w:rsid w:val="74732A9E"/>
    <w:rsid w:val="74746816"/>
    <w:rsid w:val="74786307"/>
    <w:rsid w:val="74792624"/>
    <w:rsid w:val="747E61FB"/>
    <w:rsid w:val="74850A24"/>
    <w:rsid w:val="748536C3"/>
    <w:rsid w:val="7496678D"/>
    <w:rsid w:val="749A6A33"/>
    <w:rsid w:val="749E5641"/>
    <w:rsid w:val="74B3733F"/>
    <w:rsid w:val="74B51309"/>
    <w:rsid w:val="74B83297"/>
    <w:rsid w:val="74C94DB4"/>
    <w:rsid w:val="74CA0A50"/>
    <w:rsid w:val="74CE23CA"/>
    <w:rsid w:val="74D379E1"/>
    <w:rsid w:val="74E83F39"/>
    <w:rsid w:val="75091655"/>
    <w:rsid w:val="751029E3"/>
    <w:rsid w:val="75153B55"/>
    <w:rsid w:val="7534733C"/>
    <w:rsid w:val="753530F5"/>
    <w:rsid w:val="75371D1E"/>
    <w:rsid w:val="753C5F35"/>
    <w:rsid w:val="753D12FE"/>
    <w:rsid w:val="753F3B6D"/>
    <w:rsid w:val="75641722"/>
    <w:rsid w:val="75736ACE"/>
    <w:rsid w:val="75741257"/>
    <w:rsid w:val="75750A98"/>
    <w:rsid w:val="75767ACF"/>
    <w:rsid w:val="7576F12E"/>
    <w:rsid w:val="757D16FB"/>
    <w:rsid w:val="75846F2D"/>
    <w:rsid w:val="75894543"/>
    <w:rsid w:val="758B49C4"/>
    <w:rsid w:val="7590142E"/>
    <w:rsid w:val="75903794"/>
    <w:rsid w:val="75932CCC"/>
    <w:rsid w:val="759929D8"/>
    <w:rsid w:val="759C7DD3"/>
    <w:rsid w:val="75AA4844"/>
    <w:rsid w:val="75AB270C"/>
    <w:rsid w:val="75AB3F56"/>
    <w:rsid w:val="75B72A34"/>
    <w:rsid w:val="75BA46FD"/>
    <w:rsid w:val="75D1631E"/>
    <w:rsid w:val="75D91027"/>
    <w:rsid w:val="75DE663D"/>
    <w:rsid w:val="75EA8B89"/>
    <w:rsid w:val="75EF43A6"/>
    <w:rsid w:val="75FA2D4B"/>
    <w:rsid w:val="76032A67"/>
    <w:rsid w:val="76085468"/>
    <w:rsid w:val="761008DD"/>
    <w:rsid w:val="761C7166"/>
    <w:rsid w:val="762F11BB"/>
    <w:rsid w:val="76312C11"/>
    <w:rsid w:val="763E70DC"/>
    <w:rsid w:val="76516E0F"/>
    <w:rsid w:val="765608C9"/>
    <w:rsid w:val="765B3266"/>
    <w:rsid w:val="765E152C"/>
    <w:rsid w:val="7662726E"/>
    <w:rsid w:val="766D176F"/>
    <w:rsid w:val="766F3739"/>
    <w:rsid w:val="766F54E7"/>
    <w:rsid w:val="76766876"/>
    <w:rsid w:val="767B3E8C"/>
    <w:rsid w:val="767E3D26"/>
    <w:rsid w:val="76876CD5"/>
    <w:rsid w:val="768A0573"/>
    <w:rsid w:val="768F7938"/>
    <w:rsid w:val="769431A0"/>
    <w:rsid w:val="76967512"/>
    <w:rsid w:val="769D02A6"/>
    <w:rsid w:val="76A33700"/>
    <w:rsid w:val="76AF3B36"/>
    <w:rsid w:val="76BB697E"/>
    <w:rsid w:val="76BD26F7"/>
    <w:rsid w:val="76BE2F82"/>
    <w:rsid w:val="76BEDC27"/>
    <w:rsid w:val="76C03F95"/>
    <w:rsid w:val="76C53359"/>
    <w:rsid w:val="76D5F4C1"/>
    <w:rsid w:val="76DD06A3"/>
    <w:rsid w:val="76E14113"/>
    <w:rsid w:val="76E82FD5"/>
    <w:rsid w:val="76EB7BDE"/>
    <w:rsid w:val="76ECDCB8"/>
    <w:rsid w:val="76FB16CC"/>
    <w:rsid w:val="76FE0619"/>
    <w:rsid w:val="76FF4526"/>
    <w:rsid w:val="76FF7C98"/>
    <w:rsid w:val="770519A8"/>
    <w:rsid w:val="7707CD8C"/>
    <w:rsid w:val="77194C99"/>
    <w:rsid w:val="771B5D78"/>
    <w:rsid w:val="771C566F"/>
    <w:rsid w:val="772269FE"/>
    <w:rsid w:val="77297D8C"/>
    <w:rsid w:val="772ECBE3"/>
    <w:rsid w:val="77316C41"/>
    <w:rsid w:val="773902A2"/>
    <w:rsid w:val="773A3D47"/>
    <w:rsid w:val="773A8178"/>
    <w:rsid w:val="773B8689"/>
    <w:rsid w:val="77407E24"/>
    <w:rsid w:val="774249AA"/>
    <w:rsid w:val="77473FC1"/>
    <w:rsid w:val="774921DC"/>
    <w:rsid w:val="77550B81"/>
    <w:rsid w:val="775A6197"/>
    <w:rsid w:val="775BC2E3"/>
    <w:rsid w:val="775D138B"/>
    <w:rsid w:val="7762504C"/>
    <w:rsid w:val="77674B55"/>
    <w:rsid w:val="776E5142"/>
    <w:rsid w:val="776F86A9"/>
    <w:rsid w:val="777D8964"/>
    <w:rsid w:val="777FFB07"/>
    <w:rsid w:val="77A6B0EC"/>
    <w:rsid w:val="77A967D7"/>
    <w:rsid w:val="77AE203F"/>
    <w:rsid w:val="77AFDFAA"/>
    <w:rsid w:val="77B9B0C1"/>
    <w:rsid w:val="77BB025C"/>
    <w:rsid w:val="77CC339C"/>
    <w:rsid w:val="77D0756C"/>
    <w:rsid w:val="77EF351B"/>
    <w:rsid w:val="77EFA6C6"/>
    <w:rsid w:val="77EFB7DB"/>
    <w:rsid w:val="77F24622"/>
    <w:rsid w:val="77F71ABD"/>
    <w:rsid w:val="77F9E98A"/>
    <w:rsid w:val="77FD261C"/>
    <w:rsid w:val="77FF2132"/>
    <w:rsid w:val="77FFA601"/>
    <w:rsid w:val="78056103"/>
    <w:rsid w:val="780D4FB8"/>
    <w:rsid w:val="78186E47"/>
    <w:rsid w:val="781E0F73"/>
    <w:rsid w:val="78253E41"/>
    <w:rsid w:val="782567A5"/>
    <w:rsid w:val="78324A1E"/>
    <w:rsid w:val="783A0370"/>
    <w:rsid w:val="784D7AAA"/>
    <w:rsid w:val="785931B9"/>
    <w:rsid w:val="786C6182"/>
    <w:rsid w:val="7876453C"/>
    <w:rsid w:val="787B0173"/>
    <w:rsid w:val="787E7C64"/>
    <w:rsid w:val="78857244"/>
    <w:rsid w:val="78872FBC"/>
    <w:rsid w:val="788B412F"/>
    <w:rsid w:val="78916E6C"/>
    <w:rsid w:val="78970D25"/>
    <w:rsid w:val="78A23952"/>
    <w:rsid w:val="78A70F68"/>
    <w:rsid w:val="78A719AC"/>
    <w:rsid w:val="78B00E0E"/>
    <w:rsid w:val="78B42B53"/>
    <w:rsid w:val="78B43685"/>
    <w:rsid w:val="78C95383"/>
    <w:rsid w:val="78D01A6F"/>
    <w:rsid w:val="78D12489"/>
    <w:rsid w:val="78D22D18"/>
    <w:rsid w:val="78E6015F"/>
    <w:rsid w:val="78F148D9"/>
    <w:rsid w:val="78F42A3C"/>
    <w:rsid w:val="78F581DA"/>
    <w:rsid w:val="78F72F6D"/>
    <w:rsid w:val="78FE7584"/>
    <w:rsid w:val="78FFD7C2"/>
    <w:rsid w:val="79077C59"/>
    <w:rsid w:val="79084F07"/>
    <w:rsid w:val="790C526F"/>
    <w:rsid w:val="79202D63"/>
    <w:rsid w:val="79256331"/>
    <w:rsid w:val="792720A9"/>
    <w:rsid w:val="792B7DEB"/>
    <w:rsid w:val="793C6D38"/>
    <w:rsid w:val="79464C25"/>
    <w:rsid w:val="7954104A"/>
    <w:rsid w:val="79610FB0"/>
    <w:rsid w:val="796C62A2"/>
    <w:rsid w:val="796E1A86"/>
    <w:rsid w:val="797733A9"/>
    <w:rsid w:val="7984574E"/>
    <w:rsid w:val="7988058F"/>
    <w:rsid w:val="798E3ED6"/>
    <w:rsid w:val="798F1AF1"/>
    <w:rsid w:val="79910FC0"/>
    <w:rsid w:val="79915775"/>
    <w:rsid w:val="79935991"/>
    <w:rsid w:val="79984D55"/>
    <w:rsid w:val="79A9361E"/>
    <w:rsid w:val="79ACD51A"/>
    <w:rsid w:val="79AE27CB"/>
    <w:rsid w:val="79B853F7"/>
    <w:rsid w:val="79BF71B9"/>
    <w:rsid w:val="79C01DAA"/>
    <w:rsid w:val="79C341B0"/>
    <w:rsid w:val="79C478F8"/>
    <w:rsid w:val="79D42231"/>
    <w:rsid w:val="79D96C01"/>
    <w:rsid w:val="79E415BB"/>
    <w:rsid w:val="79E955B1"/>
    <w:rsid w:val="79F20909"/>
    <w:rsid w:val="79F53F55"/>
    <w:rsid w:val="79FB325A"/>
    <w:rsid w:val="79FBE9F4"/>
    <w:rsid w:val="79FD51F1"/>
    <w:rsid w:val="7A0129A6"/>
    <w:rsid w:val="7A04063C"/>
    <w:rsid w:val="7A0917AF"/>
    <w:rsid w:val="7A1669D2"/>
    <w:rsid w:val="7A1801E5"/>
    <w:rsid w:val="7A2111EE"/>
    <w:rsid w:val="7A212F9C"/>
    <w:rsid w:val="7A256345"/>
    <w:rsid w:val="7A273808"/>
    <w:rsid w:val="7A2B3E1B"/>
    <w:rsid w:val="7A48677B"/>
    <w:rsid w:val="7A4B626B"/>
    <w:rsid w:val="7A4D7EA7"/>
    <w:rsid w:val="7A5E5F9F"/>
    <w:rsid w:val="7A5E7D4D"/>
    <w:rsid w:val="7A5E7DB1"/>
    <w:rsid w:val="7A6B246A"/>
    <w:rsid w:val="7A6BC3FA"/>
    <w:rsid w:val="7A7632E8"/>
    <w:rsid w:val="7A770E0E"/>
    <w:rsid w:val="7A874E3E"/>
    <w:rsid w:val="7A9279F6"/>
    <w:rsid w:val="7A9E45ED"/>
    <w:rsid w:val="7A9E639B"/>
    <w:rsid w:val="7AA00365"/>
    <w:rsid w:val="7AA17C39"/>
    <w:rsid w:val="7AA86C83"/>
    <w:rsid w:val="7AAD6FF0"/>
    <w:rsid w:val="7AAE0891"/>
    <w:rsid w:val="7AB120D5"/>
    <w:rsid w:val="7AB9B43B"/>
    <w:rsid w:val="7ABA6035"/>
    <w:rsid w:val="7ABC5759"/>
    <w:rsid w:val="7AC932FE"/>
    <w:rsid w:val="7AD248B0"/>
    <w:rsid w:val="7AD370EC"/>
    <w:rsid w:val="7AD39BC2"/>
    <w:rsid w:val="7AD74FC0"/>
    <w:rsid w:val="7AD81BC9"/>
    <w:rsid w:val="7AD95625"/>
    <w:rsid w:val="7ADF999D"/>
    <w:rsid w:val="7AEA30EA"/>
    <w:rsid w:val="7AEBE833"/>
    <w:rsid w:val="7AEE2BF2"/>
    <w:rsid w:val="7AF12344"/>
    <w:rsid w:val="7AF91823"/>
    <w:rsid w:val="7AF95CC7"/>
    <w:rsid w:val="7AFB7C1C"/>
    <w:rsid w:val="7AFD5F92"/>
    <w:rsid w:val="7B052E72"/>
    <w:rsid w:val="7B0A2151"/>
    <w:rsid w:val="7B0D52CF"/>
    <w:rsid w:val="7B292109"/>
    <w:rsid w:val="7B2E771F"/>
    <w:rsid w:val="7B3C2AA4"/>
    <w:rsid w:val="7B4E674A"/>
    <w:rsid w:val="7B7535A0"/>
    <w:rsid w:val="7B7610C6"/>
    <w:rsid w:val="7B7F577C"/>
    <w:rsid w:val="7B845591"/>
    <w:rsid w:val="7B851309"/>
    <w:rsid w:val="7B892BA7"/>
    <w:rsid w:val="7B914152"/>
    <w:rsid w:val="7B9B0B2D"/>
    <w:rsid w:val="7B9D2AF7"/>
    <w:rsid w:val="7B9D48A5"/>
    <w:rsid w:val="7B9F061D"/>
    <w:rsid w:val="7BA07EF1"/>
    <w:rsid w:val="7BA626CD"/>
    <w:rsid w:val="7BAB0D70"/>
    <w:rsid w:val="7BAB5214"/>
    <w:rsid w:val="7BAB6FC2"/>
    <w:rsid w:val="7BBD76FB"/>
    <w:rsid w:val="7BC2255D"/>
    <w:rsid w:val="7BC462D5"/>
    <w:rsid w:val="7BC71922"/>
    <w:rsid w:val="7BC9569A"/>
    <w:rsid w:val="7BCA0ED5"/>
    <w:rsid w:val="7BCB7664"/>
    <w:rsid w:val="7BCC3178"/>
    <w:rsid w:val="7BCE7A18"/>
    <w:rsid w:val="7BD04C7A"/>
    <w:rsid w:val="7BD13CB6"/>
    <w:rsid w:val="7BE10C35"/>
    <w:rsid w:val="7BE129E3"/>
    <w:rsid w:val="7BEBF838"/>
    <w:rsid w:val="7BF30CB4"/>
    <w:rsid w:val="7BF344C5"/>
    <w:rsid w:val="7BF4E965"/>
    <w:rsid w:val="7BF72F51"/>
    <w:rsid w:val="7BF74997"/>
    <w:rsid w:val="7BFC2688"/>
    <w:rsid w:val="7BFDBDA2"/>
    <w:rsid w:val="7BFEDCF1"/>
    <w:rsid w:val="7BFEE41C"/>
    <w:rsid w:val="7BFF181B"/>
    <w:rsid w:val="7BFF9DEF"/>
    <w:rsid w:val="7C044924"/>
    <w:rsid w:val="7C06069C"/>
    <w:rsid w:val="7C093CE8"/>
    <w:rsid w:val="7C12710A"/>
    <w:rsid w:val="7C142DB9"/>
    <w:rsid w:val="7C182615"/>
    <w:rsid w:val="7C183F2B"/>
    <w:rsid w:val="7C2154D6"/>
    <w:rsid w:val="7C251548"/>
    <w:rsid w:val="7C286864"/>
    <w:rsid w:val="7C2FBC68"/>
    <w:rsid w:val="7C3C7A60"/>
    <w:rsid w:val="7C3D3992"/>
    <w:rsid w:val="7C3F595C"/>
    <w:rsid w:val="7C6453C2"/>
    <w:rsid w:val="7C743857"/>
    <w:rsid w:val="7C7FDA07"/>
    <w:rsid w:val="7C8141C6"/>
    <w:rsid w:val="7C821F38"/>
    <w:rsid w:val="7C8E78F8"/>
    <w:rsid w:val="7C8F243F"/>
    <w:rsid w:val="7C9C2DAE"/>
    <w:rsid w:val="7CB225D2"/>
    <w:rsid w:val="7CC3033B"/>
    <w:rsid w:val="7CC43EF5"/>
    <w:rsid w:val="7CE543A5"/>
    <w:rsid w:val="7CEB342B"/>
    <w:rsid w:val="7CED083B"/>
    <w:rsid w:val="7CED9261"/>
    <w:rsid w:val="7CF16C56"/>
    <w:rsid w:val="7CF46746"/>
    <w:rsid w:val="7D00333D"/>
    <w:rsid w:val="7D056BA5"/>
    <w:rsid w:val="7D080444"/>
    <w:rsid w:val="7D0F3580"/>
    <w:rsid w:val="7D1B0177"/>
    <w:rsid w:val="7D1B3767"/>
    <w:rsid w:val="7D20753B"/>
    <w:rsid w:val="7D271D23"/>
    <w:rsid w:val="7D2C7C8E"/>
    <w:rsid w:val="7D2F3C22"/>
    <w:rsid w:val="7D352C96"/>
    <w:rsid w:val="7D360B0D"/>
    <w:rsid w:val="7D3D1E9B"/>
    <w:rsid w:val="7D3E3E65"/>
    <w:rsid w:val="7D4A21B7"/>
    <w:rsid w:val="7D4B74C7"/>
    <w:rsid w:val="7D4C6582"/>
    <w:rsid w:val="7D56507F"/>
    <w:rsid w:val="7D56CB3F"/>
    <w:rsid w:val="7D5F49FE"/>
    <w:rsid w:val="7D6E474B"/>
    <w:rsid w:val="7D6FCE77"/>
    <w:rsid w:val="7D7A30EF"/>
    <w:rsid w:val="7D7A4E9D"/>
    <w:rsid w:val="7D893462"/>
    <w:rsid w:val="7D8A2C07"/>
    <w:rsid w:val="7D9C4987"/>
    <w:rsid w:val="7D9DF154"/>
    <w:rsid w:val="7D9F66B2"/>
    <w:rsid w:val="7DA243F4"/>
    <w:rsid w:val="7DA57332"/>
    <w:rsid w:val="7DAA3FF0"/>
    <w:rsid w:val="7DB119FE"/>
    <w:rsid w:val="7DB303AF"/>
    <w:rsid w:val="7DBA7990"/>
    <w:rsid w:val="7DBFD4DA"/>
    <w:rsid w:val="7DBFE492"/>
    <w:rsid w:val="7DC07661"/>
    <w:rsid w:val="7DCC321F"/>
    <w:rsid w:val="7DD12FF3"/>
    <w:rsid w:val="7DD6409E"/>
    <w:rsid w:val="7DD82296"/>
    <w:rsid w:val="7DDA1DE0"/>
    <w:rsid w:val="7DDE2F59"/>
    <w:rsid w:val="7DE70059"/>
    <w:rsid w:val="7DE7680A"/>
    <w:rsid w:val="7DEB48ED"/>
    <w:rsid w:val="7DEF06AE"/>
    <w:rsid w:val="7DF0147B"/>
    <w:rsid w:val="7DF3182F"/>
    <w:rsid w:val="7DF7FFCB"/>
    <w:rsid w:val="7DFA7BA6"/>
    <w:rsid w:val="7DFB205E"/>
    <w:rsid w:val="7DFD358F"/>
    <w:rsid w:val="7DFF1F99"/>
    <w:rsid w:val="7DFFACB5"/>
    <w:rsid w:val="7E002EC9"/>
    <w:rsid w:val="7E054EEF"/>
    <w:rsid w:val="7E0724A9"/>
    <w:rsid w:val="7E162A33"/>
    <w:rsid w:val="7E2117BD"/>
    <w:rsid w:val="7E215319"/>
    <w:rsid w:val="7E233A0A"/>
    <w:rsid w:val="7E235535"/>
    <w:rsid w:val="7E243CB7"/>
    <w:rsid w:val="7E282B4B"/>
    <w:rsid w:val="7E2B263C"/>
    <w:rsid w:val="7E3E236F"/>
    <w:rsid w:val="7E3E2C97"/>
    <w:rsid w:val="7E3E2F52"/>
    <w:rsid w:val="7E3F5D06"/>
    <w:rsid w:val="7E484F9C"/>
    <w:rsid w:val="7E553215"/>
    <w:rsid w:val="7E5576B9"/>
    <w:rsid w:val="7E6410E3"/>
    <w:rsid w:val="7E676E21"/>
    <w:rsid w:val="7E6817D6"/>
    <w:rsid w:val="7E745D91"/>
    <w:rsid w:val="7E7BFECB"/>
    <w:rsid w:val="7E7D1E2A"/>
    <w:rsid w:val="7E843AFA"/>
    <w:rsid w:val="7E8B4E88"/>
    <w:rsid w:val="7EA72A07"/>
    <w:rsid w:val="7EAD0735"/>
    <w:rsid w:val="7EAD3051"/>
    <w:rsid w:val="7EAFF0B6"/>
    <w:rsid w:val="7EB2F9B7"/>
    <w:rsid w:val="7EBB23C1"/>
    <w:rsid w:val="7EBC6EE8"/>
    <w:rsid w:val="7EBC7738"/>
    <w:rsid w:val="7EBF3D01"/>
    <w:rsid w:val="7EC14D4E"/>
    <w:rsid w:val="7ED097AB"/>
    <w:rsid w:val="7ED6A037"/>
    <w:rsid w:val="7EE50A3C"/>
    <w:rsid w:val="7EE6DD14"/>
    <w:rsid w:val="7EE87B37"/>
    <w:rsid w:val="7EEA4CC4"/>
    <w:rsid w:val="7EEB9FC8"/>
    <w:rsid w:val="7EEF18BB"/>
    <w:rsid w:val="7EF7FC8B"/>
    <w:rsid w:val="7EFA3156"/>
    <w:rsid w:val="7EFDC041"/>
    <w:rsid w:val="7EFF19E3"/>
    <w:rsid w:val="7EFF3919"/>
    <w:rsid w:val="7EFF872B"/>
    <w:rsid w:val="7EFFA73A"/>
    <w:rsid w:val="7F1B445E"/>
    <w:rsid w:val="7F2151CC"/>
    <w:rsid w:val="7F231565"/>
    <w:rsid w:val="7F232C50"/>
    <w:rsid w:val="7F2B01C4"/>
    <w:rsid w:val="7F2BEF08"/>
    <w:rsid w:val="7F2C666B"/>
    <w:rsid w:val="7F2F2562"/>
    <w:rsid w:val="7F402117"/>
    <w:rsid w:val="7F435763"/>
    <w:rsid w:val="7F475253"/>
    <w:rsid w:val="7F477001"/>
    <w:rsid w:val="7F5A373D"/>
    <w:rsid w:val="7F5E3367"/>
    <w:rsid w:val="7F5F3D40"/>
    <w:rsid w:val="7F60371C"/>
    <w:rsid w:val="7F62208D"/>
    <w:rsid w:val="7F7141B4"/>
    <w:rsid w:val="7F752B5D"/>
    <w:rsid w:val="7F75710D"/>
    <w:rsid w:val="7F761695"/>
    <w:rsid w:val="7F775F1F"/>
    <w:rsid w:val="7F77C408"/>
    <w:rsid w:val="7F7ECDF0"/>
    <w:rsid w:val="7F7F1902"/>
    <w:rsid w:val="7F7F85A2"/>
    <w:rsid w:val="7F857B2A"/>
    <w:rsid w:val="7F93112B"/>
    <w:rsid w:val="7F9B651A"/>
    <w:rsid w:val="7F9D45ED"/>
    <w:rsid w:val="7F9E0F54"/>
    <w:rsid w:val="7FA5CF7E"/>
    <w:rsid w:val="7FADB5D1"/>
    <w:rsid w:val="7FAE0B76"/>
    <w:rsid w:val="7FAF3472"/>
    <w:rsid w:val="7FB359B9"/>
    <w:rsid w:val="7FB473C1"/>
    <w:rsid w:val="7FB68DF0"/>
    <w:rsid w:val="7FBBE0B5"/>
    <w:rsid w:val="7FBBF7C9"/>
    <w:rsid w:val="7FBE3FE6"/>
    <w:rsid w:val="7FBF7622"/>
    <w:rsid w:val="7FC20D7E"/>
    <w:rsid w:val="7FC27694"/>
    <w:rsid w:val="7FCD5CFF"/>
    <w:rsid w:val="7FCD90FC"/>
    <w:rsid w:val="7FCDECF9"/>
    <w:rsid w:val="7FD35744"/>
    <w:rsid w:val="7FD665D7"/>
    <w:rsid w:val="7FD750AF"/>
    <w:rsid w:val="7FDB19D4"/>
    <w:rsid w:val="7FDB8E27"/>
    <w:rsid w:val="7FDFBCEF"/>
    <w:rsid w:val="7FDFE482"/>
    <w:rsid w:val="7FE24F7C"/>
    <w:rsid w:val="7FE44850"/>
    <w:rsid w:val="7FE5BCD5"/>
    <w:rsid w:val="7FE5FBF6"/>
    <w:rsid w:val="7FE721C8"/>
    <w:rsid w:val="7FE7B90F"/>
    <w:rsid w:val="7FE7FE0B"/>
    <w:rsid w:val="7FE8AA89"/>
    <w:rsid w:val="7FE96A4C"/>
    <w:rsid w:val="7FF01DDB"/>
    <w:rsid w:val="7FF52F01"/>
    <w:rsid w:val="7FF7F0EA"/>
    <w:rsid w:val="7FFA6738"/>
    <w:rsid w:val="7FFA82DD"/>
    <w:rsid w:val="7FFB4370"/>
    <w:rsid w:val="7FFB59E1"/>
    <w:rsid w:val="7FFB7955"/>
    <w:rsid w:val="7FFB79C0"/>
    <w:rsid w:val="7FFBED39"/>
    <w:rsid w:val="7FFCB26E"/>
    <w:rsid w:val="7FFD9FAE"/>
    <w:rsid w:val="7FFDCAA0"/>
    <w:rsid w:val="7FFE17F4"/>
    <w:rsid w:val="7FFE89B5"/>
    <w:rsid w:val="7FFEA1B4"/>
    <w:rsid w:val="7FFEC91C"/>
    <w:rsid w:val="7FFF1F67"/>
    <w:rsid w:val="7FFF3358"/>
    <w:rsid w:val="7FFF3D63"/>
    <w:rsid w:val="7FFF3FE1"/>
    <w:rsid w:val="7FFF917A"/>
    <w:rsid w:val="7FFFB6B3"/>
    <w:rsid w:val="7FFFC620"/>
    <w:rsid w:val="816EBC1C"/>
    <w:rsid w:val="86CD2215"/>
    <w:rsid w:val="87FB9589"/>
    <w:rsid w:val="8B4EB753"/>
    <w:rsid w:val="8FDB939A"/>
    <w:rsid w:val="93AE1507"/>
    <w:rsid w:val="96AEB894"/>
    <w:rsid w:val="977B5D60"/>
    <w:rsid w:val="977E31FF"/>
    <w:rsid w:val="979F0F7F"/>
    <w:rsid w:val="9AFFE6CA"/>
    <w:rsid w:val="9B746BDE"/>
    <w:rsid w:val="9BFA0492"/>
    <w:rsid w:val="9CFE73D3"/>
    <w:rsid w:val="9DBAE05B"/>
    <w:rsid w:val="9DF749FE"/>
    <w:rsid w:val="9EDFD2D4"/>
    <w:rsid w:val="9F3BF429"/>
    <w:rsid w:val="9F6F298E"/>
    <w:rsid w:val="9FBF6A38"/>
    <w:rsid w:val="9FE70ACE"/>
    <w:rsid w:val="9FF8D89D"/>
    <w:rsid w:val="9FF91111"/>
    <w:rsid w:val="9FFD80F4"/>
    <w:rsid w:val="9FFFA905"/>
    <w:rsid w:val="9FFFE290"/>
    <w:rsid w:val="A53C30EB"/>
    <w:rsid w:val="A7799AEC"/>
    <w:rsid w:val="A7FADBFA"/>
    <w:rsid w:val="A8E08014"/>
    <w:rsid w:val="ABE7C24A"/>
    <w:rsid w:val="ACB5D895"/>
    <w:rsid w:val="ACF9F370"/>
    <w:rsid w:val="ACFF783F"/>
    <w:rsid w:val="ADBC833D"/>
    <w:rsid w:val="ADDEBFB5"/>
    <w:rsid w:val="ADED50AF"/>
    <w:rsid w:val="ADF7A2A9"/>
    <w:rsid w:val="ADFB6A3F"/>
    <w:rsid w:val="AEBBA222"/>
    <w:rsid w:val="AEFFDC90"/>
    <w:rsid w:val="AF4F9167"/>
    <w:rsid w:val="AFB506B9"/>
    <w:rsid w:val="AFD74478"/>
    <w:rsid w:val="AFF541E1"/>
    <w:rsid w:val="AFFB492E"/>
    <w:rsid w:val="B3E7BB23"/>
    <w:rsid w:val="B3FE8A31"/>
    <w:rsid w:val="B53FA9CA"/>
    <w:rsid w:val="B5BFDF79"/>
    <w:rsid w:val="B5CF5AEA"/>
    <w:rsid w:val="B6CBE650"/>
    <w:rsid w:val="B6E3786A"/>
    <w:rsid w:val="B741577F"/>
    <w:rsid w:val="B75BD154"/>
    <w:rsid w:val="B75F45B5"/>
    <w:rsid w:val="B795DFF4"/>
    <w:rsid w:val="B7BB3BD0"/>
    <w:rsid w:val="B7DF5DCD"/>
    <w:rsid w:val="B7EBD113"/>
    <w:rsid w:val="B7F702D0"/>
    <w:rsid w:val="B7FD2566"/>
    <w:rsid w:val="B7FFBCD0"/>
    <w:rsid w:val="B7FFE18E"/>
    <w:rsid w:val="B9BB59BB"/>
    <w:rsid w:val="B9EF57F7"/>
    <w:rsid w:val="B9FDE8DE"/>
    <w:rsid w:val="BADE6EE5"/>
    <w:rsid w:val="BAFBA07E"/>
    <w:rsid w:val="BB9FABF3"/>
    <w:rsid w:val="BBB6559D"/>
    <w:rsid w:val="BBBE629A"/>
    <w:rsid w:val="BBDE1958"/>
    <w:rsid w:val="BBDFB0CF"/>
    <w:rsid w:val="BBEF43C5"/>
    <w:rsid w:val="BBEFCB6F"/>
    <w:rsid w:val="BCEA7C28"/>
    <w:rsid w:val="BCF75D7A"/>
    <w:rsid w:val="BCF94F3D"/>
    <w:rsid w:val="BCFFD504"/>
    <w:rsid w:val="BD63426D"/>
    <w:rsid w:val="BDB72374"/>
    <w:rsid w:val="BDD8EF78"/>
    <w:rsid w:val="BDFC71E1"/>
    <w:rsid w:val="BDFEDD7D"/>
    <w:rsid w:val="BE57F877"/>
    <w:rsid w:val="BE725299"/>
    <w:rsid w:val="BEA76596"/>
    <w:rsid w:val="BEAA0743"/>
    <w:rsid w:val="BEBAE066"/>
    <w:rsid w:val="BEF555C8"/>
    <w:rsid w:val="BEFD1E7C"/>
    <w:rsid w:val="BEFE19F0"/>
    <w:rsid w:val="BEFF2A67"/>
    <w:rsid w:val="BF1E064A"/>
    <w:rsid w:val="BF3FB700"/>
    <w:rsid w:val="BF3FFF29"/>
    <w:rsid w:val="BF438EB3"/>
    <w:rsid w:val="BF5FDA4B"/>
    <w:rsid w:val="BF670905"/>
    <w:rsid w:val="BFBFE19A"/>
    <w:rsid w:val="BFD55ED7"/>
    <w:rsid w:val="BFE32BE4"/>
    <w:rsid w:val="BFEF5E2B"/>
    <w:rsid w:val="BFEFC667"/>
    <w:rsid w:val="BFF118E9"/>
    <w:rsid w:val="BFF20B29"/>
    <w:rsid w:val="BFF90C36"/>
    <w:rsid w:val="BFFB9176"/>
    <w:rsid w:val="BFFFCDE1"/>
    <w:rsid w:val="C3F70DC4"/>
    <w:rsid w:val="C3FF5894"/>
    <w:rsid w:val="C7F3FFBD"/>
    <w:rsid w:val="C7F720E7"/>
    <w:rsid w:val="C7FF241C"/>
    <w:rsid w:val="C7FFFFEB"/>
    <w:rsid w:val="C9BCF6CF"/>
    <w:rsid w:val="C9BF5ABD"/>
    <w:rsid w:val="C9FEA068"/>
    <w:rsid w:val="CA9B6EC0"/>
    <w:rsid w:val="CBAF1331"/>
    <w:rsid w:val="CBDF565D"/>
    <w:rsid w:val="CCDDE55C"/>
    <w:rsid w:val="CD9FE7E6"/>
    <w:rsid w:val="CDAE4EDC"/>
    <w:rsid w:val="CDDD2E0A"/>
    <w:rsid w:val="CDEA3089"/>
    <w:rsid w:val="CDFA6FEE"/>
    <w:rsid w:val="CE7F1FAE"/>
    <w:rsid w:val="CE9D661C"/>
    <w:rsid w:val="CEFB5348"/>
    <w:rsid w:val="CF2B446C"/>
    <w:rsid w:val="CF5FA584"/>
    <w:rsid w:val="CFBA8826"/>
    <w:rsid w:val="CFF25028"/>
    <w:rsid w:val="CFF77463"/>
    <w:rsid w:val="CFFA4036"/>
    <w:rsid w:val="CFFF42F3"/>
    <w:rsid w:val="CFFF8FFE"/>
    <w:rsid w:val="D04FCAB9"/>
    <w:rsid w:val="D1FB24DB"/>
    <w:rsid w:val="D2EF8740"/>
    <w:rsid w:val="D2FF8557"/>
    <w:rsid w:val="D3052270"/>
    <w:rsid w:val="D3DDACA0"/>
    <w:rsid w:val="D3E74C57"/>
    <w:rsid w:val="D3F74483"/>
    <w:rsid w:val="D45FEA5B"/>
    <w:rsid w:val="D47EAA83"/>
    <w:rsid w:val="D4F793FA"/>
    <w:rsid w:val="D5B3E5E1"/>
    <w:rsid w:val="D5D38A64"/>
    <w:rsid w:val="D5DDBAE3"/>
    <w:rsid w:val="D5FDA11C"/>
    <w:rsid w:val="D5FF643E"/>
    <w:rsid w:val="D6BC272F"/>
    <w:rsid w:val="D6BF25C3"/>
    <w:rsid w:val="D7371977"/>
    <w:rsid w:val="D7DE25B1"/>
    <w:rsid w:val="D7DEC7EE"/>
    <w:rsid w:val="D7ED0036"/>
    <w:rsid w:val="D7ED5871"/>
    <w:rsid w:val="D867D162"/>
    <w:rsid w:val="D8DFC712"/>
    <w:rsid w:val="D98AE53E"/>
    <w:rsid w:val="D9BF716F"/>
    <w:rsid w:val="DA6B4E52"/>
    <w:rsid w:val="DAFEB521"/>
    <w:rsid w:val="DB57BBF7"/>
    <w:rsid w:val="DB6F885D"/>
    <w:rsid w:val="DBD6C26A"/>
    <w:rsid w:val="DBF796C1"/>
    <w:rsid w:val="DBFB4022"/>
    <w:rsid w:val="DBFEFB7C"/>
    <w:rsid w:val="DBFF55DA"/>
    <w:rsid w:val="DBFF7C59"/>
    <w:rsid w:val="DC6ACC76"/>
    <w:rsid w:val="DD77DBFC"/>
    <w:rsid w:val="DD7F741F"/>
    <w:rsid w:val="DDDD3AAA"/>
    <w:rsid w:val="DDFBB401"/>
    <w:rsid w:val="DDFF9BBD"/>
    <w:rsid w:val="DE5B1729"/>
    <w:rsid w:val="DE7FC08A"/>
    <w:rsid w:val="DEB6DBA7"/>
    <w:rsid w:val="DEBBE26A"/>
    <w:rsid w:val="DEBDE491"/>
    <w:rsid w:val="DECFE504"/>
    <w:rsid w:val="DEEA6651"/>
    <w:rsid w:val="DEF5C0CB"/>
    <w:rsid w:val="DEFFF88B"/>
    <w:rsid w:val="DF5BF186"/>
    <w:rsid w:val="DF6EBE6B"/>
    <w:rsid w:val="DF6F673E"/>
    <w:rsid w:val="DF791ABF"/>
    <w:rsid w:val="DF792033"/>
    <w:rsid w:val="DF7DDE45"/>
    <w:rsid w:val="DF7F0806"/>
    <w:rsid w:val="DF7F6559"/>
    <w:rsid w:val="DFAB3EEC"/>
    <w:rsid w:val="DFBB277E"/>
    <w:rsid w:val="DFBCD0BC"/>
    <w:rsid w:val="DFBD1572"/>
    <w:rsid w:val="DFC99911"/>
    <w:rsid w:val="DFCB6B9B"/>
    <w:rsid w:val="DFCE619C"/>
    <w:rsid w:val="DFCFE673"/>
    <w:rsid w:val="DFDB0A10"/>
    <w:rsid w:val="DFEE7034"/>
    <w:rsid w:val="DFEF16A0"/>
    <w:rsid w:val="DFEF837D"/>
    <w:rsid w:val="DFEFE26B"/>
    <w:rsid w:val="DFEFF4AB"/>
    <w:rsid w:val="DFEFFB4A"/>
    <w:rsid w:val="DFF7077E"/>
    <w:rsid w:val="DFFE4E81"/>
    <w:rsid w:val="DFFE5656"/>
    <w:rsid w:val="DFFE94C0"/>
    <w:rsid w:val="E2FE1DFC"/>
    <w:rsid w:val="E374C507"/>
    <w:rsid w:val="E3FB990F"/>
    <w:rsid w:val="E47F08F1"/>
    <w:rsid w:val="E55F3C44"/>
    <w:rsid w:val="E6D76A9D"/>
    <w:rsid w:val="E73683A0"/>
    <w:rsid w:val="E75FE119"/>
    <w:rsid w:val="E76EB1CD"/>
    <w:rsid w:val="E79BB269"/>
    <w:rsid w:val="E7CFA920"/>
    <w:rsid w:val="E7E74F06"/>
    <w:rsid w:val="E7F91BFC"/>
    <w:rsid w:val="E7FD669B"/>
    <w:rsid w:val="E97FF5A4"/>
    <w:rsid w:val="E9DFD3E9"/>
    <w:rsid w:val="E9E92F20"/>
    <w:rsid w:val="EAFB9A15"/>
    <w:rsid w:val="EB5EC710"/>
    <w:rsid w:val="EB69FD76"/>
    <w:rsid w:val="EB776932"/>
    <w:rsid w:val="EB8FCC53"/>
    <w:rsid w:val="EBB765B3"/>
    <w:rsid w:val="EBBF5969"/>
    <w:rsid w:val="EBBF7A62"/>
    <w:rsid w:val="EBD76472"/>
    <w:rsid w:val="EBF9DF1F"/>
    <w:rsid w:val="EBFEF502"/>
    <w:rsid w:val="EC7FEDDE"/>
    <w:rsid w:val="ECBF5C29"/>
    <w:rsid w:val="ECFF93EE"/>
    <w:rsid w:val="ED1623AA"/>
    <w:rsid w:val="ED5FC6D5"/>
    <w:rsid w:val="ED9E0D66"/>
    <w:rsid w:val="EDBFBFB8"/>
    <w:rsid w:val="EDF3AE4B"/>
    <w:rsid w:val="EDFFB186"/>
    <w:rsid w:val="EE6F7CE4"/>
    <w:rsid w:val="EEFE6053"/>
    <w:rsid w:val="EF5F849E"/>
    <w:rsid w:val="EF67DB7F"/>
    <w:rsid w:val="EF6F88D4"/>
    <w:rsid w:val="EF9DAC7A"/>
    <w:rsid w:val="EFB760A1"/>
    <w:rsid w:val="EFDB1127"/>
    <w:rsid w:val="EFEAD802"/>
    <w:rsid w:val="EFEFCA6B"/>
    <w:rsid w:val="EFFDD880"/>
    <w:rsid w:val="EFFE5171"/>
    <w:rsid w:val="EFFE54B0"/>
    <w:rsid w:val="EFFF5CA2"/>
    <w:rsid w:val="EFFFFF24"/>
    <w:rsid w:val="F1DF48E0"/>
    <w:rsid w:val="F2F3A872"/>
    <w:rsid w:val="F33F237E"/>
    <w:rsid w:val="F3570537"/>
    <w:rsid w:val="F3DFD1D6"/>
    <w:rsid w:val="F3DFF20F"/>
    <w:rsid w:val="F3ED6A9D"/>
    <w:rsid w:val="F477554A"/>
    <w:rsid w:val="F5AFB8FB"/>
    <w:rsid w:val="F5EF94F0"/>
    <w:rsid w:val="F5F7E76E"/>
    <w:rsid w:val="F5FDD10C"/>
    <w:rsid w:val="F5FEB560"/>
    <w:rsid w:val="F64F5701"/>
    <w:rsid w:val="F66B4D4B"/>
    <w:rsid w:val="F67F17BD"/>
    <w:rsid w:val="F6B32F30"/>
    <w:rsid w:val="F6BF20C4"/>
    <w:rsid w:val="F6CF99FD"/>
    <w:rsid w:val="F6DDD52D"/>
    <w:rsid w:val="F6F532A6"/>
    <w:rsid w:val="F6FD3E54"/>
    <w:rsid w:val="F6FE5E72"/>
    <w:rsid w:val="F72BCE6F"/>
    <w:rsid w:val="F72E55C8"/>
    <w:rsid w:val="F777DC74"/>
    <w:rsid w:val="F7975AF9"/>
    <w:rsid w:val="F7C9181A"/>
    <w:rsid w:val="F7CF380C"/>
    <w:rsid w:val="F7CF5C85"/>
    <w:rsid w:val="F7D1D8AE"/>
    <w:rsid w:val="F7DE55E4"/>
    <w:rsid w:val="F7DED869"/>
    <w:rsid w:val="F7DFCD22"/>
    <w:rsid w:val="F7E59306"/>
    <w:rsid w:val="F7EE2517"/>
    <w:rsid w:val="F7EFB414"/>
    <w:rsid w:val="F7F6169A"/>
    <w:rsid w:val="F7F6C60D"/>
    <w:rsid w:val="F7F80EB2"/>
    <w:rsid w:val="F7FAE555"/>
    <w:rsid w:val="F7FF3AF1"/>
    <w:rsid w:val="F7FFAA23"/>
    <w:rsid w:val="F7FFF4A2"/>
    <w:rsid w:val="F8DF4320"/>
    <w:rsid w:val="F8E7449B"/>
    <w:rsid w:val="F8F3220E"/>
    <w:rsid w:val="F8FE9CC1"/>
    <w:rsid w:val="F8FFF9CE"/>
    <w:rsid w:val="F95BB96F"/>
    <w:rsid w:val="F97B374B"/>
    <w:rsid w:val="F9DF3C5E"/>
    <w:rsid w:val="F9EF8D71"/>
    <w:rsid w:val="F9FDBEC9"/>
    <w:rsid w:val="F9FE0830"/>
    <w:rsid w:val="FA8BF58C"/>
    <w:rsid w:val="FADF3728"/>
    <w:rsid w:val="FAEF40C0"/>
    <w:rsid w:val="FAFDD6EC"/>
    <w:rsid w:val="FB2B8857"/>
    <w:rsid w:val="FB3FAA27"/>
    <w:rsid w:val="FB4F3BE6"/>
    <w:rsid w:val="FB5FD576"/>
    <w:rsid w:val="FB6CC687"/>
    <w:rsid w:val="FB6F2865"/>
    <w:rsid w:val="FB7A7BC4"/>
    <w:rsid w:val="FB7F1D6E"/>
    <w:rsid w:val="FB7F5F49"/>
    <w:rsid w:val="FB8567F8"/>
    <w:rsid w:val="FBBB0F51"/>
    <w:rsid w:val="FBBF8926"/>
    <w:rsid w:val="FBDE057B"/>
    <w:rsid w:val="FBE7E99D"/>
    <w:rsid w:val="FBEE6A4C"/>
    <w:rsid w:val="FBEFF7F2"/>
    <w:rsid w:val="FBF0F819"/>
    <w:rsid w:val="FBF3E2F3"/>
    <w:rsid w:val="FBFA4A6A"/>
    <w:rsid w:val="FBFA7BE4"/>
    <w:rsid w:val="FBFCCF44"/>
    <w:rsid w:val="FBFD5255"/>
    <w:rsid w:val="FBFF3149"/>
    <w:rsid w:val="FBFF3C27"/>
    <w:rsid w:val="FBFF4FDB"/>
    <w:rsid w:val="FC4D3909"/>
    <w:rsid w:val="FC6D63FB"/>
    <w:rsid w:val="FC6ECDC2"/>
    <w:rsid w:val="FC73AB4F"/>
    <w:rsid w:val="FC7AFEB6"/>
    <w:rsid w:val="FC7B515D"/>
    <w:rsid w:val="FC7FB450"/>
    <w:rsid w:val="FCF5A05D"/>
    <w:rsid w:val="FCFDCD70"/>
    <w:rsid w:val="FCFF1BAB"/>
    <w:rsid w:val="FCFFD552"/>
    <w:rsid w:val="FD5DFAC8"/>
    <w:rsid w:val="FD634801"/>
    <w:rsid w:val="FD6C295E"/>
    <w:rsid w:val="FD8377C8"/>
    <w:rsid w:val="FD99AD54"/>
    <w:rsid w:val="FDAA895F"/>
    <w:rsid w:val="FDB71552"/>
    <w:rsid w:val="FDBA724F"/>
    <w:rsid w:val="FDBB0B68"/>
    <w:rsid w:val="FDBB9E2A"/>
    <w:rsid w:val="FDBBE158"/>
    <w:rsid w:val="FDC7E36B"/>
    <w:rsid w:val="FDCD5D28"/>
    <w:rsid w:val="FDD3043D"/>
    <w:rsid w:val="FDD74E71"/>
    <w:rsid w:val="FDDD8976"/>
    <w:rsid w:val="FDDF0627"/>
    <w:rsid w:val="FDE7C236"/>
    <w:rsid w:val="FDF5EC4E"/>
    <w:rsid w:val="FDF74B6C"/>
    <w:rsid w:val="FDFBC5A9"/>
    <w:rsid w:val="FDFCB872"/>
    <w:rsid w:val="FDFDA31A"/>
    <w:rsid w:val="FDFEB510"/>
    <w:rsid w:val="FDFFB731"/>
    <w:rsid w:val="FDFFDBE0"/>
    <w:rsid w:val="FE4DF147"/>
    <w:rsid w:val="FE53E524"/>
    <w:rsid w:val="FE5A8096"/>
    <w:rsid w:val="FE5F9864"/>
    <w:rsid w:val="FE664429"/>
    <w:rsid w:val="FE7C22A9"/>
    <w:rsid w:val="FE7DB371"/>
    <w:rsid w:val="FEDA5853"/>
    <w:rsid w:val="FEDD66A5"/>
    <w:rsid w:val="FEED5B06"/>
    <w:rsid w:val="FEFB06D3"/>
    <w:rsid w:val="FEFC5FA5"/>
    <w:rsid w:val="FEFF6A9F"/>
    <w:rsid w:val="FEFF7D9C"/>
    <w:rsid w:val="FF079EB0"/>
    <w:rsid w:val="FF1E567A"/>
    <w:rsid w:val="FF29E2F7"/>
    <w:rsid w:val="FF332E34"/>
    <w:rsid w:val="FF35E165"/>
    <w:rsid w:val="FF3B9D7C"/>
    <w:rsid w:val="FF3BF4F2"/>
    <w:rsid w:val="FF5B8C35"/>
    <w:rsid w:val="FF60A250"/>
    <w:rsid w:val="FF636A36"/>
    <w:rsid w:val="FF6D7C23"/>
    <w:rsid w:val="FF6F39E4"/>
    <w:rsid w:val="FF6FDD80"/>
    <w:rsid w:val="FF76346C"/>
    <w:rsid w:val="FF773AD7"/>
    <w:rsid w:val="FF785AD3"/>
    <w:rsid w:val="FF78B40C"/>
    <w:rsid w:val="FF7C05FA"/>
    <w:rsid w:val="FF7C6EF1"/>
    <w:rsid w:val="FF7C94CF"/>
    <w:rsid w:val="FF7EF9FD"/>
    <w:rsid w:val="FF7F52BF"/>
    <w:rsid w:val="FF7FF368"/>
    <w:rsid w:val="FF7FFF28"/>
    <w:rsid w:val="FF99E332"/>
    <w:rsid w:val="FF9D95D5"/>
    <w:rsid w:val="FF9DD64C"/>
    <w:rsid w:val="FF9F8BBA"/>
    <w:rsid w:val="FFA59802"/>
    <w:rsid w:val="FFAF68BC"/>
    <w:rsid w:val="FFB705E0"/>
    <w:rsid w:val="FFB7E3A6"/>
    <w:rsid w:val="FFBB0009"/>
    <w:rsid w:val="FFBBA143"/>
    <w:rsid w:val="FFBD5E1B"/>
    <w:rsid w:val="FFBD8CC1"/>
    <w:rsid w:val="FFBDE372"/>
    <w:rsid w:val="FFBE4660"/>
    <w:rsid w:val="FFBEFCAC"/>
    <w:rsid w:val="FFBF498E"/>
    <w:rsid w:val="FFBFF9CF"/>
    <w:rsid w:val="FFC77858"/>
    <w:rsid w:val="FFCF3EE1"/>
    <w:rsid w:val="FFD5D9C0"/>
    <w:rsid w:val="FFD73CBE"/>
    <w:rsid w:val="FFDB1C60"/>
    <w:rsid w:val="FFDC4376"/>
    <w:rsid w:val="FFDD9737"/>
    <w:rsid w:val="FFDF5D51"/>
    <w:rsid w:val="FFDFA3F2"/>
    <w:rsid w:val="FFDFB0DB"/>
    <w:rsid w:val="FFE53FE5"/>
    <w:rsid w:val="FFEBC275"/>
    <w:rsid w:val="FFECE2EB"/>
    <w:rsid w:val="FFED1B79"/>
    <w:rsid w:val="FFED8573"/>
    <w:rsid w:val="FFF3E6C2"/>
    <w:rsid w:val="FFF59DDE"/>
    <w:rsid w:val="FFF6FC87"/>
    <w:rsid w:val="FFF95E1D"/>
    <w:rsid w:val="FFF9AC55"/>
    <w:rsid w:val="FFF9CBFE"/>
    <w:rsid w:val="FFFAF3F7"/>
    <w:rsid w:val="FFFB694C"/>
    <w:rsid w:val="FFFB883C"/>
    <w:rsid w:val="FFFBB334"/>
    <w:rsid w:val="FFFBCA5A"/>
    <w:rsid w:val="FFFD2E77"/>
    <w:rsid w:val="FFFD99CA"/>
    <w:rsid w:val="FFFEDE97"/>
    <w:rsid w:val="FFFF37E6"/>
    <w:rsid w:val="FFFF5408"/>
    <w:rsid w:val="FFFF7A67"/>
    <w:rsid w:val="FFFF9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hint="eastAsia" w:ascii="Arial Unicode MS" w:hAnsi="Arial Unicode MS" w:eastAsia="Arial Unicode MS" w:cs="Arial Unicode MS"/>
      <w:color w:val="000000"/>
      <w:kern w:val="2"/>
      <w:sz w:val="21"/>
      <w:szCs w:val="21"/>
      <w:lang w:val="zh-TW" w:eastAsia="zh-TW" w:bidi="ar-SA"/>
    </w:rPr>
  </w:style>
  <w:style w:type="paragraph" w:styleId="2">
    <w:name w:val="heading 1"/>
    <w:basedOn w:val="1"/>
    <w:next w:val="1"/>
    <w:link w:val="72"/>
    <w:qFormat/>
    <w:uiPriority w:val="0"/>
    <w:pPr>
      <w:keepNext/>
      <w:keepLines/>
      <w:spacing w:before="340" w:after="330" w:line="578" w:lineRule="auto"/>
      <w:outlineLvl w:val="0"/>
    </w:pPr>
    <w:rPr>
      <w:rFonts w:hint="default" w:cs="Times New Roman"/>
      <w:b/>
      <w:bCs/>
      <w:kern w:val="44"/>
      <w:sz w:val="44"/>
      <w:szCs w:val="44"/>
    </w:rPr>
  </w:style>
  <w:style w:type="paragraph" w:styleId="3">
    <w:name w:val="heading 2"/>
    <w:basedOn w:val="1"/>
    <w:next w:val="1"/>
    <w:link w:val="73"/>
    <w:qFormat/>
    <w:uiPriority w:val="0"/>
    <w:pPr>
      <w:keepNext/>
      <w:keepLines/>
      <w:spacing w:before="260" w:after="260" w:line="416" w:lineRule="auto"/>
      <w:outlineLvl w:val="1"/>
    </w:pPr>
    <w:rPr>
      <w:rFonts w:hint="default" w:ascii="Cambria" w:hAnsi="Cambria" w:eastAsia="宋体" w:cs="Times New Roman"/>
      <w:b/>
      <w:bCs/>
      <w:kern w:val="0"/>
      <w:sz w:val="32"/>
      <w:szCs w:val="32"/>
    </w:rPr>
  </w:style>
  <w:style w:type="paragraph" w:styleId="4">
    <w:name w:val="heading 3"/>
    <w:basedOn w:val="1"/>
    <w:next w:val="1"/>
    <w:link w:val="74"/>
    <w:qFormat/>
    <w:uiPriority w:val="0"/>
    <w:pPr>
      <w:keepNext/>
      <w:keepLines/>
      <w:spacing w:before="260" w:after="260" w:line="416" w:lineRule="auto"/>
      <w:outlineLvl w:val="2"/>
    </w:pPr>
    <w:rPr>
      <w:rFonts w:hint="default" w:cs="Times New Roman"/>
      <w:b/>
      <w:bCs/>
      <w:kern w:val="0"/>
      <w:sz w:val="32"/>
      <w:szCs w:val="32"/>
    </w:rPr>
  </w:style>
  <w:style w:type="paragraph" w:styleId="5">
    <w:name w:val="heading 4"/>
    <w:basedOn w:val="1"/>
    <w:next w:val="1"/>
    <w:link w:val="75"/>
    <w:qFormat/>
    <w:uiPriority w:val="0"/>
    <w:pPr>
      <w:keepNext/>
      <w:keepLines/>
      <w:widowControl w:val="0"/>
      <w:spacing w:before="280" w:after="290" w:line="372" w:lineRule="auto"/>
      <w:outlineLvl w:val="3"/>
    </w:pPr>
    <w:rPr>
      <w:rFonts w:hint="default" w:ascii="Arial" w:hAnsi="Arial" w:eastAsia="黑体" w:cs="Times New Roman"/>
      <w:b/>
      <w:color w:val="auto"/>
      <w:sz w:val="28"/>
      <w:szCs w:val="24"/>
    </w:rPr>
  </w:style>
  <w:style w:type="paragraph" w:styleId="6">
    <w:name w:val="heading 5"/>
    <w:basedOn w:val="1"/>
    <w:next w:val="1"/>
    <w:link w:val="76"/>
    <w:qFormat/>
    <w:uiPriority w:val="0"/>
    <w:pPr>
      <w:keepNext/>
      <w:keepLines/>
      <w:widowControl w:val="0"/>
      <w:spacing w:line="372" w:lineRule="auto"/>
      <w:ind w:firstLine="402"/>
      <w:outlineLvl w:val="4"/>
    </w:pPr>
    <w:rPr>
      <w:rFonts w:hint="default" w:ascii="仿宋_GB2312" w:hAnsi="Times New Roman" w:eastAsia="仿宋_GB2312" w:cs="Times New Roman"/>
      <w:b/>
      <w:color w:val="auto"/>
      <w:sz w:val="28"/>
      <w:szCs w:val="32"/>
    </w:rPr>
  </w:style>
  <w:style w:type="paragraph" w:styleId="7">
    <w:name w:val="heading 6"/>
    <w:basedOn w:val="1"/>
    <w:next w:val="1"/>
    <w:link w:val="77"/>
    <w:qFormat/>
    <w:uiPriority w:val="0"/>
    <w:pPr>
      <w:keepNext/>
      <w:keepLines/>
      <w:widowControl w:val="0"/>
      <w:spacing w:line="317" w:lineRule="auto"/>
      <w:ind w:firstLine="402"/>
      <w:outlineLvl w:val="5"/>
    </w:pPr>
    <w:rPr>
      <w:rFonts w:hint="default" w:ascii="Arial" w:hAnsi="Arial" w:eastAsia="黑体" w:cs="Times New Roman"/>
      <w:b/>
      <w:color w:val="auto"/>
      <w:sz w:val="24"/>
      <w:szCs w:val="32"/>
    </w:rPr>
  </w:style>
  <w:style w:type="paragraph" w:styleId="8">
    <w:name w:val="heading 7"/>
    <w:basedOn w:val="1"/>
    <w:next w:val="1"/>
    <w:link w:val="78"/>
    <w:qFormat/>
    <w:uiPriority w:val="0"/>
    <w:pPr>
      <w:keepNext/>
      <w:keepLines/>
      <w:widowControl w:val="0"/>
      <w:spacing w:line="317" w:lineRule="auto"/>
      <w:ind w:firstLine="402"/>
      <w:outlineLvl w:val="6"/>
    </w:pPr>
    <w:rPr>
      <w:rFonts w:hint="default" w:ascii="仿宋_GB2312" w:hAnsi="Times New Roman" w:eastAsia="仿宋_GB2312" w:cs="Times New Roman"/>
      <w:b/>
      <w:color w:val="auto"/>
      <w:sz w:val="24"/>
      <w:szCs w:val="32"/>
    </w:rPr>
  </w:style>
  <w:style w:type="paragraph" w:styleId="9">
    <w:name w:val="heading 8"/>
    <w:basedOn w:val="1"/>
    <w:next w:val="1"/>
    <w:link w:val="79"/>
    <w:qFormat/>
    <w:uiPriority w:val="0"/>
    <w:pPr>
      <w:keepNext/>
      <w:keepLines/>
      <w:widowControl w:val="0"/>
      <w:spacing w:line="317" w:lineRule="auto"/>
      <w:ind w:firstLine="402"/>
      <w:outlineLvl w:val="7"/>
    </w:pPr>
    <w:rPr>
      <w:rFonts w:hint="default" w:ascii="Arial" w:hAnsi="Arial" w:eastAsia="黑体" w:cs="Times New Roman"/>
      <w:color w:val="auto"/>
      <w:sz w:val="24"/>
      <w:szCs w:val="32"/>
    </w:rPr>
  </w:style>
  <w:style w:type="paragraph" w:styleId="10">
    <w:name w:val="heading 9"/>
    <w:basedOn w:val="1"/>
    <w:next w:val="1"/>
    <w:link w:val="80"/>
    <w:qFormat/>
    <w:uiPriority w:val="0"/>
    <w:pPr>
      <w:keepNext/>
      <w:keepLines/>
      <w:widowControl w:val="0"/>
      <w:spacing w:line="317" w:lineRule="auto"/>
      <w:ind w:firstLine="402"/>
      <w:outlineLvl w:val="8"/>
    </w:pPr>
    <w:rPr>
      <w:rFonts w:hint="default" w:ascii="Arial" w:hAnsi="Arial" w:eastAsia="黑体" w:cs="Times New Roman"/>
      <w:color w:val="auto"/>
      <w:szCs w:val="32"/>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widowControl w:val="0"/>
      <w:ind w:left="2520" w:leftChars="1200"/>
    </w:pPr>
    <w:rPr>
      <w:rFonts w:hint="default" w:ascii="Times New Roman" w:hAnsi="Times New Roman" w:eastAsia="宋体" w:cs="Times New Roman"/>
      <w:color w:val="auto"/>
      <w:szCs w:val="24"/>
      <w:lang w:val="en-US" w:eastAsia="zh-CN"/>
    </w:rPr>
  </w:style>
  <w:style w:type="paragraph" w:styleId="12">
    <w:name w:val="table of authorities"/>
    <w:basedOn w:val="1"/>
    <w:next w:val="1"/>
    <w:qFormat/>
    <w:uiPriority w:val="0"/>
    <w:pPr>
      <w:ind w:left="420" w:leftChars="200"/>
    </w:pPr>
  </w:style>
  <w:style w:type="paragraph" w:styleId="13">
    <w:name w:val="Normal Indent"/>
    <w:basedOn w:val="1"/>
    <w:link w:val="81"/>
    <w:qFormat/>
    <w:uiPriority w:val="0"/>
    <w:pPr>
      <w:widowControl w:val="0"/>
      <w:autoSpaceDE w:val="0"/>
      <w:autoSpaceDN w:val="0"/>
      <w:adjustRightInd w:val="0"/>
      <w:ind w:firstLine="420"/>
      <w:jc w:val="left"/>
    </w:pPr>
    <w:rPr>
      <w:rFonts w:hint="default" w:ascii="宋体" w:hAnsi="Times New Roman" w:eastAsia="宋体" w:cs="Times New Roman"/>
      <w:color w:val="auto"/>
      <w:kern w:val="0"/>
      <w:sz w:val="24"/>
      <w:szCs w:val="20"/>
    </w:rPr>
  </w:style>
  <w:style w:type="paragraph" w:styleId="14">
    <w:name w:val="Document Map"/>
    <w:basedOn w:val="1"/>
    <w:semiHidden/>
    <w:qFormat/>
    <w:uiPriority w:val="0"/>
    <w:pPr>
      <w:shd w:val="clear" w:color="auto" w:fill="000080"/>
    </w:pPr>
  </w:style>
  <w:style w:type="paragraph" w:styleId="15">
    <w:name w:val="annotation text"/>
    <w:basedOn w:val="1"/>
    <w:link w:val="82"/>
    <w:unhideWhenUsed/>
    <w:qFormat/>
    <w:uiPriority w:val="0"/>
    <w:pPr>
      <w:jc w:val="left"/>
    </w:pPr>
    <w:rPr>
      <w:rFonts w:hint="default" w:cs="Times New Roman"/>
      <w:kern w:val="0"/>
      <w:sz w:val="20"/>
    </w:rPr>
  </w:style>
  <w:style w:type="paragraph" w:styleId="16">
    <w:name w:val="Body Text 3"/>
    <w:basedOn w:val="1"/>
    <w:link w:val="83"/>
    <w:qFormat/>
    <w:uiPriority w:val="0"/>
    <w:pPr>
      <w:widowControl w:val="0"/>
      <w:spacing w:after="120"/>
    </w:pPr>
    <w:rPr>
      <w:rFonts w:hint="default" w:ascii="Times New Roman" w:hAnsi="Times New Roman" w:eastAsia="宋体" w:cs="Times New Roman"/>
      <w:color w:val="auto"/>
      <w:sz w:val="16"/>
      <w:szCs w:val="16"/>
    </w:rPr>
  </w:style>
  <w:style w:type="paragraph" w:styleId="17">
    <w:name w:val="Body Text"/>
    <w:basedOn w:val="1"/>
    <w:next w:val="18"/>
    <w:link w:val="84"/>
    <w:qFormat/>
    <w:uiPriority w:val="0"/>
    <w:pPr>
      <w:widowControl w:val="0"/>
      <w:tabs>
        <w:tab w:val="left" w:pos="567"/>
      </w:tabs>
      <w:spacing w:before="120" w:line="22" w:lineRule="atLeast"/>
    </w:pPr>
    <w:rPr>
      <w:rFonts w:hint="default" w:ascii="宋体" w:hAnsi="宋体" w:eastAsia="宋体" w:cs="Times New Roman"/>
      <w:color w:val="auto"/>
      <w:sz w:val="24"/>
      <w:szCs w:val="24"/>
    </w:rPr>
  </w:style>
  <w:style w:type="paragraph" w:customStyle="1" w:styleId="18">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19">
    <w:name w:val="Body Text Indent"/>
    <w:basedOn w:val="1"/>
    <w:next w:val="20"/>
    <w:link w:val="85"/>
    <w:qFormat/>
    <w:uiPriority w:val="99"/>
    <w:pPr>
      <w:widowControl w:val="0"/>
      <w:spacing w:line="360" w:lineRule="auto"/>
      <w:ind w:firstLine="570"/>
    </w:pPr>
    <w:rPr>
      <w:rFonts w:hint="default" w:ascii="Times New Roman" w:hAnsi="Times New Roman" w:eastAsia="宋体" w:cs="Times New Roman"/>
      <w:color w:val="auto"/>
      <w:sz w:val="24"/>
      <w:szCs w:val="24"/>
    </w:rPr>
  </w:style>
  <w:style w:type="paragraph" w:styleId="20">
    <w:name w:val="envelope return"/>
    <w:basedOn w:val="1"/>
    <w:unhideWhenUsed/>
    <w:qFormat/>
    <w:uiPriority w:val="99"/>
    <w:pPr>
      <w:snapToGrid w:val="0"/>
    </w:pPr>
    <w:rPr>
      <w:rFonts w:ascii="Arial" w:hAnsi="Arial"/>
    </w:rPr>
  </w:style>
  <w:style w:type="paragraph" w:styleId="21">
    <w:name w:val="List Continue"/>
    <w:basedOn w:val="1"/>
    <w:qFormat/>
    <w:uiPriority w:val="0"/>
    <w:pPr>
      <w:widowControl w:val="0"/>
      <w:spacing w:after="120"/>
      <w:ind w:left="420"/>
    </w:pPr>
    <w:rPr>
      <w:rFonts w:hint="default" w:ascii="Times New Roman" w:hAnsi="Times New Roman" w:eastAsia="楷体_GB2312" w:cs="Times New Roman"/>
      <w:color w:val="auto"/>
      <w:sz w:val="32"/>
      <w:szCs w:val="20"/>
      <w:lang w:val="en-US" w:eastAsia="zh-CN"/>
    </w:rPr>
  </w:style>
  <w:style w:type="paragraph" w:styleId="22">
    <w:name w:val="Block Text"/>
    <w:basedOn w:val="1"/>
    <w:qFormat/>
    <w:uiPriority w:val="0"/>
    <w:pPr>
      <w:widowControl w:val="0"/>
      <w:adjustRightInd w:val="0"/>
      <w:ind w:left="420" w:right="33"/>
      <w:jc w:val="left"/>
      <w:textAlignment w:val="baseline"/>
    </w:pPr>
    <w:rPr>
      <w:rFonts w:hint="default" w:ascii="Times New Roman" w:hAnsi="Times New Roman" w:eastAsia="宋体" w:cs="Times New Roman"/>
      <w:color w:val="auto"/>
      <w:kern w:val="0"/>
      <w:sz w:val="24"/>
      <w:szCs w:val="20"/>
      <w:lang w:val="en-US" w:eastAsia="zh-CN"/>
    </w:rPr>
  </w:style>
  <w:style w:type="paragraph" w:styleId="23">
    <w:name w:val="toc 5"/>
    <w:basedOn w:val="1"/>
    <w:next w:val="1"/>
    <w:qFormat/>
    <w:uiPriority w:val="39"/>
    <w:pPr>
      <w:widowControl w:val="0"/>
      <w:ind w:left="1680" w:leftChars="800"/>
    </w:pPr>
    <w:rPr>
      <w:rFonts w:hint="default" w:ascii="Times New Roman" w:hAnsi="Times New Roman" w:eastAsia="宋体" w:cs="Times New Roman"/>
      <w:color w:val="auto"/>
      <w:szCs w:val="24"/>
      <w:lang w:val="en-US" w:eastAsia="zh-CN"/>
    </w:rPr>
  </w:style>
  <w:style w:type="paragraph" w:styleId="24">
    <w:name w:val="toc 3"/>
    <w:basedOn w:val="1"/>
    <w:next w:val="1"/>
    <w:unhideWhenUsed/>
    <w:qFormat/>
    <w:uiPriority w:val="39"/>
    <w:pPr>
      <w:spacing w:after="100" w:line="276" w:lineRule="auto"/>
      <w:ind w:left="440"/>
      <w:jc w:val="left"/>
    </w:pPr>
    <w:rPr>
      <w:rFonts w:hint="default" w:ascii="Calibri" w:hAnsi="Calibri" w:eastAsia="宋体" w:cs="Times New Roman"/>
      <w:color w:val="auto"/>
      <w:kern w:val="0"/>
      <w:sz w:val="22"/>
      <w:szCs w:val="22"/>
      <w:lang w:val="en-US" w:eastAsia="zh-CN"/>
    </w:rPr>
  </w:style>
  <w:style w:type="paragraph" w:styleId="25">
    <w:name w:val="Plain Text"/>
    <w:basedOn w:val="1"/>
    <w:link w:val="86"/>
    <w:qFormat/>
    <w:uiPriority w:val="0"/>
    <w:pPr>
      <w:widowControl w:val="0"/>
    </w:pPr>
    <w:rPr>
      <w:rFonts w:hint="default" w:ascii="宋体" w:hAnsi="Courier New" w:eastAsia="宋体" w:cs="Times New Roman"/>
      <w:color w:val="auto"/>
      <w:kern w:val="0"/>
      <w:sz w:val="20"/>
      <w:szCs w:val="20"/>
    </w:rPr>
  </w:style>
  <w:style w:type="paragraph" w:styleId="26">
    <w:name w:val="toc 8"/>
    <w:basedOn w:val="1"/>
    <w:next w:val="1"/>
    <w:qFormat/>
    <w:uiPriority w:val="39"/>
    <w:pPr>
      <w:widowControl w:val="0"/>
      <w:ind w:left="2940" w:leftChars="1400"/>
    </w:pPr>
    <w:rPr>
      <w:rFonts w:hint="default" w:ascii="Times New Roman" w:hAnsi="Times New Roman" w:eastAsia="宋体" w:cs="Times New Roman"/>
      <w:color w:val="auto"/>
      <w:szCs w:val="24"/>
      <w:lang w:val="en-US" w:eastAsia="zh-CN"/>
    </w:rPr>
  </w:style>
  <w:style w:type="paragraph" w:styleId="27">
    <w:name w:val="Date"/>
    <w:basedOn w:val="1"/>
    <w:next w:val="1"/>
    <w:link w:val="87"/>
    <w:qFormat/>
    <w:uiPriority w:val="99"/>
    <w:pPr>
      <w:widowControl w:val="0"/>
      <w:ind w:left="100" w:leftChars="2500"/>
    </w:pPr>
    <w:rPr>
      <w:rFonts w:hint="default" w:ascii="仿宋_GB2312" w:hAnsi="宋体" w:eastAsia="仿宋_GB2312" w:cs="Times New Roman"/>
      <w:sz w:val="24"/>
      <w:szCs w:val="24"/>
    </w:rPr>
  </w:style>
  <w:style w:type="paragraph" w:styleId="28">
    <w:name w:val="Body Text Indent 2"/>
    <w:basedOn w:val="1"/>
    <w:link w:val="88"/>
    <w:qFormat/>
    <w:uiPriority w:val="99"/>
    <w:pPr>
      <w:widowControl w:val="0"/>
      <w:ind w:firstLine="480" w:firstLineChars="200"/>
    </w:pPr>
    <w:rPr>
      <w:rFonts w:hint="default" w:ascii="仿宋_GB2312" w:hAnsi="Times New Roman" w:eastAsia="仿宋_GB2312" w:cs="Times New Roman"/>
      <w:color w:val="auto"/>
      <w:sz w:val="24"/>
      <w:szCs w:val="24"/>
    </w:rPr>
  </w:style>
  <w:style w:type="paragraph" w:styleId="29">
    <w:name w:val="Balloon Text"/>
    <w:basedOn w:val="1"/>
    <w:link w:val="89"/>
    <w:unhideWhenUsed/>
    <w:qFormat/>
    <w:uiPriority w:val="99"/>
    <w:rPr>
      <w:rFonts w:hint="default" w:cs="Times New Roman"/>
      <w:kern w:val="0"/>
      <w:sz w:val="18"/>
      <w:szCs w:val="18"/>
    </w:rPr>
  </w:style>
  <w:style w:type="paragraph" w:styleId="30">
    <w:name w:val="footer"/>
    <w:basedOn w:val="1"/>
    <w:link w:val="90"/>
    <w:qFormat/>
    <w:uiPriority w:val="99"/>
    <w:pPr>
      <w:tabs>
        <w:tab w:val="center" w:pos="4153"/>
        <w:tab w:val="right" w:pos="8306"/>
      </w:tabs>
    </w:pPr>
    <w:rPr>
      <w:rFonts w:hint="default" w:ascii="宋体" w:hAnsi="宋体" w:eastAsia="宋体" w:cs="Times New Roman"/>
      <w:kern w:val="0"/>
      <w:sz w:val="18"/>
      <w:szCs w:val="18"/>
    </w:rPr>
  </w:style>
  <w:style w:type="paragraph" w:styleId="31">
    <w:name w:val="header"/>
    <w:basedOn w:val="1"/>
    <w:link w:val="91"/>
    <w:unhideWhenUsed/>
    <w:qFormat/>
    <w:uiPriority w:val="99"/>
    <w:pPr>
      <w:pBdr>
        <w:bottom w:val="single" w:color="auto" w:sz="6" w:space="1"/>
      </w:pBdr>
      <w:tabs>
        <w:tab w:val="center" w:pos="4153"/>
        <w:tab w:val="right" w:pos="8306"/>
      </w:tabs>
      <w:snapToGrid w:val="0"/>
      <w:jc w:val="center"/>
    </w:pPr>
    <w:rPr>
      <w:rFonts w:hint="default" w:cs="Times New Roman"/>
      <w:kern w:val="0"/>
      <w:sz w:val="18"/>
      <w:szCs w:val="18"/>
    </w:rPr>
  </w:style>
  <w:style w:type="paragraph" w:styleId="32">
    <w:name w:val="toc 1"/>
    <w:basedOn w:val="1"/>
    <w:next w:val="1"/>
    <w:unhideWhenUsed/>
    <w:qFormat/>
    <w:uiPriority w:val="39"/>
    <w:pPr>
      <w:spacing w:after="100" w:line="276" w:lineRule="auto"/>
      <w:jc w:val="left"/>
    </w:pPr>
    <w:rPr>
      <w:rFonts w:hint="default" w:ascii="Calibri" w:hAnsi="Calibri" w:eastAsia="宋体" w:cs="Times New Roman"/>
      <w:color w:val="auto"/>
      <w:kern w:val="0"/>
      <w:sz w:val="22"/>
      <w:szCs w:val="22"/>
      <w:lang w:val="en-US" w:eastAsia="zh-CN"/>
    </w:rPr>
  </w:style>
  <w:style w:type="paragraph" w:styleId="33">
    <w:name w:val="toc 4"/>
    <w:basedOn w:val="1"/>
    <w:next w:val="1"/>
    <w:qFormat/>
    <w:uiPriority w:val="39"/>
    <w:pPr>
      <w:widowControl w:val="0"/>
      <w:ind w:left="1260" w:leftChars="600"/>
    </w:pPr>
    <w:rPr>
      <w:rFonts w:hint="default" w:ascii="Times New Roman" w:hAnsi="Times New Roman" w:eastAsia="宋体" w:cs="Times New Roman"/>
      <w:color w:val="auto"/>
      <w:szCs w:val="24"/>
      <w:lang w:val="en-US" w:eastAsia="zh-CN"/>
    </w:rPr>
  </w:style>
  <w:style w:type="paragraph" w:styleId="34">
    <w:name w:val="Subtitle"/>
    <w:basedOn w:val="1"/>
    <w:next w:val="1"/>
    <w:qFormat/>
    <w:uiPriority w:val="0"/>
    <w:pPr>
      <w:spacing w:before="60" w:after="60"/>
      <w:jc w:val="left"/>
      <w:outlineLvl w:val="1"/>
    </w:pPr>
    <w:rPr>
      <w:rFonts w:ascii="等线 Light" w:hAnsi="等线 Light" w:eastAsia="楷体"/>
      <w:bCs/>
      <w:kern w:val="28"/>
      <w:szCs w:val="32"/>
    </w:rPr>
  </w:style>
  <w:style w:type="paragraph" w:styleId="35">
    <w:name w:val="List"/>
    <w:basedOn w:val="1"/>
    <w:qFormat/>
    <w:uiPriority w:val="0"/>
    <w:pPr>
      <w:widowControl w:val="0"/>
      <w:ind w:left="420" w:hanging="420"/>
    </w:pPr>
    <w:rPr>
      <w:rFonts w:hint="default" w:ascii="Times New Roman" w:hAnsi="Times New Roman" w:eastAsia="楷体_GB2312" w:cs="Times New Roman"/>
      <w:color w:val="auto"/>
      <w:sz w:val="32"/>
      <w:szCs w:val="20"/>
      <w:lang w:val="en-US" w:eastAsia="zh-CN"/>
    </w:rPr>
  </w:style>
  <w:style w:type="paragraph" w:styleId="36">
    <w:name w:val="footnote text"/>
    <w:basedOn w:val="1"/>
    <w:link w:val="92"/>
    <w:qFormat/>
    <w:uiPriority w:val="0"/>
    <w:pPr>
      <w:widowControl w:val="0"/>
      <w:adjustRightInd w:val="0"/>
      <w:spacing w:line="312" w:lineRule="atLeast"/>
      <w:jc w:val="left"/>
      <w:textAlignment w:val="baseline"/>
    </w:pPr>
    <w:rPr>
      <w:rFonts w:hint="default" w:ascii="Times New Roman" w:hAnsi="Times New Roman" w:eastAsia="宋体" w:cs="Times New Roman"/>
      <w:color w:val="auto"/>
      <w:sz w:val="18"/>
      <w:szCs w:val="22"/>
    </w:rPr>
  </w:style>
  <w:style w:type="paragraph" w:styleId="37">
    <w:name w:val="toc 6"/>
    <w:basedOn w:val="1"/>
    <w:next w:val="1"/>
    <w:qFormat/>
    <w:uiPriority w:val="39"/>
    <w:pPr>
      <w:widowControl w:val="0"/>
      <w:ind w:left="2100" w:leftChars="1000"/>
    </w:pPr>
    <w:rPr>
      <w:rFonts w:hint="default" w:ascii="Times New Roman" w:hAnsi="Times New Roman" w:eastAsia="宋体" w:cs="Times New Roman"/>
      <w:color w:val="auto"/>
      <w:szCs w:val="24"/>
      <w:lang w:val="en-US" w:eastAsia="zh-CN"/>
    </w:rPr>
  </w:style>
  <w:style w:type="paragraph" w:styleId="38">
    <w:name w:val="List 5"/>
    <w:basedOn w:val="1"/>
    <w:qFormat/>
    <w:uiPriority w:val="0"/>
    <w:pPr>
      <w:widowControl w:val="0"/>
      <w:ind w:left="2100" w:hanging="420"/>
    </w:pPr>
    <w:rPr>
      <w:rFonts w:hint="default" w:ascii="Times New Roman" w:hAnsi="Times New Roman" w:eastAsia="楷体_GB2312" w:cs="Times New Roman"/>
      <w:color w:val="auto"/>
      <w:sz w:val="32"/>
      <w:szCs w:val="20"/>
      <w:lang w:val="en-US" w:eastAsia="zh-CN"/>
    </w:rPr>
  </w:style>
  <w:style w:type="paragraph" w:styleId="39">
    <w:name w:val="Body Text Indent 3"/>
    <w:basedOn w:val="1"/>
    <w:link w:val="93"/>
    <w:qFormat/>
    <w:uiPriority w:val="0"/>
    <w:pPr>
      <w:widowControl w:val="0"/>
      <w:autoSpaceDE w:val="0"/>
      <w:autoSpaceDN w:val="0"/>
      <w:adjustRightInd w:val="0"/>
      <w:spacing w:before="120" w:line="22" w:lineRule="atLeast"/>
      <w:ind w:left="720" w:firstLine="480"/>
      <w:jc w:val="left"/>
    </w:pPr>
    <w:rPr>
      <w:rFonts w:hint="default" w:ascii="宋体" w:hAnsi="Times New Roman" w:eastAsia="宋体" w:cs="Times New Roman"/>
      <w:color w:val="auto"/>
      <w:kern w:val="0"/>
      <w:sz w:val="24"/>
      <w:szCs w:val="20"/>
    </w:rPr>
  </w:style>
  <w:style w:type="paragraph" w:styleId="40">
    <w:name w:val="table of figures"/>
    <w:basedOn w:val="1"/>
    <w:next w:val="1"/>
    <w:qFormat/>
    <w:uiPriority w:val="0"/>
    <w:pPr>
      <w:ind w:left="200" w:leftChars="200" w:hanging="200" w:hangingChars="200"/>
    </w:pPr>
    <w:rPr>
      <w:rFonts w:ascii="Times New Roman" w:hAnsi="Times New Roman"/>
    </w:rPr>
  </w:style>
  <w:style w:type="paragraph" w:styleId="41">
    <w:name w:val="toc 2"/>
    <w:basedOn w:val="1"/>
    <w:next w:val="1"/>
    <w:unhideWhenUsed/>
    <w:qFormat/>
    <w:uiPriority w:val="39"/>
    <w:pPr>
      <w:spacing w:after="100" w:line="276" w:lineRule="auto"/>
      <w:ind w:left="220"/>
      <w:jc w:val="left"/>
    </w:pPr>
    <w:rPr>
      <w:rFonts w:hint="default" w:ascii="Calibri" w:hAnsi="Calibri" w:eastAsia="宋体" w:cs="Times New Roman"/>
      <w:color w:val="auto"/>
      <w:kern w:val="0"/>
      <w:sz w:val="22"/>
      <w:szCs w:val="22"/>
      <w:lang w:val="en-US" w:eastAsia="zh-CN"/>
    </w:rPr>
  </w:style>
  <w:style w:type="paragraph" w:styleId="42">
    <w:name w:val="toc 9"/>
    <w:basedOn w:val="1"/>
    <w:next w:val="1"/>
    <w:qFormat/>
    <w:uiPriority w:val="39"/>
    <w:pPr>
      <w:widowControl w:val="0"/>
      <w:ind w:left="3360" w:leftChars="1600"/>
    </w:pPr>
    <w:rPr>
      <w:rFonts w:hint="default" w:ascii="Times New Roman" w:hAnsi="Times New Roman" w:eastAsia="宋体" w:cs="Times New Roman"/>
      <w:color w:val="auto"/>
      <w:szCs w:val="24"/>
      <w:lang w:val="en-US" w:eastAsia="zh-CN"/>
    </w:rPr>
  </w:style>
  <w:style w:type="paragraph" w:styleId="43">
    <w:name w:val="Body Text 2"/>
    <w:basedOn w:val="1"/>
    <w:link w:val="94"/>
    <w:qFormat/>
    <w:uiPriority w:val="0"/>
    <w:pPr>
      <w:widowControl w:val="0"/>
      <w:spacing w:after="120" w:line="480" w:lineRule="auto"/>
    </w:pPr>
    <w:rPr>
      <w:rFonts w:hint="default" w:ascii="Times New Roman" w:hAnsi="Times New Roman" w:eastAsia="宋体" w:cs="Times New Roman"/>
      <w:color w:val="auto"/>
      <w:szCs w:val="24"/>
    </w:rPr>
  </w:style>
  <w:style w:type="paragraph" w:styleId="44">
    <w:name w:val="List 4"/>
    <w:basedOn w:val="1"/>
    <w:qFormat/>
    <w:uiPriority w:val="0"/>
    <w:pPr>
      <w:widowControl w:val="0"/>
      <w:ind w:left="1680" w:hanging="420"/>
    </w:pPr>
    <w:rPr>
      <w:rFonts w:hint="default" w:ascii="Times New Roman" w:hAnsi="Times New Roman" w:eastAsia="楷体_GB2312" w:cs="Times New Roman"/>
      <w:color w:val="auto"/>
      <w:sz w:val="32"/>
      <w:szCs w:val="20"/>
      <w:lang w:val="en-US" w:eastAsia="zh-CN"/>
    </w:rPr>
  </w:style>
  <w:style w:type="paragraph" w:styleId="45">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lang w:val="en-US" w:eastAsia="zh-CN"/>
    </w:rPr>
  </w:style>
  <w:style w:type="paragraph" w:styleId="47">
    <w:name w:val="Normal (Web)"/>
    <w:basedOn w:val="1"/>
    <w:qFormat/>
    <w:uiPriority w:val="99"/>
    <w:pPr>
      <w:spacing w:before="100" w:beforeAutospacing="1" w:after="100" w:afterAutospacing="1"/>
      <w:jc w:val="left"/>
    </w:pPr>
    <w:rPr>
      <w:rFonts w:hint="default" w:ascii="宋体" w:hAnsi="宋体" w:eastAsia="宋体" w:cs="宋体"/>
      <w:color w:val="auto"/>
      <w:kern w:val="0"/>
      <w:sz w:val="24"/>
      <w:szCs w:val="24"/>
      <w:lang w:val="en-US" w:eastAsia="zh-CN"/>
    </w:rPr>
  </w:style>
  <w:style w:type="paragraph" w:styleId="48">
    <w:name w:val="index 1"/>
    <w:basedOn w:val="1"/>
    <w:next w:val="1"/>
    <w:qFormat/>
    <w:uiPriority w:val="0"/>
    <w:pPr>
      <w:widowControl w:val="0"/>
    </w:pPr>
    <w:rPr>
      <w:rFonts w:hint="default" w:ascii="Times New Roman" w:hAnsi="Times New Roman" w:eastAsia="宋体" w:cs="Times New Roman"/>
      <w:color w:val="auto"/>
      <w:szCs w:val="20"/>
      <w:lang w:val="en-US" w:eastAsia="zh-CN"/>
    </w:rPr>
  </w:style>
  <w:style w:type="paragraph" w:styleId="49">
    <w:name w:val="Title"/>
    <w:basedOn w:val="1"/>
    <w:link w:val="95"/>
    <w:qFormat/>
    <w:uiPriority w:val="0"/>
    <w:pPr>
      <w:spacing w:before="240" w:after="60"/>
      <w:jc w:val="center"/>
    </w:pPr>
    <w:rPr>
      <w:rFonts w:ascii="Arial" w:hAnsi="Arial" w:eastAsia="Arial" w:cs="Times New Roman"/>
      <w:b/>
      <w:bCs/>
      <w:sz w:val="32"/>
      <w:szCs w:val="32"/>
      <w:lang w:val="en-US" w:eastAsia="zh-CN"/>
    </w:rPr>
  </w:style>
  <w:style w:type="paragraph" w:styleId="50">
    <w:name w:val="annotation subject"/>
    <w:basedOn w:val="15"/>
    <w:next w:val="15"/>
    <w:link w:val="96"/>
    <w:qFormat/>
    <w:uiPriority w:val="0"/>
    <w:pPr>
      <w:widowControl w:val="0"/>
    </w:pPr>
    <w:rPr>
      <w:rFonts w:ascii="Times New Roman" w:hAnsi="Times New Roman" w:eastAsia="宋体"/>
      <w:b/>
      <w:bCs/>
      <w:color w:val="auto"/>
      <w:kern w:val="2"/>
      <w:sz w:val="21"/>
      <w:szCs w:val="24"/>
    </w:rPr>
  </w:style>
  <w:style w:type="paragraph" w:styleId="51">
    <w:name w:val="Body Text First Indent"/>
    <w:basedOn w:val="17"/>
    <w:next w:val="52"/>
    <w:link w:val="97"/>
    <w:qFormat/>
    <w:uiPriority w:val="0"/>
    <w:pPr>
      <w:spacing w:before="0" w:after="120" w:line="240" w:lineRule="auto"/>
      <w:ind w:firstLine="420"/>
    </w:pPr>
    <w:rPr>
      <w:rFonts w:ascii="Times New Roman" w:hAnsi="Times New Roman" w:eastAsia="楷体_GB2312"/>
      <w:sz w:val="32"/>
    </w:rPr>
  </w:style>
  <w:style w:type="paragraph" w:styleId="52">
    <w:name w:val="Body Text First Indent 2"/>
    <w:basedOn w:val="19"/>
    <w:next w:val="1"/>
    <w:link w:val="98"/>
    <w:unhideWhenUsed/>
    <w:qFormat/>
    <w:uiPriority w:val="99"/>
    <w:pPr>
      <w:spacing w:after="120" w:line="240" w:lineRule="auto"/>
      <w:ind w:left="420" w:leftChars="200" w:firstLine="420" w:firstLineChars="200"/>
    </w:pPr>
    <w:rPr>
      <w:rFonts w:ascii="Cambria" w:hAnsi="Cambria"/>
      <w:sz w:val="21"/>
    </w:rPr>
  </w:style>
  <w:style w:type="table" w:styleId="54">
    <w:name w:val="Table Grid"/>
    <w:basedOn w:val="5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qFormat/>
    <w:uiPriority w:val="99"/>
  </w:style>
  <w:style w:type="character" w:styleId="58">
    <w:name w:val="FollowedHyperlink"/>
    <w:qFormat/>
    <w:uiPriority w:val="0"/>
    <w:rPr>
      <w:color w:val="333333"/>
      <w:sz w:val="18"/>
      <w:szCs w:val="18"/>
      <w:u w:val="none"/>
    </w:rPr>
  </w:style>
  <w:style w:type="character" w:styleId="59">
    <w:name w:val="Emphasis"/>
    <w:qFormat/>
    <w:uiPriority w:val="20"/>
    <w:rPr>
      <w:b/>
      <w:bCs/>
    </w:rPr>
  </w:style>
  <w:style w:type="character" w:styleId="60">
    <w:name w:val="HTML Definition"/>
    <w:unhideWhenUsed/>
    <w:qFormat/>
    <w:uiPriority w:val="99"/>
  </w:style>
  <w:style w:type="character" w:styleId="61">
    <w:name w:val="HTML Typewriter"/>
    <w:unhideWhenUsed/>
    <w:qFormat/>
    <w:uiPriority w:val="99"/>
    <w:rPr>
      <w:rFonts w:hint="default" w:ascii="monospace" w:hAnsi="monospace" w:eastAsia="monospace" w:cs="monospace"/>
      <w:sz w:val="20"/>
    </w:rPr>
  </w:style>
  <w:style w:type="character" w:styleId="62">
    <w:name w:val="HTML Acronym"/>
    <w:basedOn w:val="55"/>
    <w:unhideWhenUsed/>
    <w:qFormat/>
    <w:uiPriority w:val="99"/>
  </w:style>
  <w:style w:type="character" w:styleId="63">
    <w:name w:val="HTML Variable"/>
    <w:unhideWhenUsed/>
    <w:qFormat/>
    <w:uiPriority w:val="99"/>
  </w:style>
  <w:style w:type="character" w:styleId="64">
    <w:name w:val="Hyperlink"/>
    <w:qFormat/>
    <w:uiPriority w:val="99"/>
    <w:rPr>
      <w:u w:val="single"/>
    </w:rPr>
  </w:style>
  <w:style w:type="character" w:styleId="65">
    <w:name w:val="HTML Code"/>
    <w:unhideWhenUsed/>
    <w:qFormat/>
    <w:uiPriority w:val="99"/>
    <w:rPr>
      <w:rFonts w:hint="default" w:ascii="monospace" w:hAnsi="monospace" w:eastAsia="monospace" w:cs="monospace"/>
      <w:sz w:val="20"/>
    </w:rPr>
  </w:style>
  <w:style w:type="character" w:styleId="66">
    <w:name w:val="annotation reference"/>
    <w:unhideWhenUsed/>
    <w:qFormat/>
    <w:uiPriority w:val="99"/>
    <w:rPr>
      <w:sz w:val="21"/>
      <w:szCs w:val="21"/>
    </w:rPr>
  </w:style>
  <w:style w:type="character" w:styleId="67">
    <w:name w:val="HTML Cite"/>
    <w:unhideWhenUsed/>
    <w:qFormat/>
    <w:uiPriority w:val="99"/>
    <w:rPr>
      <w:bdr w:val="single" w:color="D6D6D6" w:sz="6" w:space="0"/>
      <w:shd w:val="clear" w:color="auto" w:fill="FFFFFF"/>
    </w:rPr>
  </w:style>
  <w:style w:type="character" w:styleId="68">
    <w:name w:val="footnote reference"/>
    <w:qFormat/>
    <w:uiPriority w:val="0"/>
    <w:rPr>
      <w:vertAlign w:val="superscript"/>
    </w:rPr>
  </w:style>
  <w:style w:type="character" w:styleId="69">
    <w:name w:val="HTML Keyboard"/>
    <w:unhideWhenUsed/>
    <w:qFormat/>
    <w:uiPriority w:val="99"/>
    <w:rPr>
      <w:rFonts w:hint="default" w:ascii="monospace" w:hAnsi="monospace" w:eastAsia="monospace" w:cs="monospace"/>
      <w:sz w:val="20"/>
    </w:rPr>
  </w:style>
  <w:style w:type="character" w:styleId="70">
    <w:name w:val="HTML Sample"/>
    <w:unhideWhenUsed/>
    <w:qFormat/>
    <w:uiPriority w:val="99"/>
    <w:rPr>
      <w:rFonts w:ascii="monospace" w:hAnsi="monospace" w:eastAsia="monospace" w:cs="monospace"/>
    </w:rPr>
  </w:style>
  <w:style w:type="paragraph" w:customStyle="1" w:styleId="71">
    <w:name w:val="首行缩进"/>
    <w:basedOn w:val="1"/>
    <w:qFormat/>
    <w:uiPriority w:val="0"/>
    <w:pPr>
      <w:spacing w:line="360" w:lineRule="auto"/>
      <w:ind w:firstLine="480" w:firstLineChars="200"/>
      <w:jc w:val="left"/>
    </w:pPr>
    <w:rPr>
      <w:rFonts w:ascii="宋体" w:hAnsi="宋体"/>
      <w:sz w:val="24"/>
    </w:rPr>
  </w:style>
  <w:style w:type="character" w:customStyle="1" w:styleId="72">
    <w:name w:val="标题 1 字符"/>
    <w:link w:val="2"/>
    <w:qFormat/>
    <w:uiPriority w:val="0"/>
    <w:rPr>
      <w:rFonts w:ascii="Arial Unicode MS" w:hAnsi="Arial Unicode MS" w:eastAsia="Arial Unicode MS" w:cs="Arial Unicode MS"/>
      <w:b/>
      <w:bCs/>
      <w:color w:val="000000"/>
      <w:kern w:val="44"/>
      <w:sz w:val="44"/>
      <w:szCs w:val="44"/>
      <w:lang w:val="zh-TW" w:eastAsia="zh-TW"/>
    </w:rPr>
  </w:style>
  <w:style w:type="character" w:customStyle="1" w:styleId="73">
    <w:name w:val="标题 2 字符"/>
    <w:link w:val="3"/>
    <w:qFormat/>
    <w:uiPriority w:val="0"/>
    <w:rPr>
      <w:rFonts w:ascii="Cambria" w:hAnsi="Cambria" w:eastAsia="宋体" w:cs="Times New Roman"/>
      <w:b/>
      <w:bCs/>
      <w:color w:val="000000"/>
      <w:sz w:val="32"/>
      <w:szCs w:val="32"/>
      <w:lang w:val="zh-TW" w:eastAsia="zh-TW"/>
    </w:rPr>
  </w:style>
  <w:style w:type="character" w:customStyle="1" w:styleId="74">
    <w:name w:val="标题 3 字符"/>
    <w:link w:val="4"/>
    <w:qFormat/>
    <w:uiPriority w:val="0"/>
    <w:rPr>
      <w:rFonts w:ascii="Arial Unicode MS" w:hAnsi="Arial Unicode MS" w:eastAsia="Arial Unicode MS" w:cs="Arial Unicode MS"/>
      <w:b/>
      <w:bCs/>
      <w:color w:val="000000"/>
      <w:sz w:val="32"/>
      <w:szCs w:val="32"/>
      <w:lang w:val="zh-TW" w:eastAsia="zh-TW"/>
    </w:rPr>
  </w:style>
  <w:style w:type="character" w:customStyle="1" w:styleId="75">
    <w:name w:val="标题 4 字符"/>
    <w:link w:val="5"/>
    <w:qFormat/>
    <w:uiPriority w:val="0"/>
    <w:rPr>
      <w:rFonts w:ascii="Arial" w:hAnsi="Arial" w:eastAsia="黑体"/>
      <w:b/>
      <w:kern w:val="2"/>
      <w:sz w:val="28"/>
      <w:szCs w:val="24"/>
    </w:rPr>
  </w:style>
  <w:style w:type="character" w:customStyle="1" w:styleId="76">
    <w:name w:val="标题 5 字符"/>
    <w:link w:val="6"/>
    <w:qFormat/>
    <w:uiPriority w:val="0"/>
    <w:rPr>
      <w:rFonts w:ascii="仿宋_GB2312" w:hAnsi="Times New Roman" w:eastAsia="仿宋_GB2312"/>
      <w:b/>
      <w:kern w:val="2"/>
      <w:sz w:val="28"/>
      <w:szCs w:val="32"/>
    </w:rPr>
  </w:style>
  <w:style w:type="character" w:customStyle="1" w:styleId="77">
    <w:name w:val="标题 6 字符"/>
    <w:link w:val="7"/>
    <w:qFormat/>
    <w:uiPriority w:val="0"/>
    <w:rPr>
      <w:rFonts w:ascii="Arial" w:hAnsi="Arial" w:eastAsia="黑体"/>
      <w:b/>
      <w:kern w:val="2"/>
      <w:sz w:val="24"/>
      <w:szCs w:val="32"/>
    </w:rPr>
  </w:style>
  <w:style w:type="character" w:customStyle="1" w:styleId="78">
    <w:name w:val="标题 7 字符"/>
    <w:link w:val="8"/>
    <w:qFormat/>
    <w:uiPriority w:val="0"/>
    <w:rPr>
      <w:rFonts w:ascii="仿宋_GB2312" w:hAnsi="Times New Roman" w:eastAsia="仿宋_GB2312"/>
      <w:b/>
      <w:kern w:val="2"/>
      <w:sz w:val="24"/>
      <w:szCs w:val="32"/>
    </w:rPr>
  </w:style>
  <w:style w:type="character" w:customStyle="1" w:styleId="79">
    <w:name w:val="标题 8 字符"/>
    <w:link w:val="9"/>
    <w:qFormat/>
    <w:uiPriority w:val="0"/>
    <w:rPr>
      <w:rFonts w:ascii="Arial" w:hAnsi="Arial" w:eastAsia="黑体"/>
      <w:kern w:val="2"/>
      <w:sz w:val="24"/>
      <w:szCs w:val="32"/>
    </w:rPr>
  </w:style>
  <w:style w:type="character" w:customStyle="1" w:styleId="80">
    <w:name w:val="标题 9 字符"/>
    <w:link w:val="10"/>
    <w:qFormat/>
    <w:uiPriority w:val="0"/>
    <w:rPr>
      <w:rFonts w:ascii="Arial" w:hAnsi="Arial" w:eastAsia="黑体"/>
      <w:kern w:val="2"/>
      <w:sz w:val="21"/>
      <w:szCs w:val="32"/>
    </w:rPr>
  </w:style>
  <w:style w:type="character" w:customStyle="1" w:styleId="81">
    <w:name w:val="正文缩进 字符"/>
    <w:link w:val="13"/>
    <w:qFormat/>
    <w:uiPriority w:val="0"/>
    <w:rPr>
      <w:rFonts w:ascii="宋体"/>
      <w:sz w:val="24"/>
    </w:rPr>
  </w:style>
  <w:style w:type="character" w:customStyle="1" w:styleId="82">
    <w:name w:val="批注文字 字符"/>
    <w:link w:val="15"/>
    <w:qFormat/>
    <w:uiPriority w:val="0"/>
    <w:rPr>
      <w:rFonts w:ascii="Arial Unicode MS" w:hAnsi="Arial Unicode MS" w:eastAsia="Arial Unicode MS" w:cs="Arial Unicode MS"/>
      <w:color w:val="000000"/>
      <w:szCs w:val="21"/>
      <w:lang w:val="zh-TW" w:eastAsia="zh-TW"/>
    </w:rPr>
  </w:style>
  <w:style w:type="character" w:customStyle="1" w:styleId="83">
    <w:name w:val="正文文本 3 字符"/>
    <w:link w:val="16"/>
    <w:qFormat/>
    <w:uiPriority w:val="0"/>
    <w:rPr>
      <w:kern w:val="2"/>
      <w:sz w:val="16"/>
      <w:szCs w:val="16"/>
    </w:rPr>
  </w:style>
  <w:style w:type="character" w:customStyle="1" w:styleId="84">
    <w:name w:val="正文文本 字符1"/>
    <w:link w:val="17"/>
    <w:qFormat/>
    <w:uiPriority w:val="0"/>
    <w:rPr>
      <w:rFonts w:ascii="宋体" w:hAnsi="宋体"/>
      <w:kern w:val="2"/>
      <w:sz w:val="24"/>
      <w:szCs w:val="24"/>
    </w:rPr>
  </w:style>
  <w:style w:type="character" w:customStyle="1" w:styleId="85">
    <w:name w:val="正文文本缩进 字符"/>
    <w:link w:val="19"/>
    <w:qFormat/>
    <w:uiPriority w:val="99"/>
    <w:rPr>
      <w:kern w:val="2"/>
      <w:sz w:val="24"/>
      <w:szCs w:val="24"/>
    </w:rPr>
  </w:style>
  <w:style w:type="character" w:customStyle="1" w:styleId="86">
    <w:name w:val="纯文本 字符"/>
    <w:link w:val="25"/>
    <w:qFormat/>
    <w:uiPriority w:val="0"/>
    <w:rPr>
      <w:rFonts w:ascii="宋体" w:hAnsi="Courier New"/>
    </w:rPr>
  </w:style>
  <w:style w:type="character" w:customStyle="1" w:styleId="87">
    <w:name w:val="日期 字符"/>
    <w:link w:val="27"/>
    <w:qFormat/>
    <w:uiPriority w:val="99"/>
    <w:rPr>
      <w:rFonts w:ascii="仿宋_GB2312" w:hAnsi="宋体" w:eastAsia="仿宋_GB2312"/>
      <w:color w:val="000000"/>
      <w:kern w:val="2"/>
      <w:sz w:val="24"/>
      <w:szCs w:val="24"/>
    </w:rPr>
  </w:style>
  <w:style w:type="character" w:customStyle="1" w:styleId="88">
    <w:name w:val="正文文本缩进 2 字符"/>
    <w:link w:val="28"/>
    <w:qFormat/>
    <w:uiPriority w:val="99"/>
    <w:rPr>
      <w:rFonts w:ascii="仿宋_GB2312" w:eastAsia="仿宋_GB2312"/>
      <w:kern w:val="2"/>
      <w:sz w:val="24"/>
      <w:szCs w:val="24"/>
    </w:rPr>
  </w:style>
  <w:style w:type="character" w:customStyle="1" w:styleId="89">
    <w:name w:val="批注框文本 字符"/>
    <w:link w:val="29"/>
    <w:qFormat/>
    <w:uiPriority w:val="99"/>
    <w:rPr>
      <w:rFonts w:ascii="Arial Unicode MS" w:hAnsi="Arial Unicode MS" w:eastAsia="Arial Unicode MS" w:cs="Arial Unicode MS"/>
      <w:color w:val="000000"/>
      <w:sz w:val="18"/>
      <w:szCs w:val="18"/>
      <w:lang w:val="zh-TW" w:eastAsia="zh-TW"/>
    </w:rPr>
  </w:style>
  <w:style w:type="character" w:customStyle="1" w:styleId="90">
    <w:name w:val="页脚 字符"/>
    <w:link w:val="30"/>
    <w:qFormat/>
    <w:uiPriority w:val="99"/>
    <w:rPr>
      <w:rFonts w:ascii="宋体" w:hAnsi="宋体" w:eastAsia="宋体" w:cs="宋体"/>
      <w:color w:val="000000"/>
      <w:kern w:val="0"/>
      <w:sz w:val="18"/>
      <w:szCs w:val="18"/>
    </w:rPr>
  </w:style>
  <w:style w:type="character" w:customStyle="1" w:styleId="91">
    <w:name w:val="页眉 字符"/>
    <w:link w:val="31"/>
    <w:qFormat/>
    <w:uiPriority w:val="99"/>
    <w:rPr>
      <w:rFonts w:ascii="Arial Unicode MS" w:hAnsi="Arial Unicode MS" w:eastAsia="Arial Unicode MS" w:cs="Arial Unicode MS"/>
      <w:color w:val="000000"/>
      <w:sz w:val="18"/>
      <w:szCs w:val="18"/>
      <w:lang w:val="zh-TW" w:eastAsia="zh-TW"/>
    </w:rPr>
  </w:style>
  <w:style w:type="character" w:customStyle="1" w:styleId="92">
    <w:name w:val="脚注文本 字符"/>
    <w:link w:val="36"/>
    <w:qFormat/>
    <w:uiPriority w:val="0"/>
    <w:rPr>
      <w:kern w:val="2"/>
      <w:sz w:val="18"/>
      <w:szCs w:val="22"/>
    </w:rPr>
  </w:style>
  <w:style w:type="character" w:customStyle="1" w:styleId="93">
    <w:name w:val="正文文本缩进 3 字符"/>
    <w:link w:val="39"/>
    <w:qFormat/>
    <w:uiPriority w:val="0"/>
    <w:rPr>
      <w:rFonts w:ascii="宋体"/>
      <w:sz w:val="24"/>
    </w:rPr>
  </w:style>
  <w:style w:type="character" w:customStyle="1" w:styleId="94">
    <w:name w:val="正文文本 2 字符"/>
    <w:link w:val="43"/>
    <w:qFormat/>
    <w:uiPriority w:val="0"/>
    <w:rPr>
      <w:kern w:val="2"/>
      <w:sz w:val="21"/>
      <w:szCs w:val="24"/>
    </w:rPr>
  </w:style>
  <w:style w:type="character" w:customStyle="1" w:styleId="95">
    <w:name w:val="标题 字符"/>
    <w:link w:val="49"/>
    <w:qFormat/>
    <w:uiPriority w:val="0"/>
    <w:rPr>
      <w:rFonts w:ascii="Arial" w:hAnsi="Arial" w:eastAsia="Arial"/>
      <w:b/>
      <w:bCs/>
      <w:color w:val="000000"/>
      <w:sz w:val="32"/>
      <w:szCs w:val="32"/>
      <w:lang w:bidi="ar-SA"/>
    </w:rPr>
  </w:style>
  <w:style w:type="character" w:customStyle="1" w:styleId="96">
    <w:name w:val="批注主题 字符"/>
    <w:link w:val="50"/>
    <w:qFormat/>
    <w:uiPriority w:val="0"/>
    <w:rPr>
      <w:b/>
      <w:bCs/>
      <w:kern w:val="2"/>
      <w:sz w:val="21"/>
      <w:szCs w:val="24"/>
    </w:rPr>
  </w:style>
  <w:style w:type="character" w:customStyle="1" w:styleId="97">
    <w:name w:val="正文文本首行缩进 字符"/>
    <w:link w:val="51"/>
    <w:qFormat/>
    <w:uiPriority w:val="0"/>
    <w:rPr>
      <w:rFonts w:eastAsia="楷体_GB2312"/>
      <w:kern w:val="2"/>
      <w:sz w:val="32"/>
      <w:szCs w:val="24"/>
    </w:rPr>
  </w:style>
  <w:style w:type="character" w:customStyle="1" w:styleId="98">
    <w:name w:val="正文文本首行缩进 2 字符"/>
    <w:link w:val="52"/>
    <w:qFormat/>
    <w:uiPriority w:val="99"/>
    <w:rPr>
      <w:rFonts w:ascii="Cambria" w:hAnsi="Cambria"/>
      <w:kern w:val="2"/>
      <w:sz w:val="21"/>
      <w:szCs w:val="24"/>
    </w:rPr>
  </w:style>
  <w:style w:type="paragraph" w:customStyle="1" w:styleId="99">
    <w:name w:val="Char Char10 Char Char Char Char"/>
    <w:basedOn w:val="1"/>
    <w:next w:val="100"/>
    <w:qFormat/>
    <w:uiPriority w:val="0"/>
    <w:rPr>
      <w:rFonts w:ascii="Calibri" w:hAnsi="Calibri"/>
      <w:kern w:val="0"/>
    </w:rPr>
  </w:style>
  <w:style w:type="paragraph" w:customStyle="1" w:styleId="100">
    <w:name w:val="xl87"/>
    <w:basedOn w:val="1"/>
    <w:next w:val="101"/>
    <w:qFormat/>
    <w:uiPriority w:val="0"/>
    <w:pPr>
      <w:pBdr>
        <w:top w:val="single" w:color="auto" w:sz="4" w:space="0"/>
        <w:left w:val="double" w:color="auto" w:sz="6" w:space="0"/>
        <w:bottom w:val="double" w:color="auto" w:sz="6"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01">
    <w:name w:val="xl72"/>
    <w:basedOn w:val="1"/>
    <w:next w:val="27"/>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character" w:customStyle="1" w:styleId="102">
    <w:name w:val="正文文本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03">
    <w:name w:val="正文文本缩进 2 Char1"/>
    <w:semiHidden/>
    <w:qFormat/>
    <w:uiPriority w:val="99"/>
    <w:rPr>
      <w:rFonts w:ascii="Times New Roman" w:hAnsi="Times New Roman" w:eastAsia="宋体" w:cs="Times New Roman"/>
      <w:szCs w:val="24"/>
    </w:rPr>
  </w:style>
  <w:style w:type="character" w:customStyle="1" w:styleId="104">
    <w:name w:val="正文文本缩进 3 Char1"/>
    <w:semiHidden/>
    <w:qFormat/>
    <w:uiPriority w:val="99"/>
    <w:rPr>
      <w:rFonts w:ascii="Times New Roman" w:hAnsi="Times New Roman" w:eastAsia="宋体" w:cs="Times New Roman"/>
      <w:sz w:val="16"/>
      <w:szCs w:val="16"/>
    </w:rPr>
  </w:style>
  <w:style w:type="character" w:customStyle="1" w:styleId="105">
    <w:name w:val="日期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06">
    <w:name w:val="正文文本缩进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07">
    <w:name w:val="正文缩进 Char1"/>
    <w:link w:val="108"/>
    <w:qFormat/>
    <w:uiPriority w:val="0"/>
    <w:rPr>
      <w:rFonts w:ascii="宋体"/>
      <w:sz w:val="24"/>
    </w:rPr>
  </w:style>
  <w:style w:type="paragraph" w:customStyle="1" w:styleId="108">
    <w:name w:val="正文缩进1"/>
    <w:basedOn w:val="1"/>
    <w:link w:val="107"/>
    <w:qFormat/>
    <w:uiPriority w:val="0"/>
    <w:pPr>
      <w:widowControl w:val="0"/>
      <w:autoSpaceDE w:val="0"/>
      <w:autoSpaceDN w:val="0"/>
      <w:adjustRightInd w:val="0"/>
      <w:ind w:firstLine="420"/>
      <w:jc w:val="left"/>
    </w:pPr>
    <w:rPr>
      <w:rFonts w:hint="default" w:ascii="宋体" w:hAnsi="Times New Roman" w:eastAsia="宋体" w:cs="Times New Roman"/>
      <w:color w:val="auto"/>
      <w:kern w:val="0"/>
      <w:sz w:val="24"/>
      <w:szCs w:val="20"/>
    </w:rPr>
  </w:style>
  <w:style w:type="character" w:customStyle="1" w:styleId="109">
    <w:name w:val="正文首行缩进 2 Char1"/>
    <w:semiHidden/>
    <w:qFormat/>
    <w:uiPriority w:val="99"/>
    <w:rPr>
      <w:lang w:val="zh-TW" w:eastAsia="zh-TW"/>
    </w:rPr>
  </w:style>
  <w:style w:type="character" w:customStyle="1" w:styleId="110">
    <w:name w:val="*正文 Char"/>
    <w:link w:val="111"/>
    <w:qFormat/>
    <w:uiPriority w:val="0"/>
    <w:rPr>
      <w:rFonts w:ascii="宋体" w:hAnsi="宋体"/>
      <w:sz w:val="22"/>
      <w:szCs w:val="24"/>
    </w:rPr>
  </w:style>
  <w:style w:type="paragraph" w:customStyle="1" w:styleId="111">
    <w:name w:val="*正文"/>
    <w:basedOn w:val="1"/>
    <w:link w:val="110"/>
    <w:qFormat/>
    <w:uiPriority w:val="0"/>
    <w:pPr>
      <w:widowControl w:val="0"/>
      <w:spacing w:line="360" w:lineRule="auto"/>
      <w:ind w:firstLine="200" w:firstLineChars="200"/>
    </w:pPr>
    <w:rPr>
      <w:rFonts w:hint="default" w:ascii="宋体" w:hAnsi="宋体" w:eastAsia="宋体" w:cs="Times New Roman"/>
      <w:color w:val="auto"/>
      <w:kern w:val="0"/>
      <w:sz w:val="22"/>
      <w:szCs w:val="24"/>
    </w:rPr>
  </w:style>
  <w:style w:type="character" w:customStyle="1" w:styleId="112">
    <w:name w:val="日期 Char1"/>
    <w:semiHidden/>
    <w:qFormat/>
    <w:uiPriority w:val="99"/>
    <w:rPr>
      <w:rFonts w:ascii="Times New Roman" w:hAnsi="Times New Roman" w:eastAsia="宋体" w:cs="Times New Roman"/>
      <w:szCs w:val="24"/>
    </w:rPr>
  </w:style>
  <w:style w:type="character" w:customStyle="1" w:styleId="113">
    <w:name w:val="正文文本 3 Char1"/>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14">
    <w:name w:val="批注文字 Char2"/>
    <w:semiHidden/>
    <w:qFormat/>
    <w:uiPriority w:val="99"/>
    <w:rPr>
      <w:kern w:val="2"/>
      <w:sz w:val="21"/>
      <w:szCs w:val="24"/>
    </w:rPr>
  </w:style>
  <w:style w:type="character" w:customStyle="1" w:styleId="115">
    <w:name w:val="正文文本缩进 3 Char2"/>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16">
    <w:name w:val="页眉 Char2"/>
    <w:semiHidden/>
    <w:qFormat/>
    <w:uiPriority w:val="99"/>
    <w:rPr>
      <w:kern w:val="2"/>
      <w:sz w:val="18"/>
      <w:szCs w:val="18"/>
    </w:rPr>
  </w:style>
  <w:style w:type="character" w:customStyle="1" w:styleId="117">
    <w:name w:val="font61"/>
    <w:qFormat/>
    <w:uiPriority w:val="0"/>
    <w:rPr>
      <w:rFonts w:hint="eastAsia" w:ascii="宋体" w:hAnsi="宋体" w:eastAsia="宋体" w:cs="宋体"/>
      <w:color w:val="auto"/>
      <w:sz w:val="20"/>
      <w:szCs w:val="20"/>
      <w:u w:val="none"/>
    </w:rPr>
  </w:style>
  <w:style w:type="character" w:customStyle="1" w:styleId="118">
    <w:name w:val="NormalCharacter"/>
    <w:qFormat/>
    <w:uiPriority w:val="0"/>
    <w:rPr>
      <w:kern w:val="2"/>
      <w:sz w:val="21"/>
      <w:szCs w:val="24"/>
      <w:lang w:val="en-US" w:eastAsia="zh-CN" w:bidi="ar-SA"/>
    </w:rPr>
  </w:style>
  <w:style w:type="character" w:customStyle="1" w:styleId="119">
    <w:name w:val="未处理的提及1"/>
    <w:unhideWhenUsed/>
    <w:qFormat/>
    <w:uiPriority w:val="99"/>
    <w:rPr>
      <w:color w:val="605E5C"/>
      <w:shd w:val="clear" w:color="auto" w:fill="E1DFDD"/>
    </w:rPr>
  </w:style>
  <w:style w:type="character" w:customStyle="1" w:styleId="120">
    <w:name w:val="apple-converted-space"/>
    <w:qFormat/>
    <w:uiPriority w:val="0"/>
  </w:style>
  <w:style w:type="character" w:customStyle="1" w:styleId="121">
    <w:name w:val="标题 Char2"/>
    <w:qFormat/>
    <w:uiPriority w:val="10"/>
    <w:rPr>
      <w:rFonts w:ascii="Cambria" w:hAnsi="Cambria" w:cs="Times New Roman"/>
      <w:b/>
      <w:bCs/>
      <w:kern w:val="2"/>
      <w:sz w:val="32"/>
      <w:szCs w:val="32"/>
    </w:rPr>
  </w:style>
  <w:style w:type="character" w:customStyle="1" w:styleId="122">
    <w:name w:val="批注框文本 Char1"/>
    <w:semiHidden/>
    <w:qFormat/>
    <w:uiPriority w:val="99"/>
    <w:rPr>
      <w:kern w:val="2"/>
      <w:sz w:val="18"/>
      <w:szCs w:val="18"/>
    </w:rPr>
  </w:style>
  <w:style w:type="character" w:customStyle="1" w:styleId="123">
    <w:name w:val="批注主题 Char2"/>
    <w:semiHidden/>
    <w:qFormat/>
    <w:uiPriority w:val="99"/>
    <w:rPr>
      <w:rFonts w:ascii="Arial Unicode MS" w:hAnsi="Arial Unicode MS" w:eastAsia="Arial Unicode MS" w:cs="Arial Unicode MS"/>
      <w:b/>
      <w:bCs/>
      <w:color w:val="000000"/>
      <w:kern w:val="2"/>
      <w:sz w:val="21"/>
      <w:szCs w:val="21"/>
      <w:lang w:val="zh-TW" w:eastAsia="zh-TW"/>
    </w:rPr>
  </w:style>
  <w:style w:type="character" w:customStyle="1" w:styleId="124">
    <w:name w:val="标题 Char1"/>
    <w:qFormat/>
    <w:uiPriority w:val="10"/>
    <w:rPr>
      <w:rFonts w:ascii="Cambria" w:hAnsi="Cambria" w:eastAsia="宋体" w:cs="Times New Roman"/>
      <w:b/>
      <w:bCs/>
      <w:sz w:val="32"/>
      <w:szCs w:val="32"/>
    </w:rPr>
  </w:style>
  <w:style w:type="character" w:customStyle="1" w:styleId="125">
    <w:name w:val="批注框文本 Char2"/>
    <w:semiHidden/>
    <w:qFormat/>
    <w:uiPriority w:val="99"/>
    <w:rPr>
      <w:kern w:val="2"/>
      <w:sz w:val="18"/>
      <w:szCs w:val="18"/>
    </w:rPr>
  </w:style>
  <w:style w:type="character" w:customStyle="1" w:styleId="126">
    <w:name w:val="纯文本 Char"/>
    <w:qFormat/>
    <w:uiPriority w:val="0"/>
    <w:rPr>
      <w:rFonts w:ascii="宋体" w:hAnsi="Courier New" w:cs="Courier New"/>
      <w:color w:val="000000"/>
      <w:kern w:val="2"/>
      <w:sz w:val="21"/>
      <w:szCs w:val="21"/>
      <w:lang w:val="zh-TW" w:eastAsia="zh-TW"/>
    </w:rPr>
  </w:style>
  <w:style w:type="character" w:customStyle="1" w:styleId="127">
    <w:name w:val="正文文本缩进 Char1"/>
    <w:semiHidden/>
    <w:qFormat/>
    <w:uiPriority w:val="99"/>
    <w:rPr>
      <w:rFonts w:ascii="Times New Roman" w:hAnsi="Times New Roman" w:eastAsia="宋体" w:cs="Times New Roman"/>
      <w:szCs w:val="24"/>
    </w:rPr>
  </w:style>
  <w:style w:type="character" w:customStyle="1" w:styleId="128">
    <w:name w:val="dash6b63_6587__char1"/>
    <w:qFormat/>
    <w:uiPriority w:val="0"/>
    <w:rPr>
      <w:rFonts w:hint="default" w:ascii="Calibri" w:hAnsi="Calibri" w:cs="Calibri"/>
      <w:sz w:val="20"/>
      <w:szCs w:val="20"/>
    </w:rPr>
  </w:style>
  <w:style w:type="character" w:customStyle="1" w:styleId="129">
    <w:name w:val="pt91"/>
    <w:qFormat/>
    <w:uiPriority w:val="0"/>
    <w:rPr>
      <w:rFonts w:hint="default"/>
      <w:color w:val="333333"/>
      <w:sz w:val="18"/>
      <w:szCs w:val="18"/>
    </w:rPr>
  </w:style>
  <w:style w:type="character" w:customStyle="1" w:styleId="130">
    <w:name w:val="p141"/>
    <w:qFormat/>
    <w:uiPriority w:val="99"/>
    <w:rPr>
      <w:sz w:val="21"/>
      <w:szCs w:val="21"/>
    </w:rPr>
  </w:style>
  <w:style w:type="character" w:customStyle="1" w:styleId="131">
    <w:name w:val="正文文本缩进 2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32">
    <w:name w:val="fontstyle01"/>
    <w:qFormat/>
    <w:uiPriority w:val="0"/>
    <w:rPr>
      <w:rFonts w:hint="default" w:ascii="Times New Roman" w:hAnsi="Times New Roman" w:cs="Times New Roman"/>
      <w:color w:val="000000"/>
      <w:sz w:val="24"/>
      <w:szCs w:val="24"/>
    </w:rPr>
  </w:style>
  <w:style w:type="character" w:customStyle="1" w:styleId="133">
    <w:name w:val="fontstyle11"/>
    <w:qFormat/>
    <w:uiPriority w:val="0"/>
    <w:rPr>
      <w:rFonts w:hint="default" w:ascii="Times New Roman" w:hAnsi="Times New Roman" w:cs="Times New Roman"/>
      <w:color w:val="000000"/>
      <w:sz w:val="18"/>
      <w:szCs w:val="18"/>
    </w:rPr>
  </w:style>
  <w:style w:type="character" w:customStyle="1" w:styleId="134">
    <w:name w:val="批注文字 Char1"/>
    <w:semiHidden/>
    <w:qFormat/>
    <w:uiPriority w:val="99"/>
    <w:rPr>
      <w:kern w:val="2"/>
      <w:sz w:val="21"/>
      <w:szCs w:val="24"/>
    </w:rPr>
  </w:style>
  <w:style w:type="character" w:customStyle="1" w:styleId="135">
    <w:name w:val="正文文本 2 Char1"/>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36">
    <w:name w:val="fontstyle21"/>
    <w:qFormat/>
    <w:uiPriority w:val="0"/>
    <w:rPr>
      <w:rFonts w:hint="eastAsia" w:ascii="宋体" w:hAnsi="宋体" w:eastAsia="宋体"/>
      <w:color w:val="000000"/>
      <w:sz w:val="24"/>
      <w:szCs w:val="24"/>
    </w:rPr>
  </w:style>
  <w:style w:type="character" w:customStyle="1" w:styleId="137">
    <w:name w:val="页脚 Char1"/>
    <w:semiHidden/>
    <w:qFormat/>
    <w:uiPriority w:val="99"/>
    <w:rPr>
      <w:kern w:val="2"/>
      <w:sz w:val="18"/>
      <w:szCs w:val="18"/>
    </w:rPr>
  </w:style>
  <w:style w:type="character" w:customStyle="1" w:styleId="138">
    <w:name w:val="wen11"/>
    <w:qFormat/>
    <w:uiPriority w:val="0"/>
    <w:rPr>
      <w:color w:val="000000"/>
      <w:sz w:val="21"/>
      <w:szCs w:val="21"/>
    </w:rPr>
  </w:style>
  <w:style w:type="character" w:customStyle="1" w:styleId="139">
    <w:name w:val="正文首行缩进 Char1"/>
    <w:semiHidden/>
    <w:qFormat/>
    <w:uiPriority w:val="99"/>
    <w:rPr>
      <w:lang w:val="zh-TW" w:eastAsia="zh-TW"/>
    </w:rPr>
  </w:style>
  <w:style w:type="character" w:customStyle="1" w:styleId="140">
    <w:name w:val="脚注文本 Char1"/>
    <w:semiHidden/>
    <w:qFormat/>
    <w:uiPriority w:val="99"/>
    <w:rPr>
      <w:rFonts w:ascii="Times New Roman" w:hAnsi="Times New Roman" w:eastAsia="宋体" w:cs="Times New Roman"/>
      <w:sz w:val="18"/>
      <w:szCs w:val="18"/>
    </w:rPr>
  </w:style>
  <w:style w:type="character" w:customStyle="1" w:styleId="141">
    <w:name w:val="unnamed11"/>
    <w:qFormat/>
    <w:uiPriority w:val="0"/>
    <w:rPr>
      <w:rFonts w:hint="default" w:ascii="Arial" w:hAnsi="Arial" w:cs="Arial"/>
      <w:color w:val="000000"/>
      <w:sz w:val="18"/>
      <w:szCs w:val="18"/>
      <w:u w:val="none"/>
    </w:rPr>
  </w:style>
  <w:style w:type="character" w:customStyle="1" w:styleId="142">
    <w:name w:val="正文文本 字符"/>
    <w:qFormat/>
    <w:uiPriority w:val="0"/>
    <w:rPr>
      <w:rFonts w:ascii="宋体" w:hAnsi="宋体"/>
      <w:kern w:val="2"/>
      <w:sz w:val="24"/>
      <w:szCs w:val="24"/>
    </w:rPr>
  </w:style>
  <w:style w:type="character" w:customStyle="1" w:styleId="143">
    <w:name w:val="脚注文本 Char2"/>
    <w:semiHidden/>
    <w:qFormat/>
    <w:uiPriority w:val="99"/>
    <w:rPr>
      <w:rFonts w:ascii="Arial Unicode MS" w:hAnsi="Arial Unicode MS" w:eastAsia="Arial Unicode MS" w:cs="Arial Unicode MS"/>
      <w:color w:val="000000"/>
      <w:kern w:val="2"/>
      <w:sz w:val="18"/>
      <w:szCs w:val="18"/>
      <w:lang w:val="zh-TW" w:eastAsia="zh-TW"/>
    </w:rPr>
  </w:style>
  <w:style w:type="character" w:customStyle="1" w:styleId="144">
    <w:name w:val="纯文本 Char2"/>
    <w:semiHidden/>
    <w:qFormat/>
    <w:uiPriority w:val="99"/>
    <w:rPr>
      <w:rFonts w:ascii="宋体" w:hAnsi="Courier New" w:eastAsia="宋体" w:cs="Courier New"/>
      <w:szCs w:val="21"/>
    </w:rPr>
  </w:style>
  <w:style w:type="character" w:customStyle="1" w:styleId="145">
    <w:name w:val="正文文本 Char1"/>
    <w:semiHidden/>
    <w:qFormat/>
    <w:uiPriority w:val="99"/>
    <w:rPr>
      <w:rFonts w:ascii="Times New Roman" w:hAnsi="Times New Roman" w:eastAsia="宋体" w:cs="Times New Roman"/>
      <w:szCs w:val="24"/>
    </w:rPr>
  </w:style>
  <w:style w:type="character" w:customStyle="1" w:styleId="146">
    <w:name w:val="页眉 Char1"/>
    <w:semiHidden/>
    <w:qFormat/>
    <w:uiPriority w:val="99"/>
    <w:rPr>
      <w:kern w:val="2"/>
      <w:sz w:val="18"/>
      <w:szCs w:val="18"/>
    </w:rPr>
  </w:style>
  <w:style w:type="character" w:customStyle="1" w:styleId="147">
    <w:name w:val="Char Char2"/>
    <w:qFormat/>
    <w:uiPriority w:val="0"/>
    <w:rPr>
      <w:rFonts w:ascii="宋体" w:hAnsi="Courier New" w:eastAsia="宋体" w:cs="Courier New"/>
      <w:kern w:val="2"/>
      <w:sz w:val="21"/>
      <w:szCs w:val="21"/>
      <w:lang w:val="en-US" w:eastAsia="zh-CN" w:bidi="ar-SA"/>
    </w:rPr>
  </w:style>
  <w:style w:type="character" w:customStyle="1" w:styleId="148">
    <w:name w:val="批注主题 Char1"/>
    <w:semiHidden/>
    <w:qFormat/>
    <w:uiPriority w:val="99"/>
    <w:rPr>
      <w:b/>
      <w:bCs/>
      <w:kern w:val="2"/>
      <w:sz w:val="21"/>
      <w:szCs w:val="24"/>
    </w:rPr>
  </w:style>
  <w:style w:type="character" w:customStyle="1" w:styleId="149">
    <w:name w:val="p12h15"/>
    <w:qFormat/>
    <w:uiPriority w:val="0"/>
  </w:style>
  <w:style w:type="character" w:customStyle="1" w:styleId="150">
    <w:name w:val="纯文本 Char3"/>
    <w:semiHidden/>
    <w:qFormat/>
    <w:uiPriority w:val="99"/>
    <w:rPr>
      <w:rFonts w:ascii="宋体" w:hAnsi="Courier New" w:cs="Courier New"/>
      <w:kern w:val="2"/>
      <w:sz w:val="21"/>
      <w:szCs w:val="21"/>
    </w:rPr>
  </w:style>
  <w:style w:type="paragraph" w:customStyle="1" w:styleId="151">
    <w:name w:val="Body text|1"/>
    <w:basedOn w:val="1"/>
    <w:link w:val="277"/>
    <w:qFormat/>
    <w:uiPriority w:val="0"/>
    <w:pPr>
      <w:spacing w:line="394" w:lineRule="auto"/>
      <w:ind w:firstLine="400"/>
      <w:jc w:val="left"/>
    </w:pPr>
    <w:rPr>
      <w:rFonts w:ascii="宋体" w:hAnsi="宋体" w:cs="宋体"/>
      <w:kern w:val="0"/>
      <w:sz w:val="30"/>
      <w:szCs w:val="30"/>
    </w:rPr>
  </w:style>
  <w:style w:type="paragraph" w:customStyle="1" w:styleId="152">
    <w:name w:val="无间隔1"/>
    <w:basedOn w:val="1"/>
    <w:qFormat/>
    <w:uiPriority w:val="1"/>
    <w:pPr>
      <w:spacing w:line="400" w:lineRule="exact"/>
    </w:pPr>
    <w:rPr>
      <w:sz w:val="24"/>
    </w:rPr>
  </w:style>
  <w:style w:type="paragraph" w:customStyle="1" w:styleId="153">
    <w:name w:val="UserStyle_92"/>
    <w:qFormat/>
    <w:uiPriority w:val="0"/>
    <w:pPr>
      <w:spacing w:line="360" w:lineRule="auto"/>
      <w:ind w:firstLine="200"/>
      <w:jc w:val="both"/>
    </w:pPr>
    <w:rPr>
      <w:rFonts w:ascii="宋体" w:hAnsi="宋体" w:eastAsia="宋体" w:cs="宋体"/>
      <w:color w:val="000000"/>
      <w:sz w:val="22"/>
      <w:szCs w:val="22"/>
      <w:lang w:val="en-US" w:eastAsia="zh-CN" w:bidi="ar-SA"/>
    </w:rPr>
  </w:style>
  <w:style w:type="paragraph" w:customStyle="1" w:styleId="154">
    <w:name w:val="179"/>
    <w:qFormat/>
    <w:uiPriority w:val="0"/>
    <w:pPr>
      <w:ind w:firstLine="420"/>
    </w:pPr>
    <w:rPr>
      <w:rFonts w:hint="eastAsia" w:ascii="Arial Unicode MS" w:hAnsi="Arial Unicode MS" w:eastAsia="Arial Unicode MS" w:cs="Arial Unicode MS"/>
      <w:color w:val="000000"/>
      <w:sz w:val="24"/>
      <w:szCs w:val="24"/>
      <w:lang w:val="en-US" w:eastAsia="zh-CN" w:bidi="ar-SA"/>
    </w:rPr>
  </w:style>
  <w:style w:type="paragraph" w:customStyle="1" w:styleId="155">
    <w:name w:val="List Paragraph1"/>
    <w:basedOn w:val="1"/>
    <w:qFormat/>
    <w:uiPriority w:val="1"/>
    <w:pPr>
      <w:widowControl w:val="0"/>
      <w:ind w:firstLine="420" w:firstLineChars="200"/>
    </w:pPr>
    <w:rPr>
      <w:rFonts w:hint="default" w:ascii="Calibri" w:hAnsi="Calibri" w:eastAsia="宋体" w:cs="Times New Roman"/>
      <w:color w:val="auto"/>
      <w:lang w:val="en-US" w:eastAsia="zh-CN"/>
    </w:rPr>
  </w:style>
  <w:style w:type="paragraph" w:customStyle="1" w:styleId="156">
    <w:name w:val="xl39"/>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57">
    <w:name w:val="不缩进"/>
    <w:basedOn w:val="1"/>
    <w:qFormat/>
    <w:uiPriority w:val="0"/>
    <w:pPr>
      <w:widowControl w:val="0"/>
      <w:jc w:val="center"/>
    </w:pPr>
    <w:rPr>
      <w:rFonts w:hint="default" w:ascii="仿宋_GB2312" w:hAnsi="宋体" w:eastAsia="仿宋_GB2312" w:cs="Times New Roman"/>
      <w:color w:val="auto"/>
      <w:szCs w:val="24"/>
      <w:lang w:val="en-US" w:eastAsia="zh-CN"/>
    </w:rPr>
  </w:style>
  <w:style w:type="paragraph" w:customStyle="1" w:styleId="158">
    <w:name w:val="xl48"/>
    <w:basedOn w:val="1"/>
    <w:qFormat/>
    <w:uiPriority w:val="0"/>
    <w:pPr>
      <w:pBdr>
        <w:top w:val="single" w:color="auto" w:sz="4" w:space="0"/>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59">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6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61">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18"/>
      <w:szCs w:val="18"/>
      <w:lang w:val="en-US" w:eastAsia="zh-CN"/>
    </w:rPr>
  </w:style>
  <w:style w:type="paragraph" w:customStyle="1" w:styleId="162">
    <w:name w:val="xl43"/>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63">
    <w:name w:val="Heading4"/>
    <w:next w:val="1"/>
    <w:qFormat/>
    <w:uiPriority w:val="0"/>
    <w:pPr>
      <w:keepNext/>
      <w:keepLines/>
      <w:spacing w:before="280" w:after="290" w:line="372" w:lineRule="auto"/>
      <w:jc w:val="both"/>
    </w:pPr>
    <w:rPr>
      <w:rFonts w:ascii="Arial" w:hAnsi="Arial" w:eastAsia="Arial Unicode MS" w:cs="Arial Unicode MS"/>
      <w:b/>
      <w:bCs/>
      <w:color w:val="000000"/>
      <w:kern w:val="2"/>
      <w:sz w:val="28"/>
      <w:szCs w:val="28"/>
      <w:lang w:val="en-US" w:eastAsia="zh-CN" w:bidi="ar-SA"/>
    </w:rPr>
  </w:style>
  <w:style w:type="paragraph" w:customStyle="1" w:styleId="164">
    <w:name w:val="TOC1"/>
    <w:next w:val="1"/>
    <w:qFormat/>
    <w:uiPriority w:val="0"/>
    <w:pPr>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65">
    <w:name w:val="小标题 3"/>
    <w:next w:val="166"/>
    <w:qFormat/>
    <w:uiPriority w:val="0"/>
    <w:pPr>
      <w:keepNext/>
      <w:keepLines/>
      <w:spacing w:before="360" w:after="120"/>
    </w:pPr>
    <w:rPr>
      <w:rFonts w:ascii="宋体" w:hAnsi="宋体" w:eastAsia="宋体" w:cs="宋体"/>
      <w:b/>
      <w:bCs/>
      <w:color w:val="000000"/>
      <w:sz w:val="24"/>
      <w:szCs w:val="24"/>
      <w:u w:val="single" w:color="000000"/>
      <w:lang w:val="en-US" w:eastAsia="zh-CN" w:bidi="ar-SA"/>
    </w:rPr>
  </w:style>
  <w:style w:type="paragraph" w:customStyle="1" w:styleId="166">
    <w:name w:val="NormalIndent"/>
    <w:qFormat/>
    <w:uiPriority w:val="0"/>
    <w:pPr>
      <w:spacing w:line="360" w:lineRule="auto"/>
      <w:ind w:firstLine="480"/>
    </w:pPr>
    <w:rPr>
      <w:rFonts w:hint="eastAsia" w:ascii="Arial Unicode MS" w:hAnsi="Arial Unicode MS" w:eastAsia="Arial Unicode MS" w:cs="Arial Unicode MS"/>
      <w:color w:val="000000"/>
      <w:kern w:val="2"/>
      <w:sz w:val="24"/>
      <w:szCs w:val="24"/>
      <w:shd w:val="clear" w:color="auto" w:fill="00FF00"/>
      <w:lang w:val="zh-TW" w:eastAsia="zh-TW" w:bidi="ar-SA"/>
    </w:rPr>
  </w:style>
  <w:style w:type="paragraph" w:customStyle="1" w:styleId="167">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TOC3"/>
    <w:next w:val="1"/>
    <w:qFormat/>
    <w:uiPriority w:val="0"/>
    <w:pPr>
      <w:tabs>
        <w:tab w:val="left" w:pos="1260"/>
        <w:tab w:val="right" w:leader="dot" w:pos="8630"/>
      </w:tabs>
      <w:ind w:left="840"/>
      <w:jc w:val="both"/>
    </w:pPr>
    <w:rPr>
      <w:rFonts w:ascii="Times New Roman" w:hAnsi="Times New Roman" w:eastAsia="Arial Unicode MS" w:cs="Arial Unicode MS"/>
      <w:color w:val="000000"/>
      <w:kern w:val="2"/>
      <w:sz w:val="21"/>
      <w:szCs w:val="21"/>
      <w:lang w:val="en-US" w:eastAsia="zh-CN" w:bidi="ar-SA"/>
    </w:rPr>
  </w:style>
  <w:style w:type="paragraph" w:customStyle="1" w:styleId="169">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7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71">
    <w:name w:val="默认"/>
    <w:qFormat/>
    <w:uiPriority w:val="0"/>
    <w:pPr>
      <w:spacing w:before="160"/>
    </w:pPr>
    <w:rPr>
      <w:rFonts w:ascii="Helvetica Neue" w:hAnsi="Helvetica Neue" w:eastAsia="Helvetica Neue" w:cs="Helvetica Neue"/>
      <w:color w:val="000000"/>
      <w:sz w:val="24"/>
      <w:szCs w:val="24"/>
      <w:lang w:val="en-US" w:eastAsia="zh-CN" w:bidi="ar-SA"/>
    </w:rPr>
  </w:style>
  <w:style w:type="paragraph" w:customStyle="1" w:styleId="172">
    <w:name w:val="Table Paragraph"/>
    <w:basedOn w:val="1"/>
    <w:qFormat/>
    <w:uiPriority w:val="0"/>
    <w:pPr>
      <w:widowControl w:val="0"/>
      <w:jc w:val="left"/>
    </w:pPr>
    <w:rPr>
      <w:rFonts w:hint="default" w:ascii="Calibri" w:hAnsi="Calibri" w:eastAsia="宋体" w:cs="Times New Roman"/>
      <w:color w:val="auto"/>
      <w:kern w:val="0"/>
      <w:sz w:val="22"/>
      <w:szCs w:val="22"/>
      <w:lang w:val="en-US" w:eastAsia="en-US"/>
    </w:rPr>
  </w:style>
  <w:style w:type="paragraph" w:customStyle="1" w:styleId="173">
    <w:name w:val="font7"/>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174">
    <w:name w:val="xl45"/>
    <w:basedOn w:val="1"/>
    <w:qFormat/>
    <w:uiPriority w:val="0"/>
    <w:pPr>
      <w:pBdr>
        <w:top w:val="single" w:color="auto" w:sz="4" w:space="0"/>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75">
    <w:name w:val="索引 11"/>
    <w:basedOn w:val="1"/>
    <w:next w:val="1"/>
    <w:qFormat/>
    <w:uiPriority w:val="0"/>
    <w:pPr>
      <w:widowControl w:val="0"/>
      <w:spacing w:line="360" w:lineRule="auto"/>
    </w:pPr>
    <w:rPr>
      <w:rFonts w:hint="default" w:ascii="仿宋_GB2312" w:hAnsi="Times New Roman" w:eastAsia="仿宋_GB2312" w:cs="Times New Roman"/>
      <w:color w:val="auto"/>
      <w:sz w:val="24"/>
      <w:szCs w:val="20"/>
      <w:lang w:val="en-US" w:eastAsia="zh-CN"/>
    </w:rPr>
  </w:style>
  <w:style w:type="paragraph" w:customStyle="1" w:styleId="176">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customStyle="1" w:styleId="177">
    <w:name w:val="xl49"/>
    <w:basedOn w:val="1"/>
    <w:qFormat/>
    <w:uiPriority w:val="0"/>
    <w:pPr>
      <w:pBdr>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78">
    <w:name w:val="_Style 160"/>
    <w:basedOn w:val="2"/>
    <w:next w:val="1"/>
    <w:qFormat/>
    <w:uiPriority w:val="39"/>
    <w:pPr>
      <w:spacing w:before="480" w:after="0" w:line="276" w:lineRule="auto"/>
      <w:jc w:val="left"/>
      <w:outlineLvl w:val="9"/>
    </w:pPr>
    <w:rPr>
      <w:rFonts w:ascii="Cambria" w:hAnsi="Cambria" w:eastAsia="宋体"/>
      <w:color w:val="365F91"/>
      <w:kern w:val="0"/>
      <w:sz w:val="28"/>
      <w:szCs w:val="28"/>
      <w:lang w:val="en-US" w:eastAsia="zh-CN"/>
    </w:rPr>
  </w:style>
  <w:style w:type="paragraph" w:customStyle="1" w:styleId="179">
    <w:name w:val="xl26"/>
    <w:basedOn w:val="1"/>
    <w:qFormat/>
    <w:uiPriority w:val="0"/>
    <w:pPr>
      <w:spacing w:before="100" w:beforeAutospacing="1" w:after="100" w:afterAutospacing="1"/>
      <w:jc w:val="left"/>
    </w:pPr>
    <w:rPr>
      <w:rFonts w:ascii="仿宋_GB2312" w:hAnsi="宋体" w:eastAsia="仿宋_GB2312" w:cs="Times New Roman"/>
      <w:color w:val="auto"/>
      <w:kern w:val="0"/>
      <w:sz w:val="32"/>
      <w:szCs w:val="32"/>
      <w:lang w:val="en-US" w:eastAsia="zh-CN"/>
    </w:rPr>
  </w:style>
  <w:style w:type="paragraph" w:customStyle="1" w:styleId="180">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小标题"/>
    <w:next w:val="1"/>
    <w:qFormat/>
    <w:uiPriority w:val="0"/>
    <w:pPr>
      <w:keepNext/>
      <w:keepLines/>
      <w:spacing w:before="240" w:after="120" w:line="300" w:lineRule="auto"/>
      <w:jc w:val="center"/>
    </w:pPr>
    <w:rPr>
      <w:rFonts w:ascii="宋体" w:hAnsi="宋体" w:eastAsia="宋体" w:cs="宋体"/>
      <w:b/>
      <w:bCs/>
      <w:color w:val="000000"/>
      <w:kern w:val="44"/>
      <w:sz w:val="32"/>
      <w:szCs w:val="32"/>
      <w:lang w:val="zh-TW" w:eastAsia="zh-TW" w:bidi="ar-SA"/>
    </w:rPr>
  </w:style>
  <w:style w:type="paragraph" w:customStyle="1" w:styleId="182">
    <w:name w:val="font5"/>
    <w:basedOn w:val="1"/>
    <w:qFormat/>
    <w:uiPriority w:val="0"/>
    <w:pPr>
      <w:spacing w:before="100" w:beforeAutospacing="1" w:after="100" w:afterAutospacing="1"/>
      <w:jc w:val="left"/>
    </w:pPr>
    <w:rPr>
      <w:rFonts w:ascii="宋体" w:hAnsi="宋体" w:eastAsia="宋体" w:cs="Times New Roman"/>
      <w:color w:val="auto"/>
      <w:kern w:val="0"/>
      <w:sz w:val="18"/>
      <w:szCs w:val="18"/>
      <w:lang w:val="en-US" w:eastAsia="zh-CN"/>
    </w:rPr>
  </w:style>
  <w:style w:type="paragraph" w:customStyle="1" w:styleId="183">
    <w:name w:val="UserStyle_112"/>
    <w:qFormat/>
    <w:uiPriority w:val="0"/>
    <w:pPr>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84">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85">
    <w:name w:val="UserStyle_140"/>
    <w:qFormat/>
    <w:uiPriority w:val="0"/>
    <w:rPr>
      <w:rFonts w:hint="eastAsia" w:ascii="Arial Unicode MS" w:hAnsi="Arial Unicode MS" w:eastAsia="Arial Unicode MS" w:cs="Arial Unicode MS"/>
      <w:color w:val="000000"/>
      <w:sz w:val="22"/>
      <w:szCs w:val="22"/>
      <w:lang w:val="en-US" w:eastAsia="zh-CN" w:bidi="ar-SA"/>
    </w:rPr>
  </w:style>
  <w:style w:type="paragraph" w:customStyle="1" w:styleId="186">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Blockquote"/>
    <w:basedOn w:val="1"/>
    <w:qFormat/>
    <w:uiPriority w:val="0"/>
    <w:pPr>
      <w:widowControl w:val="0"/>
      <w:autoSpaceDE w:val="0"/>
      <w:autoSpaceDN w:val="0"/>
      <w:adjustRightInd w:val="0"/>
      <w:spacing w:before="100" w:after="100"/>
      <w:ind w:left="360" w:right="360"/>
      <w:jc w:val="left"/>
    </w:pPr>
    <w:rPr>
      <w:rFonts w:hint="default" w:ascii="Times New Roman" w:hAnsi="Times New Roman" w:eastAsia="宋体" w:cs="Times New Roman"/>
      <w:color w:val="auto"/>
      <w:kern w:val="0"/>
      <w:sz w:val="24"/>
      <w:szCs w:val="20"/>
      <w:lang w:val="en-US" w:eastAsia="zh-CN"/>
    </w:rPr>
  </w:style>
  <w:style w:type="paragraph" w:customStyle="1" w:styleId="188">
    <w:name w:val="No Spacing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9">
    <w:name w:val="列出段落1"/>
    <w:basedOn w:val="1"/>
    <w:qFormat/>
    <w:uiPriority w:val="34"/>
    <w:pP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190">
    <w:name w:val="_Style 1"/>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191">
    <w:name w:val="xl32"/>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92">
    <w:name w:val="列出段落111"/>
    <w:basedOn w:val="1"/>
    <w:qFormat/>
    <w:uiPriority w:val="34"/>
    <w:pPr>
      <w:widowControl w:val="0"/>
      <w:ind w:firstLine="420" w:firstLineChars="200"/>
    </w:pPr>
    <w:rPr>
      <w:rFonts w:hint="default" w:ascii="Calibri" w:hAnsi="Calibri" w:eastAsia="宋体" w:cs="Times New Roman"/>
      <w:color w:val="auto"/>
      <w:szCs w:val="22"/>
      <w:lang w:val="en-US" w:eastAsia="zh-CN"/>
    </w:rPr>
  </w:style>
  <w:style w:type="paragraph" w:customStyle="1" w:styleId="193">
    <w:name w:val="xl2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94">
    <w:name w:val="xl46"/>
    <w:basedOn w:val="1"/>
    <w:qFormat/>
    <w:uiPriority w:val="0"/>
    <w:pPr>
      <w:pBdr>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95">
    <w:name w:val="xl31"/>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96">
    <w:name w:val="BodyText"/>
    <w:qFormat/>
    <w:uiPriority w:val="0"/>
    <w:pPr>
      <w:tabs>
        <w:tab w:val="left" w:pos="567"/>
      </w:tabs>
      <w:spacing w:before="120" w:line="240" w:lineRule="atLeast"/>
      <w:jc w:val="both"/>
    </w:pPr>
    <w:rPr>
      <w:rFonts w:ascii="宋体" w:hAnsi="宋体" w:eastAsia="宋体" w:cs="宋体"/>
      <w:color w:val="000000"/>
      <w:kern w:val="2"/>
      <w:sz w:val="24"/>
      <w:szCs w:val="24"/>
      <w:lang w:val="en-US" w:eastAsia="zh-CN" w:bidi="ar-SA"/>
    </w:rPr>
  </w:style>
  <w:style w:type="paragraph" w:customStyle="1" w:styleId="197">
    <w:name w:val="PlainText"/>
    <w:qFormat/>
    <w:uiPriority w:val="0"/>
    <w:pPr>
      <w:jc w:val="both"/>
    </w:pPr>
    <w:rPr>
      <w:rFonts w:ascii="宋体" w:hAnsi="宋体" w:eastAsia="宋体" w:cs="宋体"/>
      <w:color w:val="000000"/>
      <w:kern w:val="2"/>
      <w:sz w:val="21"/>
      <w:szCs w:val="21"/>
      <w:lang w:val="en-US" w:eastAsia="zh-CN" w:bidi="ar-SA"/>
    </w:rPr>
  </w:style>
  <w:style w:type="paragraph" w:customStyle="1" w:styleId="198">
    <w:name w:val="xl35"/>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customStyle="1" w:styleId="199">
    <w:name w:val="xl40"/>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00">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xl2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02">
    <w:name w:val="样式 目录 2 + 左侧:  2 字符"/>
    <w:basedOn w:val="41"/>
    <w:qFormat/>
    <w:uiPriority w:val="0"/>
    <w:pPr>
      <w:widowControl w:val="0"/>
      <w:spacing w:after="0" w:line="440" w:lineRule="exact"/>
      <w:ind w:left="200" w:leftChars="200"/>
      <w:jc w:val="both"/>
    </w:pPr>
    <w:rPr>
      <w:rFonts w:ascii="Times New Roman" w:hAnsi="Times New Roman" w:cs="宋体"/>
      <w:kern w:val="2"/>
      <w:sz w:val="24"/>
      <w:szCs w:val="20"/>
    </w:rPr>
  </w:style>
  <w:style w:type="paragraph" w:customStyle="1" w:styleId="203">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04">
    <w:name w:val="UserStyle_161"/>
    <w:qFormat/>
    <w:uiPriority w:val="0"/>
    <w:pPr>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05">
    <w:name w:val="Char1 Char Char Char Char Char Char"/>
    <w:basedOn w:val="1"/>
    <w:qFormat/>
    <w:uiPriority w:val="0"/>
    <w:pPr>
      <w:widowControl w:val="0"/>
    </w:pPr>
    <w:rPr>
      <w:rFonts w:hint="default" w:ascii="Tahoma" w:hAnsi="Tahoma" w:eastAsia="宋体" w:cs="Times New Roman"/>
      <w:color w:val="auto"/>
      <w:sz w:val="24"/>
      <w:szCs w:val="20"/>
      <w:lang w:val="en-US" w:eastAsia="zh-CN"/>
    </w:rPr>
  </w:style>
  <w:style w:type="paragraph" w:customStyle="1" w:styleId="20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7">
    <w:name w:val="font6"/>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208">
    <w:name w:val="_Style 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09">
    <w:name w:val="Char"/>
    <w:basedOn w:val="1"/>
    <w:qFormat/>
    <w:uiPriority w:val="0"/>
    <w:pPr>
      <w:widowControl w:val="0"/>
      <w:tabs>
        <w:tab w:val="left" w:pos="360"/>
      </w:tabs>
    </w:pPr>
    <w:rPr>
      <w:rFonts w:hint="default" w:ascii="Times New Roman" w:hAnsi="Times New Roman" w:eastAsia="宋体" w:cs="Times New Roman"/>
      <w:color w:val="auto"/>
      <w:sz w:val="24"/>
      <w:szCs w:val="24"/>
      <w:lang w:val="en-US" w:eastAsia="zh-CN"/>
    </w:rPr>
  </w:style>
  <w:style w:type="paragraph" w:customStyle="1" w:styleId="210">
    <w:name w:val="xl25"/>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211">
    <w:name w:val="列出段落11"/>
    <w:basedOn w:val="1"/>
    <w:qFormat/>
    <w:uiPriority w:val="0"/>
    <w:pPr>
      <w:ind w:firstLine="420" w:firstLineChars="200"/>
      <w:jc w:val="left"/>
    </w:pPr>
    <w:rPr>
      <w:rFonts w:hint="default" w:ascii="仿宋_GB2312" w:hAnsi="Times New Roman" w:eastAsia="仿宋_GB2312" w:cs="Times New Roman"/>
      <w:color w:val="auto"/>
      <w:kern w:val="0"/>
      <w:sz w:val="24"/>
      <w:szCs w:val="32"/>
      <w:lang w:val="en-US" w:eastAsia="zh-CN"/>
    </w:rPr>
  </w:style>
  <w:style w:type="paragraph" w:customStyle="1" w:styleId="212">
    <w:name w:val="xl44"/>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13">
    <w:name w:val="_Style 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xl3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15">
    <w:name w:val="TOC2"/>
    <w:next w:val="1"/>
    <w:qFormat/>
    <w:uiPriority w:val="0"/>
    <w:pPr>
      <w:ind w:left="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16">
    <w:name w:val="xl50"/>
    <w:basedOn w:val="1"/>
    <w:qFormat/>
    <w:uiPriority w:val="0"/>
    <w:pPr>
      <w:pBdr>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17">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18">
    <w:name w:val="xl30"/>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19">
    <w:name w:val="TOC4"/>
    <w:next w:val="1"/>
    <w:qFormat/>
    <w:uiPriority w:val="0"/>
    <w:pPr>
      <w:ind w:left="1260"/>
      <w:jc w:val="both"/>
    </w:pPr>
    <w:rPr>
      <w:rFonts w:ascii="Times New Roman" w:hAnsi="Times New Roman" w:eastAsia="Arial Unicode MS" w:cs="Arial Unicode MS"/>
      <w:color w:val="000000"/>
      <w:kern w:val="2"/>
      <w:sz w:val="21"/>
      <w:szCs w:val="21"/>
      <w:lang w:val="en-US" w:eastAsia="zh-CN" w:bidi="ar-SA"/>
    </w:rPr>
  </w:style>
  <w:style w:type="paragraph" w:customStyle="1" w:styleId="220">
    <w:name w:val="font8"/>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221">
    <w:name w:val="默认段落字体 Para Char Char Char Char"/>
    <w:basedOn w:val="1"/>
    <w:qFormat/>
    <w:uiPriority w:val="0"/>
    <w:pPr>
      <w:widowControl w:val="0"/>
    </w:pPr>
    <w:rPr>
      <w:rFonts w:hint="default" w:ascii="Times New Roman" w:hAnsi="Times New Roman" w:eastAsia="宋体" w:cs="Times New Roman"/>
      <w:color w:val="auto"/>
      <w:szCs w:val="24"/>
      <w:lang w:val="en-US" w:eastAsia="zh-CN"/>
    </w:rPr>
  </w:style>
  <w:style w:type="paragraph" w:customStyle="1" w:styleId="222">
    <w:name w:val="xl34"/>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23">
    <w:name w:val="Char Char Char Char"/>
    <w:basedOn w:val="1"/>
    <w:qFormat/>
    <w:uiPriority w:val="0"/>
    <w:pPr>
      <w:widowControl w:val="0"/>
    </w:pPr>
    <w:rPr>
      <w:rFonts w:hint="default" w:ascii="Times New Roman" w:hAnsi="Times New Roman" w:eastAsia="宋体" w:cs="Times New Roman"/>
      <w:color w:val="auto"/>
      <w:szCs w:val="24"/>
      <w:lang w:val="en-US" w:eastAsia="zh-CN"/>
    </w:rPr>
  </w:style>
  <w:style w:type="paragraph" w:customStyle="1" w:styleId="224">
    <w:name w:val="shsj2em2"/>
    <w:basedOn w:val="1"/>
    <w:qFormat/>
    <w:uiPriority w:val="0"/>
    <w:pPr>
      <w:spacing w:line="600" w:lineRule="atLeast"/>
      <w:ind w:firstLine="480"/>
      <w:jc w:val="left"/>
    </w:pPr>
    <w:rPr>
      <w:rFonts w:hint="default" w:ascii="微软雅黑" w:hAnsi="微软雅黑" w:eastAsia="微软雅黑" w:cs="宋体"/>
      <w:kern w:val="0"/>
      <w:lang w:val="en-US" w:eastAsia="zh-CN"/>
    </w:rPr>
  </w:style>
  <w:style w:type="paragraph" w:customStyle="1" w:styleId="225">
    <w:name w:val="xl51"/>
    <w:basedOn w:val="1"/>
    <w:qFormat/>
    <w:uiPriority w:val="0"/>
    <w:pPr>
      <w:pBdr>
        <w:left w:val="single" w:color="auto" w:sz="4" w:space="0"/>
        <w:bottom w:val="single" w:color="auto" w:sz="8"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26">
    <w:name w:val="正文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227">
    <w:name w:val="xl42"/>
    <w:basedOn w:val="1"/>
    <w:qFormat/>
    <w:uiPriority w:val="0"/>
    <w:pP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28">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229">
    <w:name w:val="列出段落2"/>
    <w:basedOn w:val="1"/>
    <w:qFormat/>
    <w:uiPriority w:val="0"/>
    <w:pP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230">
    <w:name w:val="xl47"/>
    <w:basedOn w:val="1"/>
    <w:qFormat/>
    <w:uiPriority w:val="0"/>
    <w:pPr>
      <w:pBdr>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31">
    <w:name w:val="样式 宋体 五号 行距: 单倍行距"/>
    <w:basedOn w:val="1"/>
    <w:qFormat/>
    <w:uiPriority w:val="0"/>
    <w:pPr>
      <w:widowControl w:val="0"/>
    </w:pPr>
    <w:rPr>
      <w:rFonts w:hint="default" w:ascii="宋体" w:hAnsi="宋体" w:eastAsia="仿宋_GB2312" w:cs="Times New Roman"/>
      <w:color w:val="auto"/>
      <w:szCs w:val="32"/>
      <w:lang w:val="en-US" w:eastAsia="zh-CN"/>
    </w:rPr>
  </w:style>
  <w:style w:type="paragraph" w:customStyle="1" w:styleId="232">
    <w:name w:val="xl2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233">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hint="default" w:ascii="Courier New" w:hAnsi="Courier New" w:eastAsia="宋体" w:cs="Times New Roman"/>
      <w:color w:val="auto"/>
      <w:kern w:val="0"/>
      <w:sz w:val="20"/>
      <w:szCs w:val="20"/>
      <w:lang w:val="en-US" w:eastAsia="zh-CN"/>
    </w:rPr>
  </w:style>
  <w:style w:type="paragraph" w:customStyle="1" w:styleId="234">
    <w:name w:val="_Style 13"/>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235">
    <w:name w:val="纯文本1"/>
    <w:basedOn w:val="1"/>
    <w:qFormat/>
    <w:uiPriority w:val="0"/>
    <w:pPr>
      <w:widowControl w:val="0"/>
    </w:pPr>
    <w:rPr>
      <w:rFonts w:hint="default" w:ascii="宋体" w:hAnsi="Courier New" w:eastAsia="宋体" w:cs="Times New Roman"/>
      <w:color w:val="auto"/>
      <w:kern w:val="0"/>
      <w:sz w:val="20"/>
      <w:szCs w:val="20"/>
      <w:lang w:val="en-US" w:eastAsia="zh-CN"/>
    </w:rPr>
  </w:style>
  <w:style w:type="paragraph" w:customStyle="1" w:styleId="236">
    <w:name w:val="小标题 2"/>
    <w:next w:val="166"/>
    <w:qFormat/>
    <w:uiPriority w:val="0"/>
    <w:pPr>
      <w:keepNext/>
      <w:keepLines/>
      <w:spacing w:before="120" w:line="300" w:lineRule="auto"/>
      <w:jc w:val="center"/>
    </w:pPr>
    <w:rPr>
      <w:rFonts w:hint="eastAsia" w:ascii="Arial Unicode MS" w:hAnsi="Arial Unicode MS" w:eastAsia="Arial Unicode MS" w:cs="Arial Unicode MS"/>
      <w:b/>
      <w:bCs/>
      <w:color w:val="000000"/>
      <w:sz w:val="30"/>
      <w:szCs w:val="30"/>
      <w:lang w:val="zh-TW" w:eastAsia="zh-TW" w:bidi="ar-SA"/>
    </w:rPr>
  </w:style>
  <w:style w:type="paragraph" w:customStyle="1" w:styleId="237">
    <w:name w:val="WPSOffice手动目录 1"/>
    <w:qFormat/>
    <w:uiPriority w:val="0"/>
    <w:rPr>
      <w:rFonts w:ascii="Times New Roman" w:hAnsi="Times New Roman" w:eastAsia="宋体" w:cs="Times New Roman"/>
      <w:lang w:val="en-US" w:eastAsia="zh-CN" w:bidi="ar-SA"/>
    </w:rPr>
  </w:style>
  <w:style w:type="table" w:customStyle="1" w:styleId="238">
    <w:name w:val="网格型2"/>
    <w:basedOn w:val="5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
    <w:name w:val="网格型1"/>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Table Normal1"/>
    <w:unhideWhenUsed/>
    <w:qFormat/>
    <w:uiPriority w:val="2"/>
    <w:tblPr>
      <w:tblCellMar>
        <w:top w:w="0" w:type="dxa"/>
        <w:left w:w="0" w:type="dxa"/>
        <w:bottom w:w="0" w:type="dxa"/>
        <w:right w:w="0" w:type="dxa"/>
      </w:tblCellMar>
    </w:tblPr>
  </w:style>
  <w:style w:type="table" w:customStyle="1" w:styleId="241">
    <w:name w:val="Table Normal"/>
    <w:qFormat/>
    <w:uiPriority w:val="0"/>
    <w:rPr>
      <w:rFonts w:eastAsia="Arial Unicode MS"/>
    </w:rPr>
    <w:tblPr>
      <w:tblCellMar>
        <w:top w:w="0" w:type="dxa"/>
        <w:left w:w="0" w:type="dxa"/>
        <w:bottom w:w="0" w:type="dxa"/>
        <w:right w:w="0" w:type="dxa"/>
      </w:tblCellMar>
    </w:tblPr>
  </w:style>
  <w:style w:type="paragraph" w:customStyle="1" w:styleId="242">
    <w:name w:val="正文2"/>
    <w:basedOn w:val="1"/>
    <w:qFormat/>
    <w:uiPriority w:val="0"/>
    <w:pPr>
      <w:spacing w:before="156" w:line="360" w:lineRule="auto"/>
      <w:ind w:firstLine="510" w:firstLineChars="200"/>
    </w:pPr>
    <w:rPr>
      <w:sz w:val="24"/>
      <w:szCs w:val="20"/>
    </w:rPr>
  </w:style>
  <w:style w:type="paragraph" w:customStyle="1" w:styleId="243">
    <w:name w:val="正文1"/>
    <w:qFormat/>
    <w:uiPriority w:val="0"/>
    <w:pPr>
      <w:widowControl w:val="0"/>
      <w:jc w:val="both"/>
    </w:pPr>
    <w:rPr>
      <w:rFonts w:ascii="宋体" w:hAnsi="宋体" w:eastAsia="宋体" w:cs="宋体"/>
      <w:kern w:val="2"/>
      <w:sz w:val="21"/>
      <w:szCs w:val="22"/>
      <w:lang w:val="en-US" w:eastAsia="zh-CN" w:bidi="ar-SA"/>
    </w:rPr>
  </w:style>
  <w:style w:type="paragraph" w:customStyle="1" w:styleId="244">
    <w:name w:val="WPS Plain"/>
    <w:basedOn w:val="1"/>
    <w:qFormat/>
    <w:uiPriority w:val="0"/>
    <w:pPr>
      <w:jc w:val="left"/>
    </w:pPr>
    <w:rPr>
      <w:rFonts w:ascii="Times New Roman" w:hAnsi="Times New Roman" w:cs="Times New Roman"/>
      <w:kern w:val="0"/>
      <w:sz w:val="24"/>
      <w:szCs w:val="24"/>
    </w:rPr>
  </w:style>
  <w:style w:type="paragraph" w:customStyle="1" w:styleId="245">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246">
    <w:name w:val="修订1"/>
    <w:semiHidden/>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47">
    <w:name w:val="表格"/>
    <w:qFormat/>
    <w:uiPriority w:val="0"/>
    <w:pPr>
      <w:spacing w:line="276" w:lineRule="auto"/>
    </w:pPr>
    <w:rPr>
      <w:rFonts w:ascii="Times New Roman" w:hAnsi="Times New Roman" w:eastAsia="仿宋_GB2312" w:cs="Times New Roman"/>
      <w:lang w:val="en-US" w:eastAsia="zh-CN" w:bidi="ar-SA"/>
    </w:rPr>
  </w:style>
  <w:style w:type="paragraph" w:customStyle="1" w:styleId="248">
    <w:name w:val="修订2"/>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49">
    <w:name w:val="修订3"/>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50">
    <w:name w:val="修订4"/>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character" w:customStyle="1" w:styleId="251">
    <w:name w:val="cf01"/>
    <w:qFormat/>
    <w:uiPriority w:val="0"/>
    <w:rPr>
      <w:rFonts w:hint="eastAsia" w:ascii="Microsoft YaHei UI" w:hAnsi="Microsoft YaHei UI" w:eastAsia="Microsoft YaHei UI"/>
      <w:sz w:val="18"/>
      <w:szCs w:val="18"/>
    </w:rPr>
  </w:style>
  <w:style w:type="character" w:customStyle="1" w:styleId="252">
    <w:name w:val="bao4jie1"/>
    <w:qFormat/>
    <w:uiPriority w:val="0"/>
    <w:rPr>
      <w:rFonts w:ascii="??" w:hAnsi="??" w:cs="Times New Roman"/>
      <w:sz w:val="21"/>
      <w:szCs w:val="21"/>
    </w:rPr>
  </w:style>
  <w:style w:type="character" w:customStyle="1" w:styleId="253">
    <w:name w:val="font11"/>
    <w:qFormat/>
    <w:uiPriority w:val="0"/>
    <w:rPr>
      <w:rFonts w:ascii="宋体" w:hAnsi="宋体" w:eastAsia="宋体" w:cs="宋体"/>
      <w:color w:val="000000"/>
      <w:sz w:val="20"/>
      <w:szCs w:val="20"/>
      <w:u w:val="none"/>
    </w:rPr>
  </w:style>
  <w:style w:type="paragraph" w:customStyle="1" w:styleId="254">
    <w:name w:val="Char Char Char Char Char Char1 Char"/>
    <w:basedOn w:val="1"/>
    <w:qFormat/>
    <w:uiPriority w:val="99"/>
    <w:pPr>
      <w:spacing w:after="160" w:line="240" w:lineRule="exact"/>
      <w:jc w:val="left"/>
    </w:pPr>
    <w:rPr>
      <w:rFonts w:hint="default" w:ascii="Arial" w:hAnsi="Arial" w:eastAsia="仿宋_GB2312" w:cs="Verdana"/>
      <w:b/>
      <w:color w:val="auto"/>
      <w:kern w:val="0"/>
      <w:sz w:val="24"/>
      <w:szCs w:val="24"/>
      <w:lang w:val="en-US" w:eastAsia="en-US"/>
    </w:rPr>
  </w:style>
  <w:style w:type="paragraph" w:customStyle="1" w:styleId="255">
    <w:name w:val="Char1 Char Char Char"/>
    <w:basedOn w:val="1"/>
    <w:qFormat/>
    <w:uiPriority w:val="0"/>
    <w:pPr>
      <w:widowControl w:val="0"/>
      <w:tabs>
        <w:tab w:val="left" w:pos="900"/>
      </w:tabs>
      <w:spacing w:before="312" w:after="312" w:line="360" w:lineRule="auto"/>
      <w:ind w:left="900" w:hanging="360"/>
    </w:pPr>
    <w:rPr>
      <w:rFonts w:hint="default" w:ascii="Times New Roman" w:hAnsi="Times New Roman" w:eastAsia="仿宋_GB2312" w:cs="Times New Roman"/>
      <w:color w:val="auto"/>
      <w:sz w:val="24"/>
      <w:szCs w:val="24"/>
      <w:lang w:val="en-US" w:eastAsia="zh-CN"/>
    </w:rPr>
  </w:style>
  <w:style w:type="paragraph" w:customStyle="1" w:styleId="256">
    <w:name w:val="p0"/>
    <w:qFormat/>
    <w:uiPriority w:val="0"/>
    <w:pPr>
      <w:spacing w:before="100" w:after="100"/>
    </w:pPr>
    <w:rPr>
      <w:rFonts w:ascii="宋体" w:hAnsi="宋体" w:eastAsia="宋体" w:cs="宋体"/>
      <w:color w:val="000000"/>
      <w:sz w:val="24"/>
      <w:szCs w:val="24"/>
      <w:lang w:val="en-US" w:eastAsia="zh-CN" w:bidi="ar-SA"/>
    </w:rPr>
  </w:style>
  <w:style w:type="paragraph" w:customStyle="1" w:styleId="257">
    <w:name w:val="修订5"/>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58">
    <w:name w:val="p17"/>
    <w:basedOn w:val="1"/>
    <w:qFormat/>
    <w:uiPriority w:val="0"/>
    <w:pPr>
      <w:spacing w:before="50" w:after="50"/>
      <w:ind w:left="142"/>
      <w:jc w:val="left"/>
    </w:pPr>
    <w:rPr>
      <w:rFonts w:ascii="黑体" w:hAnsi="宋体" w:eastAsia="黑体" w:cs="宋体"/>
      <w:kern w:val="0"/>
    </w:rPr>
  </w:style>
  <w:style w:type="paragraph" w:customStyle="1" w:styleId="259">
    <w:name w:val="普通(网站)1"/>
    <w:basedOn w:val="1"/>
    <w:qFormat/>
    <w:uiPriority w:val="0"/>
    <w:pPr>
      <w:pBdr>
        <w:top w:val="none" w:color="000000" w:sz="0" w:space="0"/>
        <w:left w:val="none" w:color="000000" w:sz="0" w:space="0"/>
        <w:bottom w:val="none" w:color="000000" w:sz="0" w:space="0"/>
        <w:right w:val="none" w:color="000000" w:sz="0" w:space="0"/>
        <w:between w:val="none" w:color="000000" w:sz="0" w:space="0"/>
      </w:pBdr>
      <w:spacing w:before="100" w:beforeAutospacing="1" w:after="100" w:afterAutospacing="1"/>
      <w:jc w:val="left"/>
    </w:pPr>
    <w:rPr>
      <w:rFonts w:ascii="宋体" w:hAnsi="宋体" w:eastAsia="宋体"/>
      <w:kern w:val="0"/>
      <w:sz w:val="24"/>
      <w:szCs w:val="24"/>
      <w:lang w:val="en-US" w:eastAsia="zh-CN"/>
    </w:rPr>
  </w:style>
  <w:style w:type="paragraph" w:customStyle="1" w:styleId="260">
    <w:name w:val="_Style 248"/>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styleId="261">
    <w:name w:val="List Paragraph"/>
    <w:basedOn w:val="1"/>
    <w:qFormat/>
    <w:uiPriority w:val="99"/>
    <w:pPr>
      <w:ind w:firstLine="420" w:firstLineChars="200"/>
    </w:pPr>
  </w:style>
  <w:style w:type="character" w:customStyle="1" w:styleId="262">
    <w:name w:val="未处理的提及2"/>
    <w:unhideWhenUsed/>
    <w:qFormat/>
    <w:uiPriority w:val="99"/>
    <w:rPr>
      <w:color w:val="605E5C"/>
      <w:shd w:val="clear" w:color="auto" w:fill="E1DFDD"/>
    </w:rPr>
  </w:style>
  <w:style w:type="character" w:customStyle="1" w:styleId="263">
    <w:name w:val="未处理的提及3"/>
    <w:unhideWhenUsed/>
    <w:qFormat/>
    <w:uiPriority w:val="99"/>
    <w:rPr>
      <w:color w:val="605E5C"/>
      <w:shd w:val="clear" w:color="auto" w:fill="E1DFDD"/>
    </w:rPr>
  </w:style>
  <w:style w:type="paragraph" w:customStyle="1" w:styleId="264">
    <w:name w:val="reader-word-layer"/>
    <w:basedOn w:val="1"/>
    <w:qFormat/>
    <w:uiPriority w:val="0"/>
    <w:pPr>
      <w:spacing w:before="100" w:beforeAutospacing="1" w:after="100" w:afterAutospacing="1"/>
      <w:jc w:val="left"/>
    </w:pPr>
    <w:rPr>
      <w:rFonts w:ascii="宋体" w:hAnsi="宋体" w:cs="宋体"/>
      <w:kern w:val="0"/>
      <w:sz w:val="24"/>
    </w:rPr>
  </w:style>
  <w:style w:type="paragraph" w:customStyle="1" w:styleId="265">
    <w:name w:val="固定值22111111111111111111"/>
    <w:basedOn w:val="1"/>
    <w:qFormat/>
    <w:uiPriority w:val="0"/>
    <w:pPr>
      <w:adjustRightInd w:val="0"/>
      <w:spacing w:line="440" w:lineRule="exact"/>
      <w:ind w:firstLine="880" w:firstLineChars="200"/>
    </w:pPr>
    <w:rPr>
      <w:rFonts w:ascii="宋体" w:hAnsi="宋体" w:eastAsia="宋体" w:cs="宋体"/>
    </w:rPr>
  </w:style>
  <w:style w:type="character" w:customStyle="1" w:styleId="266">
    <w:name w:val="font01"/>
    <w:qFormat/>
    <w:uiPriority w:val="0"/>
    <w:rPr>
      <w:rFonts w:hint="eastAsia" w:ascii="宋体" w:hAnsi="宋体" w:eastAsia="宋体" w:cs="宋体"/>
      <w:color w:val="000000"/>
      <w:sz w:val="22"/>
      <w:szCs w:val="22"/>
      <w:u w:val="none"/>
    </w:rPr>
  </w:style>
  <w:style w:type="character" w:customStyle="1" w:styleId="267">
    <w:name w:val="font21"/>
    <w:qFormat/>
    <w:uiPriority w:val="0"/>
    <w:rPr>
      <w:rFonts w:hint="eastAsia" w:ascii="宋体" w:hAnsi="宋体" w:eastAsia="宋体" w:cs="宋体"/>
      <w:color w:val="000000"/>
      <w:sz w:val="22"/>
      <w:szCs w:val="22"/>
      <w:u w:val="none"/>
    </w:rPr>
  </w:style>
  <w:style w:type="paragraph" w:customStyle="1" w:styleId="26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69">
    <w:name w:val="Table Text"/>
    <w:basedOn w:val="1"/>
    <w:semiHidden/>
    <w:qFormat/>
    <w:uiPriority w:val="0"/>
    <w:rPr>
      <w:rFonts w:ascii="仿宋" w:hAnsi="仿宋" w:eastAsia="仿宋" w:cs="仿宋"/>
      <w:sz w:val="28"/>
      <w:szCs w:val="28"/>
      <w:lang w:val="en-US" w:eastAsia="en-US"/>
    </w:rPr>
  </w:style>
  <w:style w:type="character" w:customStyle="1" w:styleId="270">
    <w:name w:val="hover"/>
    <w:qFormat/>
    <w:uiPriority w:val="0"/>
    <w:rPr>
      <w:color w:val="2590EB"/>
    </w:rPr>
  </w:style>
  <w:style w:type="character" w:customStyle="1" w:styleId="271">
    <w:name w:val="hover1"/>
    <w:qFormat/>
    <w:uiPriority w:val="0"/>
    <w:rPr>
      <w:color w:val="2590EB"/>
    </w:rPr>
  </w:style>
  <w:style w:type="character" w:customStyle="1" w:styleId="272">
    <w:name w:val="hover2"/>
    <w:qFormat/>
    <w:uiPriority w:val="0"/>
  </w:style>
  <w:style w:type="character" w:customStyle="1" w:styleId="273">
    <w:name w:val="hover3"/>
    <w:qFormat/>
    <w:uiPriority w:val="0"/>
    <w:rPr>
      <w:color w:val="2590EB"/>
      <w:shd w:val="clear" w:color="auto" w:fill="E9F4FD"/>
    </w:rPr>
  </w:style>
  <w:style w:type="character" w:customStyle="1" w:styleId="274">
    <w:name w:val="hover4"/>
    <w:qFormat/>
    <w:uiPriority w:val="0"/>
    <w:rPr>
      <w:color w:val="2590EB"/>
      <w:shd w:val="clear" w:color="auto" w:fill="E9F4FD"/>
    </w:rPr>
  </w:style>
  <w:style w:type="character" w:customStyle="1" w:styleId="275">
    <w:name w:val="Heading #1|1_"/>
    <w:basedOn w:val="55"/>
    <w:link w:val="276"/>
    <w:qFormat/>
    <w:uiPriority w:val="0"/>
    <w:rPr>
      <w:rFonts w:ascii="宋体" w:hAnsi="宋体" w:cs="宋体"/>
      <w:sz w:val="19"/>
      <w:szCs w:val="19"/>
      <w:lang w:val="zh-TW" w:eastAsia="zh-TW" w:bidi="zh-TW"/>
    </w:rPr>
  </w:style>
  <w:style w:type="paragraph" w:customStyle="1" w:styleId="276">
    <w:name w:val="Heading #1|1"/>
    <w:basedOn w:val="1"/>
    <w:link w:val="275"/>
    <w:qFormat/>
    <w:uiPriority w:val="0"/>
    <w:pPr>
      <w:widowControl w:val="0"/>
      <w:adjustRightInd w:val="0"/>
      <w:snapToGrid w:val="0"/>
      <w:spacing w:after="80" w:line="360" w:lineRule="auto"/>
      <w:ind w:firstLine="380" w:firstLineChars="200"/>
      <w:jc w:val="center"/>
      <w:outlineLvl w:val="0"/>
    </w:pPr>
    <w:rPr>
      <w:rFonts w:hint="default" w:ascii="宋体" w:hAnsi="宋体" w:eastAsia="宋体" w:cs="宋体"/>
      <w:color w:val="auto"/>
      <w:kern w:val="0"/>
      <w:sz w:val="19"/>
      <w:szCs w:val="19"/>
      <w:lang w:bidi="zh-TW"/>
    </w:rPr>
  </w:style>
  <w:style w:type="character" w:customStyle="1" w:styleId="277">
    <w:name w:val="Body text|1_"/>
    <w:basedOn w:val="55"/>
    <w:link w:val="151"/>
    <w:qFormat/>
    <w:uiPriority w:val="0"/>
    <w:rPr>
      <w:rFonts w:ascii="宋体" w:hAnsi="宋体" w:eastAsia="Arial Unicode MS" w:cs="宋体"/>
      <w:color w:val="000000"/>
      <w:sz w:val="30"/>
      <w:szCs w:val="30"/>
      <w:lang w:val="zh-TW" w:eastAsia="zh-TW"/>
    </w:rPr>
  </w:style>
  <w:style w:type="character" w:customStyle="1" w:styleId="278">
    <w:name w:val="Other|1_"/>
    <w:basedOn w:val="55"/>
    <w:link w:val="279"/>
    <w:qFormat/>
    <w:uiPriority w:val="0"/>
    <w:rPr>
      <w:rFonts w:ascii="宋体" w:hAnsi="宋体" w:cs="宋体"/>
      <w:sz w:val="12"/>
      <w:szCs w:val="12"/>
      <w:lang w:val="zh-TW" w:eastAsia="zh-TW" w:bidi="zh-TW"/>
    </w:rPr>
  </w:style>
  <w:style w:type="paragraph" w:customStyle="1" w:styleId="279">
    <w:name w:val="Other|1"/>
    <w:basedOn w:val="1"/>
    <w:link w:val="278"/>
    <w:qFormat/>
    <w:uiPriority w:val="0"/>
    <w:pPr>
      <w:widowControl w:val="0"/>
      <w:adjustRightInd w:val="0"/>
      <w:snapToGrid w:val="0"/>
      <w:spacing w:line="168" w:lineRule="exact"/>
      <w:ind w:firstLine="300" w:firstLineChars="200"/>
      <w:jc w:val="left"/>
    </w:pPr>
    <w:rPr>
      <w:rFonts w:hint="default" w:ascii="宋体" w:hAnsi="宋体" w:eastAsia="宋体" w:cs="宋体"/>
      <w:color w:val="auto"/>
      <w:kern w:val="0"/>
      <w:sz w:val="12"/>
      <w:szCs w:val="12"/>
      <w:lang w:bidi="zh-TW"/>
    </w:rPr>
  </w:style>
  <w:style w:type="character" w:customStyle="1" w:styleId="280">
    <w:name w:val="Heading #2|1_"/>
    <w:basedOn w:val="55"/>
    <w:link w:val="281"/>
    <w:qFormat/>
    <w:uiPriority w:val="0"/>
    <w:rPr>
      <w:rFonts w:ascii="宋体" w:hAnsi="宋体" w:cs="宋体"/>
      <w:sz w:val="17"/>
      <w:szCs w:val="17"/>
      <w:lang w:val="zh-TW" w:eastAsia="zh-TW" w:bidi="zh-TW"/>
    </w:rPr>
  </w:style>
  <w:style w:type="paragraph" w:customStyle="1" w:styleId="281">
    <w:name w:val="Heading #2|1"/>
    <w:basedOn w:val="1"/>
    <w:link w:val="280"/>
    <w:qFormat/>
    <w:uiPriority w:val="0"/>
    <w:pPr>
      <w:widowControl w:val="0"/>
      <w:adjustRightInd w:val="0"/>
      <w:snapToGrid w:val="0"/>
      <w:spacing w:after="100" w:line="360" w:lineRule="auto"/>
      <w:ind w:firstLine="380" w:firstLineChars="200"/>
      <w:jc w:val="center"/>
      <w:outlineLvl w:val="1"/>
    </w:pPr>
    <w:rPr>
      <w:rFonts w:hint="default" w:ascii="宋体" w:hAnsi="宋体" w:eastAsia="宋体" w:cs="宋体"/>
      <w:color w:val="auto"/>
      <w:kern w:val="0"/>
      <w:sz w:val="17"/>
      <w:szCs w:val="17"/>
      <w:lang w:bidi="zh-TW"/>
    </w:rPr>
  </w:style>
  <w:style w:type="character" w:customStyle="1" w:styleId="282">
    <w:name w:val="Table caption|1_"/>
    <w:basedOn w:val="55"/>
    <w:link w:val="283"/>
    <w:qFormat/>
    <w:uiPriority w:val="0"/>
    <w:rPr>
      <w:rFonts w:ascii="宋体" w:hAnsi="宋体" w:cs="宋体"/>
      <w:sz w:val="14"/>
      <w:szCs w:val="14"/>
      <w:lang w:val="zh-TW" w:eastAsia="zh-TW" w:bidi="zh-TW"/>
    </w:rPr>
  </w:style>
  <w:style w:type="paragraph" w:customStyle="1" w:styleId="283">
    <w:name w:val="Table caption|1"/>
    <w:basedOn w:val="1"/>
    <w:link w:val="282"/>
    <w:qFormat/>
    <w:uiPriority w:val="0"/>
    <w:pPr>
      <w:widowControl w:val="0"/>
      <w:adjustRightInd w:val="0"/>
      <w:snapToGrid w:val="0"/>
      <w:spacing w:line="360" w:lineRule="auto"/>
      <w:ind w:firstLine="380" w:firstLineChars="200"/>
      <w:jc w:val="left"/>
    </w:pPr>
    <w:rPr>
      <w:rFonts w:hint="default" w:ascii="宋体" w:hAnsi="宋体" w:eastAsia="宋体" w:cs="宋体"/>
      <w:color w:val="auto"/>
      <w:kern w:val="0"/>
      <w:sz w:val="14"/>
      <w:szCs w:val="14"/>
      <w:lang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customXml" Target="ink/ink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channel name="F" type="integer" max="1023" units="dev"/>
        </inkml:traceFormat>
        <inkml:channelProperties>
          <inkml:channelProperty channel="X" name="resolution" value="28.34646" units="1/cm"/>
          <inkml:channelProperty channel="Y" name="resolution" value="28.34646" units="1/cm"/>
          <inkml:channelProperty channel="F" name="resolution" value="0" units="1/dev"/>
        </inkml:channelProperties>
      </inkml:inkSource>
      <inkml:timestamp xml:id="ts0" timeString="2024-09-10T15:40:00"/>
    </inkml:context>
    <inkml:brush xml:id="br0">
      <inkml:brushProperty name="width" value="0.05292" units="cm"/>
      <inkml:brushProperty name="height" value="0.05292" units="cm"/>
      <inkml:brushProperty name="color" value="#f80600"/>
    </inkml:brush>
  </inkml:definitions>
  <inkml:trace contextRef="#ctx0" brushRef="#br0">6812.000 1003510.000 767</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104</Pages>
  <Words>18609</Words>
  <Characters>20098</Characters>
  <Lines>334</Lines>
  <Paragraphs>94</Paragraphs>
  <TotalTime>0</TotalTime>
  <ScaleCrop>false</ScaleCrop>
  <LinksUpToDate>false</LinksUpToDate>
  <CharactersWithSpaces>20953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2023-12-18T09:26:00Z</dcterms:created>
  <dc:creator>NTKO</dc:creator>
  <cp:lastModifiedBy>采桑</cp:lastModifiedBy>
  <cp:lastPrinted>2024-06-22T17:33:00Z</cp:lastPrinted>
  <dcterms:modified xsi:type="dcterms:W3CDTF">2025-09-25T09:16:45Z</dcterms:modified>
  <dc:title>河南信息统计职业学院金水校区物业服务项目</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74DA1A8D38AF465798F02FA74F2760BA_13</vt:lpwstr>
  </property>
  <property fmtid="{D5CDD505-2E9C-101B-9397-08002B2CF9AE}" pid="4" name="MTWinEqns">
    <vt:bool>true</vt:bool>
  </property>
  <property fmtid="{D5CDD505-2E9C-101B-9397-08002B2CF9AE}" pid="5" name="KSOTemplateDocerSaveRecord">
    <vt:lpwstr>eyJoZGlkIjoiMGYzY2IwMjQwNDg2Nzc2NjU2MGNlMDcxZDIwMjY4ZjgiLCJ1c2VySWQiOiIzNDk0NzYxNTcifQ==</vt:lpwstr>
  </property>
</Properties>
</file>