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49494">
      <w:pPr>
        <w:keepNext w:val="0"/>
        <w:keepLines w:val="0"/>
        <w:pageBreakBefore w:val="0"/>
        <w:kinsoku/>
        <w:wordWrap w:val="0"/>
        <w:overflowPunct/>
        <w:topLinePunct w:val="0"/>
        <w:bidi w:val="0"/>
        <w:spacing w:line="281" w:lineRule="auto"/>
        <w:jc w:val="both"/>
        <w:rPr>
          <w:rFonts w:ascii="Arial"/>
          <w:sz w:val="21"/>
        </w:rPr>
      </w:pPr>
    </w:p>
    <w:p w14:paraId="5CEDFECB">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14:paraId="00C738D0">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t>南阳市</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14:paraId="27452B72">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竞争性磋商文件</w:t>
      </w:r>
    </w:p>
    <w:p w14:paraId="1C9677C1">
      <w:pPr>
        <w:keepNext w:val="0"/>
        <w:keepLines w:val="0"/>
        <w:pageBreakBefore w:val="0"/>
        <w:kinsoku/>
        <w:wordWrap w:val="0"/>
        <w:overflowPunct/>
        <w:topLinePunct w:val="0"/>
        <w:bidi w:val="0"/>
        <w:spacing w:line="248" w:lineRule="auto"/>
        <w:jc w:val="both"/>
        <w:rPr>
          <w:rFonts w:ascii="Arial"/>
          <w:sz w:val="21"/>
        </w:rPr>
      </w:pPr>
    </w:p>
    <w:p w14:paraId="6814AF9F">
      <w:pPr>
        <w:keepNext w:val="0"/>
        <w:keepLines w:val="0"/>
        <w:pageBreakBefore w:val="0"/>
        <w:kinsoku/>
        <w:wordWrap w:val="0"/>
        <w:overflowPunct/>
        <w:topLinePunct w:val="0"/>
        <w:bidi w:val="0"/>
        <w:spacing w:line="249" w:lineRule="auto"/>
        <w:jc w:val="both"/>
        <w:rPr>
          <w:rFonts w:ascii="Arial"/>
          <w:sz w:val="21"/>
        </w:rPr>
      </w:pPr>
    </w:p>
    <w:p w14:paraId="1FA6797C">
      <w:pPr>
        <w:keepNext w:val="0"/>
        <w:keepLines w:val="0"/>
        <w:pageBreakBefore w:val="0"/>
        <w:kinsoku/>
        <w:wordWrap w:val="0"/>
        <w:overflowPunct/>
        <w:topLinePunct w:val="0"/>
        <w:bidi w:val="0"/>
        <w:spacing w:line="249" w:lineRule="auto"/>
        <w:jc w:val="both"/>
        <w:rPr>
          <w:rFonts w:ascii="Arial"/>
          <w:sz w:val="21"/>
        </w:rPr>
      </w:pPr>
    </w:p>
    <w:p w14:paraId="14764BB1">
      <w:pPr>
        <w:keepNext w:val="0"/>
        <w:keepLines w:val="0"/>
        <w:pageBreakBefore w:val="0"/>
        <w:kinsoku/>
        <w:wordWrap w:val="0"/>
        <w:overflowPunct/>
        <w:topLinePunct w:val="0"/>
        <w:bidi w:val="0"/>
        <w:spacing w:line="249" w:lineRule="auto"/>
        <w:jc w:val="both"/>
        <w:rPr>
          <w:rFonts w:ascii="Arial"/>
          <w:sz w:val="21"/>
        </w:rPr>
      </w:pPr>
    </w:p>
    <w:p w14:paraId="553570E3">
      <w:pPr>
        <w:keepNext w:val="0"/>
        <w:keepLines w:val="0"/>
        <w:pageBreakBefore w:val="0"/>
        <w:kinsoku/>
        <w:wordWrap w:val="0"/>
        <w:overflowPunct/>
        <w:topLinePunct w:val="0"/>
        <w:bidi w:val="0"/>
        <w:spacing w:line="249" w:lineRule="auto"/>
        <w:jc w:val="both"/>
        <w:rPr>
          <w:rFonts w:ascii="Arial"/>
          <w:sz w:val="21"/>
        </w:rPr>
      </w:pPr>
    </w:p>
    <w:p w14:paraId="731CB9B6">
      <w:pPr>
        <w:keepNext w:val="0"/>
        <w:keepLines w:val="0"/>
        <w:pageBreakBefore w:val="0"/>
        <w:kinsoku/>
        <w:wordWrap w:val="0"/>
        <w:overflowPunct/>
        <w:topLinePunct w:val="0"/>
        <w:bidi w:val="0"/>
        <w:spacing w:line="249" w:lineRule="auto"/>
        <w:jc w:val="both"/>
        <w:rPr>
          <w:rFonts w:ascii="Arial"/>
          <w:sz w:val="21"/>
        </w:rPr>
      </w:pPr>
    </w:p>
    <w:p w14:paraId="27D3E29F">
      <w:pPr>
        <w:keepNext w:val="0"/>
        <w:keepLines w:val="0"/>
        <w:pageBreakBefore w:val="0"/>
        <w:kinsoku/>
        <w:wordWrap w:val="0"/>
        <w:overflowPunct/>
        <w:topLinePunct w:val="0"/>
        <w:bidi w:val="0"/>
        <w:spacing w:line="249" w:lineRule="auto"/>
        <w:jc w:val="both"/>
        <w:rPr>
          <w:rFonts w:ascii="Arial"/>
          <w:sz w:val="21"/>
        </w:rPr>
      </w:pPr>
    </w:p>
    <w:p w14:paraId="78423914">
      <w:pPr>
        <w:keepNext w:val="0"/>
        <w:keepLines w:val="0"/>
        <w:pageBreakBefore w:val="0"/>
        <w:kinsoku/>
        <w:wordWrap w:val="0"/>
        <w:overflowPunct/>
        <w:topLinePunct w:val="0"/>
        <w:bidi w:val="0"/>
        <w:spacing w:line="249" w:lineRule="auto"/>
        <w:jc w:val="both"/>
        <w:rPr>
          <w:rFonts w:ascii="Arial"/>
          <w:sz w:val="21"/>
        </w:rPr>
      </w:pPr>
    </w:p>
    <w:p w14:paraId="0315D9A1">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南阳市宛城区人民法院物业服务项目</w:t>
      </w:r>
    </w:p>
    <w:p w14:paraId="2F790692">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豫财磋商采购-2025-938        </w:t>
      </w:r>
    </w:p>
    <w:p w14:paraId="27F43DAA">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豫财磋商采购-2025-938-1       </w:t>
      </w:r>
    </w:p>
    <w:p w14:paraId="6A9BC991">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南阳市宛城区人民法院         </w:t>
      </w:r>
    </w:p>
    <w:p w14:paraId="02F5CE66">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01360E1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40EC4A8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18C81A7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33F624ED">
      <w:pPr>
        <w:pStyle w:val="7"/>
        <w:bidi w:val="0"/>
      </w:pPr>
    </w:p>
    <w:p w14:paraId="3C301192">
      <w:pPr>
        <w:pStyle w:val="4"/>
      </w:pPr>
    </w:p>
    <w:p w14:paraId="786C6B9B">
      <w:pPr>
        <w:pStyle w:val="7"/>
        <w:keepNext w:val="0"/>
        <w:keepLines w:val="0"/>
        <w:pageBreakBefore w:val="0"/>
        <w:kinsoku/>
        <w:wordWrap w:val="0"/>
        <w:overflowPunct/>
        <w:topLinePunct w:val="0"/>
        <w:bidi w:val="0"/>
        <w:spacing w:before="117" w:line="220" w:lineRule="auto"/>
        <w:ind w:left="3829"/>
        <w:jc w:val="both"/>
        <w:rPr>
          <w:spacing w:val="-3"/>
          <w:sz w:val="44"/>
          <w:szCs w:val="44"/>
          <w14:textOutline w14:w="2306" w14:cap="flat" w14:cmpd="sng">
            <w14:solidFill>
              <w14:srgbClr w14:val="000000"/>
            </w14:solidFill>
            <w14:prstDash w14:val="solid"/>
            <w14:miter w14:val="0"/>
          </w14:textOutline>
        </w:rPr>
      </w:pPr>
    </w:p>
    <w:p w14:paraId="548B130E">
      <w:pPr>
        <w:pStyle w:val="7"/>
        <w:keepNext w:val="0"/>
        <w:keepLines w:val="0"/>
        <w:pageBreakBefore w:val="0"/>
        <w:kinsoku/>
        <w:wordWrap w:val="0"/>
        <w:overflowPunct/>
        <w:topLinePunct w:val="0"/>
        <w:bidi w:val="0"/>
        <w:spacing w:before="117" w:line="220" w:lineRule="auto"/>
        <w:ind w:left="3829"/>
        <w:jc w:val="both"/>
        <w:rPr>
          <w:spacing w:val="-3"/>
          <w:sz w:val="44"/>
          <w:szCs w:val="44"/>
          <w14:textOutline w14:w="2306" w14:cap="flat" w14:cmpd="sng">
            <w14:solidFill>
              <w14:srgbClr w14:val="000000"/>
            </w14:solidFill>
            <w14:prstDash w14:val="solid"/>
            <w14:miter w14:val="0"/>
          </w14:textOutline>
        </w:rPr>
      </w:pPr>
    </w:p>
    <w:p w14:paraId="67495EF4">
      <w:pPr>
        <w:pStyle w:val="7"/>
        <w:keepNext w:val="0"/>
        <w:keepLines w:val="0"/>
        <w:pageBreakBefore w:val="0"/>
        <w:kinsoku/>
        <w:wordWrap w:val="0"/>
        <w:overflowPunct/>
        <w:topLinePunct w:val="0"/>
        <w:bidi w:val="0"/>
        <w:spacing w:before="117" w:line="360" w:lineRule="auto"/>
        <w:jc w:val="center"/>
        <w:rPr>
          <w:spacing w:val="-3"/>
          <w:sz w:val="44"/>
          <w:szCs w:val="44"/>
          <w14:textOutline w14:w="2306" w14:cap="flat" w14:cmpd="sng">
            <w14:solidFill>
              <w14:srgbClr w14:val="000000"/>
            </w14:solidFill>
            <w14:prstDash w14:val="solid"/>
            <w14:miter w14:val="0"/>
          </w14:textOutline>
        </w:rPr>
        <w:sectPr>
          <w:headerReference r:id="rId5" w:type="default"/>
          <w:pgSz w:w="11907" w:h="16840"/>
          <w:pgMar w:top="1440" w:right="1800" w:bottom="1440" w:left="1800" w:header="878" w:footer="0" w:gutter="0"/>
          <w:pgNumType w:fmt="decimal"/>
          <w:cols w:space="720" w:num="1"/>
        </w:sectPr>
      </w:pPr>
    </w:p>
    <w:p w14:paraId="6F1941E7">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hint="eastAsia" w:ascii="宋体" w:hAnsi="宋体" w:eastAsia="宋体" w:cs="宋体"/>
          <w:sz w:val="28"/>
          <w:szCs w:val="28"/>
        </w:rPr>
      </w:sdtEndPr>
      <w:sdtContent>
        <w:p w14:paraId="567956CC">
          <w:pPr>
            <w:pStyle w:val="7"/>
            <w:keepNext w:val="0"/>
            <w:keepLines w:val="0"/>
            <w:pageBreakBefore w:val="0"/>
            <w:kinsoku/>
            <w:wordWrap w:val="0"/>
            <w:overflowPunct/>
            <w:topLinePunct w:val="0"/>
            <w:bidi w:val="0"/>
            <w:spacing w:before="117" w:line="222" w:lineRule="auto"/>
            <w:ind w:left="3716"/>
            <w:jc w:val="both"/>
            <w:rPr>
              <w:sz w:val="36"/>
              <w:szCs w:val="36"/>
            </w:rPr>
          </w:pPr>
          <w:bookmarkStart w:id="0" w:name="bookmark1"/>
          <w:bookmarkEnd w:id="0"/>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目</w:t>
          </w:r>
          <w:r>
            <w:rPr>
              <w:rFonts w:hint="eastAsia" w:ascii="宋体" w:hAnsi="宋体" w:eastAsia="宋体" w:cs="宋体"/>
              <w:spacing w:val="-42"/>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录</w:t>
          </w:r>
        </w:p>
        <w:p w14:paraId="311F5A11">
          <w:pPr>
            <w:keepNext w:val="0"/>
            <w:keepLines w:val="0"/>
            <w:pageBreakBefore w:val="0"/>
            <w:kinsoku/>
            <w:wordWrap w:val="0"/>
            <w:overflowPunct/>
            <w:topLinePunct w:val="0"/>
            <w:bidi w:val="0"/>
            <w:spacing w:line="286" w:lineRule="auto"/>
            <w:jc w:val="both"/>
            <w:rPr>
              <w:rFonts w:ascii="Arial"/>
              <w:sz w:val="21"/>
            </w:rPr>
          </w:pPr>
        </w:p>
        <w:p w14:paraId="4F0E3C30">
          <w:pPr>
            <w:pStyle w:val="7"/>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HYPERLINK\l"bookmark1"</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竞争性磋商公告</w:t>
          </w:r>
          <w:r>
            <w:rPr>
              <w:rFonts w:hint="eastAsia" w:ascii="宋体" w:hAnsi="宋体" w:eastAsia="宋体" w:cs="宋体"/>
              <w:sz w:val="28"/>
              <w:szCs w:val="28"/>
            </w:rPr>
            <w:fldChar w:fldCharType="end"/>
          </w:r>
        </w:p>
        <w:p w14:paraId="003E2D43">
          <w:pPr>
            <w:pStyle w:val="7"/>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采购需求</w:t>
          </w:r>
        </w:p>
        <w:p w14:paraId="04D96E96">
          <w:pPr>
            <w:pStyle w:val="7"/>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供应商须知</w:t>
          </w:r>
        </w:p>
        <w:p w14:paraId="3074FD92">
          <w:pPr>
            <w:pStyle w:val="7"/>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w:t>
          </w:r>
          <w:r>
            <w:rPr>
              <w:rFonts w:hint="eastAsia" w:ascii="宋体" w:hAnsi="宋体" w:eastAsia="宋体" w:cs="宋体"/>
              <w:sz w:val="28"/>
              <w:szCs w:val="28"/>
              <w:lang w:val="en-US" w:eastAsia="zh-CN"/>
            </w:rPr>
            <w:t>审</w:t>
          </w:r>
          <w:r>
            <w:rPr>
              <w:rFonts w:hint="eastAsia" w:ascii="宋体" w:hAnsi="宋体" w:eastAsia="宋体" w:cs="宋体"/>
              <w:sz w:val="28"/>
              <w:szCs w:val="28"/>
            </w:rPr>
            <w:t>程序、评审方法和评审标准</w:t>
          </w:r>
        </w:p>
        <w:p w14:paraId="2063A8B7">
          <w:pPr>
            <w:pStyle w:val="7"/>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第五章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政府采购合同（草案）</w:t>
          </w:r>
        </w:p>
        <w:p w14:paraId="056A18BF">
          <w:pPr>
            <w:pStyle w:val="7"/>
            <w:bidi w:val="0"/>
            <w:spacing w:line="360" w:lineRule="auto"/>
            <w:rPr>
              <w:rFonts w:hint="eastAsia" w:ascii="宋体" w:hAnsi="宋体" w:eastAsia="宋体" w:cs="宋体"/>
              <w:sz w:val="28"/>
              <w:szCs w:val="28"/>
            </w:rPr>
          </w:pPr>
          <w:r>
            <w:rPr>
              <w:rFonts w:hint="eastAsia" w:ascii="宋体" w:hAnsi="宋体" w:eastAsia="宋体" w:cs="宋体"/>
              <w:sz w:val="28"/>
              <w:szCs w:val="28"/>
            </w:rPr>
            <w:t>第六章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响应文件格式</w:t>
          </w:r>
        </w:p>
      </w:sdtContent>
    </w:sdt>
    <w:p w14:paraId="6AFCF144">
      <w:pPr>
        <w:keepNext w:val="0"/>
        <w:keepLines w:val="0"/>
        <w:pageBreakBefore w:val="0"/>
        <w:kinsoku/>
        <w:wordWrap w:val="0"/>
        <w:overflowPunct/>
        <w:topLinePunct w:val="0"/>
        <w:bidi w:val="0"/>
        <w:spacing w:line="219" w:lineRule="auto"/>
        <w:jc w:val="both"/>
        <w:rPr>
          <w:rFonts w:ascii="Arial" w:hAnsi="Arial" w:eastAsia="Arial" w:cs="Arial"/>
          <w:sz w:val="24"/>
          <w:szCs w:val="24"/>
        </w:rPr>
      </w:pPr>
    </w:p>
    <w:p w14:paraId="4E3FAFD9">
      <w:pPr>
        <w:bidi w:val="0"/>
        <w:rPr>
          <w:rFonts w:ascii="Arial" w:hAnsi="Arial" w:eastAsia="Arial" w:cs="Arial"/>
          <w:snapToGrid w:val="0"/>
          <w:color w:val="000000"/>
          <w:kern w:val="0"/>
          <w:sz w:val="21"/>
          <w:szCs w:val="21"/>
          <w:lang w:val="en-US" w:eastAsia="en-US" w:bidi="ar-SA"/>
        </w:rPr>
      </w:pPr>
    </w:p>
    <w:p w14:paraId="562A9177">
      <w:pPr>
        <w:bidi w:val="0"/>
        <w:rPr>
          <w:lang w:val="en-US" w:eastAsia="en-US"/>
        </w:rPr>
      </w:pPr>
    </w:p>
    <w:p w14:paraId="4B73306A">
      <w:pPr>
        <w:bidi w:val="0"/>
        <w:rPr>
          <w:lang w:val="en-US" w:eastAsia="en-US"/>
        </w:rPr>
      </w:pPr>
    </w:p>
    <w:p w14:paraId="0168D35F">
      <w:pPr>
        <w:bidi w:val="0"/>
        <w:rPr>
          <w:lang w:val="en-US" w:eastAsia="en-US"/>
        </w:rPr>
      </w:pPr>
    </w:p>
    <w:p w14:paraId="7BD2C8A4">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4FA26018">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6368F29D">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0B4567E0">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890CE27">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29CC2AB7">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103A9C6E">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D88675F">
      <w:pPr>
        <w:pStyle w:val="7"/>
        <w:keepNext w:val="0"/>
        <w:keepLines w:val="0"/>
        <w:pageBreakBefore w:val="0"/>
        <w:kinsoku/>
        <w:wordWrap w:val="0"/>
        <w:overflowPunct/>
        <w:topLinePunct w:val="0"/>
        <w:bidi w:val="0"/>
        <w:spacing w:before="358" w:line="360" w:lineRule="auto"/>
        <w:jc w:val="both"/>
        <w:rPr>
          <w:spacing w:val="-1"/>
          <w:sz w:val="36"/>
          <w:szCs w:val="36"/>
          <w14:textOutline w14:w="2306" w14:cap="flat" w14:cmpd="sng">
            <w14:solidFill>
              <w14:srgbClr w14:val="000000"/>
            </w14:solidFill>
            <w14:prstDash w14:val="solid"/>
            <w14:miter w14:val="0"/>
          </w14:textOutline>
        </w:rPr>
      </w:pPr>
    </w:p>
    <w:p w14:paraId="3B6B01F0">
      <w:pPr>
        <w:pStyle w:val="7"/>
        <w:keepNext w:val="0"/>
        <w:keepLines w:val="0"/>
        <w:pageBreakBefore w:val="0"/>
        <w:kinsoku/>
        <w:wordWrap w:val="0"/>
        <w:overflowPunct/>
        <w:topLinePunct w:val="0"/>
        <w:bidi w:val="0"/>
        <w:spacing w:before="358" w:line="360" w:lineRule="auto"/>
        <w:jc w:val="center"/>
        <w:rPr>
          <w:rFonts w:ascii="Arial"/>
          <w:sz w:val="21"/>
        </w:rPr>
      </w:pPr>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竞争性磋商公告</w:t>
      </w:r>
    </w:p>
    <w:p w14:paraId="11A8D7E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竞争性磋商</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磋商</w:t>
      </w:r>
      <w:r>
        <w:rPr>
          <w:spacing w:val="-6"/>
          <w:sz w:val="24"/>
          <w:szCs w:val="24"/>
        </w:rPr>
        <w:t>。</w:t>
      </w:r>
    </w:p>
    <w:p w14:paraId="5894CFC2">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14:paraId="5670401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25"/>
          <w:sz w:val="24"/>
          <w:szCs w:val="24"/>
          <w:lang w:val="en-US" w:eastAsia="zh-CN"/>
        </w:rPr>
        <w:t>豫财磋商采购-2025-938</w:t>
      </w:r>
    </w:p>
    <w:p w14:paraId="7054CDD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2.项目名称：南阳市宛城区人民法院物业服务项目</w:t>
      </w:r>
    </w:p>
    <w:p w14:paraId="49E96E7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225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225 </w:t>
      </w:r>
      <w:r>
        <w:rPr>
          <w:rFonts w:hint="eastAsia" w:asciiTheme="minorEastAsia" w:hAnsiTheme="minorEastAsia" w:eastAsiaTheme="minorEastAsia" w:cstheme="minorEastAsia"/>
          <w:spacing w:val="-14"/>
          <w:sz w:val="24"/>
          <w:szCs w:val="24"/>
        </w:rPr>
        <w:t>万元</w:t>
      </w:r>
    </w:p>
    <w:p w14:paraId="7CA1D2F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8"/>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2E180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0E758181">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1F51B355">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41FDF26D">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7FD96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center"/>
          </w:tcPr>
          <w:p w14:paraId="18AA9EE1">
            <w:pPr>
              <w:pStyle w:val="19"/>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豫财磋商采购-2025-938</w:t>
            </w:r>
          </w:p>
        </w:tc>
        <w:tc>
          <w:tcPr>
            <w:tcW w:w="4215" w:type="dxa"/>
            <w:vAlign w:val="center"/>
          </w:tcPr>
          <w:p w14:paraId="2CC99FB1">
            <w:pPr>
              <w:pStyle w:val="19"/>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南阳市宛城区人民法院物业服务项目</w:t>
            </w:r>
          </w:p>
        </w:tc>
        <w:tc>
          <w:tcPr>
            <w:tcW w:w="2321" w:type="dxa"/>
            <w:vAlign w:val="center"/>
          </w:tcPr>
          <w:p w14:paraId="4C3204E8">
            <w:pPr>
              <w:pStyle w:val="19"/>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2250000</w:t>
            </w:r>
          </w:p>
        </w:tc>
      </w:tr>
    </w:tbl>
    <w:p w14:paraId="7B9223D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5.采购清单或服务要求</w:t>
      </w:r>
    </w:p>
    <w:p w14:paraId="4AB0EBF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南阳市宛城区人民法院拟采购物业服务，服务内容包括但不限于办公楼、审判庭、机关服务中心楼楼院围墙以内所有区域及红泥湾、溧河、东关、茶庵、官庄等5个法庭卫生打扫、清洁消毒等。</w:t>
      </w:r>
    </w:p>
    <w:p w14:paraId="54ED1D6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lang w:val="en-US" w:eastAsia="zh-CN"/>
        </w:rPr>
        <w:t>三年，合同每年一签</w:t>
      </w:r>
    </w:p>
    <w:p w14:paraId="2AE4D43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21B426E4">
      <w:pPr>
        <w:pStyle w:val="7"/>
        <w:keepNext w:val="0"/>
        <w:keepLines w:val="0"/>
        <w:pageBreakBefore w:val="0"/>
        <w:widowControl/>
        <w:kinsoku/>
        <w:wordWrap w:val="0"/>
        <w:overflowPunct/>
        <w:topLinePunct w:val="0"/>
        <w:bidi w:val="0"/>
        <w:spacing w:line="360" w:lineRule="auto"/>
        <w:jc w:val="both"/>
        <w:outlineLvl w:val="1"/>
        <w:rPr>
          <w:spacing w:val="-1"/>
          <w:sz w:val="24"/>
          <w:szCs w:val="24"/>
          <w14:textOutline w14:w="1537" w14:cap="flat" w14:cmpd="sng">
            <w14:solidFill>
              <w14:srgbClr w14:val="000000"/>
            </w14:solidFill>
            <w14:prstDash w14:val="solid"/>
            <w14:miter w14:val="0"/>
          </w14:textOutline>
        </w:rPr>
      </w:pPr>
    </w:p>
    <w:p w14:paraId="7AF32EEC">
      <w:pPr>
        <w:pStyle w:val="7"/>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14:paraId="03322E8F">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173A5FF0">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43BEC7CA">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6591DACF">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2EA3434">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A12221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3323353">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31E46D65">
      <w:pPr>
        <w:keepNext w:val="0"/>
        <w:keepLines w:val="0"/>
        <w:pageBreakBefore w:val="0"/>
        <w:kinsoku/>
        <w:wordWrap w:val="0"/>
        <w:overflowPunct/>
        <w:topLinePunct w:val="0"/>
        <w:autoSpaceDE/>
        <w:autoSpaceDN/>
        <w:bidi w:val="0"/>
        <w:adjustRightInd/>
        <w:snapToGrid/>
        <w:spacing w:line="360" w:lineRule="auto"/>
        <w:ind w:firstLine="426"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8.本项目专门面向小微企业采购，供应商需提交小微企业声明函。</w:t>
      </w:r>
    </w:p>
    <w:p w14:paraId="0422182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71FE2B2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0C07E20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68C3D6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b w:val="0"/>
          <w:bCs w:val="0"/>
          <w:color w:val="auto"/>
          <w:spacing w:val="12"/>
          <w:position w:val="17"/>
          <w:sz w:val="24"/>
          <w:szCs w:val="24"/>
          <w:lang w:eastAsia="zh-CN"/>
        </w:rPr>
        <w:t>☑</w:t>
      </w:r>
      <w:r>
        <w:rPr>
          <w:rFonts w:hint="eastAsia" w:asciiTheme="minorEastAsia" w:hAnsiTheme="minorEastAsia" w:eastAsiaTheme="minorEastAsia" w:cstheme="minorEastAsia"/>
          <w:b w:val="0"/>
          <w:bCs w:val="0"/>
          <w:color w:val="auto"/>
          <w:spacing w:val="12"/>
          <w:position w:val="17"/>
          <w:sz w:val="24"/>
          <w:szCs w:val="24"/>
        </w:rPr>
        <w:t>本项目专门面向小微企业采购。</w:t>
      </w:r>
      <w:r>
        <w:rPr>
          <w:rFonts w:hint="eastAsia" w:asciiTheme="minorEastAsia" w:hAnsiTheme="minorEastAsia" w:eastAsiaTheme="minorEastAsia" w:cstheme="minorEastAsia"/>
          <w:b w:val="0"/>
          <w:bCs w:val="0"/>
          <w:color w:val="auto"/>
          <w:spacing w:val="-2"/>
          <w:position w:val="17"/>
          <w:sz w:val="24"/>
          <w:szCs w:val="24"/>
        </w:rPr>
        <w:t>即：</w:t>
      </w:r>
      <w:r>
        <w:rPr>
          <w:rFonts w:hint="eastAsia" w:asciiTheme="minorEastAsia" w:hAnsiTheme="minorEastAsia" w:eastAsiaTheme="minorEastAsia" w:cstheme="minorEastAsia"/>
          <w:b w:val="0"/>
          <w:bCs w:val="0"/>
          <w:color w:val="auto"/>
          <w:spacing w:val="-2"/>
          <w:position w:val="17"/>
          <w:sz w:val="24"/>
          <w:szCs w:val="24"/>
          <w:lang w:val="en-US" w:eastAsia="zh-CN"/>
        </w:rPr>
        <w:t>提</w:t>
      </w:r>
      <w:r>
        <w:rPr>
          <w:rFonts w:hint="eastAsia" w:asciiTheme="minorEastAsia" w:hAnsiTheme="minorEastAsia" w:eastAsiaTheme="minorEastAsia" w:cstheme="minorEastAsia"/>
          <w:b w:val="0"/>
          <w:bCs w:val="0"/>
          <w:color w:val="auto"/>
          <w:spacing w:val="-2"/>
          <w:position w:val="17"/>
          <w:sz w:val="24"/>
          <w:szCs w:val="24"/>
        </w:rPr>
        <w:t>供的货物全部由符合政策要求的小</w:t>
      </w:r>
      <w:r>
        <w:rPr>
          <w:rFonts w:hint="eastAsia" w:asciiTheme="minorEastAsia" w:hAnsiTheme="minorEastAsia" w:eastAsiaTheme="minorEastAsia" w:cstheme="minorEastAsia"/>
          <w:b w:val="0"/>
          <w:bCs w:val="0"/>
          <w:color w:val="auto"/>
          <w:spacing w:val="12"/>
          <w:position w:val="17"/>
          <w:sz w:val="24"/>
          <w:szCs w:val="24"/>
          <w:lang w:val="en-US" w:eastAsia="zh-CN"/>
        </w:rPr>
        <w:t>/微</w:t>
      </w:r>
      <w:r>
        <w:rPr>
          <w:rFonts w:hint="eastAsia" w:asciiTheme="minorEastAsia" w:hAnsiTheme="minorEastAsia" w:eastAsiaTheme="minorEastAsia" w:cstheme="minorEastAsia"/>
          <w:b w:val="0"/>
          <w:bCs w:val="0"/>
          <w:color w:val="auto"/>
          <w:spacing w:val="-2"/>
          <w:position w:val="17"/>
          <w:sz w:val="24"/>
          <w:szCs w:val="24"/>
        </w:rPr>
        <w:t>企业制造、服务全部由符合政策要求的小</w:t>
      </w:r>
      <w:r>
        <w:rPr>
          <w:rFonts w:hint="eastAsia" w:asciiTheme="minorEastAsia" w:hAnsiTheme="minorEastAsia" w:eastAsiaTheme="minorEastAsia" w:cstheme="minorEastAsia"/>
          <w:b w:val="0"/>
          <w:bCs w:val="0"/>
          <w:color w:val="auto"/>
          <w:spacing w:val="-2"/>
          <w:position w:val="17"/>
          <w:sz w:val="24"/>
          <w:szCs w:val="24"/>
          <w:lang w:val="en-US" w:eastAsia="zh-CN"/>
        </w:rPr>
        <w:t>/微</w:t>
      </w:r>
      <w:r>
        <w:rPr>
          <w:rFonts w:hint="eastAsia" w:asciiTheme="minorEastAsia" w:hAnsiTheme="minorEastAsia" w:eastAsiaTheme="minorEastAsia" w:cstheme="minorEastAsia"/>
          <w:b w:val="0"/>
          <w:bCs w:val="0"/>
          <w:color w:val="auto"/>
          <w:spacing w:val="-2"/>
          <w:position w:val="17"/>
          <w:sz w:val="24"/>
          <w:szCs w:val="24"/>
        </w:rPr>
        <w:t>企业承接。</w:t>
      </w:r>
    </w:p>
    <w:p w14:paraId="72382F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1279E8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p>
    <w:p w14:paraId="20CBB9D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197CB82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289D94BA">
      <w:pPr>
        <w:keepNext w:val="0"/>
        <w:keepLines w:val="0"/>
        <w:pageBreakBefore w:val="0"/>
        <w:kinsoku/>
        <w:wordWrap w:val="0"/>
        <w:overflowPunct/>
        <w:topLinePunct w:val="0"/>
        <w:bidi w:val="0"/>
        <w:spacing w:line="259" w:lineRule="auto"/>
        <w:ind w:firstLine="472" w:firstLineChars="200"/>
        <w:jc w:val="both"/>
        <w:rPr>
          <w:rFonts w:ascii="Arial"/>
          <w:sz w:val="21"/>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341A703F">
      <w:pPr>
        <w:keepNext w:val="0"/>
        <w:keepLines w:val="0"/>
        <w:pageBreakBefore w:val="0"/>
        <w:kinsoku/>
        <w:wordWrap w:val="0"/>
        <w:overflowPunct/>
        <w:topLinePunct w:val="0"/>
        <w:bidi w:val="0"/>
        <w:spacing w:line="259" w:lineRule="auto"/>
        <w:jc w:val="both"/>
        <w:rPr>
          <w:rFonts w:ascii="Arial"/>
          <w:sz w:val="21"/>
        </w:rPr>
      </w:pPr>
    </w:p>
    <w:p w14:paraId="60A1200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spacing w:val="-1"/>
          <w:sz w:val="24"/>
          <w:szCs w:val="24"/>
          <w:lang w:val="en-US" w:eastAsia="zh-CN"/>
          <w14:textOutline w14:w="1537" w14:cap="flat" w14:cmpd="sng">
            <w14:solidFill>
              <w14:srgbClr w14:val="000000"/>
            </w14:solidFill>
            <w14:prstDash w14:val="solid"/>
            <w14:miter w14:val="0"/>
          </w14:textOutline>
        </w:rPr>
      </w:pPr>
    </w:p>
    <w:p w14:paraId="51BA6EE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、获取采购文件</w:t>
      </w:r>
    </w:p>
    <w:p w14:paraId="42B474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3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0:00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23:59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7AF6218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sz w:val="24"/>
          <w:szCs w:val="24"/>
          <w:lang w:eastAsia="zh-CN"/>
        </w:rPr>
        <w:t>全国公共资源交易平台（河南省·南阳市）</w:t>
      </w:r>
      <w:r>
        <w:rPr>
          <w:rFonts w:hint="eastAsia" w:asciiTheme="minorEastAsia" w:hAnsiTheme="minorEastAsia" w:eastAsiaTheme="minorEastAsia" w:cstheme="minorEastAsia"/>
          <w:sz w:val="24"/>
          <w:szCs w:val="24"/>
        </w:rPr>
        <w:t>https://ggzyjy.nanyang.gov.cn</w:t>
      </w:r>
    </w:p>
    <w:p w14:paraId="2B4ECB01">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全国公共资源交易平台（河南省·南阳市）（https://ggzyjy.nanyang.gov.cn），注册后凭办理的企业身份认证锁（CA数字证书）登录会员系统按网上提示下载招标文件(*.nyzf格式)及资料（操作程序详见全国公共资源交易平台（河南省·南阳市）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，电子交易系统技术支持电话：0512-58188538，</w:t>
      </w:r>
      <w:r>
        <w:rPr>
          <w:rFonts w:hint="eastAsia" w:asciiTheme="minorEastAsia" w:hAnsiTheme="minorEastAsia" w:eastAsiaTheme="minorEastAsia" w:cstheme="minorEastAsia"/>
          <w:spacing w:val="-4"/>
          <w:sz w:val="24"/>
          <w:szCs w:val="24"/>
          <w:lang w:eastAsia="zh-CN"/>
        </w:rPr>
        <w:t>CA数字证书技术支持电话：15672779650。</w:t>
      </w:r>
    </w:p>
    <w:p w14:paraId="340653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31A5AF8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B544C7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14:paraId="3F8E42F4">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文件需要使用投标文件制作工具制作，制作工具及操作手册可在全国公共资源交易平台（河南省·南阳市）“下载专区”中下载。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文件应在</w:t>
      </w:r>
      <w:r>
        <w:rPr>
          <w:rFonts w:hint="eastAsia" w:asciiTheme="minorEastAsia" w:hAnsiTheme="minorEastAsia" w:eastAsiaTheme="minorEastAsia" w:cstheme="minorEastAsia"/>
          <w:spacing w:val="-4"/>
          <w:sz w:val="24"/>
          <w:szCs w:val="24"/>
          <w:lang w:val="en-US" w:eastAsia="zh-CN"/>
        </w:rPr>
        <w:t>竞争性磋商</w:t>
      </w:r>
      <w:r>
        <w:rPr>
          <w:rFonts w:hint="eastAsia" w:asciiTheme="minorEastAsia" w:hAnsiTheme="minorEastAsia" w:eastAsiaTheme="minorEastAsia" w:cstheme="minorEastAsia"/>
          <w:spacing w:val="-4"/>
          <w:sz w:val="24"/>
          <w:szCs w:val="24"/>
          <w:lang w:eastAsia="zh-CN"/>
        </w:rPr>
        <w:t>文件规定的</w:t>
      </w:r>
      <w:r>
        <w:rPr>
          <w:rFonts w:hint="eastAsia" w:asciiTheme="minorEastAsia" w:hAnsiTheme="minorEastAsia" w:eastAsiaTheme="minorEastAsia" w:cstheme="minorEastAsia"/>
          <w:spacing w:val="-4"/>
          <w:sz w:val="24"/>
          <w:szCs w:val="24"/>
          <w:lang w:val="en-US" w:eastAsia="zh-CN"/>
        </w:rPr>
        <w:t>上传</w:t>
      </w:r>
      <w:r>
        <w:rPr>
          <w:rFonts w:hint="eastAsia" w:asciiTheme="minorEastAsia" w:hAnsiTheme="minorEastAsia" w:eastAsiaTheme="minorEastAsia" w:cstheme="minorEastAsia"/>
          <w:spacing w:val="-4"/>
          <w:sz w:val="24"/>
          <w:szCs w:val="24"/>
          <w:lang w:eastAsia="zh-CN"/>
        </w:rPr>
        <w:t>截止时间前到达交易系统。逾期到达交易系统的电子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文件视为放弃本次</w:t>
      </w:r>
      <w:r>
        <w:rPr>
          <w:rFonts w:hint="eastAsia" w:asciiTheme="minorEastAsia" w:hAnsiTheme="minorEastAsia" w:eastAsiaTheme="minorEastAsia" w:cstheme="minorEastAsia"/>
          <w:spacing w:val="-4"/>
          <w:sz w:val="24"/>
          <w:szCs w:val="24"/>
          <w:lang w:val="en-US" w:eastAsia="zh-CN"/>
        </w:rPr>
        <w:t>磋商</w:t>
      </w:r>
      <w:r>
        <w:rPr>
          <w:rFonts w:hint="eastAsia" w:asciiTheme="minorEastAsia" w:hAnsiTheme="minorEastAsia" w:eastAsiaTheme="minorEastAsia" w:cstheme="minorEastAsia"/>
          <w:spacing w:val="-4"/>
          <w:sz w:val="24"/>
          <w:szCs w:val="24"/>
          <w:lang w:eastAsia="zh-CN"/>
        </w:rPr>
        <w:t>。</w:t>
      </w:r>
    </w:p>
    <w:p w14:paraId="4D47C9D4">
      <w:pPr>
        <w:keepNext w:val="0"/>
        <w:keepLines w:val="0"/>
        <w:pageBreakBefore w:val="0"/>
        <w:shd w:val="clear" w:color="auto" w:fill="FFFFFF"/>
        <w:kinsoku/>
        <w:wordWrap w:val="0"/>
        <w:overflowPunct/>
        <w:topLinePunct w:val="0"/>
        <w:bidi w:val="0"/>
        <w:spacing w:line="360" w:lineRule="auto"/>
        <w:ind w:firstLine="464" w:firstLineChars="200"/>
        <w:jc w:val="both"/>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eastAsia="zh-CN"/>
        </w:rPr>
        <w:t>本项目采用全流程电子化，供应商应在电子响应文件上传截止时间前登录不见面开标大厅，所有准备工作需要自行到位。</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过程中如遇到紧急事项，可在不见面开标大厅中进行提出异议或文字交流，严重问题可拨打技术支持电话0377-61176137。</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w:t>
      </w:r>
      <w:r>
        <w:rPr>
          <w:rFonts w:hint="eastAsia" w:asciiTheme="minorEastAsia" w:hAnsiTheme="minorEastAsia" w:eastAsiaTheme="minorEastAsia" w:cstheme="minorEastAsia"/>
          <w:spacing w:val="-4"/>
          <w:sz w:val="24"/>
          <w:szCs w:val="24"/>
          <w:lang w:eastAsia="zh-CN"/>
        </w:rPr>
        <w:t>造成无法及时解密的，视为该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文件”。电子交易系统技术支持电话：0512-58188538</w:t>
      </w:r>
      <w:r>
        <w:rPr>
          <w:rFonts w:hint="eastAsia" w:asciiTheme="minorEastAsia" w:hAnsiTheme="minorEastAsia" w:eastAsiaTheme="minorEastAsia" w:cstheme="minorEastAsia"/>
          <w:spacing w:val="-4"/>
          <w:sz w:val="24"/>
          <w:szCs w:val="24"/>
          <w:lang w:val="en-US" w:eastAsia="zh-CN"/>
        </w:rPr>
        <w:t>。</w:t>
      </w:r>
    </w:p>
    <w:p w14:paraId="02E08383">
      <w:pPr>
        <w:pStyle w:val="7"/>
        <w:keepNext w:val="0"/>
        <w:keepLines w:val="0"/>
        <w:pageBreakBefore w:val="0"/>
        <w:kinsoku/>
        <w:wordWrap w:val="0"/>
        <w:overflowPunct/>
        <w:topLinePunct w:val="0"/>
        <w:bidi w:val="0"/>
        <w:spacing w:before="79" w:line="222" w:lineRule="auto"/>
        <w:ind w:left="15"/>
        <w:jc w:val="both"/>
        <w:outlineLvl w:val="1"/>
        <w:rPr>
          <w:rFonts w:hint="eastAsia"/>
          <w:spacing w:val="-3"/>
          <w:sz w:val="24"/>
          <w:szCs w:val="24"/>
          <w:lang w:val="en-US" w:eastAsia="zh-CN"/>
          <w14:textOutline w14:w="1537" w14:cap="flat" w14:cmpd="sng">
            <w14:solidFill>
              <w14:srgbClr w14:val="000000"/>
            </w14:solidFill>
            <w14:prstDash w14:val="solid"/>
            <w14:miter w14:val="0"/>
          </w14:textOutline>
        </w:rPr>
      </w:pPr>
    </w:p>
    <w:p w14:paraId="3ACEACEA">
      <w:pPr>
        <w:pStyle w:val="7"/>
        <w:keepNext w:val="0"/>
        <w:keepLines w:val="0"/>
        <w:pageBreakBefore w:val="0"/>
        <w:kinsoku/>
        <w:wordWrap w:val="0"/>
        <w:overflowPunct/>
        <w:topLinePunct w:val="0"/>
        <w:bidi w:val="0"/>
        <w:spacing w:before="79" w:line="222" w:lineRule="auto"/>
        <w:ind w:left="15"/>
        <w:jc w:val="both"/>
        <w:outlineLvl w:val="1"/>
        <w:rPr>
          <w:rFonts w:hint="default" w:eastAsia="宋体"/>
          <w:sz w:val="24"/>
          <w:szCs w:val="24"/>
          <w:lang w:val="en-US" w:eastAsia="zh-CN"/>
        </w:rPr>
      </w:pPr>
      <w:r>
        <w:rPr>
          <w:rFonts w:hint="eastAsia"/>
          <w:spacing w:val="-3"/>
          <w:sz w:val="24"/>
          <w:szCs w:val="24"/>
          <w:lang w:val="en-US" w:eastAsia="zh-CN"/>
          <w14:textOutline w14:w="1537" w14:cap="flat" w14:cmpd="sng">
            <w14:solidFill>
              <w14:srgbClr w14:val="000000"/>
            </w14:solidFill>
            <w14:prstDash w14:val="solid"/>
            <w14:miter w14:val="0"/>
          </w14:textOutline>
        </w:rPr>
        <w:t>六</w:t>
      </w:r>
      <w:r>
        <w:rPr>
          <w:spacing w:val="-3"/>
          <w:sz w:val="24"/>
          <w:szCs w:val="24"/>
          <w14:textOutline w14:w="1537" w14:cap="flat" w14:cmpd="sng">
            <w14:solidFill>
              <w14:srgbClr w14:val="000000"/>
            </w14:solidFill>
            <w14:prstDash w14:val="solid"/>
            <w14:miter w14:val="0"/>
          </w14:textOutline>
        </w:rPr>
        <w:t>、</w:t>
      </w:r>
      <w:r>
        <w:rPr>
          <w:rFonts w:hint="eastAsia"/>
          <w:spacing w:val="-3"/>
          <w:sz w:val="24"/>
          <w:szCs w:val="24"/>
          <w:lang w:val="en-US" w:eastAsia="zh-CN"/>
          <w14:textOutline w14:w="1537" w14:cap="flat" w14:cmpd="sng">
            <w14:solidFill>
              <w14:srgbClr w14:val="000000"/>
            </w14:solidFill>
            <w14:prstDash w14:val="solid"/>
            <w14:miter w14:val="0"/>
          </w14:textOutline>
        </w:rPr>
        <w:t>上传截止时间、</w:t>
      </w:r>
      <w:r>
        <w:rPr>
          <w:spacing w:val="-3"/>
          <w:sz w:val="24"/>
          <w:szCs w:val="24"/>
          <w14:textOutline w14:w="1537" w14:cap="flat" w14:cmpd="sng">
            <w14:solidFill>
              <w14:srgbClr w14:val="000000"/>
            </w14:solidFill>
            <w14:prstDash w14:val="solid"/>
            <w14:miter w14:val="0"/>
          </w14:textOutline>
        </w:rPr>
        <w:t>开启</w:t>
      </w:r>
      <w:r>
        <w:rPr>
          <w:rFonts w:hint="eastAsia"/>
          <w:spacing w:val="-3"/>
          <w:sz w:val="24"/>
          <w:szCs w:val="24"/>
          <w:lang w:val="en-US" w:eastAsia="zh-CN"/>
          <w14:textOutline w14:w="1537" w14:cap="flat" w14:cmpd="sng">
            <w14:solidFill>
              <w14:srgbClr w14:val="000000"/>
            </w14:solidFill>
            <w14:prstDash w14:val="solid"/>
            <w14:miter w14:val="0"/>
          </w14:textOutline>
        </w:rPr>
        <w:t>响应文件时间和地点</w:t>
      </w:r>
    </w:p>
    <w:p w14:paraId="726404A7">
      <w:pPr>
        <w:pStyle w:val="7"/>
        <w:keepNext w:val="0"/>
        <w:keepLines w:val="0"/>
        <w:pageBreakBefore w:val="0"/>
        <w:kinsoku/>
        <w:wordWrap w:val="0"/>
        <w:overflowPunct/>
        <w:topLinePunct w:val="0"/>
        <w:bidi w:val="0"/>
        <w:spacing w:before="181" w:line="220" w:lineRule="auto"/>
        <w:jc w:val="both"/>
        <w:rPr>
          <w:sz w:val="24"/>
          <w:szCs w:val="24"/>
        </w:rPr>
      </w:pPr>
      <w:r>
        <w:rPr>
          <w:spacing w:val="-25"/>
          <w:sz w:val="24"/>
          <w:szCs w:val="24"/>
        </w:rPr>
        <w:t>时间：</w:t>
      </w:r>
      <w:r>
        <w:rPr>
          <w:rFonts w:hint="eastAsia" w:asciiTheme="minorEastAsia" w:hAnsiTheme="minorEastAsia" w:eastAsiaTheme="minorEastAsia" w:cstheme="minorEastAsia"/>
          <w:spacing w:val="-14"/>
          <w:sz w:val="24"/>
          <w:szCs w:val="24"/>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16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w:t>
      </w:r>
      <w:r>
        <w:rPr>
          <w:spacing w:val="-25"/>
          <w:sz w:val="24"/>
          <w:szCs w:val="24"/>
        </w:rPr>
        <w:t>（北京时间）。</w:t>
      </w:r>
    </w:p>
    <w:p w14:paraId="5CB54715">
      <w:pPr>
        <w:pStyle w:val="7"/>
        <w:keepNext w:val="0"/>
        <w:keepLines w:val="0"/>
        <w:pageBreakBefore w:val="0"/>
        <w:kinsoku/>
        <w:wordWrap w:val="0"/>
        <w:overflowPunct/>
        <w:topLinePunct w:val="0"/>
        <w:bidi w:val="0"/>
        <w:spacing w:before="180" w:line="189" w:lineRule="auto"/>
        <w:jc w:val="both"/>
        <w:rPr>
          <w:rFonts w:hint="eastAsia" w:ascii="Arial" w:hAnsi="Arial" w:eastAsia="宋体" w:cs="Arial"/>
          <w:sz w:val="24"/>
          <w:szCs w:val="24"/>
          <w:lang w:eastAsia="zh-CN"/>
        </w:rPr>
      </w:pPr>
      <w:r>
        <w:rPr>
          <w:rFonts w:hint="eastAsia" w:asciiTheme="minorEastAsia" w:hAnsiTheme="minorEastAsia" w:eastAsiaTheme="minorEastAsia" w:cstheme="minorEastAsia"/>
          <w:snapToGrid w:val="0"/>
          <w:color w:val="000000"/>
          <w:spacing w:val="-4"/>
          <w:kern w:val="0"/>
          <w:sz w:val="24"/>
          <w:szCs w:val="24"/>
          <w:lang w:val="en-US" w:eastAsia="zh-CN" w:bidi="ar-SA"/>
        </w:rPr>
        <w:t>地点：本项目使用不见面开标，投标人无需前往现场来参与投标。具体操作流程详见南阳市公共资源交易中心下载专区栏发布的南阳不见面开标-操作手册（投标人）。</w:t>
      </w:r>
    </w:p>
    <w:p w14:paraId="14F3D842">
      <w:pPr>
        <w:keepNext w:val="0"/>
        <w:keepLines w:val="0"/>
        <w:pageBreakBefore w:val="0"/>
        <w:kinsoku/>
        <w:wordWrap w:val="0"/>
        <w:overflowPunct/>
        <w:topLinePunct w:val="0"/>
        <w:bidi w:val="0"/>
        <w:spacing w:line="269" w:lineRule="auto"/>
        <w:jc w:val="both"/>
        <w:rPr>
          <w:rFonts w:ascii="Arial"/>
          <w:sz w:val="21"/>
        </w:rPr>
      </w:pPr>
    </w:p>
    <w:p w14:paraId="3D2DB298">
      <w:pPr>
        <w:keepNext w:val="0"/>
        <w:keepLines w:val="0"/>
        <w:pageBreakBefore w:val="0"/>
        <w:kinsoku/>
        <w:wordWrap w:val="0"/>
        <w:overflowPunct/>
        <w:topLinePunct w:val="0"/>
        <w:bidi w:val="0"/>
        <w:spacing w:line="269" w:lineRule="auto"/>
        <w:jc w:val="both"/>
        <w:rPr>
          <w:rFonts w:ascii="Arial"/>
          <w:sz w:val="21"/>
        </w:rPr>
      </w:pPr>
    </w:p>
    <w:p w14:paraId="4E5E71A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14:paraId="6B5120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3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5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7DDFB747">
      <w:pPr>
        <w:keepNext w:val="0"/>
        <w:keepLines w:val="0"/>
        <w:pageBreakBefore w:val="0"/>
        <w:kinsoku/>
        <w:wordWrap w:val="0"/>
        <w:overflowPunct/>
        <w:topLinePunct w:val="0"/>
        <w:bidi w:val="0"/>
        <w:spacing w:line="259" w:lineRule="auto"/>
        <w:jc w:val="both"/>
        <w:rPr>
          <w:rFonts w:ascii="Arial"/>
          <w:sz w:val="21"/>
        </w:rPr>
      </w:pPr>
    </w:p>
    <w:p w14:paraId="7F109EAC">
      <w:pPr>
        <w:keepNext w:val="0"/>
        <w:keepLines w:val="0"/>
        <w:pageBreakBefore w:val="0"/>
        <w:kinsoku/>
        <w:wordWrap w:val="0"/>
        <w:overflowPunct/>
        <w:topLinePunct w:val="0"/>
        <w:bidi w:val="0"/>
        <w:spacing w:line="260" w:lineRule="auto"/>
        <w:jc w:val="both"/>
        <w:rPr>
          <w:rFonts w:ascii="Arial"/>
          <w:sz w:val="21"/>
        </w:rPr>
      </w:pPr>
    </w:p>
    <w:p w14:paraId="3991422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14:paraId="25D8ED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val="en-US" w:eastAsia="zh-CN"/>
        </w:rPr>
        <w:t>本次招标公告在河南省政府采购网、南阳市公共资源交易中心网发布。</w:t>
      </w:r>
    </w:p>
    <w:p w14:paraId="0C3BD98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2218B1C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6BC8528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537811D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名称：南阳市宛城区人民法院</w:t>
      </w:r>
    </w:p>
    <w:p w14:paraId="42B07D5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地址：河南省南阳市宛城区新华东路1468号</w:t>
      </w:r>
    </w:p>
    <w:p w14:paraId="3AFBF8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联系人：王冠杰</w:t>
      </w:r>
    </w:p>
    <w:p w14:paraId="36C8724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sz w:val="24"/>
          <w:szCs w:val="24"/>
          <w:highlight w:val="none"/>
        </w:rPr>
        <w:t>联系方式：</w:t>
      </w:r>
      <w:r>
        <w:rPr>
          <w:rFonts w:hint="eastAsia" w:asciiTheme="minorEastAsia" w:hAnsiTheme="minorEastAsia" w:eastAsiaTheme="minorEastAsia" w:cstheme="minorEastAsia"/>
          <w:color w:val="auto"/>
          <w:spacing w:val="-15"/>
          <w:sz w:val="24"/>
          <w:szCs w:val="24"/>
          <w:highlight w:val="none"/>
          <w:lang w:val="en-US" w:eastAsia="zh-CN"/>
        </w:rPr>
        <w:t>0377-</w:t>
      </w:r>
      <w:r>
        <w:rPr>
          <w:rFonts w:hint="eastAsia" w:asciiTheme="minorEastAsia" w:hAnsiTheme="minorEastAsia" w:eastAsiaTheme="minorEastAsia" w:cstheme="minorEastAsia"/>
          <w:color w:val="auto"/>
          <w:spacing w:val="-15"/>
          <w:sz w:val="24"/>
          <w:szCs w:val="24"/>
          <w:highlight w:val="none"/>
        </w:rPr>
        <w:t>61661187</w:t>
      </w:r>
    </w:p>
    <w:p w14:paraId="00BD71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4"/>
          <w:sz w:val="24"/>
          <w:szCs w:val="24"/>
        </w:rPr>
      </w:pPr>
    </w:p>
    <w:p w14:paraId="0A643EE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7FC099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名称：南阳市公共资源交易中心</w:t>
      </w:r>
    </w:p>
    <w:p w14:paraId="291A66C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地址：南阳市民服务中心中区3号楼5楼</w:t>
      </w:r>
    </w:p>
    <w:p w14:paraId="06858F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联系人：黄先生</w:t>
      </w:r>
    </w:p>
    <w:p w14:paraId="61262AD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61176178</w:t>
      </w:r>
    </w:p>
    <w:p w14:paraId="422C71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24CC280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t>https://ggzyjy.nanyang.gov.cn   E-mail:nyszfcgzx@126.com</w:t>
      </w:r>
    </w:p>
    <w:p w14:paraId="6971A5A7">
      <w:pPr>
        <w:pStyle w:val="7"/>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69AA50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56642D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350" w:firstLineChars="25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lang w:val="en-US" w:eastAsia="zh-CN"/>
        </w:rPr>
        <w:t xml:space="preserve">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 xml:space="preserve"> 2 </w:t>
      </w:r>
      <w:r>
        <w:rPr>
          <w:rFonts w:hint="eastAsia" w:asciiTheme="minorEastAsia" w:hAnsiTheme="minorEastAsia" w:eastAsiaTheme="minorEastAsia" w:cstheme="minorEastAsia"/>
          <w:spacing w:val="-13"/>
          <w:sz w:val="24"/>
          <w:szCs w:val="24"/>
        </w:rPr>
        <w:t>日</w:t>
      </w:r>
    </w:p>
    <w:p w14:paraId="22F4F369">
      <w:pPr>
        <w:pStyle w:val="7"/>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21C4EB0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F7371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FC255B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69F36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AFFA9F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4A2A7A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4F2A9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72455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F6199B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B1CD47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A4F88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0C8963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30039E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服务范围及内容</w:t>
      </w:r>
    </w:p>
    <w:p w14:paraId="74EE3A1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2"/>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宛城区法院位于新华东路1468号，占地约32亩，办公楼、审判庭、服务中心、各基层法庭建筑面积共约3.5万平方米，绿地面积约4500平方米。</w:t>
      </w:r>
    </w:p>
    <w:p w14:paraId="0382567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pacing w:val="-1"/>
          <w:sz w:val="24"/>
          <w:szCs w:val="24"/>
          <w:lang w:val="en-US" w:eastAsia="zh-CN"/>
        </w:rPr>
        <w:t>服务区域</w:t>
      </w:r>
    </w:p>
    <w:p w14:paraId="3F2621B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办公楼、审判庭、机关服务中心楼楼院围墙以内所有区域及红泥湾、溧河、东关、茶庵、官庄等5个法庭卫生打扫、清洁消毒等。</w:t>
      </w:r>
    </w:p>
    <w:p w14:paraId="03B823A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pacing w:val="-1"/>
          <w:sz w:val="24"/>
          <w:szCs w:val="24"/>
          <w:lang w:val="en-US" w:eastAsia="zh-CN"/>
        </w:rPr>
        <w:t>保洁管理服务范围与内容</w:t>
      </w:r>
    </w:p>
    <w:p w14:paraId="18D5ADA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1.服务区域内全部环境的卫生保洁、环境消毒工作；</w:t>
      </w:r>
    </w:p>
    <w:p w14:paraId="7C7B20F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2.服务区域内供电、照明、供排水等各类系统全部设施的管护、使用、维保和一般故障排除等工作。</w:t>
      </w:r>
    </w:p>
    <w:p w14:paraId="34F3767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（三）绿化服务范围与内容</w:t>
      </w:r>
    </w:p>
    <w:p w14:paraId="2D7002C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1.服务区域内所有草坪、乔木、灌木、攀缘植物、地被植物和其他植物；</w:t>
      </w:r>
    </w:p>
    <w:p w14:paraId="6C5982B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2.服务区域内绿化带的日常巡视、养护、监管及绿化的修剪、浇灌、排水、施肥、除草、病虫害防治等工作。修剪、垃圾清运，每月一次。</w:t>
      </w:r>
    </w:p>
    <w:p w14:paraId="6C55AC1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（四）维护维修服务范围与内容</w:t>
      </w:r>
    </w:p>
    <w:p w14:paraId="30EC0C1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1.服务区域内各类保障日常办公设施的日常维护维修工作；</w:t>
      </w:r>
    </w:p>
    <w:p w14:paraId="4D4A2F6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default"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rPr>
        <w:t>2.服务区域内水、电、管、网等设施设备的更换、管护、操作、保养、维修等工作。</w:t>
      </w:r>
    </w:p>
    <w:p w14:paraId="46432E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832692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物业管理主要要求及标准</w:t>
      </w:r>
    </w:p>
    <w:p w14:paraId="181C417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黑体" w:hAnsi="黑体" w:eastAsia="黑体" w:cs="黑体"/>
          <w:spacing w:val="-1"/>
          <w:sz w:val="24"/>
          <w:szCs w:val="24"/>
          <w:lang w:val="en-US" w:eastAsia="zh-CN"/>
        </w:rPr>
      </w:pPr>
      <w:r>
        <w:rPr>
          <w:rFonts w:hint="eastAsia" w:ascii="黑体" w:hAnsi="黑体" w:eastAsia="黑体" w:cs="黑体"/>
          <w:snapToGrid w:val="0"/>
          <w:color w:val="000000"/>
          <w:spacing w:val="-1"/>
          <w:kern w:val="0"/>
          <w:sz w:val="24"/>
          <w:szCs w:val="24"/>
          <w:lang w:val="en-US" w:eastAsia="zh-CN" w:bidi="ar-SA"/>
        </w:rPr>
        <w:t>（一）</w:t>
      </w:r>
      <w:r>
        <w:rPr>
          <w:rFonts w:hint="eastAsia" w:ascii="黑体" w:hAnsi="黑体" w:eastAsia="黑体" w:cs="黑体"/>
          <w:spacing w:val="-1"/>
          <w:sz w:val="24"/>
          <w:szCs w:val="24"/>
          <w:lang w:val="en-US" w:eastAsia="zh-CN"/>
        </w:rPr>
        <w:t>公司人员基本要求</w:t>
      </w:r>
    </w:p>
    <w:p w14:paraId="57C4194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物业总人数不少于22人，人员年龄要求30—55岁，身体健康，工作责任心强，能吃苦耐劳，有较强的服务意识，做到热情服务、礼貌服务、严细服务、周到服务，有相应的资质证书，除水电值班岗位24小时在岗外，其他人员应严格遵守上下班规定，严禁脱岗。具体岗位要求:</w:t>
      </w:r>
    </w:p>
    <w:p w14:paraId="7A736EA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楷体" w:hAnsi="楷体" w:eastAsia="楷体" w:cs="楷体"/>
          <w:b/>
          <w:bCs/>
          <w:spacing w:val="-1"/>
          <w:sz w:val="24"/>
          <w:szCs w:val="24"/>
          <w:lang w:val="en-US" w:eastAsia="zh-CN"/>
        </w:rPr>
      </w:pPr>
      <w:r>
        <w:rPr>
          <w:rFonts w:hint="eastAsia" w:ascii="黑体" w:hAnsi="黑体" w:eastAsia="黑体" w:cs="黑体"/>
          <w:b w:val="0"/>
          <w:bCs w:val="0"/>
          <w:spacing w:val="-1"/>
          <w:sz w:val="24"/>
          <w:szCs w:val="24"/>
          <w:lang w:val="en-US" w:eastAsia="zh-CN"/>
        </w:rPr>
        <w:t>工作职责</w:t>
      </w:r>
    </w:p>
    <w:p w14:paraId="101CD4E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1、项目负责人1名</w:t>
      </w:r>
    </w:p>
    <w:p w14:paraId="74EACC5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负责本项目人员管理，岗位管理，各项物业服务工作的监督检查，负责法庭每月检查、督促、整改等各项工作，协调对接甲方单位随时安排的临时任务等。</w:t>
      </w:r>
    </w:p>
    <w:p w14:paraId="48D64B2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2、水、电工2人</w:t>
      </w:r>
    </w:p>
    <w:p w14:paraId="13F03AD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负责办公楼、审判庭、服务中心楼设备水、电、空调、消防的日常巡视、检查和维护工作，做好5个法庭的水、电计划性保养工作，配合甲方单位完成各种临时性维修改造工作。</w:t>
      </w:r>
    </w:p>
    <w:p w14:paraId="6D57B90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3、绿化岗位2人</w:t>
      </w:r>
    </w:p>
    <w:p w14:paraId="442CDD0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负责办公院内及法庭树木、草坪、花卉等养护、定期施肥、浇水、修剪、打药、防止病虫害等。</w:t>
      </w:r>
    </w:p>
    <w:p w14:paraId="235782F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4、会务服务1人</w:t>
      </w:r>
    </w:p>
    <w:p w14:paraId="0EE5A32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负责服务区域会议前准备、会议值班、会议后清理等任务，负责领导办公室卫生打理，负责报刊杂志发放，完成领导交办的其他临时性工作。</w:t>
      </w:r>
    </w:p>
    <w:p w14:paraId="025B96F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5、保洁服务岗位10人</w:t>
      </w:r>
    </w:p>
    <w:p w14:paraId="00C3828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负责服务办公楼、审判厅、机关服务中心楼指定区域和特定区域卫生清理、环境消毒等。</w:t>
      </w:r>
    </w:p>
    <w:p w14:paraId="6A1613F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6、法庭保洁岗位5人</w:t>
      </w:r>
    </w:p>
    <w:p w14:paraId="5D72160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负责红泥湾、溧河、东关、茶庵、官庄等5个法庭所有卫生打扫、清洁消毒等，包括每月法庭检查、督促及整改；提供卫生间洗刷洁厕用品等。</w:t>
      </w:r>
    </w:p>
    <w:p w14:paraId="6367CBD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7、垃圾清运1人</w:t>
      </w:r>
    </w:p>
    <w:p w14:paraId="582AF31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负责服务区域及餐厅内产生的垃圾，每天及时清理后运至垃圾处理站。</w:t>
      </w:r>
    </w:p>
    <w:p w14:paraId="7456415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黑体" w:hAnsi="黑体" w:eastAsia="黑体" w:cs="黑体"/>
          <w:spacing w:val="-1"/>
          <w:sz w:val="24"/>
          <w:szCs w:val="24"/>
          <w:lang w:val="en-US" w:eastAsia="zh-CN"/>
        </w:rPr>
      </w:pPr>
    </w:p>
    <w:p w14:paraId="45A41F9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黑体" w:hAnsi="黑体" w:eastAsia="黑体" w:cs="黑体"/>
          <w:spacing w:val="-1"/>
          <w:sz w:val="24"/>
          <w:szCs w:val="24"/>
          <w:lang w:val="en-US" w:eastAsia="zh-CN"/>
        </w:rPr>
        <w:t>物业服务标准</w:t>
      </w:r>
    </w:p>
    <w:p w14:paraId="7C2A6D4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办公大楼服务中心保洁服务范围、工作流程及质量标准：</w:t>
      </w:r>
    </w:p>
    <w:p w14:paraId="2AED927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1、大厅的保洁：</w:t>
      </w:r>
    </w:p>
    <w:p w14:paraId="1848F1D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①范围</w:t>
      </w:r>
    </w:p>
    <w:p w14:paraId="70C4982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包括地面、宣传牌、信报箱、垃圾筒、消防设施。</w:t>
      </w:r>
    </w:p>
    <w:p w14:paraId="64127C2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②工作流程</w:t>
      </w:r>
    </w:p>
    <w:p w14:paraId="6E3D66C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a每天上午、下午院上班前分两次重点清理大厅、重点清理地面的垃圾杂物，院上班后，及时巡视保洁数次</w:t>
      </w:r>
    </w:p>
    <w:p w14:paraId="46003FE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b用扫把清扫大厅地面垃圾，用长柄刷沾洗洁精清除掉污渍和香口胶。</w:t>
      </w:r>
    </w:p>
    <w:p w14:paraId="7C9BDCB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c清倒垃圾筒，洗后净后放回原处。</w:t>
      </w:r>
    </w:p>
    <w:p w14:paraId="33DACA7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d用尘拖或拖把拖掉地面尘土和污迹。</w:t>
      </w:r>
    </w:p>
    <w:p w14:paraId="74F5575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e用干毛巾和不锈钢油轻抹大厅内各种不锈钢制品，包括门柱、镶字、宣传栏。</w:t>
      </w:r>
    </w:p>
    <w:p w14:paraId="1F9859F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f用湿毛巾拧干后，擦抹大厅门窗框、防火门、消防栓柜、指示牌、信报箱。</w:t>
      </w:r>
    </w:p>
    <w:p w14:paraId="70F5BA6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g先用湿拖把拖两遍台阶，再将干净的湿拖把用力拧干后再拖一遍。</w:t>
      </w:r>
    </w:p>
    <w:p w14:paraId="7D7843F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h用干净毛巾擦拭玻璃门，并每周清刮一次。</w:t>
      </w:r>
    </w:p>
    <w:p w14:paraId="1ABD701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i出入口的台阶每周用洗洁精冲刷一次。</w:t>
      </w:r>
    </w:p>
    <w:p w14:paraId="5847DB3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③标准．</w:t>
      </w:r>
    </w:p>
    <w:p w14:paraId="262F030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a地面无烟头、纸屑、果皮等杂物，无污渍。</w:t>
      </w:r>
    </w:p>
    <w:p w14:paraId="1662C15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b公共设施表面无明显灰尘。</w:t>
      </w:r>
    </w:p>
    <w:p w14:paraId="732CD53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c不锈钢表面光亮无污迹</w:t>
      </w:r>
    </w:p>
    <w:p w14:paraId="28448C2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d玻璃门无水迹、手印、污迹。</w:t>
      </w:r>
    </w:p>
    <w:p w14:paraId="17B71F6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2、电梯轿厢：</w:t>
      </w:r>
    </w:p>
    <w:p w14:paraId="0EFE0CA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①保持干净，无污渍、无粘贴物、无异味，每日至少开展1次清洁作业。</w:t>
      </w:r>
    </w:p>
    <w:p w14:paraId="0AAC055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②灯具、操作指示板明亮</w:t>
      </w:r>
    </w:p>
    <w:p w14:paraId="58B2067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3、公用卫生间的保洁</w:t>
      </w:r>
    </w:p>
    <w:p w14:paraId="1C3E8D9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①范围</w:t>
      </w:r>
    </w:p>
    <w:p w14:paraId="5B44614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服务区域内所有公用卫生间。</w:t>
      </w:r>
    </w:p>
    <w:p w14:paraId="68BBB43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②工作流程</w:t>
      </w:r>
    </w:p>
    <w:p w14:paraId="3864326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a每天上午、下午上班前分两次重点清理公用卫生间，上班后巡视保洁。</w:t>
      </w:r>
    </w:p>
    <w:p w14:paraId="6B7F72A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b打开门窗通风，用水冲洗大小便器，用夹子夹出小便器内的烟头等杂物。</w:t>
      </w:r>
    </w:p>
    <w:p w14:paraId="16EC392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c从上到下屋顶、墙面清洁除尘、瓷砖面擦抹，清扫地面垃圾，清倒垃圾篓，换新垃圾袋后放回原位。</w:t>
      </w:r>
    </w:p>
    <w:p w14:paraId="322D774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d将洁厕水倒入水勺内，用厕所刷沾洁厕水刷洗大、小便器，然后用清水冲净。</w:t>
      </w:r>
    </w:p>
    <w:p w14:paraId="50C96E3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e用湿拖把拖干净地面，然后用干拖把拖干。</w:t>
      </w:r>
    </w:p>
    <w:p w14:paraId="154FF21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f点燃卫生香和空气清新剂，小便斗内放入卫生球（樟脑丸）。</w:t>
      </w:r>
    </w:p>
    <w:p w14:paraId="0224A8D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g及时巡视保洁数次，冲刷大小便池，清理地面垃圾、积水等。</w:t>
      </w:r>
    </w:p>
    <w:p w14:paraId="148555C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③标准</w:t>
      </w:r>
    </w:p>
    <w:p w14:paraId="77AA069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a天花、墙角、灯具目视无灰尘、蜘蛛网。</w:t>
      </w:r>
    </w:p>
    <w:p w14:paraId="5DBA401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b面镜、洗脸盆、台面洁净无污渍。</w:t>
      </w:r>
    </w:p>
    <w:p w14:paraId="63FAE94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c目视墙壁干净，便器洁净无黄渍。</w:t>
      </w:r>
    </w:p>
    <w:p w14:paraId="1224BE7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d地面无烟头、污渍、积水、纸屑、果皮。</w:t>
      </w:r>
    </w:p>
    <w:p w14:paraId="4193231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4、楼道的清洁：</w:t>
      </w:r>
    </w:p>
    <w:p w14:paraId="431988C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①范围</w:t>
      </w:r>
    </w:p>
    <w:p w14:paraId="618DA67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楼道楼级、扶手、墙面、信报箱、消防栓、消防管道、楼道门窗、楼道灯开关及灯具的清洁。</w:t>
      </w:r>
    </w:p>
    <w:p w14:paraId="26ADF28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②工作流程</w:t>
      </w:r>
    </w:p>
    <w:p w14:paraId="66BCD17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a从顶层到底层自上而下清扫楼道梯级，将果皮、烟头、纸屑收集倒入垃圾箱；用胶桶装清水，洗净拖把，从顶层往下逐级拖抹梯级，拖抹时，清洗拖把数次。</w:t>
      </w:r>
    </w:p>
    <w:p w14:paraId="055D39D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b自上而下擦抹楼梯扶手及栏杆，擦抹时，清洗抹布数次。</w:t>
      </w:r>
    </w:p>
    <w:p w14:paraId="7A5CE1A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c用于抹布擦抹配电箱、电表箱上的灰尘和污迹。</w:t>
      </w:r>
    </w:p>
    <w:p w14:paraId="1BC9CC6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d每天上午、下午院上班前保洁完毕。</w:t>
      </w:r>
    </w:p>
    <w:p w14:paraId="343A8C0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e上班后及时巡视楼道内外卫生，将广告纸、烟头、果皮、垃圾清扫干净。</w:t>
      </w:r>
    </w:p>
    <w:p w14:paraId="2B3C4E2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③标准</w:t>
      </w:r>
    </w:p>
    <w:p w14:paraId="5EDC2B3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a每天重点清扫、拖抹两次，并及时巡视保洁数次，保持干净。</w:t>
      </w:r>
    </w:p>
    <w:p w14:paraId="4619F32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b目视楼道：无烟头、果皮、纸屑、广告纸、蜘蛛网、积尘、污迹等。</w:t>
      </w:r>
    </w:p>
    <w:p w14:paraId="1A78807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5、瓷砖、喷涂和大理石墙面的保洁</w:t>
      </w:r>
    </w:p>
    <w:p w14:paraId="13F494E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①范围</w:t>
      </w:r>
    </w:p>
    <w:p w14:paraId="4797BF3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服务区内所有贴瓷砖的内墙面、喷涂墙面和大理石墙面。</w:t>
      </w:r>
    </w:p>
    <w:p w14:paraId="568C8E4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②工作流程</w:t>
      </w:r>
    </w:p>
    <w:p w14:paraId="7447D7D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a用铲刀、刀片轻轻刮掉墙面的污垢、脏渍。</w:t>
      </w:r>
    </w:p>
    <w:p w14:paraId="3254F2C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b把毛巾浸入放有洗洁精的水盆，沿着墙壁从上往下来回擦抹。</w:t>
      </w:r>
    </w:p>
    <w:p w14:paraId="1262413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c有污迹的地方，再用短柄刷刷洗。</w:t>
      </w:r>
    </w:p>
    <w:p w14:paraId="1C4159A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d换清水后，将毛巾浸透后，用力拧干，再清找一遍。</w:t>
      </w:r>
    </w:p>
    <w:p w14:paraId="56F662D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e用干拖把拖干地面。</w:t>
      </w:r>
    </w:p>
    <w:p w14:paraId="0AD83C9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f墙面清抹每周一次，墙面清洗每月一次，视其情况增加次数。</w:t>
      </w:r>
    </w:p>
    <w:p w14:paraId="3B6BC86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③标准</w:t>
      </w:r>
    </w:p>
    <w:p w14:paraId="4A9A28E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目视墙面干净整洁无污迹。</w:t>
      </w:r>
    </w:p>
    <w:p w14:paraId="144A668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6、乳胶漆墙面的保洁：</w:t>
      </w:r>
    </w:p>
    <w:p w14:paraId="79269F2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①范围</w:t>
      </w:r>
    </w:p>
    <w:p w14:paraId="0DC3B43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服务区内楼梯、走道等处的乳胶漆墙面及天棚面。</w:t>
      </w:r>
    </w:p>
    <w:p w14:paraId="76EBC80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②工作流程</w:t>
      </w:r>
    </w:p>
    <w:p w14:paraId="3C72CB9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a关闭局部要清洁处的门窗，在地面上淋些水。</w:t>
      </w:r>
    </w:p>
    <w:p w14:paraId="51DC404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b用鸡毛掸子或干净的扫把轻轻掸去墙面及天棚上灰尘。</w:t>
      </w:r>
    </w:p>
    <w:p w14:paraId="2F5E01B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c用干毛巾清擦墙面的污迹，擦不掉的污迹用细砂纸轻轻擦掉。</w:t>
      </w:r>
    </w:p>
    <w:p w14:paraId="14EE610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d用铲刀铲掉墙面上粘附的泥沙、痰迹。</w:t>
      </w:r>
    </w:p>
    <w:p w14:paraId="60413A4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e扫净地面灰尘，再用拖把拖干净地面。</w:t>
      </w:r>
    </w:p>
    <w:p w14:paraId="24FD44D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f上述工作每月做一次，视其情况增加次数。</w:t>
      </w:r>
    </w:p>
    <w:p w14:paraId="7D65A93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③</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标准</w:t>
      </w:r>
    </w:p>
    <w:p w14:paraId="7016079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目视墙面洁净无污迹、无粘附物、无灰尘、无蜘蛛网等。</w:t>
      </w:r>
    </w:p>
    <w:p w14:paraId="0919D30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7、走廊的保洁：</w:t>
      </w:r>
    </w:p>
    <w:p w14:paraId="23C5D8D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①范围</w:t>
      </w:r>
    </w:p>
    <w:p w14:paraId="5CB2D9A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服务区内所有楼层公共通道地面。</w:t>
      </w:r>
    </w:p>
    <w:p w14:paraId="414A3DD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②工作流程</w:t>
      </w:r>
    </w:p>
    <w:p w14:paraId="38BD4AB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a每天上午、下午院上班前分两次用扫把拖把对走道地面清扫拖抹干净；院上班后及时巡视保洁数次。</w:t>
      </w:r>
    </w:p>
    <w:p w14:paraId="690B17A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b用长柄手刷沾去污粉对污迹较重的通道地面彻底清刷，再用拧干的湿毛巾，抹净墙根部分踢脚线。</w:t>
      </w:r>
    </w:p>
    <w:p w14:paraId="3F03285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③标准</w:t>
      </w:r>
    </w:p>
    <w:p w14:paraId="3873395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地面目视干净无杂物、无污迹。</w:t>
      </w:r>
    </w:p>
    <w:p w14:paraId="1D94B24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8、不锈钢的保洁保养：</w:t>
      </w:r>
    </w:p>
    <w:p w14:paraId="04DD094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①范围</w:t>
      </w:r>
    </w:p>
    <w:p w14:paraId="358BD71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电梯轿厢、护栏、标牌、宣传栏、扶手。</w:t>
      </w:r>
    </w:p>
    <w:p w14:paraId="234AA7A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②工作流程</w:t>
      </w:r>
    </w:p>
    <w:p w14:paraId="6714AF5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a先用兑有中性清洁剂的溶液抹不锈钢表面。</w:t>
      </w:r>
    </w:p>
    <w:p w14:paraId="7117BCF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b然后用无绒毛巾抹净不锈钢表面上的水珠。</w:t>
      </w:r>
    </w:p>
    <w:p w14:paraId="6847981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c置少许不锈钢油于无绒毛巾上，对不锈钢表面进行拭抹。</w:t>
      </w:r>
    </w:p>
    <w:p w14:paraId="17B4BC7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d表面面积大的可用手动喷雾枪将不锈钢油喷于不锈钢表面，然后用无绒干毛巾拭抹。</w:t>
      </w:r>
    </w:p>
    <w:p w14:paraId="4F60C87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③标准</w:t>
      </w:r>
    </w:p>
    <w:p w14:paraId="4F83B4A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a亚光面不锈钢表面无污迹、无灰尘。</w:t>
      </w:r>
    </w:p>
    <w:p w14:paraId="31E9B19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b镜面不锈钢表面光亮，三米内能清晰映出人物影象。</w:t>
      </w:r>
    </w:p>
    <w:p w14:paraId="730BA2A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9、垃圾桶（箱）、痰盂的保洁：</w:t>
      </w:r>
    </w:p>
    <w:p w14:paraId="111D773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①工作流程：</w:t>
      </w:r>
    </w:p>
    <w:p w14:paraId="6D17EB4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a清理出的垃圾按指定位置堆放。</w:t>
      </w:r>
    </w:p>
    <w:p w14:paraId="58721FF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b清除垃圾桶（箱）、痰盂内的垃圾后，将桶（箱）、痰盂搬到有水源的地方，先用水冲洗一遍，然后对污迹处倒少许去污粉擦洗，再用水冲洗干净，搬到原处放好。</w:t>
      </w:r>
    </w:p>
    <w:p w14:paraId="4AB8AB6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②标准</w:t>
      </w:r>
    </w:p>
    <w:p w14:paraId="511EB4B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a目视无污迹，无广告纸，每天清运、清洗一次，垃圾桶和箱每周用去污粉清洁一次。</w:t>
      </w:r>
    </w:p>
    <w:p w14:paraId="0336050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b垃圾桶周围不积污水，位置摆放合理，桶盖闭合，外观干净清洁。</w:t>
      </w:r>
    </w:p>
    <w:p w14:paraId="15762CA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10、会议室的保洁：</w:t>
      </w:r>
    </w:p>
    <w:p w14:paraId="679E1A7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a会议室门面、门把手、表面无尘土、无污渍、手印。</w:t>
      </w:r>
    </w:p>
    <w:p w14:paraId="3DF3DF0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b桌椅摆放整齐，干净无尘土、无毛发。</w:t>
      </w:r>
    </w:p>
    <w:p w14:paraId="5C76487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c墙面、布面无尘土、无污渍、悬挂摆放的各种饰品干净，摆放整齐。</w:t>
      </w:r>
    </w:p>
    <w:p w14:paraId="600C04D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d垃圾桶及时清倒、内外干净。</w:t>
      </w:r>
    </w:p>
    <w:p w14:paraId="605F60C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e地面先清扫，再用拖把清拖干净、无污渍、无杂物。</w:t>
      </w:r>
    </w:p>
    <w:p w14:paraId="20C1131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f检查照明、空调等设施，确保正常工作。</w:t>
      </w:r>
    </w:p>
    <w:p w14:paraId="7617C20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g做好开会时的茶水、果点供应和会议用品摆放。</w:t>
      </w:r>
    </w:p>
    <w:p w14:paraId="543A8CF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h尽力做好服务工作，确保开会时各项工作有序进行。</w:t>
      </w:r>
    </w:p>
    <w:p w14:paraId="31D999B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11、保洁工具由中标人自带，如洗涤用品、清洁用品等。</w:t>
      </w:r>
    </w:p>
    <w:p w14:paraId="484D6F9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12、绿化服务</w:t>
      </w:r>
    </w:p>
    <w:p w14:paraId="7B0B1C7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a服务区域内所有草坪、乔木、灌木、地面植物和其它植物。</w:t>
      </w:r>
    </w:p>
    <w:p w14:paraId="51E7D0C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b每天捡拾地面上白色垃圾及杂物，保证草坪干净。</w:t>
      </w:r>
    </w:p>
    <w:p w14:paraId="01FDA77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c及时除草、打药、施肥、浇水保证草坪常绿，无杂草、无旱死枯死现象发生。</w:t>
      </w:r>
    </w:p>
    <w:p w14:paraId="1486ED7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d灌木根据不同季节，修剪、整理、浇水并及时清理修剪后的树干，保证树木整齐美观。</w:t>
      </w:r>
    </w:p>
    <w:p w14:paraId="0E32338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e木美观造型，做到出院内四季常青，三季月花，树木茂盛。</w:t>
      </w:r>
    </w:p>
    <w:p w14:paraId="55F836E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13、水电维修</w:t>
      </w:r>
    </w:p>
    <w:p w14:paraId="1947BB5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a负责整个办公大楼、地下配电室、配水室、院内供电、供水设备及灯、管、线的日常管理和维修。</w:t>
      </w:r>
    </w:p>
    <w:p w14:paraId="01F6496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b对配电室、配水室及水电管网、上下水管道经常检查，确保上下水管道无堵塞，设备正常运行无事故。</w:t>
      </w:r>
    </w:p>
    <w:p w14:paraId="7CA659C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c水电维修人员负责对各设备按时保养维护，确保设备良好运行，及时做好每日巡查记录。</w:t>
      </w:r>
    </w:p>
    <w:p w14:paraId="2034210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14、各基层法庭</w:t>
      </w:r>
    </w:p>
    <w:p w14:paraId="5237F8B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a卫生保洁标准按要求做到，保洁每周1-2次，确保办公、开庭正常使用。</w:t>
      </w:r>
    </w:p>
    <w:p w14:paraId="3E6793C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b树木修剪按季节修剪。</w:t>
      </w:r>
    </w:p>
    <w:p w14:paraId="69499B2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c负责5个基层法庭供电、供水设备的日常管理和维修。</w:t>
      </w:r>
    </w:p>
    <w:p w14:paraId="3757EC8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15、报刊杂志发放和会务服务</w:t>
      </w:r>
    </w:p>
    <w:p w14:paraId="4AE7E2A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负责报刊杂志发放及所有会议室的保洁、会前会场布置和会议时的茶水、音响等工作。</w:t>
      </w:r>
    </w:p>
    <w:p w14:paraId="770B0F4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会议服务岗位人员要求女性，年龄20—40岁，身高1．60米以上，相貌端庄大方，衣着整齐，能吃苦耐劳，干活利索、有会议服务工作经验。</w:t>
      </w:r>
    </w:p>
    <w:p w14:paraId="0EFAB70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岗位要求:</w:t>
      </w:r>
    </w:p>
    <w:p w14:paraId="3CCE1C8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a负责会议室的卫生，保证会议室干净整洁，随时可用。</w:t>
      </w:r>
    </w:p>
    <w:p w14:paraId="4DAFDEA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b负责及时做好会议前的需要、会务方面茶水的服务。做到会议室干净整洁，桌椅排放整齐，按会议需要备好茶杯，饮用水，会后及时打扫清理。</w:t>
      </w:r>
    </w:p>
    <w:p w14:paraId="6FB0EC5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c会议室配置的设备、桌椅未经许可，不得随意搬动挪作它用，室内物品不得随意拿出或挪用，若确因需要借用，必须征得管理部门同意后方可动用，事后归还原处。</w:t>
      </w:r>
    </w:p>
    <w:p w14:paraId="12F2A5F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d会议室使用完毕后，应随时关闭门、窗和全部设施设备电源，切实做好防火、防盗及其他安全工作，如因会服人员造成的损失将追究个人的责任。</w:t>
      </w:r>
    </w:p>
    <w:p w14:paraId="5031A6C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e会服人员每天做好会议室场地及消防安全及设备检查工作，保障会议室资源不流失，完成好规定的日巡视工作。</w:t>
      </w:r>
    </w:p>
    <w:p w14:paraId="627C7AC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2"/>
        <w:rPr>
          <w:rFonts w:hint="default"/>
          <w:lang w:val="en-US" w:eastAsia="zh-CN"/>
        </w:rPr>
      </w:pPr>
      <w:r>
        <w:rPr>
          <w:rFonts w:hint="eastAsia" w:asciiTheme="minorEastAsia" w:hAnsiTheme="minorEastAsia" w:eastAsiaTheme="minorEastAsia" w:cstheme="minorEastAsia"/>
          <w:spacing w:val="-1"/>
          <w:sz w:val="24"/>
          <w:szCs w:val="24"/>
          <w:lang w:val="en-US" w:eastAsia="zh-CN"/>
        </w:rPr>
        <w:t>f会服人员须严格遵守各项规章制度，做好服务及协调工作，保障各类会议、接待活动的正常进行。</w:t>
      </w:r>
    </w:p>
    <w:p w14:paraId="07B1D01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50DB9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2AF60F0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期限</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三年（合同每年一签，经采购人年度考核合格可续签下一年度合同，最多续签两次）</w:t>
      </w:r>
    </w:p>
    <w:p w14:paraId="5DFFD4C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val="en-US" w:eastAsia="zh-CN"/>
        </w:rPr>
        <w:t>2.服务</w:t>
      </w:r>
      <w:r>
        <w:rPr>
          <w:rFonts w:hint="eastAsia" w:asciiTheme="minorEastAsia" w:hAnsiTheme="minorEastAsia" w:eastAsiaTheme="minorEastAsia" w:cstheme="minorEastAsia"/>
          <w:spacing w:val="-2"/>
          <w:sz w:val="24"/>
          <w:szCs w:val="24"/>
        </w:rPr>
        <w:t>范围</w:t>
      </w:r>
      <w:r>
        <w:rPr>
          <w:rFonts w:hint="eastAsia" w:asciiTheme="minorEastAsia" w:hAnsiTheme="minorEastAsia" w:eastAsiaTheme="minorEastAsia" w:cstheme="minorEastAsia"/>
          <w:spacing w:val="-2"/>
          <w:sz w:val="24"/>
          <w:szCs w:val="24"/>
          <w:lang w:eastAsia="zh-CN"/>
        </w:rPr>
        <w:t>：南阳市宛城区人民法院。</w:t>
      </w:r>
    </w:p>
    <w:p w14:paraId="23B3973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3.服务质量：满足采购人要求。</w:t>
      </w:r>
    </w:p>
    <w:p w14:paraId="586DC4C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4.付款方式：按中标金额平均三年，按合同约定支付。</w:t>
      </w:r>
    </w:p>
    <w:p w14:paraId="1FC34AE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w:t>
      </w:r>
      <w:r>
        <w:rPr>
          <w:rFonts w:hint="eastAsia" w:asciiTheme="minorEastAsia" w:hAnsiTheme="minorEastAsia" w:eastAsiaTheme="minorEastAsia" w:cstheme="minorEastAsia"/>
          <w:spacing w:val="-1"/>
          <w:sz w:val="24"/>
          <w:szCs w:val="24"/>
          <w:lang w:val="en-US" w:eastAsia="zh-CN"/>
        </w:rPr>
        <w:t>参与供应商应提供针对本项目的环境卫生管理方案、水电维修方案、绿化养护方案及措施、会务服务方案及措施、人员配备、拟投入的设备、管理制度、应急预案等。</w:t>
      </w:r>
    </w:p>
    <w:p w14:paraId="26B3B91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2"/>
          <w:sz w:val="24"/>
          <w:szCs w:val="24"/>
        </w:rPr>
        <w:t>保险</w:t>
      </w:r>
      <w:r>
        <w:rPr>
          <w:rFonts w:hint="eastAsia" w:asciiTheme="minorEastAsia" w:hAnsiTheme="minorEastAsia" w:eastAsiaTheme="minorEastAsia" w:cstheme="minorEastAsia"/>
          <w:spacing w:val="-2"/>
          <w:sz w:val="24"/>
          <w:szCs w:val="24"/>
          <w:lang w:eastAsia="zh-CN"/>
        </w:rPr>
        <w:t>：由成交供应商负责。</w:t>
      </w:r>
    </w:p>
    <w:p w14:paraId="6722048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pacing w:val="-1"/>
          <w:sz w:val="24"/>
          <w:szCs w:val="24"/>
        </w:rPr>
        <w:t>其他要求</w:t>
      </w:r>
      <w:r>
        <w:rPr>
          <w:rFonts w:hint="eastAsia" w:asciiTheme="minorEastAsia" w:hAnsiTheme="minorEastAsia" w:eastAsiaTheme="minorEastAsia" w:cstheme="minorEastAsia"/>
          <w:spacing w:val="-1"/>
          <w:sz w:val="24"/>
          <w:szCs w:val="24"/>
          <w:lang w:eastAsia="zh-CN"/>
        </w:rPr>
        <w:t>：供应商的报价应包含物业服务费，税费，人员工资，意外保险，社保费用，管理费等，釆购方不再支取其它费用。</w:t>
      </w:r>
    </w:p>
    <w:p w14:paraId="3BBE301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p>
    <w:p w14:paraId="07BE9E5A">
      <w:pPr>
        <w:pStyle w:val="7"/>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7F176200">
      <w:pPr>
        <w:pStyle w:val="7"/>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2817945A">
      <w:pPr>
        <w:pStyle w:val="7"/>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3E56D9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185B17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1BCE2A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p>
    <w:p w14:paraId="1459F6AE">
      <w:pPr>
        <w:pStyle w:val="7"/>
        <w:keepNext w:val="0"/>
        <w:keepLines w:val="0"/>
        <w:pageBreakBefore w:val="0"/>
        <w:kinsoku/>
        <w:wordWrap w:val="0"/>
        <w:overflowPunct/>
        <w:topLinePunct w:val="0"/>
        <w:bidi w:val="0"/>
        <w:spacing w:line="220" w:lineRule="auto"/>
        <w:jc w:val="both"/>
        <w:rPr>
          <w:spacing w:val="-1"/>
          <w:sz w:val="28"/>
          <w:szCs w:val="28"/>
          <w14:textOutline w14:w="1800" w14:cap="flat" w14:cmpd="sng">
            <w14:solidFill>
              <w14:srgbClr w14:val="000000"/>
            </w14:solidFill>
            <w14:prstDash w14:val="solid"/>
            <w14:miter w14:val="0"/>
          </w14:textOutline>
        </w:rPr>
      </w:pPr>
    </w:p>
    <w:p w14:paraId="15FEA1C6">
      <w:pPr>
        <w:pStyle w:val="7"/>
        <w:keepNext w:val="0"/>
        <w:keepLines w:val="0"/>
        <w:pageBreakBefore w:val="0"/>
        <w:kinsoku/>
        <w:wordWrap w:val="0"/>
        <w:overflowPunct/>
        <w:topLinePunct w:val="0"/>
        <w:bidi w:val="0"/>
        <w:spacing w:line="220" w:lineRule="auto"/>
        <w:jc w:val="center"/>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14"/>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6B044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623E94D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26AE21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365F0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006A6BC">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30A89FD">
            <w:pPr>
              <w:pStyle w:val="1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CC4F1EB">
            <w:pPr>
              <w:pStyle w:val="1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rPr>
              <w:t>□货物</w:t>
            </w:r>
          </w:p>
        </w:tc>
      </w:tr>
      <w:tr w14:paraId="6530B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A6FD37F">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0D548153">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851D173">
            <w:pPr>
              <w:pStyle w:val="1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54CA3E67">
            <w:pPr>
              <w:pStyle w:val="1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007D9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E051A1D">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7C58FDD">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tc>
      </w:tr>
      <w:tr w14:paraId="77A4B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47208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78D89C4">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tc>
      </w:tr>
      <w:tr w14:paraId="5B512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C1B4B9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91A243C">
            <w:pPr>
              <w:pStyle w:val="1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物业管理</w:t>
            </w:r>
          </w:p>
          <w:p w14:paraId="3B58EF0C">
            <w:pPr>
              <w:pStyle w:val="1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☑本项目专门面向小微企业采购。</w:t>
            </w:r>
          </w:p>
          <w:p w14:paraId="005923E8">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74006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406E1CF0">
            <w:pPr>
              <w:pStyle w:val="1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1983C7F8">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4F65940">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14:paraId="4EBA5CE7">
            <w:pPr>
              <w:pStyle w:val="1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4D55C8CD">
            <w:pPr>
              <w:pStyle w:val="1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2AA9A159">
            <w:pPr>
              <w:pStyle w:val="1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7D2E4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7682C3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2DE643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225 </w:t>
            </w:r>
            <w:r>
              <w:rPr>
                <w:rFonts w:hint="eastAsia" w:asciiTheme="minorEastAsia" w:hAnsiTheme="minorEastAsia" w:eastAsiaTheme="minorEastAsia" w:cstheme="minorEastAsia"/>
                <w:b w:val="0"/>
                <w:bCs/>
                <w:sz w:val="24"/>
                <w:szCs w:val="24"/>
                <w:lang w:val="en-US" w:eastAsia="zh-CN"/>
              </w:rPr>
              <w:t>万元</w:t>
            </w:r>
          </w:p>
        </w:tc>
      </w:tr>
      <w:tr w14:paraId="736E8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A1D77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95EA05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1C6BE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19F78A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F981D0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14:paraId="1DC2A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EDCA52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080A3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16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6E70B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BD68A8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EF525A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16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74884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7B91B3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B08F1A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1F149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178366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CE5301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磋商小组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1BD5C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794BDBD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1CC40175">
            <w:pPr>
              <w:pStyle w:val="1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18BDD227">
      <w:pPr>
        <w:keepNext w:val="0"/>
        <w:keepLines w:val="0"/>
        <w:pageBreakBefore w:val="0"/>
        <w:kinsoku/>
        <w:wordWrap w:val="0"/>
        <w:overflowPunct/>
        <w:topLinePunct w:val="0"/>
        <w:bidi w:val="0"/>
        <w:spacing w:line="371" w:lineRule="auto"/>
        <w:jc w:val="both"/>
        <w:rPr>
          <w:rFonts w:ascii="Arial"/>
          <w:sz w:val="21"/>
        </w:rPr>
      </w:pPr>
    </w:p>
    <w:p w14:paraId="102EB64A">
      <w:pPr>
        <w:keepNext w:val="0"/>
        <w:keepLines w:val="0"/>
        <w:pageBreakBefore w:val="0"/>
        <w:kinsoku/>
        <w:wordWrap w:val="0"/>
        <w:overflowPunct/>
        <w:topLinePunct w:val="0"/>
        <w:bidi w:val="0"/>
        <w:spacing w:line="243" w:lineRule="auto"/>
        <w:jc w:val="both"/>
        <w:rPr>
          <w:rFonts w:ascii="Arial"/>
          <w:sz w:val="21"/>
        </w:rPr>
      </w:pPr>
    </w:p>
    <w:p w14:paraId="0280C5FC">
      <w:pPr>
        <w:keepNext w:val="0"/>
        <w:keepLines w:val="0"/>
        <w:pageBreakBefore w:val="0"/>
        <w:kinsoku/>
        <w:wordWrap w:val="0"/>
        <w:overflowPunct/>
        <w:topLinePunct w:val="0"/>
        <w:bidi w:val="0"/>
        <w:spacing w:line="244" w:lineRule="auto"/>
        <w:jc w:val="both"/>
        <w:rPr>
          <w:rFonts w:ascii="Arial"/>
          <w:sz w:val="21"/>
        </w:rPr>
      </w:pPr>
    </w:p>
    <w:p w14:paraId="597C4A36">
      <w:pPr>
        <w:pStyle w:val="7"/>
        <w:keepNext w:val="0"/>
        <w:keepLines w:val="0"/>
        <w:pageBreakBefore w:val="0"/>
        <w:kinsoku/>
        <w:wordWrap w:val="0"/>
        <w:overflowPunct/>
        <w:topLinePunct w:val="0"/>
        <w:bidi w:val="0"/>
        <w:spacing w:before="91" w:line="360" w:lineRule="auto"/>
        <w:ind w:left="3844"/>
        <w:jc w:val="both"/>
        <w:rPr>
          <w:spacing w:val="-1"/>
          <w:sz w:val="28"/>
          <w:szCs w:val="28"/>
          <w14:textOutline w14:w="1800" w14:cap="flat" w14:cmpd="sng">
            <w14:solidFill>
              <w14:srgbClr w14:val="000000"/>
            </w14:solidFill>
            <w14:prstDash w14:val="solid"/>
            <w14:miter w14:val="0"/>
          </w14:textOutline>
        </w:rPr>
      </w:pPr>
    </w:p>
    <w:p w14:paraId="7C842244">
      <w:pPr>
        <w:pStyle w:val="7"/>
        <w:keepNext w:val="0"/>
        <w:keepLines w:val="0"/>
        <w:pageBreakBefore w:val="0"/>
        <w:kinsoku/>
        <w:wordWrap w:val="0"/>
        <w:overflowPunct/>
        <w:topLinePunct w:val="0"/>
        <w:bidi w:val="0"/>
        <w:spacing w:before="91" w:line="360" w:lineRule="auto"/>
        <w:ind w:left="3844"/>
        <w:jc w:val="both"/>
        <w:rPr>
          <w:spacing w:val="-1"/>
          <w:sz w:val="28"/>
          <w:szCs w:val="28"/>
          <w14:textOutline w14:w="1800" w14:cap="flat" w14:cmpd="sng">
            <w14:solidFill>
              <w14:srgbClr w14:val="000000"/>
            </w14:solidFill>
            <w14:prstDash w14:val="solid"/>
            <w14:miter w14:val="0"/>
          </w14:textOutline>
        </w:rPr>
      </w:pPr>
    </w:p>
    <w:p w14:paraId="69893EB0">
      <w:pPr>
        <w:pStyle w:val="7"/>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14:paraId="4FB3EA13">
      <w:pPr>
        <w:pStyle w:val="7"/>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14:paraId="330AD8A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14:paraId="07B6304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14:paraId="26051EB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0BA9B36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246237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14:paraId="629FED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225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044841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03EA03D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28F5141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3EADFB1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47E67B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14:paraId="191A837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3951E3D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2C73498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73A28A0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7194D8C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5ED0DB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0CB729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2B36DC7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4739E12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5BE473E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EC1F06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49889CF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6E88E3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5C350DF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3186089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0B9F9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461D5BC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1EB120E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28CA0CC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61A3B80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466FBA1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3FADDD7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2C7884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14:paraId="7CA3E6D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14:paraId="20E0116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14:paraId="2DA7847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3 </w:t>
      </w:r>
      <w:r>
        <w:rPr>
          <w:rFonts w:hint="eastAsia" w:asciiTheme="minorEastAsia" w:hAnsiTheme="minorEastAsia" w:eastAsiaTheme="minorEastAsia" w:cstheme="minorEastAsia"/>
          <w:spacing w:val="2"/>
          <w:sz w:val="24"/>
          <w:szCs w:val="24"/>
        </w:rPr>
        <w:t>采购需求标准</w:t>
      </w:r>
    </w:p>
    <w:p w14:paraId="7347262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0BE9AFC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3</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34D3AA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227AAD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14:paraId="2A39A76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3ED8C92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6.采购范围及适用法律</w:t>
      </w:r>
    </w:p>
    <w:p w14:paraId="3C2F84B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2C675C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河南省财政厅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2F60E81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6.3 “服务”指采购文件规定供应商应承担的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物业 </w:t>
      </w:r>
      <w:r>
        <w:rPr>
          <w:rFonts w:hint="eastAsia" w:asciiTheme="minorEastAsia" w:hAnsiTheme="minorEastAsia" w:eastAsiaTheme="minorEastAsia" w:cstheme="minorEastAsia"/>
          <w:snapToGrid w:val="0"/>
          <w:color w:val="000000"/>
          <w:spacing w:val="-12"/>
          <w:kern w:val="0"/>
          <w:sz w:val="24"/>
          <w:szCs w:val="24"/>
          <w:lang w:val="en-US" w:eastAsia="zh-CN" w:bidi="ar-SA"/>
        </w:rPr>
        <w:t>服务。</w:t>
      </w:r>
    </w:p>
    <w:p w14:paraId="222C53B4">
      <w:pPr>
        <w:keepNext w:val="0"/>
        <w:keepLines w:val="0"/>
        <w:pageBreakBefore w:val="0"/>
        <w:kinsoku/>
        <w:wordWrap w:val="0"/>
        <w:overflowPunct/>
        <w:topLinePunct w:val="0"/>
        <w:bidi w:val="0"/>
        <w:spacing w:line="292" w:lineRule="auto"/>
        <w:jc w:val="both"/>
        <w:rPr>
          <w:rFonts w:ascii="Arial"/>
          <w:sz w:val="21"/>
        </w:rPr>
      </w:pPr>
    </w:p>
    <w:p w14:paraId="19E92AA8">
      <w:pPr>
        <w:pStyle w:val="7"/>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p>
    <w:p w14:paraId="1CA62664">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rPr>
      </w:pPr>
      <w:r>
        <w:rPr>
          <w:rFonts w:hint="eastAsia"/>
          <w:b/>
          <w:bCs/>
          <w:sz w:val="24"/>
          <w:szCs w:val="24"/>
          <w:lang w:val="en-US" w:eastAsia="zh-CN"/>
        </w:rPr>
        <w:t>7.</w:t>
      </w:r>
      <w:r>
        <w:rPr>
          <w:b/>
          <w:bCs/>
          <w:sz w:val="24"/>
          <w:szCs w:val="24"/>
        </w:rPr>
        <w:t>竞争性磋商文件构成</w:t>
      </w:r>
    </w:p>
    <w:p w14:paraId="78D3DA4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14:paraId="7ACF1D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竞争性磋商公告</w:t>
      </w:r>
      <w:r>
        <w:rPr>
          <w:spacing w:val="-1"/>
          <w:sz w:val="24"/>
          <w:szCs w:val="24"/>
        </w:rPr>
        <w:fldChar w:fldCharType="end"/>
      </w:r>
    </w:p>
    <w:p w14:paraId="291254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14:paraId="28874EF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14:paraId="400317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p>
    <w:p w14:paraId="0F4781F1">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14:paraId="0746D1E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14:paraId="574357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2A02B701">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14:paraId="1F74520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14:paraId="38E9419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14:paraId="65B501A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14:paraId="744A1B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全国公共资源交易平台（河南省·南阳市）”等媒体发布，请潜在供应商随时查询有关公告信息。若因潜在供应商没有及时查看到公告信息而造成的失误，责任自负。</w:t>
      </w:r>
    </w:p>
    <w:p w14:paraId="228D994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8.5 供应商应关注是否有发布最新的澄清更正公告和更正的最新磋商文件（电子答疑文件），如有则需下载最新的磋商文件，并在此基础上制作最新的响应文件并上传。</w:t>
      </w:r>
    </w:p>
    <w:p w14:paraId="0F5CB85F">
      <w:pPr>
        <w:pStyle w:val="7"/>
        <w:keepNext w:val="0"/>
        <w:keepLines w:val="0"/>
        <w:pageBreakBefore w:val="0"/>
        <w:kinsoku/>
        <w:wordWrap w:val="0"/>
        <w:overflowPunct/>
        <w:topLinePunct w:val="0"/>
        <w:bidi w:val="0"/>
        <w:spacing w:before="179" w:line="220" w:lineRule="auto"/>
        <w:jc w:val="both"/>
        <w:rPr>
          <w:sz w:val="24"/>
          <w:szCs w:val="24"/>
        </w:rPr>
      </w:pPr>
    </w:p>
    <w:p w14:paraId="261FE33C">
      <w:pPr>
        <w:pStyle w:val="7"/>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14:paraId="65D4D3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9.响应范围、竞争性磋商文件中计量单位的使用及磋商语言</w:t>
      </w:r>
    </w:p>
    <w:p w14:paraId="73BB65A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7D62EFE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除竞争性磋商文件有特殊要求外，本项目磋商所使用的计量单位，应采用中华人民共和国法定计量单位。</w:t>
      </w:r>
    </w:p>
    <w:p w14:paraId="0F65D13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71A8B9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14:paraId="382E39D1">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10.1 供应商应当按照竞争性磋商文件的要求编制响应文件，并对其提交的响应文件的真实性、合法性承担法律责任。响应文件的部分格式要求，见第六章《响应文件格式》。</w:t>
      </w:r>
    </w:p>
    <w:p w14:paraId="1B3FE0B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52942B5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14:paraId="4E91A66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3000A5B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03DB096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14:paraId="305D8D6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14:paraId="7CBE2C35">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14:paraId="270FD6B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14:paraId="20BB357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14:paraId="3EFF02D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75CBE5C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7AFAA4D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99178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14:paraId="4502A54A">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 本项目将按供应商所提交的单价和总价来支付本项目所需的费用。对供应商没有填写单价和总价的内容,将被认为这些项目费用已包括在报价中。</w:t>
      </w:r>
    </w:p>
    <w:p w14:paraId="101EC134">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 磋商结束，供应商进行网上最终报价。</w:t>
      </w:r>
    </w:p>
    <w:p w14:paraId="26793D9E">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 本次采购设有预算，供应商最终报价超过预算的，磋商小组将不予评议。</w:t>
      </w:r>
    </w:p>
    <w:p w14:paraId="5825D775">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 供应商的所有报价不得低于成本恶意竞争。</w:t>
      </w:r>
    </w:p>
    <w:p w14:paraId="414C64A8">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14:paraId="2498C9FF">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25D706B5">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09764522">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14:paraId="42AF428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14:paraId="2DB29E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 竞争性磋商文件要求盖章的内容，一般通过CA加盖电子签章。</w:t>
      </w:r>
    </w:p>
    <w:p w14:paraId="0D554DF6">
      <w:pPr>
        <w:pStyle w:val="7"/>
        <w:keepNext w:val="0"/>
        <w:keepLines w:val="0"/>
        <w:pageBreakBefore w:val="0"/>
        <w:kinsoku/>
        <w:wordWrap w:val="0"/>
        <w:overflowPunct/>
        <w:topLinePunct w:val="0"/>
        <w:bidi w:val="0"/>
        <w:spacing w:before="122" w:line="190" w:lineRule="auto"/>
        <w:jc w:val="both"/>
        <w:rPr>
          <w:spacing w:val="-4"/>
          <w:sz w:val="28"/>
          <w:szCs w:val="28"/>
          <w14:textOutline w14:w="1800" w14:cap="flat" w14:cmpd="sng">
            <w14:solidFill>
              <w14:srgbClr w14:val="000000"/>
            </w14:solidFill>
            <w14:prstDash w14:val="solid"/>
            <w14:miter w14:val="0"/>
          </w14:textOutline>
        </w:rPr>
      </w:pPr>
    </w:p>
    <w:p w14:paraId="30E4A91B">
      <w:pPr>
        <w:pStyle w:val="7"/>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14:paraId="76F6E66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14:paraId="215D86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电子响应文件的提交是指使用南阳市公共资源交易中心交易系统在上传截止时间前完成制作软件生成的加密电子响应文件的上传。未在上传截止时间前完成上传的，视为逾期提交。逾期提交的响应文件不予受理。</w:t>
      </w:r>
    </w:p>
    <w:p w14:paraId="6DFB70A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14:paraId="1473D4B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14:paraId="42ABC4E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供应商应在竞争性磋商文件要求响应文件上传截止时间前，将电子响应文件提交至电子交易平台。</w:t>
      </w:r>
    </w:p>
    <w:p w14:paraId="10C7083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14:paraId="471F2F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14:paraId="61D13549">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0C29A971">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7838DE64">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76D82CAA">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1509FEC5">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4B398107">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22E81E22">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121EB233">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4C9DB2DC">
      <w:pPr>
        <w:pStyle w:val="7"/>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0F87EC33">
      <w:pPr>
        <w:pStyle w:val="7"/>
        <w:keepNext w:val="0"/>
        <w:keepLines w:val="0"/>
        <w:pageBreakBefore w:val="0"/>
        <w:kinsoku/>
        <w:wordWrap w:val="0"/>
        <w:overflowPunct/>
        <w:topLinePunct w:val="0"/>
        <w:bidi w:val="0"/>
        <w:spacing w:before="358" w:line="360" w:lineRule="auto"/>
        <w:jc w:val="center"/>
        <w:rPr>
          <w:spacing w:val="-2"/>
          <w:sz w:val="24"/>
          <w:szCs w:val="24"/>
          <w14:textOutline w14:w="1537" w14:cap="flat" w14:cmpd="sng">
            <w14:solidFill>
              <w14:srgbClr w14:val="000000"/>
            </w14:solidFill>
            <w14:prstDash w14:val="solid"/>
            <w14:miter w14:val="0"/>
          </w14:textOutline>
        </w:rPr>
      </w:pPr>
      <w:r>
        <w:rPr>
          <w:spacing w:val="-1"/>
          <w:sz w:val="36"/>
          <w:szCs w:val="36"/>
          <w14:textOutline w14:w="2306" w14:cap="flat" w14:cmpd="sng">
            <w14:solidFill>
              <w14:srgbClr w14:val="000000"/>
            </w14:solidFill>
            <w14:prstDash w14:val="solid"/>
            <w14:miter w14:val="0"/>
          </w14:textOutline>
        </w:rPr>
        <w:t>第</w:t>
      </w:r>
      <w:r>
        <w:rPr>
          <w:rFonts w:hint="eastAsia"/>
          <w:spacing w:val="-1"/>
          <w:sz w:val="36"/>
          <w:szCs w:val="36"/>
          <w:lang w:val="en-US" w:eastAsia="zh-CN"/>
          <w14:textOutline w14:w="2306" w14:cap="flat" w14:cmpd="sng">
            <w14:solidFill>
              <w14:srgbClr w14:val="000000"/>
            </w14:solidFill>
            <w14:prstDash w14:val="solid"/>
            <w14:miter w14:val="0"/>
          </w14:textOutline>
        </w:rPr>
        <w:t>四</w:t>
      </w:r>
      <w:r>
        <w:rPr>
          <w:spacing w:val="-1"/>
          <w:sz w:val="36"/>
          <w:szCs w:val="36"/>
          <w14:textOutline w14:w="2306" w14:cap="flat" w14:cmpd="sng">
            <w14:solidFill>
              <w14:srgbClr w14:val="000000"/>
            </w14:solidFill>
            <w14:prstDash w14:val="solid"/>
            <w14:miter w14:val="0"/>
          </w14:textOutline>
        </w:rPr>
        <w:t>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14:textOutline w14:w="2306" w14:cap="flat" w14:cmpd="sng">
            <w14:solidFill>
              <w14:srgbClr w14:val="000000"/>
            </w14:solidFill>
            <w14:prstDash w14:val="solid"/>
            <w14:miter w14:val="0"/>
          </w14:textOutline>
        </w:rPr>
        <w:t>评</w:t>
      </w:r>
      <w:r>
        <w:rPr>
          <w:rFonts w:hint="eastAsia"/>
          <w:spacing w:val="-1"/>
          <w:sz w:val="36"/>
          <w:szCs w:val="36"/>
          <w:lang w:val="en-US" w:eastAsia="zh-CN"/>
          <w14:textOutline w14:w="2306" w14:cap="flat" w14:cmpd="sng">
            <w14:solidFill>
              <w14:srgbClr w14:val="000000"/>
            </w14:solidFill>
            <w14:prstDash w14:val="solid"/>
            <w14:miter w14:val="0"/>
          </w14:textOutline>
        </w:rPr>
        <w:t>审</w:t>
      </w:r>
      <w:r>
        <w:rPr>
          <w:rFonts w:hint="eastAsia"/>
          <w:spacing w:val="-1"/>
          <w:sz w:val="36"/>
          <w:szCs w:val="36"/>
          <w14:textOutline w14:w="2306" w14:cap="flat" w14:cmpd="sng">
            <w14:solidFill>
              <w14:srgbClr w14:val="000000"/>
            </w14:solidFill>
            <w14:prstDash w14:val="solid"/>
            <w14:miter w14:val="0"/>
          </w14:textOutline>
        </w:rPr>
        <w:t>程序、</w:t>
      </w:r>
      <w:r>
        <w:rPr>
          <w:spacing w:val="-1"/>
          <w:sz w:val="36"/>
          <w:szCs w:val="36"/>
          <w14:textOutline w14:w="2306" w14:cap="flat" w14:cmpd="sng">
            <w14:solidFill>
              <w14:srgbClr w14:val="000000"/>
            </w14:solidFill>
            <w14:prstDash w14:val="solid"/>
            <w14:miter w14:val="0"/>
          </w14:textOutline>
        </w:rPr>
        <w:t>评审方法和评审标准</w:t>
      </w:r>
    </w:p>
    <w:p w14:paraId="6BE2611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21FF40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p>
    <w:p w14:paraId="5598FA4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14:paraId="50595657">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3894F4F">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p>
    <w:p w14:paraId="65BFC28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竞争性磋商文件经采购人书面确认后，将在指定媒体和全国公共资源交易平台（河南省·南阳市）发布竞争性磋商公告。供应商按照公告和竞争性磋商文件要求制作并递交响应文件。</w:t>
      </w:r>
    </w:p>
    <w:p w14:paraId="63401CA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310D43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p>
    <w:p w14:paraId="7976F26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567BF28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14:paraId="135FC31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14:paraId="26329F81">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26EA362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0F12D142">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E14CE46">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779BD2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14:paraId="7132C69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进行加密，供应商在解密前须自行检查CA的有效性。解密时未在开启响应文件时间后30分钟内进行解密成功的视为撤销其响应文件（因电子开标系统原因除外）。</w:t>
      </w:r>
    </w:p>
    <w:p w14:paraId="6220E979">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488FB9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14:paraId="3966D6E5">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14:paraId="3703ACD4">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18"/>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14:paraId="2A9F8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3BEDBD52">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8" w:type="dxa"/>
            <w:vAlign w:val="top"/>
          </w:tcPr>
          <w:p w14:paraId="2A57E00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851" w:type="dxa"/>
            <w:vAlign w:val="top"/>
          </w:tcPr>
          <w:p w14:paraId="029C5DC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662" w:type="dxa"/>
            <w:vAlign w:val="top"/>
          </w:tcPr>
          <w:p w14:paraId="682F89F8">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0A1FF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1" w:type="dxa"/>
            <w:vAlign w:val="center"/>
          </w:tcPr>
          <w:p w14:paraId="09F787EF">
            <w:pPr>
              <w:pStyle w:val="1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3074D9F5">
            <w:pPr>
              <w:pStyle w:val="1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6C6F944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851" w:type="dxa"/>
            <w:vAlign w:val="top"/>
          </w:tcPr>
          <w:p w14:paraId="3A687DA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7980854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3FD1E69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3A6CEF1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4753736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DC4903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AF8FAC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7.遵守国家有关法律、法规、规章。</w:t>
            </w:r>
          </w:p>
          <w:p w14:paraId="7BD2A4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8.本项目专门面向小微企业采购，供应商需提交小微企</w:t>
            </w:r>
            <w:bookmarkStart w:id="1" w:name="_GoBack"/>
            <w:bookmarkEnd w:id="1"/>
            <w:r>
              <w:rPr>
                <w:rFonts w:hint="eastAsia" w:asciiTheme="minorEastAsia" w:hAnsiTheme="minorEastAsia" w:eastAsiaTheme="minorEastAsia" w:cstheme="minorEastAsia"/>
                <w:b/>
                <w:bCs/>
                <w:snapToGrid w:val="0"/>
                <w:color w:val="000000"/>
                <w:spacing w:val="-14"/>
                <w:kern w:val="0"/>
                <w:sz w:val="24"/>
                <w:szCs w:val="24"/>
                <w:lang w:val="en-US" w:eastAsia="zh-CN" w:bidi="ar-SA"/>
              </w:rPr>
              <w:t>业声明函。</w:t>
            </w:r>
          </w:p>
        </w:tc>
        <w:tc>
          <w:tcPr>
            <w:tcW w:w="2662" w:type="dxa"/>
            <w:vAlign w:val="top"/>
          </w:tcPr>
          <w:p w14:paraId="2A33BFD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7F05349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71D8E01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0FE058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6035E7C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1603C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14:paraId="3BF6E20E">
            <w:pPr>
              <w:pStyle w:val="19"/>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8" w:type="dxa"/>
            <w:vAlign w:val="top"/>
          </w:tcPr>
          <w:p w14:paraId="7F2DDC56">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vAlign w:val="top"/>
          </w:tcPr>
          <w:p w14:paraId="35D7530B">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vAlign w:val="top"/>
          </w:tcPr>
          <w:p w14:paraId="0D917407">
            <w:pPr>
              <w:pStyle w:val="19"/>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3FE50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vAlign w:val="top"/>
          </w:tcPr>
          <w:p w14:paraId="41598C8F">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10598FD">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0BC1D36D">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5B03CD">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0C6336D8">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3F23A948">
            <w:pPr>
              <w:pStyle w:val="1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79AC4D9">
            <w:pPr>
              <w:pStyle w:val="1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457C250">
            <w:pPr>
              <w:pStyle w:val="1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B9C35B5">
            <w:pPr>
              <w:pStyle w:val="1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5A9E41A">
            <w:pPr>
              <w:pStyle w:val="19"/>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vAlign w:val="top"/>
          </w:tcPr>
          <w:p w14:paraId="3D603ABD">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A1228F4">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5813FE2">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DCE6AED">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C58C75E">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68CD499">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EFFACEE">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0D30396">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06ED3DE">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D293096">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vAlign w:val="top"/>
          </w:tcPr>
          <w:p w14:paraId="74260378">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09FC4DD5">
            <w:pPr>
              <w:pStyle w:val="19"/>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0FCF79EA">
            <w:pPr>
              <w:pStyle w:val="19"/>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2662" w:type="dxa"/>
            <w:vAlign w:val="top"/>
          </w:tcPr>
          <w:p w14:paraId="2141F142">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F876E71">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14950B6">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34FAD62">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5EE21C3">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7F8D108">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718B32B">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3DCA9C5">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36063B7">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9A4031B">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14:paraId="4BBC9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vAlign w:val="top"/>
          </w:tcPr>
          <w:p w14:paraId="5B4CE7A1">
            <w:pPr>
              <w:pStyle w:val="19"/>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vAlign w:val="top"/>
          </w:tcPr>
          <w:p w14:paraId="0360A221">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851" w:type="dxa"/>
            <w:vAlign w:val="top"/>
          </w:tcPr>
          <w:p w14:paraId="30D28650">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tc>
        <w:tc>
          <w:tcPr>
            <w:tcW w:w="2662" w:type="dxa"/>
            <w:vAlign w:val="top"/>
          </w:tcPr>
          <w:p w14:paraId="56770F74">
            <w:pPr>
              <w:pStyle w:val="19"/>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38FB77D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p>
    <w:p w14:paraId="38CEDD8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14:paraId="274D3BA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p w14:paraId="50ECC42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14:paraId="5132F5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服务</w:t>
      </w:r>
      <w:r>
        <w:rPr>
          <w:rFonts w:hint="eastAsia" w:asciiTheme="minorEastAsia" w:hAnsiTheme="minorEastAsia" w:eastAsiaTheme="minorEastAsia" w:cstheme="minorEastAsia"/>
          <w:snapToGrid w:val="0"/>
          <w:color w:val="000000"/>
          <w:spacing w:val="3"/>
          <w:kern w:val="0"/>
          <w:sz w:val="24"/>
          <w:szCs w:val="24"/>
          <w:lang w:val="en-US" w:eastAsia="zh-CN" w:bidi="ar-SA"/>
        </w:rPr>
        <w:t>（技术）</w:t>
      </w:r>
      <w:r>
        <w:rPr>
          <w:rFonts w:hint="eastAsia" w:asciiTheme="minorEastAsia" w:hAnsiTheme="minorEastAsia" w:eastAsiaTheme="minorEastAsia" w:cstheme="minorEastAsia"/>
          <w:snapToGrid w:val="0"/>
          <w:color w:val="000000"/>
          <w:spacing w:val="3"/>
          <w:kern w:val="0"/>
          <w:sz w:val="24"/>
          <w:szCs w:val="24"/>
          <w:lang w:val="en-US" w:eastAsia="en-US" w:bidi="ar-SA"/>
        </w:rPr>
        <w:t>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所响应设备的环境卫生管理方案、水电维修方案、绿化养护方案及措施、会务服务方案及措施、人员配备、拟投入的设备、管理制度、应急预案等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14:paraId="225C260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对磋商文件的符合性和响应程度、项目方案、综合实力、售后服务以及报价等因素，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14:paraId="352A81C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未实质性响应磋商文件的响应文件按无效响应处理，磋商小组应当告知提交响应文件的供应商。</w:t>
      </w:r>
    </w:p>
    <w:p w14:paraId="6A6A609B">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14:paraId="2A276917">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14:paraId="36B5F92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资格证明文件不全的，或者不符合竞争性磋商文件标明的资格要求的；</w:t>
      </w:r>
    </w:p>
    <w:p w14:paraId="4997C85D">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14:paraId="0577CE4B">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14:paraId="2E481FA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认证并加密的；</w:t>
      </w:r>
    </w:p>
    <w:p w14:paraId="1A232BC9">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其他不符合磋商文件实质性要求的。</w:t>
      </w:r>
    </w:p>
    <w:p w14:paraId="6D35F4DC">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14:paraId="7304C4F9">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14:paraId="78947D7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14:paraId="78AF01E6">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14:paraId="3711EAB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14:paraId="53ABC4A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sz w:val="24"/>
          <w:szCs w:val="24"/>
        </w:rPr>
        <w:t>磋商小组所有成员将集中与单一供应商分别进行磋商，并给予所有参加磋商的供应商平等的磋商机会。</w:t>
      </w:r>
    </w:p>
    <w:p w14:paraId="353A836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69B68F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75EAF6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w:t>
      </w:r>
      <w:r>
        <w:rPr>
          <w:rFonts w:hint="eastAsia" w:ascii="宋体" w:hAnsi="宋体" w:eastAsia="宋体" w:cs="宋体"/>
          <w:snapToGrid w:val="0"/>
          <w:color w:val="000000"/>
          <w:kern w:val="0"/>
          <w:sz w:val="24"/>
          <w:szCs w:val="24"/>
          <w:lang w:val="en-US" w:eastAsia="en-US" w:bidi="ar-SA"/>
        </w:rPr>
        <w:t>签章。</w:t>
      </w:r>
    </w:p>
    <w:p w14:paraId="6CE8032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14:paraId="55AE1E1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220384">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14:paraId="3D72AAA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磋商结束后，磋商小组通过电子评标系统向所有实质性响应的供应商发出最后报价要求，各供应商在会员系统中收到有关信息后，必须在规定时间内给出答复，并在签章后提交。提交最后报价的供应商不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14:paraId="01D3F0B2">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4C1F0C5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14:paraId="56F9346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14:paraId="5586F5C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14:paraId="6E9B4A0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14:paraId="0AACB0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14:paraId="5B67B56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竞争性磋商文件中没有规定的评审标准不得作为评审依据。</w:t>
      </w:r>
    </w:p>
    <w:p w14:paraId="149B82D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.3</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w:t>
      </w:r>
    </w:p>
    <w:p w14:paraId="5A19AA4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.4</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关于无线局域网认证产品政府采购清单中的产品，优先采购的具体规定（如涉及）</w:t>
      </w:r>
      <w:r>
        <w:rPr>
          <w:spacing w:val="-25"/>
          <w:sz w:val="24"/>
          <w:szCs w:val="24"/>
        </w:rPr>
        <w:t>。</w:t>
      </w:r>
    </w:p>
    <w:p w14:paraId="4E2FDA5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14:paraId="5BF7D61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38F8C1F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 xml:space="preserve">2 </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14:paraId="222CD1C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3 </w:t>
      </w:r>
    </w:p>
    <w:p w14:paraId="524128D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磋商小组根据上述供应商排序，依次推荐排序前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14:paraId="3F946C2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14:paraId="7073CDD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Arial"/>
          <w:sz w:val="21"/>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p>
    <w:p w14:paraId="22FEEDB9">
      <w:pPr>
        <w:pStyle w:val="7"/>
        <w:keepNext w:val="0"/>
        <w:keepLines w:val="0"/>
        <w:pageBreakBefore w:val="0"/>
        <w:kinsoku/>
        <w:wordWrap w:val="0"/>
        <w:overflowPunct/>
        <w:topLinePunct w:val="0"/>
        <w:bidi w:val="0"/>
        <w:spacing w:before="78" w:line="221" w:lineRule="auto"/>
        <w:jc w:val="center"/>
        <w:outlineLvl w:val="1"/>
        <w:rPr>
          <w:spacing w:val="-2"/>
          <w:sz w:val="24"/>
          <w:szCs w:val="24"/>
          <w14:textOutline w14:w="1537" w14:cap="flat" w14:cmpd="sng">
            <w14:solidFill>
              <w14:srgbClr w14:val="000000"/>
            </w14:solidFill>
            <w14:prstDash w14:val="solid"/>
            <w14:miter w14:val="0"/>
          </w14:textOutline>
        </w:rPr>
      </w:pPr>
    </w:p>
    <w:p w14:paraId="7B285AA5">
      <w:pPr>
        <w:pStyle w:val="7"/>
        <w:keepNext w:val="0"/>
        <w:keepLines w:val="0"/>
        <w:pageBreakBefore w:val="0"/>
        <w:kinsoku/>
        <w:wordWrap w:val="0"/>
        <w:overflowPunct/>
        <w:topLinePunct w:val="0"/>
        <w:bidi w:val="0"/>
        <w:spacing w:before="78" w:line="221" w:lineRule="auto"/>
        <w:jc w:val="center"/>
        <w:outlineLvl w:val="1"/>
        <w:rPr>
          <w:spacing w:val="-2"/>
          <w:sz w:val="24"/>
          <w:szCs w:val="24"/>
          <w14:textOutline w14:w="1537" w14:cap="flat" w14:cmpd="sng">
            <w14:solidFill>
              <w14:srgbClr w14:val="000000"/>
            </w14:solidFill>
            <w14:prstDash w14:val="solid"/>
            <w14:miter w14:val="0"/>
          </w14:textOutline>
        </w:rPr>
      </w:pPr>
      <w:r>
        <w:rPr>
          <w:spacing w:val="-2"/>
          <w:sz w:val="24"/>
          <w:szCs w:val="24"/>
          <w14:textOutline w14:w="1537" w14:cap="flat" w14:cmpd="sng">
            <w14:solidFill>
              <w14:srgbClr w14:val="000000"/>
            </w14:solidFill>
            <w14:prstDash w14:val="solid"/>
            <w14:miter w14:val="0"/>
          </w14:textOutline>
        </w:rPr>
        <w:t>评审标准</w:t>
      </w:r>
    </w:p>
    <w:p w14:paraId="0CE2C7D6">
      <w:pPr>
        <w:pStyle w:val="4"/>
      </w:pPr>
    </w:p>
    <w:tbl>
      <w:tblPr>
        <w:tblStyle w:val="18"/>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1019"/>
        <w:gridCol w:w="5079"/>
      </w:tblGrid>
      <w:tr w14:paraId="3BC47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vAlign w:val="top"/>
          </w:tcPr>
          <w:p w14:paraId="222DA5D4">
            <w:pPr>
              <w:keepNext w:val="0"/>
              <w:keepLines w:val="0"/>
              <w:pageBreakBefore w:val="0"/>
              <w:kinsoku/>
              <w:wordWrap w:val="0"/>
              <w:overflowPunct/>
              <w:topLinePunct w:val="0"/>
              <w:bidi w:val="0"/>
              <w:spacing w:before="40" w:line="208" w:lineRule="auto"/>
              <w:ind w:left="19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595" w:type="dxa"/>
            <w:vAlign w:val="top"/>
          </w:tcPr>
          <w:p w14:paraId="0C91E542">
            <w:pPr>
              <w:keepNext w:val="0"/>
              <w:keepLines w:val="0"/>
              <w:pageBreakBefore w:val="0"/>
              <w:kinsoku/>
              <w:wordWrap w:val="0"/>
              <w:overflowPunct/>
              <w:topLinePunct w:val="0"/>
              <w:bidi w:val="0"/>
              <w:spacing w:before="40" w:line="208" w:lineRule="auto"/>
              <w:ind w:left="2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1019" w:type="dxa"/>
            <w:vAlign w:val="top"/>
          </w:tcPr>
          <w:p w14:paraId="4F9DE700">
            <w:pPr>
              <w:keepNext w:val="0"/>
              <w:keepLines w:val="0"/>
              <w:pageBreakBefore w:val="0"/>
              <w:kinsoku/>
              <w:wordWrap w:val="0"/>
              <w:overflowPunct/>
              <w:topLinePunct w:val="0"/>
              <w:bidi w:val="0"/>
              <w:spacing w:before="40" w:line="208" w:lineRule="auto"/>
              <w:ind w:firstLine="232"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5079" w:type="dxa"/>
            <w:vAlign w:val="top"/>
          </w:tcPr>
          <w:p w14:paraId="0A8A7EE1">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细则</w:t>
            </w:r>
          </w:p>
        </w:tc>
      </w:tr>
      <w:tr w14:paraId="0CCCE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vAlign w:val="center"/>
          </w:tcPr>
          <w:p w14:paraId="2572D367">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rPr>
              <w:t>1</w:t>
            </w:r>
          </w:p>
        </w:tc>
        <w:tc>
          <w:tcPr>
            <w:tcW w:w="1595" w:type="dxa"/>
            <w:vAlign w:val="center"/>
          </w:tcPr>
          <w:p w14:paraId="767522FB">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报价</w:t>
            </w:r>
            <w:r>
              <w:rPr>
                <w:rFonts w:hint="eastAsia" w:asciiTheme="minorEastAsia" w:hAnsiTheme="minorEastAsia" w:eastAsiaTheme="minorEastAsia" w:cstheme="minorEastAsia"/>
                <w:spacing w:val="-3"/>
                <w:sz w:val="24"/>
                <w:szCs w:val="24"/>
                <w:lang w:val="en-US" w:eastAsia="zh-CN"/>
              </w:rPr>
              <w:t>部分（满分10分）</w:t>
            </w:r>
          </w:p>
        </w:tc>
        <w:tc>
          <w:tcPr>
            <w:tcW w:w="1019" w:type="dxa"/>
            <w:vAlign w:val="center"/>
          </w:tcPr>
          <w:p w14:paraId="302C3DCC">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磋商报价</w:t>
            </w:r>
          </w:p>
          <w:p w14:paraId="19596A63">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（10分）</w:t>
            </w:r>
          </w:p>
        </w:tc>
        <w:tc>
          <w:tcPr>
            <w:tcW w:w="5079" w:type="dxa"/>
            <w:vAlign w:val="top"/>
          </w:tcPr>
          <w:p w14:paraId="2EB22854">
            <w:pPr>
              <w:keepNext w:val="0"/>
              <w:keepLines w:val="0"/>
              <w:pageBreakBefore w:val="0"/>
              <w:kinsoku/>
              <w:wordWrap w:val="0"/>
              <w:overflowPunct/>
              <w:topLinePunct w:val="0"/>
              <w:bidi w:val="0"/>
              <w:spacing w:before="191" w:line="235" w:lineRule="auto"/>
              <w:ind w:left="113" w:right="103" w:firstLine="52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pacing w:val="10"/>
                <w:sz w:val="24"/>
                <w:szCs w:val="24"/>
              </w:rPr>
              <w:t>文件要求且</w:t>
            </w:r>
            <w:r>
              <w:rPr>
                <w:rFonts w:hint="eastAsia" w:asciiTheme="minorEastAsia" w:hAnsiTheme="minorEastAsia" w:eastAsiaTheme="minorEastAsia" w:cstheme="minorEastAsia"/>
                <w:spacing w:val="10"/>
                <w:sz w:val="24"/>
                <w:szCs w:val="24"/>
                <w:lang w:val="en-US" w:eastAsia="zh-CN"/>
              </w:rPr>
              <w:t>磋商</w:t>
            </w:r>
            <w:r>
              <w:rPr>
                <w:rFonts w:hint="eastAsia" w:asciiTheme="minorEastAsia" w:hAnsiTheme="minorEastAsia" w:eastAsiaTheme="minorEastAsia" w:cstheme="minorEastAsia"/>
                <w:spacing w:val="10"/>
                <w:sz w:val="24"/>
                <w:szCs w:val="24"/>
              </w:rPr>
              <w:t>价格最低</w:t>
            </w:r>
            <w:r>
              <w:rPr>
                <w:rFonts w:hint="eastAsia" w:asciiTheme="minorEastAsia" w:hAnsiTheme="minorEastAsia" w:eastAsiaTheme="minorEastAsia" w:cstheme="minorEastAsia"/>
                <w:spacing w:val="-13"/>
                <w:sz w:val="24"/>
                <w:szCs w:val="24"/>
              </w:rPr>
              <w:t>的</w:t>
            </w:r>
            <w:r>
              <w:rPr>
                <w:rFonts w:hint="eastAsia" w:asciiTheme="minorEastAsia" w:hAnsiTheme="minorEastAsia" w:eastAsiaTheme="minorEastAsia" w:cstheme="minorEastAsia"/>
                <w:spacing w:val="-13"/>
                <w:sz w:val="24"/>
                <w:szCs w:val="24"/>
                <w:lang w:val="en-US" w:eastAsia="zh-CN"/>
              </w:rPr>
              <w:t>磋商</w:t>
            </w:r>
            <w:r>
              <w:rPr>
                <w:rFonts w:hint="eastAsia" w:asciiTheme="minorEastAsia" w:hAnsiTheme="minorEastAsia" w:eastAsiaTheme="minorEastAsia" w:cstheme="minorEastAsia"/>
                <w:spacing w:val="-13"/>
                <w:sz w:val="24"/>
                <w:szCs w:val="24"/>
              </w:rPr>
              <w:t>报价为评标基准价，其价格分</w:t>
            </w:r>
            <w:r>
              <w:rPr>
                <w:rFonts w:hint="eastAsia" w:asciiTheme="minorEastAsia" w:hAnsiTheme="minorEastAsia" w:eastAsiaTheme="minorEastAsia" w:cstheme="minorEastAsia"/>
                <w:spacing w:val="-6"/>
                <w:sz w:val="24"/>
                <w:szCs w:val="24"/>
              </w:rPr>
              <w:t>为满分。其他</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6"/>
                <w:sz w:val="24"/>
                <w:szCs w:val="24"/>
              </w:rPr>
              <w:t>的价格分统一按</w:t>
            </w:r>
            <w:r>
              <w:rPr>
                <w:rFonts w:hint="eastAsia" w:asciiTheme="minorEastAsia" w:hAnsiTheme="minorEastAsia" w:eastAsiaTheme="minorEastAsia" w:cstheme="minorEastAsia"/>
                <w:spacing w:val="-8"/>
                <w:sz w:val="24"/>
                <w:szCs w:val="24"/>
              </w:rPr>
              <w:t>照下列公式计算：</w:t>
            </w:r>
          </w:p>
          <w:p w14:paraId="6F633F54">
            <w:pPr>
              <w:keepNext w:val="0"/>
              <w:keepLines w:val="0"/>
              <w:pageBreakBefore w:val="0"/>
              <w:kinsoku/>
              <w:wordWrap w:val="0"/>
              <w:overflowPunct/>
              <w:topLinePunct w:val="0"/>
              <w:bidi w:val="0"/>
              <w:spacing w:before="191" w:line="235" w:lineRule="auto"/>
              <w:ind w:left="113" w:right="103" w:firstLine="508"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报价得分</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7"/>
                <w:sz w:val="24"/>
                <w:szCs w:val="24"/>
              </w:rPr>
              <w:t>评标基准价/</w:t>
            </w: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12"/>
                <w:sz w:val="24"/>
                <w:szCs w:val="24"/>
              </w:rPr>
              <w:t>报价）×</w:t>
            </w:r>
            <w:r>
              <w:rPr>
                <w:rFonts w:hint="eastAsia" w:asciiTheme="minorEastAsia" w:hAnsiTheme="minorEastAsia" w:eastAsiaTheme="minorEastAsia" w:cstheme="minorEastAsia"/>
                <w:spacing w:val="-12"/>
                <w:sz w:val="24"/>
                <w:szCs w:val="24"/>
                <w:lang w:val="en-US" w:eastAsia="zh-CN"/>
              </w:rPr>
              <w:t>10分</w:t>
            </w:r>
            <w:r>
              <w:rPr>
                <w:rFonts w:hint="eastAsia" w:asciiTheme="minorEastAsia" w:hAnsiTheme="minorEastAsia" w:eastAsiaTheme="minorEastAsia" w:cstheme="minorEastAsia"/>
                <w:spacing w:val="-12"/>
                <w:sz w:val="24"/>
                <w:szCs w:val="24"/>
              </w:rPr>
              <w:t>。</w:t>
            </w:r>
          </w:p>
        </w:tc>
      </w:tr>
      <w:tr w14:paraId="37AEA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62421450">
            <w:pPr>
              <w:pStyle w:val="19"/>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1595" w:type="dxa"/>
            <w:vMerge w:val="restart"/>
            <w:vAlign w:val="center"/>
          </w:tcPr>
          <w:p w14:paraId="6FA0DD46">
            <w:pPr>
              <w:keepNext w:val="0"/>
              <w:keepLines w:val="0"/>
              <w:pageBreakBefore w:val="0"/>
              <w:kinsoku/>
              <w:wordWrap w:val="0"/>
              <w:overflowPunct/>
              <w:topLinePunct w:val="0"/>
              <w:bidi w:val="0"/>
              <w:spacing w:before="78" w:line="219" w:lineRule="auto"/>
              <w:ind w:firstLine="214" w:firstLineChars="10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方案部分</w:t>
            </w:r>
          </w:p>
          <w:p w14:paraId="04B5B2BD">
            <w:pPr>
              <w:keepNext w:val="0"/>
              <w:keepLines w:val="0"/>
              <w:pageBreakBefore w:val="0"/>
              <w:kinsoku/>
              <w:wordWrap w:val="0"/>
              <w:overflowPunct/>
              <w:topLinePunct w:val="0"/>
              <w:bidi w:val="0"/>
              <w:spacing w:before="78" w:line="219" w:lineRule="auto"/>
              <w:ind w:firstLine="214" w:firstLineChars="10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（满分58分）</w:t>
            </w:r>
          </w:p>
        </w:tc>
        <w:tc>
          <w:tcPr>
            <w:tcW w:w="1019" w:type="dxa"/>
            <w:vAlign w:val="center"/>
          </w:tcPr>
          <w:p w14:paraId="1F9F0D46">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环境卫生管理方案</w:t>
            </w:r>
            <w:r>
              <w:rPr>
                <w:rFonts w:hint="eastAsia" w:asciiTheme="minorEastAsia" w:hAnsiTheme="minorEastAsia" w:eastAsiaTheme="minorEastAsia" w:cstheme="minorEastAsia"/>
                <w:snapToGrid w:val="0"/>
                <w:color w:val="000000"/>
                <w:spacing w:val="-13"/>
                <w:kern w:val="0"/>
                <w:sz w:val="24"/>
                <w:szCs w:val="24"/>
                <w:lang w:val="en-US" w:eastAsia="zh-CN" w:bidi="ar-SA"/>
              </w:rPr>
              <w:t>（7分）</w:t>
            </w:r>
          </w:p>
        </w:tc>
        <w:tc>
          <w:tcPr>
            <w:tcW w:w="5079" w:type="dxa"/>
            <w:vAlign w:val="top"/>
          </w:tcPr>
          <w:p w14:paraId="13A35BB5">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根据供应商提供的环境卫生管理方案进行评审：</w:t>
            </w:r>
          </w:p>
          <w:p w14:paraId="79E07E10">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1.供应商提供的环境卫生管理方案</w:t>
            </w:r>
            <w:r>
              <w:rPr>
                <w:rFonts w:hint="eastAsia" w:asciiTheme="minorEastAsia" w:hAnsiTheme="minorEastAsia" w:eastAsiaTheme="minorEastAsia" w:cstheme="minorEastAsia"/>
                <w:snapToGrid w:val="0"/>
                <w:color w:val="000000"/>
                <w:spacing w:val="-13"/>
                <w:kern w:val="0"/>
                <w:sz w:val="24"/>
                <w:szCs w:val="24"/>
                <w:lang w:val="en-US" w:eastAsia="zh-CN" w:bidi="ar-SA"/>
              </w:rPr>
              <w:t>科学全面，</w:t>
            </w:r>
            <w:r>
              <w:rPr>
                <w:rFonts w:hint="eastAsia" w:asciiTheme="minorEastAsia" w:hAnsiTheme="minorEastAsia" w:eastAsiaTheme="minorEastAsia" w:cstheme="minorEastAsia"/>
                <w:snapToGrid w:val="0"/>
                <w:color w:val="000000"/>
                <w:spacing w:val="-13"/>
                <w:kern w:val="0"/>
                <w:sz w:val="24"/>
                <w:szCs w:val="24"/>
                <w:lang w:val="en-US" w:eastAsia="en-US" w:bidi="ar-SA"/>
              </w:rPr>
              <w:t>内容</w:t>
            </w:r>
            <w:r>
              <w:rPr>
                <w:rFonts w:hint="eastAsia" w:asciiTheme="minorEastAsia" w:hAnsiTheme="minorEastAsia" w:eastAsiaTheme="minorEastAsia" w:cstheme="minorEastAsia"/>
                <w:snapToGrid w:val="0"/>
                <w:color w:val="000000"/>
                <w:spacing w:val="-13"/>
                <w:kern w:val="0"/>
                <w:sz w:val="24"/>
                <w:szCs w:val="24"/>
                <w:lang w:val="en-US" w:eastAsia="zh-CN" w:bidi="ar-SA"/>
              </w:rPr>
              <w:t>规范</w:t>
            </w:r>
            <w:r>
              <w:rPr>
                <w:rFonts w:hint="eastAsia" w:asciiTheme="minorEastAsia" w:hAnsiTheme="minorEastAsia" w:eastAsiaTheme="minorEastAsia" w:cstheme="minorEastAsia"/>
                <w:snapToGrid w:val="0"/>
                <w:color w:val="000000"/>
                <w:spacing w:val="-13"/>
                <w:kern w:val="0"/>
                <w:sz w:val="24"/>
                <w:szCs w:val="24"/>
                <w:lang w:val="en-US" w:eastAsia="en-US" w:bidi="ar-SA"/>
              </w:rPr>
              <w:t>完整，实施方案合理，</w:t>
            </w:r>
            <w:r>
              <w:rPr>
                <w:rFonts w:hint="eastAsia" w:asciiTheme="minorEastAsia" w:hAnsiTheme="minorEastAsia" w:eastAsiaTheme="minorEastAsia" w:cstheme="minorEastAsia"/>
                <w:snapToGrid w:val="0"/>
                <w:color w:val="000000"/>
                <w:spacing w:val="-13"/>
                <w:kern w:val="0"/>
                <w:sz w:val="24"/>
                <w:szCs w:val="24"/>
                <w:lang w:val="en-US" w:eastAsia="zh-CN" w:bidi="ar-SA"/>
              </w:rPr>
              <w:t>针对性、</w:t>
            </w:r>
            <w:r>
              <w:rPr>
                <w:rFonts w:hint="eastAsia" w:asciiTheme="minorEastAsia" w:hAnsiTheme="minorEastAsia" w:eastAsiaTheme="minorEastAsia" w:cstheme="minorEastAsia"/>
                <w:snapToGrid w:val="0"/>
                <w:color w:val="000000"/>
                <w:spacing w:val="-13"/>
                <w:kern w:val="0"/>
                <w:sz w:val="24"/>
                <w:szCs w:val="24"/>
                <w:lang w:val="en-US" w:eastAsia="en-US" w:bidi="ar-SA"/>
              </w:rPr>
              <w:t>可操作性强，完全满足采购文件要求的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得7分；</w:t>
            </w:r>
          </w:p>
          <w:p w14:paraId="43045813">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2.供应商提供的环境卫生管理方案内容较完整，实施方案较为合理，有可操作性，能满足采购文件</w:t>
            </w:r>
            <w:r>
              <w:rPr>
                <w:rFonts w:hint="eastAsia" w:asciiTheme="minorEastAsia" w:hAnsiTheme="minorEastAsia" w:eastAsiaTheme="minorEastAsia" w:cstheme="minorEastAsia"/>
                <w:snapToGrid w:val="0"/>
                <w:color w:val="000000"/>
                <w:spacing w:val="-13"/>
                <w:kern w:val="0"/>
                <w:sz w:val="24"/>
                <w:szCs w:val="24"/>
                <w:lang w:val="en-US" w:eastAsia="zh-CN" w:bidi="ar-SA"/>
              </w:rPr>
              <w:t>要求</w:t>
            </w:r>
            <w:r>
              <w:rPr>
                <w:rFonts w:hint="eastAsia" w:asciiTheme="minorEastAsia" w:hAnsiTheme="minorEastAsia" w:eastAsiaTheme="minorEastAsia" w:cstheme="minorEastAsia"/>
                <w:snapToGrid w:val="0"/>
                <w:color w:val="000000"/>
                <w:spacing w:val="-13"/>
                <w:kern w:val="0"/>
                <w:sz w:val="24"/>
                <w:szCs w:val="24"/>
                <w:lang w:val="en-US" w:eastAsia="en-US" w:bidi="ar-SA"/>
              </w:rPr>
              <w:t>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得5分；</w:t>
            </w:r>
          </w:p>
          <w:p w14:paraId="2A25D5AD">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3</w:t>
            </w: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.供应商提供的环境卫生管理方案内容基本完整，实施方案</w:t>
            </w:r>
            <w:r>
              <w:rPr>
                <w:rFonts w:hint="eastAsia" w:asciiTheme="minorEastAsia" w:hAnsiTheme="minorEastAsia" w:eastAsiaTheme="minorEastAsia" w:cstheme="minorEastAsia"/>
                <w:snapToGrid w:val="0"/>
                <w:color w:val="000000"/>
                <w:spacing w:val="-13"/>
                <w:kern w:val="0"/>
                <w:sz w:val="24"/>
                <w:szCs w:val="24"/>
                <w:lang w:val="en-US" w:eastAsia="zh-CN" w:bidi="ar-SA"/>
              </w:rPr>
              <w:t>存在一定合理性和</w:t>
            </w:r>
            <w:r>
              <w:rPr>
                <w:rFonts w:hint="eastAsia" w:asciiTheme="minorEastAsia" w:hAnsiTheme="minorEastAsia" w:eastAsiaTheme="minorEastAsia" w:cstheme="minorEastAsia"/>
                <w:snapToGrid w:val="0"/>
                <w:color w:val="000000"/>
                <w:spacing w:val="-13"/>
                <w:kern w:val="0"/>
                <w:sz w:val="24"/>
                <w:szCs w:val="24"/>
                <w:lang w:val="en-US" w:eastAsia="en-US" w:bidi="ar-SA"/>
              </w:rPr>
              <w:t>可操作性，</w:t>
            </w:r>
            <w:r>
              <w:rPr>
                <w:rFonts w:hint="eastAsia" w:asciiTheme="minorEastAsia" w:hAnsiTheme="minorEastAsia" w:eastAsiaTheme="minorEastAsia" w:cstheme="minorEastAsia"/>
                <w:snapToGrid w:val="0"/>
                <w:color w:val="000000"/>
                <w:spacing w:val="-13"/>
                <w:kern w:val="0"/>
                <w:sz w:val="24"/>
                <w:szCs w:val="24"/>
                <w:lang w:val="en-US" w:eastAsia="zh-CN" w:bidi="ar-SA"/>
              </w:rPr>
              <w:t>勉强</w:t>
            </w:r>
            <w:r>
              <w:rPr>
                <w:rFonts w:hint="eastAsia" w:asciiTheme="minorEastAsia" w:hAnsiTheme="minorEastAsia" w:eastAsiaTheme="minorEastAsia" w:cstheme="minorEastAsia"/>
                <w:snapToGrid w:val="0"/>
                <w:color w:val="000000"/>
                <w:spacing w:val="-13"/>
                <w:kern w:val="0"/>
                <w:sz w:val="24"/>
                <w:szCs w:val="24"/>
                <w:lang w:val="en-US" w:eastAsia="en-US" w:bidi="ar-SA"/>
              </w:rPr>
              <w:t>满足采购文件要求的，得3分；</w:t>
            </w:r>
          </w:p>
          <w:p w14:paraId="221CEAFE">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4.供应商提供的环境卫生管理方案不全面，方案不合理，</w:t>
            </w:r>
            <w:r>
              <w:rPr>
                <w:rFonts w:hint="eastAsia" w:asciiTheme="minorEastAsia" w:hAnsiTheme="minorEastAsia" w:eastAsiaTheme="minorEastAsia" w:cstheme="minorEastAsia"/>
                <w:snapToGrid w:val="0"/>
                <w:color w:val="000000"/>
                <w:spacing w:val="-13"/>
                <w:kern w:val="0"/>
                <w:sz w:val="24"/>
                <w:szCs w:val="24"/>
                <w:lang w:val="en-US" w:eastAsia="zh-CN" w:bidi="ar-SA"/>
              </w:rPr>
              <w:t>可行性差</w:t>
            </w:r>
            <w:r>
              <w:rPr>
                <w:rFonts w:hint="eastAsia" w:asciiTheme="minorEastAsia" w:hAnsiTheme="minorEastAsia" w:eastAsiaTheme="minorEastAsia" w:cstheme="minorEastAsia"/>
                <w:snapToGrid w:val="0"/>
                <w:color w:val="000000"/>
                <w:spacing w:val="-13"/>
                <w:kern w:val="0"/>
                <w:sz w:val="24"/>
                <w:szCs w:val="24"/>
                <w:lang w:val="en-US" w:eastAsia="en-US" w:bidi="ar-SA"/>
              </w:rPr>
              <w:t>，</w:t>
            </w:r>
            <w:r>
              <w:rPr>
                <w:rFonts w:hint="eastAsia" w:asciiTheme="minorEastAsia" w:hAnsiTheme="minorEastAsia" w:eastAsiaTheme="minorEastAsia" w:cstheme="minorEastAsia"/>
                <w:snapToGrid w:val="0"/>
                <w:color w:val="000000"/>
                <w:spacing w:val="-13"/>
                <w:kern w:val="0"/>
                <w:sz w:val="24"/>
                <w:szCs w:val="24"/>
                <w:lang w:val="en-US" w:eastAsia="zh-CN" w:bidi="ar-SA"/>
              </w:rPr>
              <w:t>明显无法完全满足需求的，</w:t>
            </w:r>
            <w:r>
              <w:rPr>
                <w:rFonts w:hint="eastAsia" w:asciiTheme="minorEastAsia" w:hAnsiTheme="minorEastAsia" w:eastAsiaTheme="minorEastAsia" w:cstheme="minorEastAsia"/>
                <w:snapToGrid w:val="0"/>
                <w:color w:val="000000"/>
                <w:spacing w:val="-13"/>
                <w:kern w:val="0"/>
                <w:sz w:val="24"/>
                <w:szCs w:val="24"/>
                <w:lang w:val="en-US" w:eastAsia="en-US" w:bidi="ar-SA"/>
              </w:rPr>
              <w:t>得1分；</w:t>
            </w:r>
          </w:p>
          <w:p w14:paraId="248E97B2">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5.缺项不得分。</w:t>
            </w:r>
          </w:p>
        </w:tc>
      </w:tr>
      <w:tr w14:paraId="1CEBE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74A62B4D">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95" w:type="dxa"/>
            <w:vMerge w:val="continue"/>
            <w:vAlign w:val="center"/>
          </w:tcPr>
          <w:p w14:paraId="794779BC">
            <w:pPr>
              <w:keepNext w:val="0"/>
              <w:keepLines w:val="0"/>
              <w:pageBreakBefore w:val="0"/>
              <w:kinsoku/>
              <w:wordWrap w:val="0"/>
              <w:overflowPunct/>
              <w:topLinePunct w:val="0"/>
              <w:bidi w:val="0"/>
              <w:spacing w:before="78" w:line="219" w:lineRule="auto"/>
              <w:ind w:firstLine="214" w:firstLineChars="10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19" w:type="dxa"/>
            <w:vAlign w:val="center"/>
          </w:tcPr>
          <w:p w14:paraId="05346412">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水电维修方案</w:t>
            </w:r>
          </w:p>
          <w:p w14:paraId="1EEF594C">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（7分）</w:t>
            </w:r>
          </w:p>
        </w:tc>
        <w:tc>
          <w:tcPr>
            <w:tcW w:w="5079" w:type="dxa"/>
            <w:vAlign w:val="top"/>
          </w:tcPr>
          <w:p w14:paraId="770236D6">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根据供应商提供的水电维修方案进行评审：</w:t>
            </w:r>
          </w:p>
          <w:p w14:paraId="4180298D">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1.供应商提供的水电维修方案</w:t>
            </w:r>
            <w:r>
              <w:rPr>
                <w:rFonts w:hint="eastAsia" w:asciiTheme="minorEastAsia" w:hAnsiTheme="minorEastAsia" w:eastAsiaTheme="minorEastAsia" w:cstheme="minorEastAsia"/>
                <w:snapToGrid w:val="0"/>
                <w:color w:val="000000"/>
                <w:spacing w:val="-13"/>
                <w:kern w:val="0"/>
                <w:sz w:val="24"/>
                <w:szCs w:val="24"/>
                <w:lang w:val="en-US" w:eastAsia="zh-CN" w:bidi="ar-SA"/>
              </w:rPr>
              <w:t>科学全面，</w:t>
            </w:r>
            <w:r>
              <w:rPr>
                <w:rFonts w:hint="eastAsia" w:asciiTheme="minorEastAsia" w:hAnsiTheme="minorEastAsia" w:eastAsiaTheme="minorEastAsia" w:cstheme="minorEastAsia"/>
                <w:snapToGrid w:val="0"/>
                <w:color w:val="000000"/>
                <w:spacing w:val="-13"/>
                <w:kern w:val="0"/>
                <w:sz w:val="24"/>
                <w:szCs w:val="24"/>
                <w:lang w:val="en-US" w:eastAsia="en-US" w:bidi="ar-SA"/>
              </w:rPr>
              <w:t>内容</w:t>
            </w:r>
            <w:r>
              <w:rPr>
                <w:rFonts w:hint="eastAsia" w:asciiTheme="minorEastAsia" w:hAnsiTheme="minorEastAsia" w:eastAsiaTheme="minorEastAsia" w:cstheme="minorEastAsia"/>
                <w:snapToGrid w:val="0"/>
                <w:color w:val="000000"/>
                <w:spacing w:val="-13"/>
                <w:kern w:val="0"/>
                <w:sz w:val="24"/>
                <w:szCs w:val="24"/>
                <w:lang w:val="en-US" w:eastAsia="zh-CN" w:bidi="ar-SA"/>
              </w:rPr>
              <w:t>规范</w:t>
            </w:r>
            <w:r>
              <w:rPr>
                <w:rFonts w:hint="eastAsia" w:asciiTheme="minorEastAsia" w:hAnsiTheme="minorEastAsia" w:eastAsiaTheme="minorEastAsia" w:cstheme="minorEastAsia"/>
                <w:snapToGrid w:val="0"/>
                <w:color w:val="000000"/>
                <w:spacing w:val="-13"/>
                <w:kern w:val="0"/>
                <w:sz w:val="24"/>
                <w:szCs w:val="24"/>
                <w:lang w:val="en-US" w:eastAsia="en-US" w:bidi="ar-SA"/>
              </w:rPr>
              <w:t>完整，实施方案合理，</w:t>
            </w:r>
            <w:r>
              <w:rPr>
                <w:rFonts w:hint="eastAsia" w:asciiTheme="minorEastAsia" w:hAnsiTheme="minorEastAsia" w:eastAsiaTheme="minorEastAsia" w:cstheme="minorEastAsia"/>
                <w:snapToGrid w:val="0"/>
                <w:color w:val="000000"/>
                <w:spacing w:val="-13"/>
                <w:kern w:val="0"/>
                <w:sz w:val="24"/>
                <w:szCs w:val="24"/>
                <w:lang w:val="en-US" w:eastAsia="zh-CN" w:bidi="ar-SA"/>
              </w:rPr>
              <w:t>针对性、</w:t>
            </w:r>
            <w:r>
              <w:rPr>
                <w:rFonts w:hint="eastAsia" w:asciiTheme="minorEastAsia" w:hAnsiTheme="minorEastAsia" w:eastAsiaTheme="minorEastAsia" w:cstheme="minorEastAsia"/>
                <w:snapToGrid w:val="0"/>
                <w:color w:val="000000"/>
                <w:spacing w:val="-13"/>
                <w:kern w:val="0"/>
                <w:sz w:val="24"/>
                <w:szCs w:val="24"/>
                <w:lang w:val="en-US" w:eastAsia="en-US" w:bidi="ar-SA"/>
              </w:rPr>
              <w:t>可操作性强，完全满足采购文件要求的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得7分；</w:t>
            </w:r>
          </w:p>
          <w:p w14:paraId="419696EF">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2.供应商提供的水电维修方案内容较完整，实施方案较为合理，有可操作性，能满足采购文件</w:t>
            </w:r>
            <w:r>
              <w:rPr>
                <w:rFonts w:hint="eastAsia" w:asciiTheme="minorEastAsia" w:hAnsiTheme="minorEastAsia" w:eastAsiaTheme="minorEastAsia" w:cstheme="minorEastAsia"/>
                <w:snapToGrid w:val="0"/>
                <w:color w:val="000000"/>
                <w:spacing w:val="-13"/>
                <w:kern w:val="0"/>
                <w:sz w:val="24"/>
                <w:szCs w:val="24"/>
                <w:lang w:val="en-US" w:eastAsia="zh-CN" w:bidi="ar-SA"/>
              </w:rPr>
              <w:t>要求</w:t>
            </w:r>
            <w:r>
              <w:rPr>
                <w:rFonts w:hint="eastAsia" w:asciiTheme="minorEastAsia" w:hAnsiTheme="minorEastAsia" w:eastAsiaTheme="minorEastAsia" w:cstheme="minorEastAsia"/>
                <w:snapToGrid w:val="0"/>
                <w:color w:val="000000"/>
                <w:spacing w:val="-13"/>
                <w:kern w:val="0"/>
                <w:sz w:val="24"/>
                <w:szCs w:val="24"/>
                <w:lang w:val="en-US" w:eastAsia="en-US" w:bidi="ar-SA"/>
              </w:rPr>
              <w:t>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得5分；</w:t>
            </w:r>
          </w:p>
          <w:p w14:paraId="61E69807">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3.供应商提供的水电维修方案内容基本完整，实施方案</w:t>
            </w:r>
            <w:r>
              <w:rPr>
                <w:rFonts w:hint="eastAsia" w:asciiTheme="minorEastAsia" w:hAnsiTheme="minorEastAsia" w:eastAsiaTheme="minorEastAsia" w:cstheme="minorEastAsia"/>
                <w:snapToGrid w:val="0"/>
                <w:color w:val="000000"/>
                <w:spacing w:val="-13"/>
                <w:kern w:val="0"/>
                <w:sz w:val="24"/>
                <w:szCs w:val="24"/>
                <w:lang w:val="en-US" w:eastAsia="zh-CN" w:bidi="ar-SA"/>
              </w:rPr>
              <w:t>存在一定合理性和</w:t>
            </w:r>
            <w:r>
              <w:rPr>
                <w:rFonts w:hint="eastAsia" w:asciiTheme="minorEastAsia" w:hAnsiTheme="minorEastAsia" w:eastAsiaTheme="minorEastAsia" w:cstheme="minorEastAsia"/>
                <w:snapToGrid w:val="0"/>
                <w:color w:val="000000"/>
                <w:spacing w:val="-13"/>
                <w:kern w:val="0"/>
                <w:sz w:val="24"/>
                <w:szCs w:val="24"/>
                <w:lang w:val="en-US" w:eastAsia="en-US" w:bidi="ar-SA"/>
              </w:rPr>
              <w:t>可操作性，</w:t>
            </w:r>
            <w:r>
              <w:rPr>
                <w:rFonts w:hint="eastAsia" w:asciiTheme="minorEastAsia" w:hAnsiTheme="minorEastAsia" w:eastAsiaTheme="minorEastAsia" w:cstheme="minorEastAsia"/>
                <w:snapToGrid w:val="0"/>
                <w:color w:val="000000"/>
                <w:spacing w:val="-13"/>
                <w:kern w:val="0"/>
                <w:sz w:val="24"/>
                <w:szCs w:val="24"/>
                <w:lang w:val="en-US" w:eastAsia="zh-CN" w:bidi="ar-SA"/>
              </w:rPr>
              <w:t>勉强</w:t>
            </w:r>
            <w:r>
              <w:rPr>
                <w:rFonts w:hint="eastAsia" w:asciiTheme="minorEastAsia" w:hAnsiTheme="minorEastAsia" w:eastAsiaTheme="minorEastAsia" w:cstheme="minorEastAsia"/>
                <w:snapToGrid w:val="0"/>
                <w:color w:val="000000"/>
                <w:spacing w:val="-13"/>
                <w:kern w:val="0"/>
                <w:sz w:val="24"/>
                <w:szCs w:val="24"/>
                <w:lang w:val="en-US" w:eastAsia="en-US" w:bidi="ar-SA"/>
              </w:rPr>
              <w:t>满足采购文件要求的，得3分；</w:t>
            </w:r>
          </w:p>
          <w:p w14:paraId="3B3B8C63">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4.供应商提供的水电维修方案不全面，方案不合理，可行性差，明显无法完全满足需求的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得1分；</w:t>
            </w:r>
          </w:p>
          <w:p w14:paraId="44DC4BC9">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5.缺项不得分。</w:t>
            </w:r>
          </w:p>
        </w:tc>
      </w:tr>
      <w:tr w14:paraId="5098B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09A4CBA5">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95" w:type="dxa"/>
            <w:vMerge w:val="continue"/>
            <w:vAlign w:val="center"/>
          </w:tcPr>
          <w:p w14:paraId="2D0247F7">
            <w:pPr>
              <w:keepNext w:val="0"/>
              <w:keepLines w:val="0"/>
              <w:pageBreakBefore w:val="0"/>
              <w:kinsoku/>
              <w:wordWrap w:val="0"/>
              <w:overflowPunct/>
              <w:topLinePunct w:val="0"/>
              <w:bidi w:val="0"/>
              <w:spacing w:before="78" w:line="219" w:lineRule="auto"/>
              <w:ind w:firstLine="214" w:firstLineChars="10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19" w:type="dxa"/>
            <w:vAlign w:val="center"/>
          </w:tcPr>
          <w:p w14:paraId="03A68AB5">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绿化养护方案及措施</w:t>
            </w:r>
            <w:r>
              <w:rPr>
                <w:rFonts w:hint="eastAsia" w:asciiTheme="minorEastAsia" w:hAnsiTheme="minorEastAsia" w:eastAsiaTheme="minorEastAsia" w:cstheme="minorEastAsia"/>
                <w:snapToGrid w:val="0"/>
                <w:color w:val="000000"/>
                <w:spacing w:val="-13"/>
                <w:kern w:val="0"/>
                <w:sz w:val="24"/>
                <w:szCs w:val="24"/>
                <w:lang w:val="en-US" w:eastAsia="zh-CN" w:bidi="ar-SA"/>
              </w:rPr>
              <w:t>（7分）</w:t>
            </w:r>
          </w:p>
        </w:tc>
        <w:tc>
          <w:tcPr>
            <w:tcW w:w="5079" w:type="dxa"/>
            <w:vAlign w:val="top"/>
          </w:tcPr>
          <w:p w14:paraId="688E8B7A">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根据供应商提供的绿化养护方案及措施进行评审：</w:t>
            </w:r>
          </w:p>
          <w:p w14:paraId="692B8219">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1.供应商提供的绿化养护方案及措施</w:t>
            </w:r>
            <w:r>
              <w:rPr>
                <w:rFonts w:hint="eastAsia" w:asciiTheme="minorEastAsia" w:hAnsiTheme="minorEastAsia" w:eastAsiaTheme="minorEastAsia" w:cstheme="minorEastAsia"/>
                <w:snapToGrid w:val="0"/>
                <w:color w:val="000000"/>
                <w:spacing w:val="-13"/>
                <w:kern w:val="0"/>
                <w:sz w:val="24"/>
                <w:szCs w:val="24"/>
                <w:lang w:val="en-US" w:eastAsia="zh-CN" w:bidi="ar-SA"/>
              </w:rPr>
              <w:t>科学全面，</w:t>
            </w:r>
            <w:r>
              <w:rPr>
                <w:rFonts w:hint="eastAsia" w:asciiTheme="minorEastAsia" w:hAnsiTheme="minorEastAsia" w:eastAsiaTheme="minorEastAsia" w:cstheme="minorEastAsia"/>
                <w:snapToGrid w:val="0"/>
                <w:color w:val="000000"/>
                <w:spacing w:val="-13"/>
                <w:kern w:val="0"/>
                <w:sz w:val="24"/>
                <w:szCs w:val="24"/>
                <w:lang w:val="en-US" w:eastAsia="en-US" w:bidi="ar-SA"/>
              </w:rPr>
              <w:t>内容</w:t>
            </w:r>
            <w:r>
              <w:rPr>
                <w:rFonts w:hint="eastAsia" w:asciiTheme="minorEastAsia" w:hAnsiTheme="minorEastAsia" w:eastAsiaTheme="minorEastAsia" w:cstheme="minorEastAsia"/>
                <w:snapToGrid w:val="0"/>
                <w:color w:val="000000"/>
                <w:spacing w:val="-13"/>
                <w:kern w:val="0"/>
                <w:sz w:val="24"/>
                <w:szCs w:val="24"/>
                <w:lang w:val="en-US" w:eastAsia="zh-CN" w:bidi="ar-SA"/>
              </w:rPr>
              <w:t>规范</w:t>
            </w:r>
            <w:r>
              <w:rPr>
                <w:rFonts w:hint="eastAsia" w:asciiTheme="minorEastAsia" w:hAnsiTheme="minorEastAsia" w:eastAsiaTheme="minorEastAsia" w:cstheme="minorEastAsia"/>
                <w:snapToGrid w:val="0"/>
                <w:color w:val="000000"/>
                <w:spacing w:val="-13"/>
                <w:kern w:val="0"/>
                <w:sz w:val="24"/>
                <w:szCs w:val="24"/>
                <w:lang w:val="en-US" w:eastAsia="en-US" w:bidi="ar-SA"/>
              </w:rPr>
              <w:t>完整，实施方案合理，</w:t>
            </w:r>
            <w:r>
              <w:rPr>
                <w:rFonts w:hint="eastAsia" w:asciiTheme="minorEastAsia" w:hAnsiTheme="minorEastAsia" w:eastAsiaTheme="minorEastAsia" w:cstheme="minorEastAsia"/>
                <w:snapToGrid w:val="0"/>
                <w:color w:val="000000"/>
                <w:spacing w:val="-13"/>
                <w:kern w:val="0"/>
                <w:sz w:val="24"/>
                <w:szCs w:val="24"/>
                <w:lang w:val="en-US" w:eastAsia="zh-CN" w:bidi="ar-SA"/>
              </w:rPr>
              <w:t>针对性、</w:t>
            </w:r>
            <w:r>
              <w:rPr>
                <w:rFonts w:hint="eastAsia" w:asciiTheme="minorEastAsia" w:hAnsiTheme="minorEastAsia" w:eastAsiaTheme="minorEastAsia" w:cstheme="minorEastAsia"/>
                <w:snapToGrid w:val="0"/>
                <w:color w:val="000000"/>
                <w:spacing w:val="-13"/>
                <w:kern w:val="0"/>
                <w:sz w:val="24"/>
                <w:szCs w:val="24"/>
                <w:lang w:val="en-US" w:eastAsia="en-US" w:bidi="ar-SA"/>
              </w:rPr>
              <w:t>可操作性强，完全满足采购文件要求的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得7分；</w:t>
            </w:r>
          </w:p>
          <w:p w14:paraId="39D3CB62">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2.供应商提供的绿化养护方案及措施内容较完整，实施方案较为合理，有可操作性，能满足采购文件</w:t>
            </w:r>
            <w:r>
              <w:rPr>
                <w:rFonts w:hint="eastAsia" w:asciiTheme="minorEastAsia" w:hAnsiTheme="minorEastAsia" w:eastAsiaTheme="minorEastAsia" w:cstheme="minorEastAsia"/>
                <w:snapToGrid w:val="0"/>
                <w:color w:val="000000"/>
                <w:spacing w:val="-13"/>
                <w:kern w:val="0"/>
                <w:sz w:val="24"/>
                <w:szCs w:val="24"/>
                <w:lang w:val="en-US" w:eastAsia="zh-CN" w:bidi="ar-SA"/>
              </w:rPr>
              <w:t>要求</w:t>
            </w:r>
            <w:r>
              <w:rPr>
                <w:rFonts w:hint="eastAsia" w:asciiTheme="minorEastAsia" w:hAnsiTheme="minorEastAsia" w:eastAsiaTheme="minorEastAsia" w:cstheme="minorEastAsia"/>
                <w:snapToGrid w:val="0"/>
                <w:color w:val="000000"/>
                <w:spacing w:val="-13"/>
                <w:kern w:val="0"/>
                <w:sz w:val="24"/>
                <w:szCs w:val="24"/>
                <w:lang w:val="en-US" w:eastAsia="en-US" w:bidi="ar-SA"/>
              </w:rPr>
              <w:t>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得5分；</w:t>
            </w:r>
          </w:p>
          <w:p w14:paraId="51733A43">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3.供应商提供的绿化养护方案及措施基本全面，内容基本完整，实施方案</w:t>
            </w:r>
            <w:r>
              <w:rPr>
                <w:rFonts w:hint="eastAsia" w:asciiTheme="minorEastAsia" w:hAnsiTheme="minorEastAsia" w:eastAsiaTheme="minorEastAsia" w:cstheme="minorEastAsia"/>
                <w:snapToGrid w:val="0"/>
                <w:color w:val="000000"/>
                <w:spacing w:val="-13"/>
                <w:kern w:val="0"/>
                <w:sz w:val="24"/>
                <w:szCs w:val="24"/>
                <w:lang w:val="en-US" w:eastAsia="zh-CN" w:bidi="ar-SA"/>
              </w:rPr>
              <w:t>存在一定合理性和</w:t>
            </w:r>
            <w:r>
              <w:rPr>
                <w:rFonts w:hint="eastAsia" w:asciiTheme="minorEastAsia" w:hAnsiTheme="minorEastAsia" w:eastAsiaTheme="minorEastAsia" w:cstheme="minorEastAsia"/>
                <w:snapToGrid w:val="0"/>
                <w:color w:val="000000"/>
                <w:spacing w:val="-13"/>
                <w:kern w:val="0"/>
                <w:sz w:val="24"/>
                <w:szCs w:val="24"/>
                <w:lang w:val="en-US" w:eastAsia="en-US" w:bidi="ar-SA"/>
              </w:rPr>
              <w:t>可操作性，</w:t>
            </w:r>
            <w:r>
              <w:rPr>
                <w:rFonts w:hint="eastAsia" w:asciiTheme="minorEastAsia" w:hAnsiTheme="minorEastAsia" w:eastAsiaTheme="minorEastAsia" w:cstheme="minorEastAsia"/>
                <w:snapToGrid w:val="0"/>
                <w:color w:val="000000"/>
                <w:spacing w:val="-13"/>
                <w:kern w:val="0"/>
                <w:sz w:val="24"/>
                <w:szCs w:val="24"/>
                <w:lang w:val="en-US" w:eastAsia="zh-CN" w:bidi="ar-SA"/>
              </w:rPr>
              <w:t>勉强</w:t>
            </w:r>
            <w:r>
              <w:rPr>
                <w:rFonts w:hint="eastAsia" w:asciiTheme="minorEastAsia" w:hAnsiTheme="minorEastAsia" w:eastAsiaTheme="minorEastAsia" w:cstheme="minorEastAsia"/>
                <w:snapToGrid w:val="0"/>
                <w:color w:val="000000"/>
                <w:spacing w:val="-13"/>
                <w:kern w:val="0"/>
                <w:sz w:val="24"/>
                <w:szCs w:val="24"/>
                <w:lang w:val="en-US" w:eastAsia="en-US" w:bidi="ar-SA"/>
              </w:rPr>
              <w:t>满足采购文件要求的，得3分；</w:t>
            </w:r>
          </w:p>
          <w:p w14:paraId="28A1AD85">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4.供应商提供的绿化养护方案及措施不全面，方案不合理，可行性差，明显无法完全满足需求的，得1分；</w:t>
            </w:r>
          </w:p>
          <w:p w14:paraId="4DC07F0E">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5.缺项不得分。</w:t>
            </w:r>
          </w:p>
        </w:tc>
      </w:tr>
      <w:tr w14:paraId="4EA6D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21770712">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95" w:type="dxa"/>
            <w:vMerge w:val="continue"/>
            <w:vAlign w:val="center"/>
          </w:tcPr>
          <w:p w14:paraId="44719B26">
            <w:pPr>
              <w:keepNext w:val="0"/>
              <w:keepLines w:val="0"/>
              <w:pageBreakBefore w:val="0"/>
              <w:kinsoku/>
              <w:wordWrap w:val="0"/>
              <w:overflowPunct/>
              <w:topLinePunct w:val="0"/>
              <w:bidi w:val="0"/>
              <w:spacing w:before="78" w:line="219" w:lineRule="auto"/>
              <w:ind w:firstLine="214" w:firstLineChars="10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19" w:type="dxa"/>
            <w:vAlign w:val="center"/>
          </w:tcPr>
          <w:p w14:paraId="497D5710">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会务服务方案及措施</w:t>
            </w:r>
            <w:r>
              <w:rPr>
                <w:rFonts w:hint="eastAsia" w:asciiTheme="minorEastAsia" w:hAnsiTheme="minorEastAsia" w:eastAsiaTheme="minorEastAsia" w:cstheme="minorEastAsia"/>
                <w:snapToGrid w:val="0"/>
                <w:color w:val="000000"/>
                <w:spacing w:val="-13"/>
                <w:kern w:val="0"/>
                <w:sz w:val="24"/>
                <w:szCs w:val="24"/>
                <w:lang w:val="en-US" w:eastAsia="zh-CN" w:bidi="ar-SA"/>
              </w:rPr>
              <w:t>（7分）</w:t>
            </w:r>
          </w:p>
        </w:tc>
        <w:tc>
          <w:tcPr>
            <w:tcW w:w="5079" w:type="dxa"/>
            <w:vAlign w:val="top"/>
          </w:tcPr>
          <w:p w14:paraId="4B04A0D7">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根据供应商提供的会务服务方案及措施进行评审：</w:t>
            </w:r>
          </w:p>
          <w:p w14:paraId="269A8F39">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w:t>
            </w: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.供应商提供的会务服务方案及措施</w:t>
            </w:r>
            <w:r>
              <w:rPr>
                <w:rFonts w:hint="eastAsia" w:asciiTheme="minorEastAsia" w:hAnsiTheme="minorEastAsia" w:eastAsiaTheme="minorEastAsia" w:cstheme="minorEastAsia"/>
                <w:snapToGrid w:val="0"/>
                <w:color w:val="000000"/>
                <w:spacing w:val="-13"/>
                <w:kern w:val="0"/>
                <w:sz w:val="24"/>
                <w:szCs w:val="24"/>
                <w:lang w:val="en-US" w:eastAsia="zh-CN" w:bidi="ar-SA"/>
              </w:rPr>
              <w:t>科学全面，</w:t>
            </w:r>
            <w:r>
              <w:rPr>
                <w:rFonts w:hint="eastAsia" w:asciiTheme="minorEastAsia" w:hAnsiTheme="minorEastAsia" w:eastAsiaTheme="minorEastAsia" w:cstheme="minorEastAsia"/>
                <w:snapToGrid w:val="0"/>
                <w:color w:val="000000"/>
                <w:spacing w:val="-13"/>
                <w:kern w:val="0"/>
                <w:sz w:val="24"/>
                <w:szCs w:val="24"/>
                <w:lang w:val="en-US" w:eastAsia="en-US" w:bidi="ar-SA"/>
              </w:rPr>
              <w:t>内容</w:t>
            </w:r>
            <w:r>
              <w:rPr>
                <w:rFonts w:hint="eastAsia" w:asciiTheme="minorEastAsia" w:hAnsiTheme="minorEastAsia" w:eastAsiaTheme="minorEastAsia" w:cstheme="minorEastAsia"/>
                <w:snapToGrid w:val="0"/>
                <w:color w:val="000000"/>
                <w:spacing w:val="-13"/>
                <w:kern w:val="0"/>
                <w:sz w:val="24"/>
                <w:szCs w:val="24"/>
                <w:lang w:val="en-US" w:eastAsia="zh-CN" w:bidi="ar-SA"/>
              </w:rPr>
              <w:t>规范</w:t>
            </w:r>
            <w:r>
              <w:rPr>
                <w:rFonts w:hint="eastAsia" w:asciiTheme="minorEastAsia" w:hAnsiTheme="minorEastAsia" w:eastAsiaTheme="minorEastAsia" w:cstheme="minorEastAsia"/>
                <w:snapToGrid w:val="0"/>
                <w:color w:val="000000"/>
                <w:spacing w:val="-13"/>
                <w:kern w:val="0"/>
                <w:sz w:val="24"/>
                <w:szCs w:val="24"/>
                <w:lang w:val="en-US" w:eastAsia="en-US" w:bidi="ar-SA"/>
              </w:rPr>
              <w:t>完整，实施方案合理，</w:t>
            </w:r>
            <w:r>
              <w:rPr>
                <w:rFonts w:hint="eastAsia" w:asciiTheme="minorEastAsia" w:hAnsiTheme="minorEastAsia" w:eastAsiaTheme="minorEastAsia" w:cstheme="minorEastAsia"/>
                <w:snapToGrid w:val="0"/>
                <w:color w:val="000000"/>
                <w:spacing w:val="-13"/>
                <w:kern w:val="0"/>
                <w:sz w:val="24"/>
                <w:szCs w:val="24"/>
                <w:lang w:val="en-US" w:eastAsia="zh-CN" w:bidi="ar-SA"/>
              </w:rPr>
              <w:t>针对性、</w:t>
            </w:r>
            <w:r>
              <w:rPr>
                <w:rFonts w:hint="eastAsia" w:asciiTheme="minorEastAsia" w:hAnsiTheme="minorEastAsia" w:eastAsiaTheme="minorEastAsia" w:cstheme="minorEastAsia"/>
                <w:snapToGrid w:val="0"/>
                <w:color w:val="000000"/>
                <w:spacing w:val="-13"/>
                <w:kern w:val="0"/>
                <w:sz w:val="24"/>
                <w:szCs w:val="24"/>
                <w:lang w:val="en-US" w:eastAsia="en-US" w:bidi="ar-SA"/>
              </w:rPr>
              <w:t>可操作性强，完全满足采购文件要求的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得7分；</w:t>
            </w:r>
          </w:p>
          <w:p w14:paraId="1742F7B9">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2.供应商提供的会务服务方案及措施内容较完整，实施方案较为合理，有可操作性，能满足采购文件</w:t>
            </w:r>
            <w:r>
              <w:rPr>
                <w:rFonts w:hint="eastAsia" w:asciiTheme="minorEastAsia" w:hAnsiTheme="minorEastAsia" w:eastAsiaTheme="minorEastAsia" w:cstheme="minorEastAsia"/>
                <w:snapToGrid w:val="0"/>
                <w:color w:val="000000"/>
                <w:spacing w:val="-13"/>
                <w:kern w:val="0"/>
                <w:sz w:val="24"/>
                <w:szCs w:val="24"/>
                <w:lang w:val="en-US" w:eastAsia="zh-CN" w:bidi="ar-SA"/>
              </w:rPr>
              <w:t>要求</w:t>
            </w:r>
            <w:r>
              <w:rPr>
                <w:rFonts w:hint="eastAsia" w:asciiTheme="minorEastAsia" w:hAnsiTheme="minorEastAsia" w:eastAsiaTheme="minorEastAsia" w:cstheme="minorEastAsia"/>
                <w:snapToGrid w:val="0"/>
                <w:color w:val="000000"/>
                <w:spacing w:val="-13"/>
                <w:kern w:val="0"/>
                <w:sz w:val="24"/>
                <w:szCs w:val="24"/>
                <w:lang w:val="en-US" w:eastAsia="en-US" w:bidi="ar-SA"/>
              </w:rPr>
              <w:t>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得5分；</w:t>
            </w:r>
          </w:p>
          <w:p w14:paraId="389AEDE3">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3.供应商提供的会务服务方案及措施内容基本完整，实施方案</w:t>
            </w:r>
            <w:r>
              <w:rPr>
                <w:rFonts w:hint="eastAsia" w:asciiTheme="minorEastAsia" w:hAnsiTheme="minorEastAsia" w:eastAsiaTheme="minorEastAsia" w:cstheme="minorEastAsia"/>
                <w:snapToGrid w:val="0"/>
                <w:color w:val="000000"/>
                <w:spacing w:val="-13"/>
                <w:kern w:val="0"/>
                <w:sz w:val="24"/>
                <w:szCs w:val="24"/>
                <w:lang w:val="en-US" w:eastAsia="zh-CN" w:bidi="ar-SA"/>
              </w:rPr>
              <w:t>存在一定合理性和</w:t>
            </w:r>
            <w:r>
              <w:rPr>
                <w:rFonts w:hint="eastAsia" w:asciiTheme="minorEastAsia" w:hAnsiTheme="minorEastAsia" w:eastAsiaTheme="minorEastAsia" w:cstheme="minorEastAsia"/>
                <w:snapToGrid w:val="0"/>
                <w:color w:val="000000"/>
                <w:spacing w:val="-13"/>
                <w:kern w:val="0"/>
                <w:sz w:val="24"/>
                <w:szCs w:val="24"/>
                <w:lang w:val="en-US" w:eastAsia="en-US" w:bidi="ar-SA"/>
              </w:rPr>
              <w:t>可操作性，</w:t>
            </w:r>
            <w:r>
              <w:rPr>
                <w:rFonts w:hint="eastAsia" w:asciiTheme="minorEastAsia" w:hAnsiTheme="minorEastAsia" w:eastAsiaTheme="minorEastAsia" w:cstheme="minorEastAsia"/>
                <w:snapToGrid w:val="0"/>
                <w:color w:val="000000"/>
                <w:spacing w:val="-13"/>
                <w:kern w:val="0"/>
                <w:sz w:val="24"/>
                <w:szCs w:val="24"/>
                <w:lang w:val="en-US" w:eastAsia="zh-CN" w:bidi="ar-SA"/>
              </w:rPr>
              <w:t>勉强</w:t>
            </w:r>
            <w:r>
              <w:rPr>
                <w:rFonts w:hint="eastAsia" w:asciiTheme="minorEastAsia" w:hAnsiTheme="minorEastAsia" w:eastAsiaTheme="minorEastAsia" w:cstheme="minorEastAsia"/>
                <w:snapToGrid w:val="0"/>
                <w:color w:val="000000"/>
                <w:spacing w:val="-13"/>
                <w:kern w:val="0"/>
                <w:sz w:val="24"/>
                <w:szCs w:val="24"/>
                <w:lang w:val="en-US" w:eastAsia="en-US" w:bidi="ar-SA"/>
              </w:rPr>
              <w:t>满足采购文件要求的，得3分；</w:t>
            </w:r>
          </w:p>
          <w:p w14:paraId="7EF0AFDA">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4.供应商提供的会务服务方案及措施不全面，方案不合理，</w:t>
            </w:r>
            <w:r>
              <w:rPr>
                <w:rFonts w:hint="eastAsia" w:asciiTheme="minorEastAsia" w:hAnsiTheme="minorEastAsia" w:eastAsiaTheme="minorEastAsia" w:cstheme="minorEastAsia"/>
                <w:snapToGrid w:val="0"/>
                <w:color w:val="000000"/>
                <w:spacing w:val="-13"/>
                <w:kern w:val="0"/>
                <w:sz w:val="24"/>
                <w:szCs w:val="24"/>
                <w:lang w:val="en-US" w:eastAsia="zh-CN" w:bidi="ar-SA"/>
              </w:rPr>
              <w:t>可行性差</w:t>
            </w:r>
            <w:r>
              <w:rPr>
                <w:rFonts w:hint="eastAsia" w:asciiTheme="minorEastAsia" w:hAnsiTheme="minorEastAsia" w:eastAsiaTheme="minorEastAsia" w:cstheme="minorEastAsia"/>
                <w:snapToGrid w:val="0"/>
                <w:color w:val="000000"/>
                <w:spacing w:val="-13"/>
                <w:kern w:val="0"/>
                <w:sz w:val="24"/>
                <w:szCs w:val="24"/>
                <w:lang w:val="en-US" w:eastAsia="en-US" w:bidi="ar-SA"/>
              </w:rPr>
              <w:t>，</w:t>
            </w:r>
            <w:r>
              <w:rPr>
                <w:rFonts w:hint="eastAsia" w:asciiTheme="minorEastAsia" w:hAnsiTheme="minorEastAsia" w:eastAsiaTheme="minorEastAsia" w:cstheme="minorEastAsia"/>
                <w:snapToGrid w:val="0"/>
                <w:color w:val="000000"/>
                <w:spacing w:val="-13"/>
                <w:kern w:val="0"/>
                <w:sz w:val="24"/>
                <w:szCs w:val="24"/>
                <w:lang w:val="en-US" w:eastAsia="zh-CN" w:bidi="ar-SA"/>
              </w:rPr>
              <w:t>明显无法完全满足需求的</w:t>
            </w:r>
            <w:r>
              <w:rPr>
                <w:rFonts w:hint="eastAsia" w:asciiTheme="minorEastAsia" w:hAnsiTheme="minorEastAsia" w:eastAsiaTheme="minorEastAsia" w:cstheme="minorEastAsia"/>
                <w:snapToGrid w:val="0"/>
                <w:color w:val="000000"/>
                <w:spacing w:val="-13"/>
                <w:kern w:val="0"/>
                <w:sz w:val="24"/>
                <w:szCs w:val="24"/>
                <w:lang w:val="en-US" w:eastAsia="en-US" w:bidi="ar-SA"/>
              </w:rPr>
              <w:t>，得1分；</w:t>
            </w:r>
          </w:p>
          <w:p w14:paraId="022418E0">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5.缺项不得分。</w:t>
            </w:r>
          </w:p>
        </w:tc>
      </w:tr>
      <w:tr w14:paraId="1AC08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32658E32">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95" w:type="dxa"/>
            <w:vMerge w:val="continue"/>
            <w:vAlign w:val="center"/>
          </w:tcPr>
          <w:p w14:paraId="4BF432B3">
            <w:pPr>
              <w:keepNext w:val="0"/>
              <w:keepLines w:val="0"/>
              <w:pageBreakBefore w:val="0"/>
              <w:kinsoku/>
              <w:wordWrap w:val="0"/>
              <w:overflowPunct/>
              <w:topLinePunct w:val="0"/>
              <w:bidi w:val="0"/>
              <w:spacing w:before="78" w:line="219" w:lineRule="auto"/>
              <w:ind w:firstLine="214" w:firstLineChars="10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19" w:type="dxa"/>
            <w:vAlign w:val="center"/>
          </w:tcPr>
          <w:p w14:paraId="453BACBC">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人员配备</w:t>
            </w:r>
            <w:r>
              <w:rPr>
                <w:rFonts w:hint="eastAsia" w:asciiTheme="minorEastAsia" w:hAnsiTheme="minorEastAsia" w:eastAsiaTheme="minorEastAsia" w:cstheme="minorEastAsia"/>
                <w:snapToGrid w:val="0"/>
                <w:color w:val="000000"/>
                <w:spacing w:val="-13"/>
                <w:kern w:val="0"/>
                <w:sz w:val="24"/>
                <w:szCs w:val="24"/>
                <w:lang w:val="en-US" w:eastAsia="zh-CN" w:bidi="ar-SA"/>
              </w:rPr>
              <w:t>（8分）</w:t>
            </w:r>
          </w:p>
        </w:tc>
        <w:tc>
          <w:tcPr>
            <w:tcW w:w="5079" w:type="dxa"/>
            <w:vAlign w:val="top"/>
          </w:tcPr>
          <w:p w14:paraId="7867C6D1">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根据供应商拟投入本项目的人员安排、从业人员岗位分配、时间安排等方面进行评审：</w:t>
            </w:r>
          </w:p>
          <w:p w14:paraId="389A0D1E">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1.人员安排合理</w:t>
            </w:r>
            <w:r>
              <w:rPr>
                <w:rFonts w:hint="eastAsia" w:asciiTheme="minorEastAsia" w:hAnsiTheme="minorEastAsia" w:eastAsiaTheme="minorEastAsia" w:cstheme="minorEastAsia"/>
                <w:snapToGrid w:val="0"/>
                <w:color w:val="000000"/>
                <w:spacing w:val="-13"/>
                <w:kern w:val="0"/>
                <w:sz w:val="24"/>
                <w:szCs w:val="24"/>
                <w:lang w:val="en-US" w:eastAsia="zh-CN" w:bidi="ar-SA"/>
              </w:rPr>
              <w:t>科学</w:t>
            </w:r>
            <w:r>
              <w:rPr>
                <w:rFonts w:hint="eastAsia" w:asciiTheme="minorEastAsia" w:hAnsiTheme="minorEastAsia" w:eastAsiaTheme="minorEastAsia" w:cstheme="minorEastAsia"/>
                <w:snapToGrid w:val="0"/>
                <w:color w:val="000000"/>
                <w:spacing w:val="-13"/>
                <w:kern w:val="0"/>
                <w:sz w:val="24"/>
                <w:szCs w:val="24"/>
                <w:lang w:val="en-US" w:eastAsia="en-US" w:bidi="ar-SA"/>
              </w:rPr>
              <w:t>，配备专门服务团队，组织架构完整、人员分工明确、完全满足采购需求得8分；</w:t>
            </w:r>
          </w:p>
          <w:p w14:paraId="4CDE8E7D">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2.人员安排较合理，分工较明确、可行，基本满足采购需求得6分；</w:t>
            </w:r>
          </w:p>
          <w:p w14:paraId="21761263">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3.人员安排及分工</w:t>
            </w:r>
            <w:r>
              <w:rPr>
                <w:rFonts w:hint="eastAsia" w:asciiTheme="minorEastAsia" w:hAnsiTheme="minorEastAsia" w:eastAsiaTheme="minorEastAsia" w:cstheme="minorEastAsia"/>
                <w:snapToGrid w:val="0"/>
                <w:color w:val="000000"/>
                <w:spacing w:val="-13"/>
                <w:kern w:val="0"/>
                <w:sz w:val="24"/>
                <w:szCs w:val="24"/>
                <w:lang w:val="en-US" w:eastAsia="zh-CN" w:bidi="ar-SA"/>
              </w:rPr>
              <w:t>结构完整但</w:t>
            </w:r>
            <w:r>
              <w:rPr>
                <w:rFonts w:hint="eastAsia" w:asciiTheme="minorEastAsia" w:hAnsiTheme="minorEastAsia" w:eastAsiaTheme="minorEastAsia" w:cstheme="minorEastAsia"/>
                <w:snapToGrid w:val="0"/>
                <w:color w:val="000000"/>
                <w:spacing w:val="-13"/>
                <w:kern w:val="0"/>
                <w:sz w:val="24"/>
                <w:szCs w:val="24"/>
                <w:lang w:val="en-US" w:eastAsia="en-US" w:bidi="ar-SA"/>
              </w:rPr>
              <w:t>缺乏针对性，</w:t>
            </w:r>
            <w:r>
              <w:rPr>
                <w:rFonts w:hint="eastAsia" w:asciiTheme="minorEastAsia" w:hAnsiTheme="minorEastAsia" w:eastAsiaTheme="minorEastAsia" w:cstheme="minorEastAsia"/>
                <w:snapToGrid w:val="0"/>
                <w:color w:val="000000"/>
                <w:spacing w:val="-13"/>
                <w:kern w:val="0"/>
                <w:sz w:val="24"/>
                <w:szCs w:val="24"/>
                <w:lang w:val="en-US" w:eastAsia="zh-CN" w:bidi="ar-SA"/>
              </w:rPr>
              <w:t>勉强</w:t>
            </w:r>
            <w:r>
              <w:rPr>
                <w:rFonts w:hint="eastAsia" w:asciiTheme="minorEastAsia" w:hAnsiTheme="minorEastAsia" w:eastAsiaTheme="minorEastAsia" w:cstheme="minorEastAsia"/>
                <w:snapToGrid w:val="0"/>
                <w:color w:val="000000"/>
                <w:spacing w:val="-13"/>
                <w:kern w:val="0"/>
                <w:sz w:val="24"/>
                <w:szCs w:val="24"/>
                <w:lang w:val="en-US" w:eastAsia="en-US" w:bidi="ar-SA"/>
              </w:rPr>
              <w:t>满足采购需求得4分；</w:t>
            </w:r>
          </w:p>
          <w:p w14:paraId="05E9CB2F">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4.有人员配备方案，但方案简单，人员安排不够合理，分工不够明确得2分；</w:t>
            </w:r>
          </w:p>
          <w:p w14:paraId="3D847916">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5.缺项不得分。</w:t>
            </w:r>
          </w:p>
        </w:tc>
      </w:tr>
      <w:tr w14:paraId="19D6D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5AAE612C">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95" w:type="dxa"/>
            <w:vMerge w:val="continue"/>
            <w:vAlign w:val="center"/>
          </w:tcPr>
          <w:p w14:paraId="492E699D">
            <w:pPr>
              <w:keepNext w:val="0"/>
              <w:keepLines w:val="0"/>
              <w:pageBreakBefore w:val="0"/>
              <w:kinsoku/>
              <w:wordWrap w:val="0"/>
              <w:overflowPunct/>
              <w:topLinePunct w:val="0"/>
              <w:bidi w:val="0"/>
              <w:spacing w:before="78" w:line="219" w:lineRule="auto"/>
              <w:ind w:firstLine="214" w:firstLineChars="10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19" w:type="dxa"/>
            <w:vAlign w:val="center"/>
          </w:tcPr>
          <w:p w14:paraId="3597CC1F">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拟投入的设备</w:t>
            </w:r>
          </w:p>
          <w:p w14:paraId="755D1C38">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（8分）</w:t>
            </w:r>
          </w:p>
        </w:tc>
        <w:tc>
          <w:tcPr>
            <w:tcW w:w="5079" w:type="dxa"/>
            <w:vAlign w:val="top"/>
          </w:tcPr>
          <w:p w14:paraId="72405924">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根据供应商拟投入本项目的设备状况、设备数量等的科学性、合理性进行评审：</w:t>
            </w:r>
          </w:p>
          <w:p w14:paraId="1DFE7620">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1.拟投入设备种类、数量齐全、配置合理，完全满足采购需求</w:t>
            </w:r>
            <w:r>
              <w:rPr>
                <w:rFonts w:hint="eastAsia" w:asciiTheme="minorEastAsia" w:hAnsiTheme="minorEastAsia" w:eastAsiaTheme="minorEastAsia" w:cstheme="minorEastAsia"/>
                <w:snapToGrid w:val="0"/>
                <w:color w:val="000000"/>
                <w:spacing w:val="-13"/>
                <w:kern w:val="0"/>
                <w:sz w:val="24"/>
                <w:szCs w:val="24"/>
                <w:lang w:val="en-US" w:eastAsia="zh-CN" w:bidi="ar-SA"/>
              </w:rPr>
              <w:t>的，</w:t>
            </w:r>
            <w:r>
              <w:rPr>
                <w:rFonts w:hint="eastAsia" w:asciiTheme="minorEastAsia" w:hAnsiTheme="minorEastAsia" w:eastAsiaTheme="minorEastAsia" w:cstheme="minorEastAsia"/>
                <w:snapToGrid w:val="0"/>
                <w:color w:val="000000"/>
                <w:spacing w:val="-13"/>
                <w:kern w:val="0"/>
                <w:sz w:val="24"/>
                <w:szCs w:val="24"/>
                <w:lang w:val="en-US" w:eastAsia="en-US" w:bidi="ar-SA"/>
              </w:rPr>
              <w:t>得8分；</w:t>
            </w:r>
          </w:p>
          <w:p w14:paraId="6E1283F3">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2.拟投入设备种类、数量较齐全、配置基本合理，能满足采购需求得6分；</w:t>
            </w:r>
          </w:p>
          <w:p w14:paraId="52DCC89D">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3.拟投入设备种类、数量有欠缺，</w:t>
            </w:r>
            <w:r>
              <w:rPr>
                <w:rFonts w:hint="eastAsia" w:asciiTheme="minorEastAsia" w:hAnsiTheme="minorEastAsia" w:eastAsiaTheme="minorEastAsia" w:cstheme="minorEastAsia"/>
                <w:snapToGrid w:val="0"/>
                <w:color w:val="000000"/>
                <w:spacing w:val="-13"/>
                <w:kern w:val="0"/>
                <w:sz w:val="24"/>
                <w:szCs w:val="24"/>
                <w:lang w:val="en-US" w:eastAsia="zh-CN" w:bidi="ar-SA"/>
              </w:rPr>
              <w:t>不能完全</w:t>
            </w:r>
            <w:r>
              <w:rPr>
                <w:rFonts w:hint="eastAsia" w:asciiTheme="minorEastAsia" w:hAnsiTheme="minorEastAsia" w:eastAsiaTheme="minorEastAsia" w:cstheme="minorEastAsia"/>
                <w:snapToGrid w:val="0"/>
                <w:color w:val="000000"/>
                <w:spacing w:val="-13"/>
                <w:kern w:val="0"/>
                <w:sz w:val="24"/>
                <w:szCs w:val="24"/>
                <w:lang w:val="en-US" w:eastAsia="en-US" w:bidi="ar-SA"/>
              </w:rPr>
              <w:t>满足采购需求</w:t>
            </w:r>
            <w:r>
              <w:rPr>
                <w:rFonts w:hint="eastAsia" w:asciiTheme="minorEastAsia" w:hAnsiTheme="minorEastAsia" w:eastAsiaTheme="minorEastAsia" w:cstheme="minorEastAsia"/>
                <w:snapToGrid w:val="0"/>
                <w:color w:val="000000"/>
                <w:spacing w:val="-13"/>
                <w:kern w:val="0"/>
                <w:sz w:val="24"/>
                <w:szCs w:val="24"/>
                <w:lang w:val="en-US" w:eastAsia="zh-CN" w:bidi="ar-SA"/>
              </w:rPr>
              <w:t>的，</w:t>
            </w:r>
            <w:r>
              <w:rPr>
                <w:rFonts w:hint="eastAsia" w:asciiTheme="minorEastAsia" w:hAnsiTheme="minorEastAsia" w:eastAsiaTheme="minorEastAsia" w:cstheme="minorEastAsia"/>
                <w:snapToGrid w:val="0"/>
                <w:color w:val="000000"/>
                <w:spacing w:val="-13"/>
                <w:kern w:val="0"/>
                <w:sz w:val="24"/>
                <w:szCs w:val="24"/>
                <w:lang w:val="en-US" w:eastAsia="en-US" w:bidi="ar-SA"/>
              </w:rPr>
              <w:t>得4分；</w:t>
            </w:r>
          </w:p>
          <w:p w14:paraId="6CB6AB26">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4.拟投入设备不齐全，分配不合理，</w:t>
            </w:r>
            <w:r>
              <w:rPr>
                <w:rFonts w:hint="eastAsia" w:asciiTheme="minorEastAsia" w:hAnsiTheme="minorEastAsia" w:eastAsiaTheme="minorEastAsia" w:cstheme="minorEastAsia"/>
                <w:snapToGrid w:val="0"/>
                <w:color w:val="000000"/>
                <w:spacing w:val="-13"/>
                <w:kern w:val="0"/>
                <w:sz w:val="24"/>
                <w:szCs w:val="24"/>
                <w:lang w:val="en-US" w:eastAsia="zh-CN" w:bidi="ar-SA"/>
              </w:rPr>
              <w:t>明显无法满足需求的，</w:t>
            </w:r>
            <w:r>
              <w:rPr>
                <w:rFonts w:hint="eastAsia" w:asciiTheme="minorEastAsia" w:hAnsiTheme="minorEastAsia" w:eastAsiaTheme="minorEastAsia" w:cstheme="minorEastAsia"/>
                <w:snapToGrid w:val="0"/>
                <w:color w:val="000000"/>
                <w:spacing w:val="-13"/>
                <w:kern w:val="0"/>
                <w:sz w:val="24"/>
                <w:szCs w:val="24"/>
                <w:lang w:val="en-US" w:eastAsia="en-US" w:bidi="ar-SA"/>
              </w:rPr>
              <w:t>得2分；</w:t>
            </w:r>
          </w:p>
          <w:p w14:paraId="19E40042">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5.缺项不得分。</w:t>
            </w:r>
          </w:p>
          <w:p w14:paraId="5BA8731D">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注：可提供设备购买发票或租赁合同、设备清单、设备图片等相关证明文件。</w:t>
            </w:r>
          </w:p>
        </w:tc>
      </w:tr>
      <w:tr w14:paraId="49929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3BCF0614">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95" w:type="dxa"/>
            <w:vMerge w:val="continue"/>
            <w:vAlign w:val="center"/>
          </w:tcPr>
          <w:p w14:paraId="62B57586">
            <w:pPr>
              <w:keepNext w:val="0"/>
              <w:keepLines w:val="0"/>
              <w:pageBreakBefore w:val="0"/>
              <w:kinsoku/>
              <w:wordWrap w:val="0"/>
              <w:overflowPunct/>
              <w:topLinePunct w:val="0"/>
              <w:bidi w:val="0"/>
              <w:spacing w:before="78" w:line="219" w:lineRule="auto"/>
              <w:ind w:firstLine="214" w:firstLineChars="10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19" w:type="dxa"/>
            <w:vAlign w:val="center"/>
          </w:tcPr>
          <w:p w14:paraId="5F3E3549">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管理制度</w:t>
            </w:r>
            <w:r>
              <w:rPr>
                <w:rFonts w:hint="eastAsia" w:asciiTheme="minorEastAsia" w:hAnsiTheme="minorEastAsia" w:eastAsiaTheme="minorEastAsia" w:cstheme="minorEastAsia"/>
                <w:snapToGrid w:val="0"/>
                <w:color w:val="000000"/>
                <w:spacing w:val="-13"/>
                <w:kern w:val="0"/>
                <w:sz w:val="24"/>
                <w:szCs w:val="24"/>
                <w:lang w:val="en-US" w:eastAsia="zh-CN" w:bidi="ar-SA"/>
              </w:rPr>
              <w:t>（7分）</w:t>
            </w:r>
          </w:p>
        </w:tc>
        <w:tc>
          <w:tcPr>
            <w:tcW w:w="5079" w:type="dxa"/>
            <w:vAlign w:val="top"/>
          </w:tcPr>
          <w:p w14:paraId="5823D410">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根据供应商提供管理制度（包含人员的岗前培训计划、管理措施、人员日常考核等内容)进行评审：</w:t>
            </w:r>
          </w:p>
          <w:p w14:paraId="0C828D1D">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1.制度健全可行，具有合理性</w:t>
            </w:r>
            <w:r>
              <w:rPr>
                <w:rFonts w:hint="eastAsia" w:asciiTheme="minorEastAsia" w:hAnsiTheme="minorEastAsia" w:eastAsiaTheme="minorEastAsia" w:cstheme="minorEastAsia"/>
                <w:snapToGrid w:val="0"/>
                <w:color w:val="000000"/>
                <w:spacing w:val="-13"/>
                <w:kern w:val="0"/>
                <w:sz w:val="24"/>
                <w:szCs w:val="24"/>
                <w:lang w:val="en-US" w:eastAsia="zh-CN" w:bidi="ar-SA"/>
              </w:rPr>
              <w:t>、科学性，内容</w:t>
            </w:r>
            <w:r>
              <w:rPr>
                <w:rFonts w:hint="eastAsia" w:asciiTheme="minorEastAsia" w:hAnsiTheme="minorEastAsia" w:eastAsiaTheme="minorEastAsia" w:cstheme="minorEastAsia"/>
                <w:snapToGrid w:val="0"/>
                <w:color w:val="000000"/>
                <w:spacing w:val="-13"/>
                <w:kern w:val="0"/>
                <w:sz w:val="24"/>
                <w:szCs w:val="24"/>
                <w:lang w:val="en-US" w:eastAsia="en-US" w:bidi="ar-SA"/>
              </w:rPr>
              <w:t>完善，条理清晰的，得7分；</w:t>
            </w:r>
          </w:p>
          <w:p w14:paraId="510C30F3">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2.制度基本健全，基本具有合理性，</w:t>
            </w:r>
            <w:r>
              <w:rPr>
                <w:rFonts w:hint="eastAsia" w:asciiTheme="minorEastAsia" w:hAnsiTheme="minorEastAsia" w:eastAsiaTheme="minorEastAsia" w:cstheme="minorEastAsia"/>
                <w:snapToGrid w:val="0"/>
                <w:color w:val="000000"/>
                <w:spacing w:val="-13"/>
                <w:kern w:val="0"/>
                <w:sz w:val="24"/>
                <w:szCs w:val="24"/>
                <w:lang w:val="en-US" w:eastAsia="zh-CN" w:bidi="ar-SA"/>
              </w:rPr>
              <w:t>内容较</w:t>
            </w:r>
            <w:r>
              <w:rPr>
                <w:rFonts w:hint="eastAsia" w:asciiTheme="minorEastAsia" w:hAnsiTheme="minorEastAsia" w:eastAsiaTheme="minorEastAsia" w:cstheme="minorEastAsia"/>
                <w:snapToGrid w:val="0"/>
                <w:color w:val="000000"/>
                <w:spacing w:val="-13"/>
                <w:kern w:val="0"/>
                <w:sz w:val="24"/>
                <w:szCs w:val="24"/>
                <w:lang w:val="en-US" w:eastAsia="en-US" w:bidi="ar-SA"/>
              </w:rPr>
              <w:t>完善，条理基本清晰的，得5分；</w:t>
            </w:r>
          </w:p>
          <w:p w14:paraId="7A517ED8">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3.制度</w:t>
            </w:r>
            <w:r>
              <w:rPr>
                <w:rFonts w:hint="eastAsia" w:asciiTheme="minorEastAsia" w:hAnsiTheme="minorEastAsia" w:eastAsiaTheme="minorEastAsia" w:cstheme="minorEastAsia"/>
                <w:snapToGrid w:val="0"/>
                <w:color w:val="000000"/>
                <w:spacing w:val="-13"/>
                <w:kern w:val="0"/>
                <w:sz w:val="24"/>
                <w:szCs w:val="24"/>
                <w:lang w:val="en-US" w:eastAsia="zh-CN" w:bidi="ar-SA"/>
              </w:rPr>
              <w:t>完整但</w:t>
            </w:r>
            <w:r>
              <w:rPr>
                <w:rFonts w:hint="eastAsia" w:asciiTheme="minorEastAsia" w:hAnsiTheme="minorEastAsia" w:eastAsiaTheme="minorEastAsia" w:cstheme="minorEastAsia"/>
                <w:snapToGrid w:val="0"/>
                <w:color w:val="000000"/>
                <w:spacing w:val="-13"/>
                <w:kern w:val="0"/>
                <w:sz w:val="24"/>
                <w:szCs w:val="24"/>
                <w:lang w:val="en-US" w:eastAsia="en-US" w:bidi="ar-SA"/>
              </w:rPr>
              <w:t>简单粗略，内容不够全面，合理性</w:t>
            </w:r>
            <w:r>
              <w:rPr>
                <w:rFonts w:hint="eastAsia" w:asciiTheme="minorEastAsia" w:hAnsiTheme="minorEastAsia" w:eastAsiaTheme="minorEastAsia" w:cstheme="minorEastAsia"/>
                <w:snapToGrid w:val="0"/>
                <w:color w:val="000000"/>
                <w:spacing w:val="-13"/>
                <w:kern w:val="0"/>
                <w:sz w:val="24"/>
                <w:szCs w:val="24"/>
                <w:lang w:val="en-US" w:eastAsia="zh-CN" w:bidi="ar-SA"/>
              </w:rPr>
              <w:t>缺的</w:t>
            </w:r>
            <w:r>
              <w:rPr>
                <w:rFonts w:hint="eastAsia" w:asciiTheme="minorEastAsia" w:hAnsiTheme="minorEastAsia" w:eastAsiaTheme="minorEastAsia" w:cstheme="minorEastAsia"/>
                <w:snapToGrid w:val="0"/>
                <w:color w:val="000000"/>
                <w:spacing w:val="-13"/>
                <w:kern w:val="0"/>
                <w:sz w:val="24"/>
                <w:szCs w:val="24"/>
                <w:lang w:val="en-US" w:eastAsia="en-US" w:bidi="ar-SA"/>
              </w:rPr>
              <w:t>，得3分；</w:t>
            </w:r>
          </w:p>
          <w:p w14:paraId="01EC95F2">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4.制度不</w:t>
            </w:r>
            <w:r>
              <w:rPr>
                <w:rFonts w:hint="eastAsia" w:asciiTheme="minorEastAsia" w:hAnsiTheme="minorEastAsia" w:eastAsiaTheme="minorEastAsia" w:cstheme="minorEastAsia"/>
                <w:snapToGrid w:val="0"/>
                <w:color w:val="000000"/>
                <w:spacing w:val="-13"/>
                <w:kern w:val="0"/>
                <w:sz w:val="24"/>
                <w:szCs w:val="24"/>
                <w:lang w:val="en-US" w:eastAsia="zh-CN" w:bidi="ar-SA"/>
              </w:rPr>
              <w:t>完整</w:t>
            </w:r>
            <w:r>
              <w:rPr>
                <w:rFonts w:hint="eastAsia" w:asciiTheme="minorEastAsia" w:hAnsiTheme="minorEastAsia" w:eastAsiaTheme="minorEastAsia" w:cstheme="minorEastAsia"/>
                <w:snapToGrid w:val="0"/>
                <w:color w:val="000000"/>
                <w:spacing w:val="-13"/>
                <w:kern w:val="0"/>
                <w:sz w:val="24"/>
                <w:szCs w:val="24"/>
                <w:lang w:val="en-US" w:eastAsia="en-US" w:bidi="ar-SA"/>
              </w:rPr>
              <w:t>，内容不够科学、合理，</w:t>
            </w:r>
            <w:r>
              <w:rPr>
                <w:rFonts w:hint="eastAsia" w:asciiTheme="minorEastAsia" w:hAnsiTheme="minorEastAsia" w:eastAsiaTheme="minorEastAsia" w:cstheme="minorEastAsia"/>
                <w:snapToGrid w:val="0"/>
                <w:color w:val="000000"/>
                <w:spacing w:val="-13"/>
                <w:kern w:val="0"/>
                <w:sz w:val="24"/>
                <w:szCs w:val="24"/>
                <w:lang w:val="en-US" w:eastAsia="zh-CN" w:bidi="ar-SA"/>
              </w:rPr>
              <w:t>无法有效进行管理的，</w:t>
            </w:r>
            <w:r>
              <w:rPr>
                <w:rFonts w:hint="eastAsia" w:asciiTheme="minorEastAsia" w:hAnsiTheme="minorEastAsia" w:eastAsiaTheme="minorEastAsia" w:cstheme="minorEastAsia"/>
                <w:snapToGrid w:val="0"/>
                <w:color w:val="000000"/>
                <w:spacing w:val="-13"/>
                <w:kern w:val="0"/>
                <w:sz w:val="24"/>
                <w:szCs w:val="24"/>
                <w:lang w:val="en-US" w:eastAsia="en-US" w:bidi="ar-SA"/>
              </w:rPr>
              <w:t>得1分；</w:t>
            </w:r>
          </w:p>
          <w:p w14:paraId="7891BE7B">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5</w:t>
            </w:r>
            <w:r>
              <w:rPr>
                <w:rFonts w:hint="eastAsia" w:asciiTheme="minorEastAsia" w:hAnsiTheme="minorEastAsia" w:eastAsiaTheme="minorEastAsia" w:cstheme="minorEastAsia"/>
                <w:snapToGrid w:val="0"/>
                <w:color w:val="000000"/>
                <w:spacing w:val="-13"/>
                <w:kern w:val="0"/>
                <w:sz w:val="24"/>
                <w:szCs w:val="24"/>
                <w:lang w:val="en-US" w:eastAsia="en-US" w:bidi="ar-SA"/>
              </w:rPr>
              <w:t>.缺项不得分</w:t>
            </w:r>
          </w:p>
        </w:tc>
      </w:tr>
      <w:tr w14:paraId="2476B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6584299A">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95" w:type="dxa"/>
            <w:vMerge w:val="continue"/>
            <w:vAlign w:val="center"/>
          </w:tcPr>
          <w:p w14:paraId="3F12626E">
            <w:pPr>
              <w:keepNext w:val="0"/>
              <w:keepLines w:val="0"/>
              <w:pageBreakBefore w:val="0"/>
              <w:kinsoku/>
              <w:wordWrap w:val="0"/>
              <w:overflowPunct/>
              <w:topLinePunct w:val="0"/>
              <w:bidi w:val="0"/>
              <w:spacing w:before="78" w:line="219" w:lineRule="auto"/>
              <w:ind w:firstLine="214" w:firstLineChars="10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19" w:type="dxa"/>
            <w:vAlign w:val="center"/>
          </w:tcPr>
          <w:p w14:paraId="5944E6AF">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应急预案</w:t>
            </w:r>
            <w:r>
              <w:rPr>
                <w:rFonts w:hint="eastAsia" w:asciiTheme="minorEastAsia" w:hAnsiTheme="minorEastAsia" w:eastAsiaTheme="minorEastAsia" w:cstheme="minorEastAsia"/>
                <w:snapToGrid w:val="0"/>
                <w:color w:val="000000"/>
                <w:spacing w:val="-13"/>
                <w:kern w:val="0"/>
                <w:sz w:val="24"/>
                <w:szCs w:val="24"/>
                <w:lang w:val="en-US" w:eastAsia="zh-CN" w:bidi="ar-SA"/>
              </w:rPr>
              <w:t>（7分）</w:t>
            </w:r>
          </w:p>
        </w:tc>
        <w:tc>
          <w:tcPr>
            <w:tcW w:w="5079" w:type="dxa"/>
            <w:vAlign w:val="top"/>
          </w:tcPr>
          <w:p w14:paraId="32771E6A">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根据供应商针对本项目提供的关于重大活动、突发事件应急预案和保障措施的科学性、合理性、可行性进行评审：</w:t>
            </w:r>
          </w:p>
          <w:p w14:paraId="0A5D6AEC">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1.供应商提供的应急方案内容全面完整，方案合理、规范，可操作性强，完全满足采购文件要求</w:t>
            </w:r>
            <w:r>
              <w:rPr>
                <w:rFonts w:hint="eastAsia" w:asciiTheme="minorEastAsia" w:hAnsiTheme="minorEastAsia" w:eastAsiaTheme="minorEastAsia" w:cstheme="minorEastAsia"/>
                <w:snapToGrid w:val="0"/>
                <w:color w:val="000000"/>
                <w:spacing w:val="-13"/>
                <w:kern w:val="0"/>
                <w:sz w:val="24"/>
                <w:szCs w:val="24"/>
                <w:lang w:val="en-US" w:eastAsia="zh-CN" w:bidi="ar-SA"/>
              </w:rPr>
              <w:t>的，</w:t>
            </w:r>
            <w:r>
              <w:rPr>
                <w:rFonts w:hint="eastAsia" w:asciiTheme="minorEastAsia" w:hAnsiTheme="minorEastAsia" w:eastAsiaTheme="minorEastAsia" w:cstheme="minorEastAsia"/>
                <w:snapToGrid w:val="0"/>
                <w:color w:val="000000"/>
                <w:spacing w:val="-13"/>
                <w:kern w:val="0"/>
                <w:sz w:val="24"/>
                <w:szCs w:val="24"/>
                <w:lang w:val="en-US" w:eastAsia="en-US" w:bidi="ar-SA"/>
              </w:rPr>
              <w:t>得7分；</w:t>
            </w:r>
          </w:p>
          <w:p w14:paraId="3B457446">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2.供应商提供的应急方案内容较完整，实施方案较为合理，有可操作性，能满足采购文件</w:t>
            </w:r>
            <w:r>
              <w:rPr>
                <w:rFonts w:hint="eastAsia" w:asciiTheme="minorEastAsia" w:hAnsiTheme="minorEastAsia" w:eastAsiaTheme="minorEastAsia" w:cstheme="minorEastAsia"/>
                <w:snapToGrid w:val="0"/>
                <w:color w:val="000000"/>
                <w:spacing w:val="-13"/>
                <w:kern w:val="0"/>
                <w:sz w:val="24"/>
                <w:szCs w:val="24"/>
                <w:lang w:val="en-US" w:eastAsia="zh-CN" w:bidi="ar-SA"/>
              </w:rPr>
              <w:t>要求</w:t>
            </w:r>
            <w:r>
              <w:rPr>
                <w:rFonts w:hint="eastAsia" w:asciiTheme="minorEastAsia" w:hAnsiTheme="minorEastAsia" w:eastAsiaTheme="minorEastAsia" w:cstheme="minorEastAsia"/>
                <w:snapToGrid w:val="0"/>
                <w:color w:val="000000"/>
                <w:spacing w:val="-13"/>
                <w:kern w:val="0"/>
                <w:sz w:val="24"/>
                <w:szCs w:val="24"/>
                <w:lang w:val="en-US" w:eastAsia="en-US" w:bidi="ar-SA"/>
              </w:rPr>
              <w:t>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得5分；</w:t>
            </w:r>
          </w:p>
          <w:p w14:paraId="61CCDDC5">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3.供应商提供的应急方案内容基本完整，实施方案</w:t>
            </w:r>
            <w:r>
              <w:rPr>
                <w:rFonts w:hint="eastAsia" w:asciiTheme="minorEastAsia" w:hAnsiTheme="minorEastAsia" w:eastAsiaTheme="minorEastAsia" w:cstheme="minorEastAsia"/>
                <w:snapToGrid w:val="0"/>
                <w:color w:val="000000"/>
                <w:spacing w:val="-13"/>
                <w:kern w:val="0"/>
                <w:sz w:val="24"/>
                <w:szCs w:val="24"/>
                <w:lang w:val="en-US" w:eastAsia="zh-CN" w:bidi="ar-SA"/>
              </w:rPr>
              <w:t>存在一定合理性和</w:t>
            </w:r>
            <w:r>
              <w:rPr>
                <w:rFonts w:hint="eastAsia" w:asciiTheme="minorEastAsia" w:hAnsiTheme="minorEastAsia" w:eastAsiaTheme="minorEastAsia" w:cstheme="minorEastAsia"/>
                <w:snapToGrid w:val="0"/>
                <w:color w:val="000000"/>
                <w:spacing w:val="-13"/>
                <w:kern w:val="0"/>
                <w:sz w:val="24"/>
                <w:szCs w:val="24"/>
                <w:lang w:val="en-US" w:eastAsia="en-US" w:bidi="ar-SA"/>
              </w:rPr>
              <w:t>可操作性，</w:t>
            </w:r>
            <w:r>
              <w:rPr>
                <w:rFonts w:hint="eastAsia" w:asciiTheme="minorEastAsia" w:hAnsiTheme="minorEastAsia" w:eastAsiaTheme="minorEastAsia" w:cstheme="minorEastAsia"/>
                <w:snapToGrid w:val="0"/>
                <w:color w:val="000000"/>
                <w:spacing w:val="-13"/>
                <w:kern w:val="0"/>
                <w:sz w:val="24"/>
                <w:szCs w:val="24"/>
                <w:lang w:val="en-US" w:eastAsia="zh-CN" w:bidi="ar-SA"/>
              </w:rPr>
              <w:t>勉强</w:t>
            </w:r>
            <w:r>
              <w:rPr>
                <w:rFonts w:hint="eastAsia" w:asciiTheme="minorEastAsia" w:hAnsiTheme="minorEastAsia" w:eastAsiaTheme="minorEastAsia" w:cstheme="minorEastAsia"/>
                <w:snapToGrid w:val="0"/>
                <w:color w:val="000000"/>
                <w:spacing w:val="-13"/>
                <w:kern w:val="0"/>
                <w:sz w:val="24"/>
                <w:szCs w:val="24"/>
                <w:lang w:val="en-US" w:eastAsia="en-US" w:bidi="ar-SA"/>
              </w:rPr>
              <w:t>满足采购文件要求的，得3分；</w:t>
            </w:r>
          </w:p>
          <w:p w14:paraId="1E0AB350">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4.供应商提供的应急方案不全面，内容不合理，可行性差，明显无法完全满足需求的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得1分；</w:t>
            </w:r>
          </w:p>
          <w:p w14:paraId="157155E3">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5.缺项不得分。</w:t>
            </w:r>
          </w:p>
        </w:tc>
      </w:tr>
      <w:tr w14:paraId="6B3A5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10C61BEA">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lang w:val="en-US" w:eastAsia="zh-CN"/>
              </w:rPr>
              <w:t>3</w:t>
            </w:r>
          </w:p>
        </w:tc>
        <w:tc>
          <w:tcPr>
            <w:tcW w:w="1595" w:type="dxa"/>
            <w:vMerge w:val="restart"/>
            <w:vAlign w:val="center"/>
          </w:tcPr>
          <w:p w14:paraId="67B29979">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综合部分</w:t>
            </w:r>
          </w:p>
          <w:p w14:paraId="0D720BD0">
            <w:pPr>
              <w:keepNext w:val="0"/>
              <w:keepLines w:val="0"/>
              <w:pageBreakBefore w:val="0"/>
              <w:kinsoku/>
              <w:wordWrap w:val="0"/>
              <w:overflowPunct/>
              <w:topLinePunct w:val="0"/>
              <w:bidi w:val="0"/>
              <w:spacing w:before="157" w:line="220" w:lineRule="auto"/>
              <w:jc w:val="center"/>
              <w:rPr>
                <w:rFonts w:hint="default"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
                <w:sz w:val="24"/>
                <w:szCs w:val="24"/>
                <w:lang w:val="en-US" w:eastAsia="zh-CN"/>
              </w:rPr>
              <w:t>（满分32分）</w:t>
            </w:r>
          </w:p>
        </w:tc>
        <w:tc>
          <w:tcPr>
            <w:tcW w:w="1019" w:type="dxa"/>
            <w:vAlign w:val="center"/>
          </w:tcPr>
          <w:p w14:paraId="0335F249">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业绩</w:t>
            </w:r>
          </w:p>
          <w:p w14:paraId="54A32A81">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（4分）</w:t>
            </w:r>
          </w:p>
        </w:tc>
        <w:tc>
          <w:tcPr>
            <w:tcW w:w="5079" w:type="dxa"/>
            <w:vAlign w:val="top"/>
          </w:tcPr>
          <w:p w14:paraId="62C3791E">
            <w:pPr>
              <w:pStyle w:val="19"/>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2022年1月1日以来类似（物业服务类）项目业绩的，每提供一份业绩合同得2分，本项最多得4分。（须同时提供中标/成交通知书和业绩合同扫描件，时间以合同签订时间为准，未按要求提供或未提供不得分）</w:t>
            </w:r>
          </w:p>
        </w:tc>
      </w:tr>
      <w:tr w14:paraId="5D49A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4FC6ED7">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595" w:type="dxa"/>
            <w:vMerge w:val="continue"/>
            <w:vAlign w:val="center"/>
          </w:tcPr>
          <w:p w14:paraId="3CD13A06">
            <w:pPr>
              <w:keepNext w:val="0"/>
              <w:keepLines w:val="0"/>
              <w:pageBreakBefore w:val="0"/>
              <w:kinsoku/>
              <w:wordWrap w:val="0"/>
              <w:overflowPunct/>
              <w:topLinePunct w:val="0"/>
              <w:bidi w:val="0"/>
              <w:spacing w:before="157" w:line="220" w:lineRule="auto"/>
              <w:ind w:left="148" w:leftChars="0"/>
              <w:jc w:val="center"/>
              <w:rPr>
                <w:rFonts w:hint="eastAsia" w:asciiTheme="minorEastAsia" w:hAnsiTheme="minorEastAsia" w:eastAsiaTheme="minorEastAsia" w:cstheme="minorEastAsia"/>
                <w:spacing w:val="-2"/>
                <w:sz w:val="24"/>
                <w:szCs w:val="24"/>
                <w:lang w:val="en-US" w:eastAsia="zh-CN"/>
              </w:rPr>
            </w:pPr>
          </w:p>
        </w:tc>
        <w:tc>
          <w:tcPr>
            <w:tcW w:w="1019" w:type="dxa"/>
            <w:vAlign w:val="center"/>
          </w:tcPr>
          <w:p w14:paraId="565E9C25">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体系认证（8分）</w:t>
            </w:r>
          </w:p>
        </w:tc>
        <w:tc>
          <w:tcPr>
            <w:tcW w:w="5079" w:type="dxa"/>
            <w:vAlign w:val="top"/>
          </w:tcPr>
          <w:p w14:paraId="79CEA033">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供应商具有质量管理体系认证、环境管理体系认证、健康安全管理体系认证、物业服务认证等认证证书的，每提供一个证书得2分，最多得8分。响应文件中须提供证书扫描件，未提供的不得分。</w:t>
            </w:r>
          </w:p>
        </w:tc>
      </w:tr>
      <w:tr w14:paraId="4AE37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2778B51B">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595" w:type="dxa"/>
            <w:vMerge w:val="continue"/>
            <w:vAlign w:val="center"/>
          </w:tcPr>
          <w:p w14:paraId="43EF182B">
            <w:pPr>
              <w:keepNext w:val="0"/>
              <w:keepLines w:val="0"/>
              <w:pageBreakBefore w:val="0"/>
              <w:kinsoku/>
              <w:wordWrap w:val="0"/>
              <w:overflowPunct/>
              <w:topLinePunct w:val="0"/>
              <w:bidi w:val="0"/>
              <w:spacing w:before="157" w:line="220" w:lineRule="auto"/>
              <w:ind w:left="148" w:leftChars="0"/>
              <w:jc w:val="center"/>
              <w:rPr>
                <w:rFonts w:hint="eastAsia" w:asciiTheme="minorEastAsia" w:hAnsiTheme="minorEastAsia" w:eastAsiaTheme="minorEastAsia" w:cstheme="minorEastAsia"/>
                <w:spacing w:val="-2"/>
                <w:sz w:val="24"/>
                <w:szCs w:val="24"/>
                <w:lang w:val="en-US" w:eastAsia="zh-CN"/>
              </w:rPr>
            </w:pPr>
          </w:p>
        </w:tc>
        <w:tc>
          <w:tcPr>
            <w:tcW w:w="1019" w:type="dxa"/>
            <w:vAlign w:val="center"/>
          </w:tcPr>
          <w:p w14:paraId="4B2E6224">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企业信用等级</w:t>
            </w:r>
          </w:p>
          <w:p w14:paraId="26E4132D">
            <w:pPr>
              <w:pStyle w:val="19"/>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（2分）</w:t>
            </w:r>
          </w:p>
        </w:tc>
        <w:tc>
          <w:tcPr>
            <w:tcW w:w="5079" w:type="dxa"/>
            <w:vAlign w:val="top"/>
          </w:tcPr>
          <w:p w14:paraId="060CE214">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供应商具有有效期内的“AAA级企业信用等级证书”的得2分。响应文件中须提供证书扫描件，未提供的不得分。</w:t>
            </w:r>
          </w:p>
        </w:tc>
      </w:tr>
      <w:tr w14:paraId="01FB5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DA2D1A2">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595" w:type="dxa"/>
            <w:vMerge w:val="continue"/>
            <w:vAlign w:val="center"/>
          </w:tcPr>
          <w:p w14:paraId="4E932E5A">
            <w:pPr>
              <w:keepNext w:val="0"/>
              <w:keepLines w:val="0"/>
              <w:pageBreakBefore w:val="0"/>
              <w:kinsoku/>
              <w:wordWrap w:val="0"/>
              <w:overflowPunct/>
              <w:topLinePunct w:val="0"/>
              <w:bidi w:val="0"/>
              <w:spacing w:before="157" w:line="220" w:lineRule="auto"/>
              <w:ind w:left="148" w:leftChars="0"/>
              <w:jc w:val="center"/>
              <w:rPr>
                <w:rFonts w:hint="eastAsia" w:asciiTheme="minorEastAsia" w:hAnsiTheme="minorEastAsia" w:eastAsiaTheme="minorEastAsia" w:cstheme="minorEastAsia"/>
                <w:spacing w:val="-2"/>
                <w:sz w:val="24"/>
                <w:szCs w:val="24"/>
                <w:lang w:val="en-US" w:eastAsia="zh-CN"/>
              </w:rPr>
            </w:pPr>
          </w:p>
        </w:tc>
        <w:tc>
          <w:tcPr>
            <w:tcW w:w="1019" w:type="dxa"/>
            <w:vMerge w:val="restart"/>
            <w:vAlign w:val="center"/>
          </w:tcPr>
          <w:p w14:paraId="0AE5CF9F">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技术人员（4分）</w:t>
            </w:r>
          </w:p>
        </w:tc>
        <w:tc>
          <w:tcPr>
            <w:tcW w:w="5079" w:type="dxa"/>
            <w:vAlign w:val="top"/>
          </w:tcPr>
          <w:p w14:paraId="06FE0620">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供应商拟派项目负责人具有</w:t>
            </w:r>
            <w:r>
              <w:rPr>
                <w:rFonts w:hint="eastAsia" w:asciiTheme="minorEastAsia" w:hAnsiTheme="minorEastAsia" w:eastAsiaTheme="minorEastAsia" w:cstheme="minorEastAsia"/>
                <w:snapToGrid w:val="0"/>
                <w:color w:val="000000"/>
                <w:spacing w:val="-13"/>
                <w:kern w:val="0"/>
                <w:sz w:val="24"/>
                <w:szCs w:val="24"/>
                <w:shd w:val="clear"/>
                <w:lang w:val="en-US" w:eastAsia="en-US" w:bidi="ar-SA"/>
              </w:rPr>
              <w:t>物业职业资格证书</w:t>
            </w:r>
            <w:r>
              <w:rPr>
                <w:rFonts w:hint="eastAsia" w:asciiTheme="minorEastAsia" w:hAnsiTheme="minorEastAsia" w:eastAsiaTheme="minorEastAsia" w:cstheme="minorEastAsia"/>
                <w:snapToGrid w:val="0"/>
                <w:color w:val="000000"/>
                <w:spacing w:val="-13"/>
                <w:kern w:val="0"/>
                <w:sz w:val="24"/>
                <w:szCs w:val="24"/>
                <w:shd w:val="clear"/>
                <w:lang w:val="en-US" w:eastAsia="zh-CN" w:bidi="ar-SA"/>
              </w:rPr>
              <w:t>（由人社部门备案的评价机构颁发，且能在“技能人才证书全国联网查询系统”查询到）</w:t>
            </w:r>
            <w:r>
              <w:rPr>
                <w:rFonts w:hint="eastAsia" w:asciiTheme="minorEastAsia" w:hAnsiTheme="minorEastAsia" w:eastAsiaTheme="minorEastAsia" w:cstheme="minorEastAsia"/>
                <w:snapToGrid w:val="0"/>
                <w:color w:val="000000"/>
                <w:spacing w:val="-13"/>
                <w:kern w:val="0"/>
                <w:sz w:val="24"/>
                <w:szCs w:val="24"/>
                <w:lang w:val="en-US" w:eastAsia="en-US" w:bidi="ar-SA"/>
              </w:rPr>
              <w:t>的得2分，响应文件中须提供资格证书扫描件，未提供的不得分。</w:t>
            </w:r>
          </w:p>
        </w:tc>
      </w:tr>
      <w:tr w14:paraId="1884A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6EA53DB0">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595" w:type="dxa"/>
            <w:vMerge w:val="continue"/>
            <w:vAlign w:val="center"/>
          </w:tcPr>
          <w:p w14:paraId="268828FE">
            <w:pPr>
              <w:keepNext w:val="0"/>
              <w:keepLines w:val="0"/>
              <w:pageBreakBefore w:val="0"/>
              <w:kinsoku/>
              <w:wordWrap w:val="0"/>
              <w:overflowPunct/>
              <w:topLinePunct w:val="0"/>
              <w:bidi w:val="0"/>
              <w:spacing w:before="157" w:line="220" w:lineRule="auto"/>
              <w:ind w:left="148" w:leftChars="0"/>
              <w:jc w:val="center"/>
              <w:rPr>
                <w:rFonts w:hint="eastAsia" w:asciiTheme="minorEastAsia" w:hAnsiTheme="minorEastAsia" w:eastAsiaTheme="minorEastAsia" w:cstheme="minorEastAsia"/>
                <w:spacing w:val="-2"/>
                <w:sz w:val="24"/>
                <w:szCs w:val="24"/>
                <w:lang w:val="en-US" w:eastAsia="zh-CN"/>
              </w:rPr>
            </w:pPr>
          </w:p>
        </w:tc>
        <w:tc>
          <w:tcPr>
            <w:tcW w:w="1019" w:type="dxa"/>
            <w:vMerge w:val="continue"/>
            <w:vAlign w:val="center"/>
          </w:tcPr>
          <w:p w14:paraId="4C41E68A">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5079" w:type="dxa"/>
            <w:vAlign w:val="top"/>
          </w:tcPr>
          <w:p w14:paraId="224F630A">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供应商拟派绿化养护人员具有</w:t>
            </w:r>
            <w:r>
              <w:rPr>
                <w:rFonts w:hint="eastAsia" w:asciiTheme="minorEastAsia" w:hAnsiTheme="minorEastAsia" w:eastAsiaTheme="minorEastAsia" w:cstheme="minorEastAsia"/>
                <w:snapToGrid w:val="0"/>
                <w:color w:val="000000"/>
                <w:spacing w:val="-13"/>
                <w:kern w:val="0"/>
                <w:sz w:val="24"/>
                <w:szCs w:val="24"/>
                <w:shd w:val="clear"/>
                <w:lang w:val="en-US" w:eastAsia="en-US" w:bidi="ar-SA"/>
              </w:rPr>
              <w:t>绿化工证或花卉工证</w:t>
            </w:r>
            <w:r>
              <w:rPr>
                <w:rFonts w:hint="eastAsia" w:asciiTheme="minorEastAsia" w:hAnsiTheme="minorEastAsia" w:eastAsiaTheme="minorEastAsia" w:cstheme="minorEastAsia"/>
                <w:snapToGrid w:val="0"/>
                <w:color w:val="000000"/>
                <w:spacing w:val="-13"/>
                <w:kern w:val="0"/>
                <w:sz w:val="24"/>
                <w:szCs w:val="24"/>
                <w:shd w:val="clear"/>
                <w:lang w:val="en-US" w:eastAsia="zh-CN" w:bidi="ar-SA"/>
              </w:rPr>
              <w:t>（由人社部门备案的评价机构颁发，且能在“技能人才证书全国联网查询系统”查询到）</w:t>
            </w:r>
            <w:r>
              <w:rPr>
                <w:rFonts w:hint="eastAsia" w:asciiTheme="minorEastAsia" w:hAnsiTheme="minorEastAsia" w:eastAsiaTheme="minorEastAsia" w:cstheme="minorEastAsia"/>
                <w:snapToGrid w:val="0"/>
                <w:color w:val="000000"/>
                <w:spacing w:val="-13"/>
                <w:kern w:val="0"/>
                <w:sz w:val="24"/>
                <w:szCs w:val="24"/>
                <w:shd w:val="clear"/>
                <w:lang w:val="en-US" w:eastAsia="en-US" w:bidi="ar-SA"/>
              </w:rPr>
              <w:t>的，每提供一个人员证书得</w:t>
            </w:r>
            <w:r>
              <w:rPr>
                <w:rFonts w:hint="eastAsia" w:asciiTheme="minorEastAsia" w:hAnsiTheme="minorEastAsia" w:eastAsiaTheme="minorEastAsia" w:cstheme="minorEastAsia"/>
                <w:snapToGrid w:val="0"/>
                <w:color w:val="000000"/>
                <w:spacing w:val="-13"/>
                <w:kern w:val="0"/>
                <w:sz w:val="24"/>
                <w:szCs w:val="24"/>
                <w:shd w:val="clear"/>
                <w:lang w:val="en-US" w:eastAsia="zh-CN" w:bidi="ar-SA"/>
              </w:rPr>
              <w:t>1</w:t>
            </w:r>
            <w:r>
              <w:rPr>
                <w:rFonts w:hint="eastAsia" w:asciiTheme="minorEastAsia" w:hAnsiTheme="minorEastAsia" w:eastAsiaTheme="minorEastAsia" w:cstheme="minorEastAsia"/>
                <w:snapToGrid w:val="0"/>
                <w:color w:val="000000"/>
                <w:spacing w:val="-13"/>
                <w:kern w:val="0"/>
                <w:sz w:val="24"/>
                <w:szCs w:val="24"/>
                <w:shd w:val="clear"/>
                <w:lang w:val="en-US" w:eastAsia="en-US" w:bidi="ar-SA"/>
              </w:rPr>
              <w:t>分，最多得2分，</w:t>
            </w:r>
            <w:r>
              <w:rPr>
                <w:rFonts w:hint="eastAsia" w:asciiTheme="minorEastAsia" w:hAnsiTheme="minorEastAsia" w:eastAsiaTheme="minorEastAsia" w:cstheme="minorEastAsia"/>
                <w:snapToGrid w:val="0"/>
                <w:color w:val="000000"/>
                <w:spacing w:val="-13"/>
                <w:kern w:val="0"/>
                <w:sz w:val="24"/>
                <w:szCs w:val="24"/>
                <w:lang w:val="en-US" w:eastAsia="en-US" w:bidi="ar-SA"/>
              </w:rPr>
              <w:t>响应文件中须提供证书扫描件，未提供的不得分。</w:t>
            </w:r>
          </w:p>
        </w:tc>
      </w:tr>
      <w:tr w14:paraId="5E47E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3CE950B6">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595" w:type="dxa"/>
            <w:vMerge w:val="continue"/>
            <w:vAlign w:val="center"/>
          </w:tcPr>
          <w:p w14:paraId="79DACEC0">
            <w:pPr>
              <w:keepNext w:val="0"/>
              <w:keepLines w:val="0"/>
              <w:pageBreakBefore w:val="0"/>
              <w:kinsoku/>
              <w:wordWrap w:val="0"/>
              <w:overflowPunct/>
              <w:topLinePunct w:val="0"/>
              <w:bidi w:val="0"/>
              <w:spacing w:before="157" w:line="220" w:lineRule="auto"/>
              <w:ind w:left="148" w:leftChars="0"/>
              <w:jc w:val="center"/>
              <w:rPr>
                <w:rFonts w:hint="eastAsia" w:asciiTheme="minorEastAsia" w:hAnsiTheme="minorEastAsia" w:eastAsiaTheme="minorEastAsia" w:cstheme="minorEastAsia"/>
                <w:spacing w:val="-2"/>
                <w:sz w:val="24"/>
                <w:szCs w:val="24"/>
                <w:lang w:val="en-US" w:eastAsia="zh-CN"/>
              </w:rPr>
            </w:pPr>
          </w:p>
        </w:tc>
        <w:tc>
          <w:tcPr>
            <w:tcW w:w="1019" w:type="dxa"/>
            <w:vAlign w:val="center"/>
          </w:tcPr>
          <w:p w14:paraId="61BE1FF7">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服务承诺</w:t>
            </w:r>
            <w:r>
              <w:rPr>
                <w:rFonts w:hint="eastAsia" w:asciiTheme="minorEastAsia" w:hAnsiTheme="minorEastAsia" w:eastAsiaTheme="minorEastAsia" w:cstheme="minorEastAsia"/>
                <w:snapToGrid w:val="0"/>
                <w:color w:val="000000"/>
                <w:spacing w:val="-13"/>
                <w:kern w:val="0"/>
                <w:sz w:val="24"/>
                <w:szCs w:val="24"/>
                <w:lang w:val="en-US" w:eastAsia="zh-CN" w:bidi="ar-SA"/>
              </w:rPr>
              <w:t>（8分）</w:t>
            </w:r>
          </w:p>
        </w:tc>
        <w:tc>
          <w:tcPr>
            <w:tcW w:w="5079" w:type="dxa"/>
            <w:vAlign w:val="top"/>
          </w:tcPr>
          <w:p w14:paraId="1782E6BA">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评委根据供应商针对项目的特点和要求，结合自身的条件，有利于提高服务质量等方面的承诺进行横向对比评分：</w:t>
            </w:r>
          </w:p>
          <w:p w14:paraId="66220801">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w:t>
            </w:r>
            <w:r>
              <w:rPr>
                <w:rFonts w:hint="eastAsia" w:asciiTheme="minorEastAsia" w:hAnsiTheme="minorEastAsia" w:eastAsiaTheme="minorEastAsia" w:cstheme="minorEastAsia"/>
                <w:snapToGrid w:val="0"/>
                <w:color w:val="000000"/>
                <w:spacing w:val="-13"/>
                <w:kern w:val="0"/>
                <w:sz w:val="24"/>
                <w:szCs w:val="24"/>
                <w:lang w:val="en-US" w:eastAsia="zh-CN" w:bidi="ar-SA"/>
              </w:rPr>
              <w:t>承诺内容</w:t>
            </w:r>
            <w:r>
              <w:rPr>
                <w:rFonts w:hint="eastAsia" w:asciiTheme="minorEastAsia" w:hAnsiTheme="minorEastAsia" w:eastAsiaTheme="minorEastAsia" w:cstheme="minorEastAsia"/>
                <w:snapToGrid w:val="0"/>
                <w:color w:val="000000"/>
                <w:spacing w:val="-13"/>
                <w:kern w:val="0"/>
                <w:sz w:val="24"/>
                <w:szCs w:val="24"/>
                <w:lang w:val="en-US" w:eastAsia="en-US" w:bidi="ar-SA"/>
              </w:rPr>
              <w:t>详细，科学合理、可操作性强</w:t>
            </w:r>
            <w:r>
              <w:rPr>
                <w:rFonts w:hint="eastAsia" w:asciiTheme="minorEastAsia" w:hAnsiTheme="minorEastAsia" w:eastAsiaTheme="minorEastAsia" w:cstheme="minorEastAsia"/>
                <w:snapToGrid w:val="0"/>
                <w:color w:val="000000"/>
                <w:spacing w:val="-13"/>
                <w:kern w:val="0"/>
                <w:sz w:val="24"/>
                <w:szCs w:val="24"/>
                <w:lang w:val="en-US" w:eastAsia="zh-CN" w:bidi="ar-SA"/>
              </w:rPr>
              <w:t>，能够有效提升服务能力</w:t>
            </w:r>
            <w:r>
              <w:rPr>
                <w:rFonts w:hint="eastAsia" w:asciiTheme="minorEastAsia" w:hAnsiTheme="minorEastAsia" w:eastAsiaTheme="minorEastAsia" w:cstheme="minorEastAsia"/>
                <w:snapToGrid w:val="0"/>
                <w:color w:val="000000"/>
                <w:spacing w:val="-13"/>
                <w:kern w:val="0"/>
                <w:sz w:val="24"/>
                <w:szCs w:val="24"/>
                <w:lang w:val="en-US" w:eastAsia="en-US" w:bidi="ar-SA"/>
              </w:rPr>
              <w:t>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得8分；</w:t>
            </w:r>
          </w:p>
          <w:p w14:paraId="2698B7AF">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w:t>
            </w:r>
            <w:r>
              <w:rPr>
                <w:rFonts w:hint="eastAsia" w:asciiTheme="minorEastAsia" w:hAnsiTheme="minorEastAsia" w:eastAsiaTheme="minorEastAsia" w:cstheme="minorEastAsia"/>
                <w:snapToGrid w:val="0"/>
                <w:color w:val="000000"/>
                <w:spacing w:val="-13"/>
                <w:kern w:val="0"/>
                <w:sz w:val="24"/>
                <w:szCs w:val="24"/>
                <w:lang w:val="en-US" w:eastAsia="zh-CN" w:bidi="ar-SA"/>
              </w:rPr>
              <w:t>承诺内容</w:t>
            </w:r>
            <w:r>
              <w:rPr>
                <w:rFonts w:hint="eastAsia" w:asciiTheme="minorEastAsia" w:hAnsiTheme="minorEastAsia" w:eastAsiaTheme="minorEastAsia" w:cstheme="minorEastAsia"/>
                <w:snapToGrid w:val="0"/>
                <w:color w:val="000000"/>
                <w:spacing w:val="-13"/>
                <w:kern w:val="0"/>
                <w:sz w:val="24"/>
                <w:szCs w:val="24"/>
                <w:lang w:val="en-US" w:eastAsia="en-US" w:bidi="ar-SA"/>
              </w:rPr>
              <w:t>较详细，</w:t>
            </w:r>
            <w:r>
              <w:rPr>
                <w:rFonts w:hint="eastAsia" w:asciiTheme="minorEastAsia" w:hAnsiTheme="minorEastAsia" w:eastAsiaTheme="minorEastAsia" w:cstheme="minorEastAsia"/>
                <w:snapToGrid w:val="0"/>
                <w:color w:val="000000"/>
                <w:spacing w:val="-13"/>
                <w:kern w:val="0"/>
                <w:sz w:val="24"/>
                <w:szCs w:val="24"/>
                <w:lang w:val="en-US" w:eastAsia="zh-CN" w:bidi="ar-SA"/>
              </w:rPr>
              <w:t>有较强的</w:t>
            </w:r>
            <w:r>
              <w:rPr>
                <w:rFonts w:hint="eastAsia" w:asciiTheme="minorEastAsia" w:hAnsiTheme="minorEastAsia" w:eastAsiaTheme="minorEastAsia" w:cstheme="minorEastAsia"/>
                <w:snapToGrid w:val="0"/>
                <w:color w:val="000000"/>
                <w:spacing w:val="-13"/>
                <w:kern w:val="0"/>
                <w:sz w:val="24"/>
                <w:szCs w:val="24"/>
                <w:lang w:val="en-US" w:eastAsia="en-US" w:bidi="ar-SA"/>
              </w:rPr>
              <w:t>合理</w:t>
            </w:r>
            <w:r>
              <w:rPr>
                <w:rFonts w:hint="eastAsia" w:asciiTheme="minorEastAsia" w:hAnsiTheme="minorEastAsia" w:eastAsiaTheme="minorEastAsia" w:cstheme="minorEastAsia"/>
                <w:snapToGrid w:val="0"/>
                <w:color w:val="000000"/>
                <w:spacing w:val="-13"/>
                <w:kern w:val="0"/>
                <w:sz w:val="24"/>
                <w:szCs w:val="24"/>
                <w:lang w:val="en-US" w:eastAsia="zh-CN" w:bidi="ar-SA"/>
              </w:rPr>
              <w:t>性和</w:t>
            </w:r>
            <w:r>
              <w:rPr>
                <w:rFonts w:hint="eastAsia" w:asciiTheme="minorEastAsia" w:hAnsiTheme="minorEastAsia" w:eastAsiaTheme="minorEastAsia" w:cstheme="minorEastAsia"/>
                <w:snapToGrid w:val="0"/>
                <w:color w:val="000000"/>
                <w:spacing w:val="-13"/>
                <w:kern w:val="0"/>
                <w:sz w:val="24"/>
                <w:szCs w:val="24"/>
                <w:lang w:val="en-US" w:eastAsia="en-US" w:bidi="ar-SA"/>
              </w:rPr>
              <w:t>有可操作性的得6分；</w:t>
            </w:r>
          </w:p>
          <w:p w14:paraId="3ED9804D">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3.</w:t>
            </w:r>
            <w:r>
              <w:rPr>
                <w:rFonts w:hint="eastAsia" w:asciiTheme="minorEastAsia" w:hAnsiTheme="minorEastAsia" w:eastAsiaTheme="minorEastAsia" w:cstheme="minorEastAsia"/>
                <w:snapToGrid w:val="0"/>
                <w:color w:val="000000"/>
                <w:spacing w:val="-13"/>
                <w:kern w:val="0"/>
                <w:sz w:val="24"/>
                <w:szCs w:val="24"/>
                <w:lang w:val="en-US" w:eastAsia="zh-CN" w:bidi="ar-SA"/>
              </w:rPr>
              <w:t>承诺内容有一定的</w:t>
            </w:r>
            <w:r>
              <w:rPr>
                <w:rFonts w:hint="eastAsia" w:asciiTheme="minorEastAsia" w:hAnsiTheme="minorEastAsia" w:eastAsiaTheme="minorEastAsia" w:cstheme="minorEastAsia"/>
                <w:snapToGrid w:val="0"/>
                <w:color w:val="000000"/>
                <w:spacing w:val="-13"/>
                <w:kern w:val="0"/>
                <w:sz w:val="24"/>
                <w:szCs w:val="24"/>
                <w:lang w:val="en-US" w:eastAsia="en-US" w:bidi="ar-SA"/>
              </w:rPr>
              <w:t>合理性</w:t>
            </w:r>
            <w:r>
              <w:rPr>
                <w:rFonts w:hint="eastAsia" w:asciiTheme="minorEastAsia" w:hAnsiTheme="minorEastAsia" w:eastAsiaTheme="minorEastAsia" w:cstheme="minorEastAsia"/>
                <w:snapToGrid w:val="0"/>
                <w:color w:val="000000"/>
                <w:spacing w:val="-13"/>
                <w:kern w:val="0"/>
                <w:sz w:val="24"/>
                <w:szCs w:val="24"/>
                <w:lang w:val="en-US" w:eastAsia="zh-CN" w:bidi="ar-SA"/>
              </w:rPr>
              <w:t>和可操作性，对服务质量存在一定提升</w:t>
            </w:r>
            <w:r>
              <w:rPr>
                <w:rFonts w:hint="eastAsia" w:asciiTheme="minorEastAsia" w:hAnsiTheme="minorEastAsia" w:eastAsiaTheme="minorEastAsia" w:cstheme="minorEastAsia"/>
                <w:snapToGrid w:val="0"/>
                <w:color w:val="000000"/>
                <w:spacing w:val="-13"/>
                <w:kern w:val="0"/>
                <w:sz w:val="24"/>
                <w:szCs w:val="24"/>
                <w:lang w:val="en-US" w:eastAsia="en-US" w:bidi="ar-SA"/>
              </w:rPr>
              <w:t>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得4分；</w:t>
            </w:r>
          </w:p>
          <w:p w14:paraId="0D759741">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4.</w:t>
            </w:r>
            <w:r>
              <w:rPr>
                <w:rFonts w:hint="eastAsia" w:asciiTheme="minorEastAsia" w:hAnsiTheme="minorEastAsia" w:eastAsiaTheme="minorEastAsia" w:cstheme="minorEastAsia"/>
                <w:snapToGrid w:val="0"/>
                <w:color w:val="000000"/>
                <w:spacing w:val="-13"/>
                <w:kern w:val="0"/>
                <w:sz w:val="24"/>
                <w:szCs w:val="24"/>
                <w:lang w:val="en-US" w:eastAsia="zh-CN" w:bidi="ar-SA"/>
              </w:rPr>
              <w:t>承诺内容</w:t>
            </w:r>
            <w:r>
              <w:rPr>
                <w:rFonts w:hint="eastAsia" w:asciiTheme="minorEastAsia" w:hAnsiTheme="minorEastAsia" w:eastAsiaTheme="minorEastAsia" w:cstheme="minorEastAsia"/>
                <w:snapToGrid w:val="0"/>
                <w:color w:val="000000"/>
                <w:spacing w:val="-13"/>
                <w:kern w:val="0"/>
                <w:sz w:val="24"/>
                <w:szCs w:val="24"/>
                <w:lang w:val="en-US" w:eastAsia="en-US" w:bidi="ar-SA"/>
              </w:rPr>
              <w:t>不够详细，不够合理、操作性不强的得2分；</w:t>
            </w:r>
          </w:p>
          <w:p w14:paraId="77F644B4">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5.缺项不得分。</w:t>
            </w:r>
          </w:p>
        </w:tc>
      </w:tr>
      <w:tr w14:paraId="735D3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0C8EEFD7">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595" w:type="dxa"/>
            <w:vMerge w:val="continue"/>
            <w:vAlign w:val="center"/>
          </w:tcPr>
          <w:p w14:paraId="2B79B668">
            <w:pPr>
              <w:keepNext w:val="0"/>
              <w:keepLines w:val="0"/>
              <w:pageBreakBefore w:val="0"/>
              <w:kinsoku/>
              <w:wordWrap w:val="0"/>
              <w:overflowPunct/>
              <w:topLinePunct w:val="0"/>
              <w:bidi w:val="0"/>
              <w:spacing w:before="157" w:line="220" w:lineRule="auto"/>
              <w:ind w:left="148" w:leftChars="0"/>
              <w:jc w:val="center"/>
              <w:rPr>
                <w:rFonts w:hint="eastAsia" w:asciiTheme="minorEastAsia" w:hAnsiTheme="minorEastAsia" w:eastAsiaTheme="minorEastAsia" w:cstheme="minorEastAsia"/>
                <w:spacing w:val="-2"/>
                <w:sz w:val="24"/>
                <w:szCs w:val="24"/>
                <w:lang w:val="en-US" w:eastAsia="zh-CN"/>
              </w:rPr>
            </w:pPr>
          </w:p>
        </w:tc>
        <w:tc>
          <w:tcPr>
            <w:tcW w:w="1019" w:type="dxa"/>
            <w:vAlign w:val="center"/>
          </w:tcPr>
          <w:p w14:paraId="6366897F">
            <w:pPr>
              <w:pStyle w:val="1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其他承诺</w:t>
            </w:r>
            <w:r>
              <w:rPr>
                <w:rFonts w:hint="eastAsia" w:asciiTheme="minorEastAsia" w:hAnsiTheme="minorEastAsia" w:eastAsiaTheme="minorEastAsia" w:cstheme="minorEastAsia"/>
                <w:snapToGrid w:val="0"/>
                <w:color w:val="000000"/>
                <w:spacing w:val="-13"/>
                <w:kern w:val="0"/>
                <w:sz w:val="24"/>
                <w:szCs w:val="24"/>
                <w:lang w:val="en-US" w:eastAsia="zh-CN" w:bidi="ar-SA"/>
              </w:rPr>
              <w:t>（6分）</w:t>
            </w:r>
          </w:p>
        </w:tc>
        <w:tc>
          <w:tcPr>
            <w:tcW w:w="5079" w:type="dxa"/>
            <w:vAlign w:val="top"/>
          </w:tcPr>
          <w:p w14:paraId="6B668A17">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评委根据供应商提供的其他优惠服务承诺的合理性、可行性进向横向对比评分：</w:t>
            </w:r>
          </w:p>
          <w:p w14:paraId="473AE55C">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1.其他优惠服务承诺及建议合理、可行的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得6分；</w:t>
            </w:r>
          </w:p>
          <w:p w14:paraId="49930F06">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2.其他优惠服务承诺及建议</w:t>
            </w:r>
            <w:r>
              <w:rPr>
                <w:rFonts w:hint="eastAsia" w:asciiTheme="minorEastAsia" w:hAnsiTheme="minorEastAsia" w:eastAsiaTheme="minorEastAsia" w:cstheme="minorEastAsia"/>
                <w:snapToGrid w:val="0"/>
                <w:color w:val="000000"/>
                <w:spacing w:val="-13"/>
                <w:kern w:val="0"/>
                <w:sz w:val="24"/>
                <w:szCs w:val="24"/>
                <w:lang w:val="en-US" w:eastAsia="zh-CN" w:bidi="ar-SA"/>
              </w:rPr>
              <w:t>相对</w:t>
            </w:r>
            <w:r>
              <w:rPr>
                <w:rFonts w:hint="eastAsia" w:asciiTheme="minorEastAsia" w:hAnsiTheme="minorEastAsia" w:eastAsiaTheme="minorEastAsia" w:cstheme="minorEastAsia"/>
                <w:snapToGrid w:val="0"/>
                <w:color w:val="000000"/>
                <w:spacing w:val="-13"/>
                <w:kern w:val="0"/>
                <w:sz w:val="24"/>
                <w:szCs w:val="24"/>
                <w:lang w:val="en-US" w:eastAsia="en-US" w:bidi="ar-SA"/>
              </w:rPr>
              <w:t>合理、较可行的得4分；</w:t>
            </w:r>
          </w:p>
          <w:p w14:paraId="46AB63D1">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3.其他优惠服务承诺及建议合理</w:t>
            </w:r>
            <w:r>
              <w:rPr>
                <w:rFonts w:hint="eastAsia" w:asciiTheme="minorEastAsia" w:hAnsiTheme="minorEastAsia" w:eastAsiaTheme="minorEastAsia" w:cstheme="minorEastAsia"/>
                <w:snapToGrid w:val="0"/>
                <w:color w:val="000000"/>
                <w:spacing w:val="-13"/>
                <w:kern w:val="0"/>
                <w:sz w:val="24"/>
                <w:szCs w:val="24"/>
                <w:lang w:val="en-US" w:eastAsia="zh-CN" w:bidi="ar-SA"/>
              </w:rPr>
              <w:t>性</w:t>
            </w:r>
            <w:r>
              <w:rPr>
                <w:rFonts w:hint="eastAsia" w:asciiTheme="minorEastAsia" w:hAnsiTheme="minorEastAsia" w:eastAsiaTheme="minorEastAsia" w:cstheme="minorEastAsia"/>
                <w:snapToGrid w:val="0"/>
                <w:color w:val="000000"/>
                <w:spacing w:val="-13"/>
                <w:kern w:val="0"/>
                <w:sz w:val="24"/>
                <w:szCs w:val="24"/>
                <w:lang w:val="en-US" w:eastAsia="en-US" w:bidi="ar-SA"/>
              </w:rPr>
              <w:t>、可行</w:t>
            </w:r>
            <w:r>
              <w:rPr>
                <w:rFonts w:hint="eastAsia" w:asciiTheme="minorEastAsia" w:hAnsiTheme="minorEastAsia" w:eastAsiaTheme="minorEastAsia" w:cstheme="minorEastAsia"/>
                <w:snapToGrid w:val="0"/>
                <w:color w:val="000000"/>
                <w:spacing w:val="-13"/>
                <w:kern w:val="0"/>
                <w:sz w:val="24"/>
                <w:szCs w:val="24"/>
                <w:lang w:val="en-US" w:eastAsia="zh-CN" w:bidi="ar-SA"/>
              </w:rPr>
              <w:t>性较差</w:t>
            </w:r>
            <w:r>
              <w:rPr>
                <w:rFonts w:hint="eastAsia" w:asciiTheme="minorEastAsia" w:hAnsiTheme="minorEastAsia" w:eastAsiaTheme="minorEastAsia" w:cstheme="minorEastAsia"/>
                <w:snapToGrid w:val="0"/>
                <w:color w:val="000000"/>
                <w:spacing w:val="-13"/>
                <w:kern w:val="0"/>
                <w:sz w:val="24"/>
                <w:szCs w:val="24"/>
                <w:lang w:val="en-US" w:eastAsia="en-US" w:bidi="ar-SA"/>
              </w:rPr>
              <w:t>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得2分；</w:t>
            </w:r>
          </w:p>
          <w:p w14:paraId="4940E40C">
            <w:pPr>
              <w:pStyle w:val="1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4.缺项不得分。</w:t>
            </w:r>
          </w:p>
        </w:tc>
      </w:tr>
      <w:tr w14:paraId="24E3A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434" w:type="dxa"/>
            <w:gridSpan w:val="2"/>
            <w:vAlign w:val="top"/>
          </w:tcPr>
          <w:p w14:paraId="27AC93C5">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1019" w:type="dxa"/>
            <w:vAlign w:val="top"/>
          </w:tcPr>
          <w:p w14:paraId="24E062BD">
            <w:pPr>
              <w:pStyle w:val="19"/>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100</w:t>
            </w:r>
          </w:p>
        </w:tc>
        <w:tc>
          <w:tcPr>
            <w:tcW w:w="5079" w:type="dxa"/>
            <w:vAlign w:val="top"/>
          </w:tcPr>
          <w:p w14:paraId="085D491C">
            <w:pPr>
              <w:pStyle w:val="19"/>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616C23E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14:paraId="4D2EB5C5">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11.1 </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14:paraId="43DD4FB5">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11.2 </w:t>
      </w:r>
      <w:r>
        <w:rPr>
          <w:rFonts w:hint="eastAsia" w:ascii="宋体" w:hAnsi="宋体" w:eastAsia="宋体" w:cs="宋体"/>
          <w:snapToGrid w:val="0"/>
          <w:color w:val="000000"/>
          <w:kern w:val="0"/>
          <w:sz w:val="24"/>
          <w:szCs w:val="24"/>
          <w:lang w:val="en-US" w:eastAsia="en-US" w:bidi="ar-SA"/>
        </w:rPr>
        <w:t>出现影响采购公正的违法、违规行为的；</w:t>
      </w:r>
    </w:p>
    <w:p w14:paraId="7799270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11.3 </w:t>
      </w:r>
      <w:r>
        <w:rPr>
          <w:rFonts w:hint="eastAsia" w:ascii="宋体" w:hAnsi="宋体" w:eastAsia="宋体" w:cs="宋体"/>
          <w:snapToGrid w:val="0"/>
          <w:color w:val="000000"/>
          <w:kern w:val="0"/>
          <w:sz w:val="24"/>
          <w:szCs w:val="24"/>
          <w:lang w:val="en-US" w:eastAsia="en-US" w:bidi="ar-SA"/>
        </w:rPr>
        <w:t>法律法规规定的其他情况。</w:t>
      </w:r>
    </w:p>
    <w:p w14:paraId="5ED1CCE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lang w:val="en-US" w:eastAsia="zh-CN"/>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14:paraId="351C2E2F">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04B3A83F">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14:paraId="507D10C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14:paraId="6C81815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w:t>
      </w:r>
      <w:r>
        <w:rPr>
          <w:rFonts w:hint="eastAsia" w:ascii="宋体" w:hAnsi="宋体" w:eastAsia="宋体" w:cs="宋体"/>
          <w:snapToGrid w:val="0"/>
          <w:color w:val="000000"/>
          <w:kern w:val="0"/>
          <w:sz w:val="24"/>
          <w:szCs w:val="24"/>
          <w:lang w:val="en-US" w:eastAsia="zh-CN" w:bidi="ar-SA"/>
        </w:rPr>
        <w:t>全国公共资源交易平台（河南省·南阳市）</w:t>
      </w:r>
      <w:r>
        <w:rPr>
          <w:rFonts w:hint="eastAsia" w:ascii="宋体" w:hAnsi="宋体" w:eastAsia="宋体" w:cs="宋体"/>
          <w:snapToGrid w:val="0"/>
          <w:color w:val="000000"/>
          <w:kern w:val="0"/>
          <w:sz w:val="24"/>
          <w:szCs w:val="24"/>
          <w:lang w:val="en-US" w:eastAsia="en-US" w:bidi="ar-SA"/>
        </w:rPr>
        <w:t>”上发布成交公告。</w:t>
      </w:r>
    </w:p>
    <w:p w14:paraId="40050F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14:paraId="5DDCED4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14:paraId="0134FB1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通过“南阳市公共资源交易中心</w:t>
      </w:r>
      <w:r>
        <w:rPr>
          <w:rFonts w:hint="eastAsia" w:ascii="宋体" w:hAnsi="宋体" w:eastAsia="宋体" w:cs="宋体"/>
          <w:snapToGrid w:val="0"/>
          <w:color w:val="000000"/>
          <w:kern w:val="0"/>
          <w:sz w:val="24"/>
          <w:szCs w:val="24"/>
          <w:lang w:val="en-US" w:eastAsia="zh-CN" w:bidi="ar-SA"/>
        </w:rPr>
        <w:t>公共服务平台</w:t>
      </w:r>
      <w:r>
        <w:rPr>
          <w:rFonts w:hint="eastAsia" w:ascii="宋体" w:hAnsi="宋体" w:eastAsia="宋体" w:cs="宋体"/>
          <w:snapToGrid w:val="0"/>
          <w:color w:val="000000"/>
          <w:kern w:val="0"/>
          <w:sz w:val="24"/>
          <w:szCs w:val="24"/>
          <w:lang w:val="en-US" w:eastAsia="en-US" w:bidi="ar-SA"/>
        </w:rPr>
        <w:t>”向成交供应商发出电子成交通知书，成交供应商可登陆</w:t>
      </w:r>
      <w:r>
        <w:rPr>
          <w:rFonts w:hint="eastAsia" w:ascii="宋体" w:hAnsi="宋体" w:eastAsia="宋体" w:cs="宋体"/>
          <w:snapToGrid w:val="0"/>
          <w:color w:val="000000"/>
          <w:kern w:val="0"/>
          <w:sz w:val="24"/>
          <w:szCs w:val="24"/>
          <w:lang w:val="en-US" w:eastAsia="zh-CN" w:bidi="ar-SA"/>
        </w:rPr>
        <w:t>南阳市公共资源交易平台会员系统</w:t>
      </w:r>
      <w:r>
        <w:rPr>
          <w:rFonts w:hint="eastAsia" w:ascii="宋体" w:hAnsi="宋体" w:eastAsia="宋体" w:cs="宋体"/>
          <w:snapToGrid w:val="0"/>
          <w:color w:val="000000"/>
          <w:kern w:val="0"/>
          <w:sz w:val="24"/>
          <w:szCs w:val="24"/>
          <w:lang w:val="en-US" w:eastAsia="en-US" w:bidi="ar-SA"/>
        </w:rPr>
        <w:t>，自行打印加盖电子签章的成交通知书。</w:t>
      </w:r>
    </w:p>
    <w:p w14:paraId="3044D94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14:paraId="3087B31C">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14:paraId="04625BB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14:paraId="1CF229F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14:paraId="2094D9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14:paraId="387574E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14:paraId="49D404FD">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14:paraId="34422F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A14589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1BAC642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39A0AD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379E86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5041D5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69B233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7FD0E4E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42164761">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14:paraId="02E952D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14:paraId="3B5E559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供应商必须由法定代表人或授权代表参加磋商，随时接受磋商小组的询问、质疑，并按照磋商小组的要求答复。</w:t>
      </w:r>
    </w:p>
    <w:p w14:paraId="7640620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14:paraId="4E18E67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p>
    <w:p w14:paraId="4B12D4A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09B32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42E40F8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6E19E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A1367A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8C7210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21DC39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81BCE9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449E4B3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3B91658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79F0E83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6E2B564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0C67A56F">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2207B06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167511C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1AE0476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4A7D2506">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5EACEE02">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712BE9F9">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4180C155">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63AF18F7">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10164C56">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49D4F166">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246B4900">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14:paraId="3B49D35C">
      <w:pPr>
        <w:spacing w:line="520" w:lineRule="exact"/>
        <w:jc w:val="center"/>
        <w:rPr>
          <w:rFonts w:hint="eastAsia" w:ascii="仿宋" w:hAnsi="仿宋" w:eastAsia="仿宋" w:cs="仿宋"/>
          <w:b/>
          <w:bCs/>
          <w:sz w:val="44"/>
          <w:szCs w:val="44"/>
        </w:rPr>
      </w:pPr>
      <w:r>
        <w:rPr>
          <w:rFonts w:hint="eastAsia" w:ascii="仿宋" w:hAnsi="仿宋" w:eastAsia="仿宋" w:cs="仿宋"/>
          <w:b/>
          <w:bCs/>
          <w:sz w:val="44"/>
          <w:szCs w:val="44"/>
        </w:rPr>
        <w:t>南阳市宛城区人民法院</w:t>
      </w:r>
    </w:p>
    <w:p w14:paraId="528CEEB4">
      <w:pPr>
        <w:spacing w:line="520" w:lineRule="exact"/>
        <w:jc w:val="center"/>
        <w:rPr>
          <w:rFonts w:hint="eastAsia" w:ascii="仿宋" w:hAnsi="仿宋" w:eastAsia="仿宋" w:cs="仿宋"/>
          <w:b/>
          <w:bCs/>
          <w:sz w:val="44"/>
          <w:szCs w:val="44"/>
        </w:rPr>
      </w:pPr>
      <w:r>
        <w:rPr>
          <w:rFonts w:hint="eastAsia" w:ascii="仿宋" w:hAnsi="仿宋" w:eastAsia="仿宋" w:cs="仿宋"/>
          <w:b/>
          <w:bCs/>
          <w:sz w:val="44"/>
          <w:szCs w:val="44"/>
        </w:rPr>
        <w:t>物业管理服务合同</w:t>
      </w:r>
    </w:p>
    <w:p w14:paraId="721BE4D1">
      <w:pPr>
        <w:pStyle w:val="7"/>
        <w:spacing w:line="520" w:lineRule="exact"/>
        <w:ind w:left="8" w:right="23" w:hanging="8"/>
        <w:jc w:val="center"/>
        <w:rPr>
          <w:sz w:val="28"/>
          <w:szCs w:val="28"/>
        </w:rPr>
      </w:pPr>
    </w:p>
    <w:p w14:paraId="6F0093F1">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sz w:val="32"/>
          <w:szCs w:val="32"/>
          <w:u w:val="single"/>
        </w:rPr>
        <w:t>南阳市宛城区人民法院</w:t>
      </w:r>
    </w:p>
    <w:p w14:paraId="69FF8E03">
      <w:pPr>
        <w:keepNext w:val="0"/>
        <w:keepLines w:val="0"/>
        <w:pageBreakBefore w:val="0"/>
        <w:kinsoku/>
        <w:wordWrap/>
        <w:overflowPunct/>
        <w:topLinePunct w:val="0"/>
        <w:autoSpaceDE/>
        <w:autoSpaceDN/>
        <w:bidi w:val="0"/>
        <w:adjustRightInd/>
        <w:spacing w:line="500" w:lineRule="exact"/>
        <w:textAlignment w:val="auto"/>
        <w:rPr>
          <w:rFonts w:hint="default" w:ascii="仿宋" w:hAnsi="仿宋" w:eastAsia="仿宋" w:cs="仿宋"/>
          <w:b/>
          <w:sz w:val="32"/>
          <w:szCs w:val="32"/>
          <w:u w:val="single"/>
          <w:lang w:val="en-US" w:eastAsia="zh-CN"/>
        </w:rPr>
      </w:pPr>
      <w:r>
        <w:rPr>
          <w:rFonts w:hint="eastAsia" w:ascii="仿宋" w:hAnsi="仿宋" w:eastAsia="仿宋" w:cs="仿宋"/>
          <w:b/>
          <w:sz w:val="32"/>
          <w:szCs w:val="32"/>
        </w:rPr>
        <w:t>乙方：</w:t>
      </w:r>
      <w:r>
        <w:rPr>
          <w:rFonts w:hint="eastAsia" w:ascii="仿宋" w:hAnsi="仿宋" w:eastAsia="仿宋" w:cs="仿宋"/>
          <w:b/>
          <w:sz w:val="32"/>
          <w:szCs w:val="32"/>
          <w:u w:val="single"/>
          <w:lang w:val="en-US" w:eastAsia="zh-CN"/>
        </w:rPr>
        <w:t xml:space="preserve">                      </w:t>
      </w:r>
    </w:p>
    <w:p w14:paraId="7D7DA02C">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根据《中华人民共和国政府采购法》、《中华人民共和国民法典》及相关法律法规、按照平等、自愿、公平和诚实守信的原则,经南阳市宛城区人民法院(以下简称甲方)和(以下简称乙方)协商一致，约定以下合同条款，共同遵守，全面履行。</w:t>
      </w:r>
    </w:p>
    <w:p w14:paraId="5A588AB1">
      <w:pPr>
        <w:keepNext w:val="0"/>
        <w:keepLines w:val="0"/>
        <w:pageBreakBefore w:val="0"/>
        <w:kinsoku/>
        <w:wordWrap/>
        <w:overflowPunct/>
        <w:topLinePunct w:val="0"/>
        <w:autoSpaceDE/>
        <w:autoSpaceDN/>
        <w:bidi w:val="0"/>
        <w:adjustRightInd/>
        <w:spacing w:line="500" w:lineRule="exact"/>
        <w:ind w:firstLine="636" w:firstLineChars="198"/>
        <w:textAlignment w:val="auto"/>
        <w:rPr>
          <w:rFonts w:hint="eastAsia" w:ascii="仿宋" w:hAnsi="仿宋" w:eastAsia="仿宋" w:cs="仿宋"/>
          <w:b/>
          <w:bCs/>
          <w:sz w:val="32"/>
          <w:szCs w:val="32"/>
        </w:rPr>
      </w:pPr>
      <w:r>
        <w:rPr>
          <w:rFonts w:hint="eastAsia" w:ascii="仿宋" w:hAnsi="仿宋" w:eastAsia="仿宋" w:cs="仿宋"/>
          <w:b/>
          <w:bCs/>
          <w:sz w:val="32"/>
          <w:szCs w:val="32"/>
        </w:rPr>
        <w:t>一、合同金额</w:t>
      </w:r>
    </w:p>
    <w:p w14:paraId="15D53B52">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合同金额：（大写）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元)。</w:t>
      </w:r>
    </w:p>
    <w:p w14:paraId="29D8F059">
      <w:pPr>
        <w:keepNext w:val="0"/>
        <w:keepLines w:val="0"/>
        <w:pageBreakBefore w:val="0"/>
        <w:kinsoku/>
        <w:wordWrap/>
        <w:overflowPunct/>
        <w:topLinePunct w:val="0"/>
        <w:autoSpaceDE/>
        <w:autoSpaceDN/>
        <w:bidi w:val="0"/>
        <w:adjustRightInd/>
        <w:spacing w:line="500" w:lineRule="exact"/>
        <w:ind w:firstLine="636" w:firstLineChars="198"/>
        <w:textAlignment w:val="auto"/>
        <w:rPr>
          <w:rFonts w:hint="eastAsia" w:ascii="仿宋" w:hAnsi="仿宋" w:eastAsia="仿宋" w:cs="仿宋"/>
          <w:b/>
          <w:bCs/>
          <w:sz w:val="32"/>
          <w:szCs w:val="32"/>
        </w:rPr>
      </w:pPr>
      <w:r>
        <w:rPr>
          <w:rFonts w:hint="eastAsia" w:ascii="仿宋" w:hAnsi="仿宋" w:eastAsia="仿宋" w:cs="仿宋"/>
          <w:b/>
          <w:bCs/>
          <w:sz w:val="32"/>
          <w:szCs w:val="32"/>
        </w:rPr>
        <w:t>二、服务范围</w:t>
      </w:r>
    </w:p>
    <w:p w14:paraId="761F526F">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乙方提供以下服务：</w:t>
      </w:r>
    </w:p>
    <w:p w14:paraId="4622E306">
      <w:pPr>
        <w:keepNext w:val="0"/>
        <w:keepLines w:val="0"/>
        <w:pageBreakBefore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（一）服务区域</w:t>
      </w:r>
    </w:p>
    <w:p w14:paraId="4F14152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1.南阳市新华东路1468号甲方办公楼院及审判庭院围墙以内所有区域。</w:t>
      </w:r>
    </w:p>
    <w:p w14:paraId="6122E0BF">
      <w:pPr>
        <w:pStyle w:val="2"/>
        <w:keepNext w:val="0"/>
        <w:keepLines w:val="0"/>
        <w:pageBreakBefore w:val="0"/>
        <w:kinsoku/>
        <w:wordWrap/>
        <w:overflowPunct/>
        <w:topLinePunct w:val="0"/>
        <w:autoSpaceDE/>
        <w:autoSpaceDN/>
        <w:bidi w:val="0"/>
        <w:adjustRightInd/>
        <w:spacing w:after="0" w:line="5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xml:space="preserve">    2.甲方茶庵法庭、</w:t>
      </w:r>
      <w:r>
        <w:rPr>
          <w:rFonts w:hint="eastAsia" w:ascii="仿宋" w:hAnsi="仿宋" w:eastAsia="仿宋" w:cs="仿宋"/>
          <w:sz w:val="32"/>
          <w:szCs w:val="32"/>
          <w:lang w:val="en-US" w:eastAsia="zh-CN"/>
        </w:rPr>
        <w:t>溧河</w:t>
      </w:r>
      <w:r>
        <w:rPr>
          <w:rFonts w:hint="eastAsia" w:ascii="仿宋" w:hAnsi="仿宋" w:eastAsia="仿宋" w:cs="仿宋"/>
          <w:sz w:val="32"/>
          <w:szCs w:val="32"/>
        </w:rPr>
        <w:t>法庭、官庄法庭、东关法庭、红泥湾法庭院内所有区域的卫生保洁</w:t>
      </w:r>
      <w:r>
        <w:rPr>
          <w:rFonts w:hint="eastAsia" w:ascii="仿宋" w:hAnsi="仿宋" w:eastAsia="仿宋" w:cs="仿宋"/>
          <w:sz w:val="32"/>
          <w:szCs w:val="32"/>
          <w:lang w:eastAsia="zh-CN"/>
        </w:rPr>
        <w:t>、</w:t>
      </w:r>
      <w:r>
        <w:rPr>
          <w:rFonts w:hint="eastAsia" w:ascii="仿宋" w:hAnsi="仿宋" w:eastAsia="仿宋" w:cs="仿宋"/>
          <w:sz w:val="32"/>
          <w:szCs w:val="32"/>
        </w:rPr>
        <w:t>水电维修</w:t>
      </w:r>
      <w:r>
        <w:rPr>
          <w:rFonts w:hint="eastAsia" w:ascii="仿宋" w:hAnsi="仿宋" w:eastAsia="仿宋" w:cs="仿宋"/>
          <w:sz w:val="32"/>
          <w:szCs w:val="32"/>
          <w:lang w:eastAsia="zh-CN"/>
        </w:rPr>
        <w:t>、</w:t>
      </w:r>
      <w:r>
        <w:rPr>
          <w:rFonts w:hint="eastAsia" w:ascii="仿宋" w:hAnsi="仿宋" w:eastAsia="仿宋" w:cs="仿宋"/>
          <w:sz w:val="32"/>
          <w:szCs w:val="32"/>
        </w:rPr>
        <w:t>绿化修剪等。</w:t>
      </w:r>
    </w:p>
    <w:p w14:paraId="1B279428">
      <w:pPr>
        <w:keepNext w:val="0"/>
        <w:keepLines w:val="0"/>
        <w:pageBreakBefore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（二）保洁管理服务范围与内容</w:t>
      </w:r>
    </w:p>
    <w:p w14:paraId="22D7C90D">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1.服务区域内全部环境的卫生保洁、环境消毒工作；</w:t>
      </w:r>
    </w:p>
    <w:p w14:paraId="2D28FDF1">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2.服务区域内供电、照明、消防、供排水等各类系统全部设施的管护、使用、维保和一般故障排除等工作。</w:t>
      </w:r>
    </w:p>
    <w:p w14:paraId="576BF058">
      <w:pPr>
        <w:pStyle w:val="21"/>
        <w:keepNext w:val="0"/>
        <w:keepLines w:val="0"/>
        <w:pageBreakBefore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（三）绿化服务范围与内容</w:t>
      </w:r>
    </w:p>
    <w:p w14:paraId="7E9948CE">
      <w:pPr>
        <w:pStyle w:val="22"/>
        <w:keepNext w:val="0"/>
        <w:keepLines w:val="0"/>
        <w:pageBreakBefore w:val="0"/>
        <w:kinsoku/>
        <w:wordWrap/>
        <w:overflowPunct/>
        <w:topLinePunct w:val="0"/>
        <w:autoSpaceDE/>
        <w:autoSpaceDN/>
        <w:bidi w:val="0"/>
        <w:adjustRightInd/>
        <w:spacing w:after="0" w:line="5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1.服务区域内所有草坪、乔木、灌木、攀缘植物、地被植物和其他植物（含楼顶绿化）。</w:t>
      </w:r>
    </w:p>
    <w:p w14:paraId="6BDA174B">
      <w:pPr>
        <w:pStyle w:val="22"/>
        <w:keepNext w:val="0"/>
        <w:keepLines w:val="0"/>
        <w:pageBreakBefore w:val="0"/>
        <w:kinsoku/>
        <w:wordWrap/>
        <w:overflowPunct/>
        <w:topLinePunct w:val="0"/>
        <w:autoSpaceDE/>
        <w:autoSpaceDN/>
        <w:bidi w:val="0"/>
        <w:adjustRightInd/>
        <w:spacing w:after="0" w:line="5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2.办公楼、审判庭服务区域内绿化带的日常巡视、养护、监管及绿化的修剪、浇灌、排水、施肥、除草、病虫害防治等工作（化肥、农药费用由乙方承担）。</w:t>
      </w:r>
    </w:p>
    <w:p w14:paraId="67273167">
      <w:pPr>
        <w:pStyle w:val="22"/>
        <w:keepNext w:val="0"/>
        <w:keepLines w:val="0"/>
        <w:pageBreakBefore w:val="0"/>
        <w:kinsoku/>
        <w:wordWrap/>
        <w:overflowPunct/>
        <w:topLinePunct w:val="0"/>
        <w:autoSpaceDE/>
        <w:autoSpaceDN/>
        <w:bidi w:val="0"/>
        <w:adjustRightInd/>
        <w:spacing w:after="0" w:line="5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3. 茶庵、</w:t>
      </w:r>
      <w:r>
        <w:rPr>
          <w:rFonts w:hint="eastAsia" w:ascii="仿宋" w:hAnsi="仿宋" w:eastAsia="仿宋" w:cs="仿宋"/>
          <w:sz w:val="32"/>
          <w:szCs w:val="32"/>
          <w:lang w:eastAsia="zh-CN"/>
        </w:rPr>
        <w:t>溧河</w:t>
      </w:r>
      <w:r>
        <w:rPr>
          <w:rFonts w:hint="eastAsia" w:ascii="仿宋" w:hAnsi="仿宋" w:eastAsia="仿宋" w:cs="仿宋"/>
          <w:sz w:val="32"/>
          <w:szCs w:val="32"/>
        </w:rPr>
        <w:t>、官庄、东关、红泥湾各法庭的树木修剪，水电维修。</w:t>
      </w:r>
    </w:p>
    <w:p w14:paraId="500E3975">
      <w:pPr>
        <w:pStyle w:val="21"/>
        <w:keepNext w:val="0"/>
        <w:keepLines w:val="0"/>
        <w:pageBreakBefore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（四）维护维修服务范围与内容</w:t>
      </w:r>
    </w:p>
    <w:p w14:paraId="64719D5B">
      <w:pPr>
        <w:pStyle w:val="21"/>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1.服务区域内各类保障日常办公设施的日常维护维修工作。</w:t>
      </w:r>
    </w:p>
    <w:p w14:paraId="06BC2481">
      <w:pPr>
        <w:pStyle w:val="21"/>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2.服务区域内水、电、管、网等设施设备的常规性更换、管护、操作、保养、维修等工作。</w:t>
      </w:r>
    </w:p>
    <w:p w14:paraId="18CEE9A4">
      <w:pPr>
        <w:keepNext w:val="0"/>
        <w:keepLines w:val="0"/>
        <w:pageBreakBefore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三、服务人员及岗位职责</w:t>
      </w:r>
    </w:p>
    <w:p w14:paraId="1436499C">
      <w:pPr>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项目负责人1名</w:t>
      </w:r>
    </w:p>
    <w:p w14:paraId="37C94027">
      <w:pPr>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负责本项目人员管理，岗位管理，各项物业服务工作的监督检查，负责法庭</w:t>
      </w:r>
      <w:r>
        <w:rPr>
          <w:rFonts w:hint="eastAsia" w:ascii="仿宋" w:hAnsi="仿宋" w:eastAsia="仿宋" w:cs="仿宋"/>
          <w:sz w:val="32"/>
          <w:szCs w:val="32"/>
          <w:u w:val="none"/>
          <w:lang w:val="en-US" w:eastAsia="zh-CN"/>
        </w:rPr>
        <w:t>每月检查、督促、整改等</w:t>
      </w:r>
      <w:r>
        <w:rPr>
          <w:rFonts w:hint="eastAsia" w:ascii="仿宋" w:hAnsi="仿宋" w:eastAsia="仿宋" w:cs="仿宋"/>
          <w:sz w:val="32"/>
          <w:szCs w:val="32"/>
          <w:u w:val="none"/>
        </w:rPr>
        <w:t>各项工作，协调对接甲方单位随时安排的</w:t>
      </w:r>
      <w:r>
        <w:rPr>
          <w:rFonts w:hint="eastAsia" w:ascii="仿宋" w:hAnsi="仿宋" w:eastAsia="仿宋" w:cs="仿宋"/>
          <w:sz w:val="32"/>
          <w:szCs w:val="32"/>
          <w:u w:val="none"/>
          <w:lang w:val="en-US" w:eastAsia="zh-CN"/>
        </w:rPr>
        <w:t>临时</w:t>
      </w:r>
      <w:r>
        <w:rPr>
          <w:rFonts w:hint="eastAsia" w:ascii="仿宋" w:hAnsi="仿宋" w:eastAsia="仿宋" w:cs="仿宋"/>
          <w:sz w:val="32"/>
          <w:szCs w:val="32"/>
          <w:u w:val="none"/>
        </w:rPr>
        <w:t>任务</w:t>
      </w:r>
      <w:r>
        <w:rPr>
          <w:rFonts w:hint="eastAsia" w:ascii="仿宋" w:hAnsi="仿宋" w:eastAsia="仿宋" w:cs="仿宋"/>
          <w:sz w:val="32"/>
          <w:szCs w:val="32"/>
          <w:u w:val="none"/>
          <w:lang w:val="en-US" w:eastAsia="zh-CN"/>
        </w:rPr>
        <w:t>等</w:t>
      </w:r>
      <w:r>
        <w:rPr>
          <w:rFonts w:hint="eastAsia" w:ascii="仿宋" w:hAnsi="仿宋" w:eastAsia="仿宋" w:cs="仿宋"/>
          <w:sz w:val="32"/>
          <w:szCs w:val="32"/>
          <w:u w:val="none"/>
        </w:rPr>
        <w:t>。</w:t>
      </w:r>
    </w:p>
    <w:p w14:paraId="0F63D6B0">
      <w:pPr>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水、电工2人</w:t>
      </w:r>
    </w:p>
    <w:p w14:paraId="07080758">
      <w:pPr>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负责办公楼、审判庭、</w:t>
      </w:r>
      <w:r>
        <w:rPr>
          <w:rFonts w:hint="eastAsia" w:ascii="仿宋" w:hAnsi="仿宋" w:eastAsia="仿宋" w:cs="仿宋"/>
          <w:sz w:val="32"/>
          <w:szCs w:val="32"/>
          <w:u w:val="none"/>
          <w:lang w:val="en-US" w:eastAsia="zh-CN"/>
        </w:rPr>
        <w:t>服务中心楼</w:t>
      </w:r>
      <w:r>
        <w:rPr>
          <w:rFonts w:hint="eastAsia" w:ascii="仿宋" w:hAnsi="仿宋" w:eastAsia="仿宋" w:cs="仿宋"/>
          <w:sz w:val="32"/>
          <w:szCs w:val="32"/>
          <w:u w:val="none"/>
        </w:rPr>
        <w:t>设备水、电、空调、消防的日常巡视、检查和维护工作，做好5个法庭的水、电计划性保养工作，配合甲方单位完成各种临时性维修改造工作。</w:t>
      </w:r>
    </w:p>
    <w:p w14:paraId="55517AC9">
      <w:pPr>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绿化岗位2人</w:t>
      </w:r>
    </w:p>
    <w:p w14:paraId="2CA42EF3">
      <w:pPr>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rPr>
        <w:t>负责</w:t>
      </w:r>
      <w:r>
        <w:rPr>
          <w:rFonts w:hint="eastAsia" w:ascii="仿宋" w:hAnsi="仿宋" w:eastAsia="仿宋" w:cs="仿宋"/>
          <w:sz w:val="32"/>
          <w:szCs w:val="32"/>
          <w:u w:val="none"/>
          <w:lang w:val="en-US" w:eastAsia="zh-CN"/>
        </w:rPr>
        <w:t>办公</w:t>
      </w:r>
      <w:r>
        <w:rPr>
          <w:rFonts w:hint="eastAsia" w:ascii="仿宋" w:hAnsi="仿宋" w:eastAsia="仿宋" w:cs="仿宋"/>
          <w:sz w:val="32"/>
          <w:szCs w:val="32"/>
          <w:u w:val="none"/>
        </w:rPr>
        <w:t>院内及法庭树木、草坪、花卉等养护、定期施肥、浇水、修剪、打药、防止病虫害等</w:t>
      </w:r>
      <w:r>
        <w:rPr>
          <w:rFonts w:hint="eastAsia" w:ascii="仿宋" w:hAnsi="仿宋" w:eastAsia="仿宋" w:cs="仿宋"/>
          <w:sz w:val="32"/>
          <w:szCs w:val="32"/>
          <w:u w:val="none"/>
          <w:lang w:eastAsia="zh-CN"/>
        </w:rPr>
        <w:t>。</w:t>
      </w:r>
    </w:p>
    <w:p w14:paraId="5E2AA5DC">
      <w:pPr>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会务服务</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人</w:t>
      </w:r>
    </w:p>
    <w:p w14:paraId="699CA425">
      <w:pPr>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负责服务区域会议前准备、</w:t>
      </w:r>
      <w:r>
        <w:rPr>
          <w:rFonts w:hint="eastAsia" w:ascii="仿宋" w:hAnsi="仿宋" w:eastAsia="仿宋" w:cs="仿宋"/>
          <w:sz w:val="32"/>
          <w:szCs w:val="32"/>
          <w:u w:val="none"/>
          <w:lang w:val="en-US" w:eastAsia="zh-CN"/>
        </w:rPr>
        <w:t>会议值班</w:t>
      </w:r>
      <w:r>
        <w:rPr>
          <w:rFonts w:hint="eastAsia" w:ascii="仿宋" w:hAnsi="仿宋" w:eastAsia="仿宋" w:cs="仿宋"/>
          <w:sz w:val="32"/>
          <w:szCs w:val="32"/>
          <w:u w:val="none"/>
        </w:rPr>
        <w:t>、会议后清理</w:t>
      </w:r>
      <w:r>
        <w:rPr>
          <w:rFonts w:hint="eastAsia" w:ascii="仿宋" w:hAnsi="仿宋" w:eastAsia="仿宋" w:cs="仿宋"/>
          <w:sz w:val="32"/>
          <w:szCs w:val="32"/>
          <w:u w:val="none"/>
          <w:lang w:val="en-US" w:eastAsia="zh-CN"/>
        </w:rPr>
        <w:t>等任务</w:t>
      </w:r>
      <w:r>
        <w:rPr>
          <w:rFonts w:hint="eastAsia" w:ascii="仿宋" w:hAnsi="仿宋" w:eastAsia="仿宋" w:cs="仿宋"/>
          <w:sz w:val="32"/>
          <w:szCs w:val="32"/>
          <w:u w:val="none"/>
        </w:rPr>
        <w:t>，负责领导办公室卫生打理，负责报刊杂志发放，完成</w:t>
      </w:r>
      <w:r>
        <w:rPr>
          <w:rFonts w:hint="eastAsia" w:ascii="仿宋" w:hAnsi="仿宋" w:eastAsia="仿宋" w:cs="仿宋"/>
          <w:sz w:val="32"/>
          <w:szCs w:val="32"/>
          <w:u w:val="none"/>
          <w:lang w:val="en-US" w:eastAsia="zh-CN"/>
        </w:rPr>
        <w:t>领导</w:t>
      </w:r>
      <w:r>
        <w:rPr>
          <w:rFonts w:hint="eastAsia" w:ascii="仿宋" w:hAnsi="仿宋" w:eastAsia="仿宋" w:cs="仿宋"/>
          <w:sz w:val="32"/>
          <w:szCs w:val="32"/>
          <w:u w:val="none"/>
        </w:rPr>
        <w:t>交办的其他临时性工作。</w:t>
      </w:r>
    </w:p>
    <w:p w14:paraId="3C27F1AD">
      <w:pPr>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保洁服务岗位</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人</w:t>
      </w:r>
    </w:p>
    <w:p w14:paraId="0F51935D">
      <w:pPr>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负责服务办公楼、审判厅、</w:t>
      </w:r>
      <w:r>
        <w:rPr>
          <w:rFonts w:hint="eastAsia" w:ascii="仿宋" w:hAnsi="仿宋" w:eastAsia="仿宋" w:cs="仿宋"/>
          <w:sz w:val="32"/>
          <w:szCs w:val="32"/>
          <w:u w:val="none"/>
          <w:lang w:val="en-US" w:eastAsia="zh-CN"/>
        </w:rPr>
        <w:t>机关服务中心楼指定</w:t>
      </w:r>
      <w:r>
        <w:rPr>
          <w:rFonts w:hint="eastAsia" w:ascii="仿宋" w:hAnsi="仿宋" w:eastAsia="仿宋" w:cs="仿宋"/>
          <w:sz w:val="32"/>
          <w:szCs w:val="32"/>
          <w:u w:val="none"/>
        </w:rPr>
        <w:t>区域和特定区域卫生清理、环境消毒等。</w:t>
      </w:r>
    </w:p>
    <w:p w14:paraId="31F324B5">
      <w:pPr>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法庭保洁岗位5</w:t>
      </w:r>
      <w:r>
        <w:rPr>
          <w:rFonts w:hint="eastAsia" w:ascii="仿宋" w:hAnsi="仿宋" w:eastAsia="仿宋" w:cs="仿宋"/>
          <w:sz w:val="32"/>
          <w:szCs w:val="32"/>
          <w:u w:val="none"/>
          <w:lang w:val="en-US" w:eastAsia="zh-CN"/>
        </w:rPr>
        <w:t>人</w:t>
      </w:r>
    </w:p>
    <w:p w14:paraId="4EB749D1">
      <w:pPr>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负责红泥湾、溧河、东关、茶</w:t>
      </w:r>
      <w:r>
        <w:rPr>
          <w:rFonts w:hint="eastAsia" w:ascii="仿宋" w:hAnsi="仿宋" w:eastAsia="仿宋" w:cs="仿宋"/>
          <w:sz w:val="32"/>
          <w:szCs w:val="32"/>
          <w:u w:val="none"/>
          <w:lang w:val="en-US" w:eastAsia="zh-CN"/>
        </w:rPr>
        <w:t>庵</w:t>
      </w:r>
      <w:r>
        <w:rPr>
          <w:rFonts w:hint="eastAsia" w:ascii="仿宋" w:hAnsi="仿宋" w:eastAsia="仿宋" w:cs="仿宋"/>
          <w:sz w:val="32"/>
          <w:szCs w:val="32"/>
          <w:u w:val="none"/>
        </w:rPr>
        <w:t>、官庄</w:t>
      </w:r>
      <w:r>
        <w:rPr>
          <w:rFonts w:hint="eastAsia" w:ascii="仿宋" w:hAnsi="仿宋" w:eastAsia="仿宋" w:cs="仿宋"/>
          <w:sz w:val="32"/>
          <w:szCs w:val="32"/>
          <w:u w:val="none"/>
          <w:lang w:val="en-US" w:eastAsia="zh-CN"/>
        </w:rPr>
        <w:t>等5个</w:t>
      </w:r>
      <w:r>
        <w:rPr>
          <w:rFonts w:hint="eastAsia" w:ascii="仿宋" w:hAnsi="仿宋" w:eastAsia="仿宋" w:cs="仿宋"/>
          <w:sz w:val="32"/>
          <w:szCs w:val="32"/>
          <w:u w:val="none"/>
        </w:rPr>
        <w:t>法庭所有卫生打扫、清洁消毒等，</w:t>
      </w:r>
      <w:r>
        <w:rPr>
          <w:rFonts w:hint="eastAsia" w:ascii="仿宋" w:hAnsi="仿宋" w:eastAsia="仿宋" w:cs="仿宋"/>
          <w:sz w:val="32"/>
          <w:szCs w:val="32"/>
          <w:u w:val="none"/>
          <w:lang w:val="en-US" w:eastAsia="zh-CN"/>
        </w:rPr>
        <w:t>包括</w:t>
      </w:r>
      <w:r>
        <w:rPr>
          <w:rFonts w:hint="eastAsia" w:ascii="仿宋" w:hAnsi="仿宋" w:eastAsia="仿宋" w:cs="仿宋"/>
          <w:sz w:val="32"/>
          <w:szCs w:val="32"/>
          <w:u w:val="none"/>
        </w:rPr>
        <w:t>每月法庭检查</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督促及整改；提供卫生间洗刷洁厕用品等</w:t>
      </w:r>
      <w:r>
        <w:rPr>
          <w:rFonts w:hint="eastAsia" w:ascii="仿宋" w:hAnsi="仿宋" w:eastAsia="仿宋" w:cs="仿宋"/>
          <w:sz w:val="32"/>
          <w:szCs w:val="32"/>
          <w:u w:val="none"/>
        </w:rPr>
        <w:t>。</w:t>
      </w:r>
    </w:p>
    <w:p w14:paraId="63538A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kern w:val="2"/>
          <w:sz w:val="32"/>
          <w:szCs w:val="32"/>
          <w:lang w:val="en-US" w:eastAsia="zh-CN" w:bidi="ar-SA"/>
        </w:rPr>
        <w:t>7、</w:t>
      </w:r>
      <w:r>
        <w:rPr>
          <w:rFonts w:hint="eastAsia" w:ascii="仿宋" w:hAnsi="仿宋" w:eastAsia="仿宋" w:cs="仿宋"/>
          <w:sz w:val="32"/>
          <w:szCs w:val="32"/>
          <w:u w:val="none"/>
        </w:rPr>
        <w:t>垃圾清运1</w:t>
      </w:r>
      <w:r>
        <w:rPr>
          <w:rFonts w:hint="eastAsia" w:ascii="仿宋" w:hAnsi="仿宋" w:eastAsia="仿宋" w:cs="仿宋"/>
          <w:sz w:val="32"/>
          <w:szCs w:val="32"/>
          <w:u w:val="none"/>
          <w:lang w:val="en-US" w:eastAsia="zh-CN"/>
        </w:rPr>
        <w:t>人</w:t>
      </w:r>
    </w:p>
    <w:p w14:paraId="46FD17B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none"/>
        </w:rPr>
        <w:t>负责服务区域</w:t>
      </w:r>
      <w:r>
        <w:rPr>
          <w:rFonts w:hint="eastAsia" w:ascii="仿宋" w:hAnsi="仿宋" w:eastAsia="仿宋" w:cs="仿宋"/>
          <w:sz w:val="32"/>
          <w:szCs w:val="32"/>
          <w:u w:val="none"/>
          <w:lang w:val="en-US" w:eastAsia="zh-CN"/>
        </w:rPr>
        <w:t>及餐厅</w:t>
      </w:r>
      <w:r>
        <w:rPr>
          <w:rFonts w:hint="eastAsia" w:ascii="仿宋" w:hAnsi="仿宋" w:eastAsia="仿宋" w:cs="仿宋"/>
          <w:sz w:val="32"/>
          <w:szCs w:val="32"/>
          <w:u w:val="none"/>
        </w:rPr>
        <w:t>内产生的垃圾，每天及时清理后运至垃圾处理站。</w:t>
      </w:r>
    </w:p>
    <w:p w14:paraId="3983E487">
      <w:pPr>
        <w:pStyle w:val="21"/>
        <w:keepNext w:val="0"/>
        <w:keepLines w:val="0"/>
        <w:pageBreakBefore w:val="0"/>
        <w:kinsoku/>
        <w:wordWrap/>
        <w:overflowPunct/>
        <w:topLinePunct w:val="0"/>
        <w:autoSpaceDE/>
        <w:autoSpaceDN/>
        <w:bidi w:val="0"/>
        <w:adjustRightInd/>
        <w:spacing w:line="500" w:lineRule="exact"/>
        <w:ind w:firstLine="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三、甲方乙方的权利和义务</w:t>
      </w:r>
    </w:p>
    <w:p w14:paraId="7D143E87">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1.甲方的权利和义务</w:t>
      </w:r>
    </w:p>
    <w:p w14:paraId="56B02862">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sz w:val="32"/>
          <w:szCs w:val="32"/>
        </w:rPr>
        <w:t>①</w:t>
      </w:r>
      <w:r>
        <w:rPr>
          <w:rFonts w:hint="eastAsia" w:ascii="仿宋" w:hAnsi="仿宋" w:eastAsia="仿宋" w:cs="仿宋"/>
          <w:bCs/>
          <w:kern w:val="0"/>
          <w:sz w:val="32"/>
          <w:szCs w:val="32"/>
        </w:rPr>
        <w:t>甲方有对乙方提出改进服务意见的权利，监督乙方工作。</w:t>
      </w:r>
    </w:p>
    <w:p w14:paraId="7A639C1F">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sz w:val="32"/>
          <w:szCs w:val="32"/>
        </w:rPr>
        <w:t>②</w:t>
      </w:r>
      <w:r>
        <w:rPr>
          <w:rFonts w:hint="eastAsia" w:ascii="仿宋" w:hAnsi="仿宋" w:eastAsia="仿宋" w:cs="仿宋"/>
          <w:kern w:val="0"/>
          <w:sz w:val="32"/>
          <w:szCs w:val="32"/>
        </w:rPr>
        <w:t>甲方负责协助乙方做好一切外部事物的处理与协调工作。</w:t>
      </w:r>
    </w:p>
    <w:p w14:paraId="3C829ACB">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sz w:val="32"/>
          <w:szCs w:val="32"/>
        </w:rPr>
        <w:t>③</w:t>
      </w:r>
      <w:r>
        <w:rPr>
          <w:rFonts w:hint="eastAsia" w:ascii="仿宋" w:hAnsi="仿宋" w:eastAsia="仿宋" w:cs="仿宋"/>
          <w:kern w:val="0"/>
          <w:sz w:val="32"/>
          <w:szCs w:val="32"/>
        </w:rPr>
        <w:t>乙方在工作中需要甲方工作人员协助的，甲方应积极配合。</w:t>
      </w:r>
    </w:p>
    <w:p w14:paraId="7181C1AD">
      <w:pPr>
        <w:keepNext w:val="0"/>
        <w:keepLines w:val="0"/>
        <w:pageBreakBefore w:val="0"/>
        <w:widowControl/>
        <w:kinsoku/>
        <w:wordWrap/>
        <w:overflowPunct/>
        <w:topLinePunct w:val="0"/>
        <w:autoSpaceDE/>
        <w:autoSpaceDN/>
        <w:bidi w:val="0"/>
        <w:adjustRightInd/>
        <w:snapToGrid w:val="0"/>
        <w:spacing w:line="500" w:lineRule="exact"/>
        <w:ind w:left="1236" w:leftChars="284" w:hanging="640" w:hanging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乙方的权利和义务</w:t>
      </w:r>
    </w:p>
    <w:p w14:paraId="501FFCA5">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sz w:val="32"/>
          <w:szCs w:val="32"/>
        </w:rPr>
        <w:t>①</w:t>
      </w:r>
      <w:r>
        <w:rPr>
          <w:rFonts w:hint="eastAsia" w:ascii="仿宋" w:hAnsi="仿宋" w:eastAsia="仿宋" w:cs="仿宋"/>
          <w:kern w:val="0"/>
          <w:sz w:val="32"/>
          <w:szCs w:val="32"/>
        </w:rPr>
        <w:t>乙方应根据有关法律法规及本合同约定，制定具体服务管理制度。</w:t>
      </w:r>
    </w:p>
    <w:p w14:paraId="052B6BC0">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sz w:val="32"/>
          <w:szCs w:val="32"/>
        </w:rPr>
        <w:t>②</w:t>
      </w:r>
      <w:r>
        <w:rPr>
          <w:rFonts w:hint="eastAsia" w:ascii="仿宋" w:hAnsi="仿宋" w:eastAsia="仿宋" w:cs="仿宋"/>
          <w:kern w:val="0"/>
          <w:sz w:val="32"/>
          <w:szCs w:val="32"/>
        </w:rPr>
        <w:t>乙方应接受甲方的监督和考核，遵守甲方的规章制度，根据合同约定，服从甲方安排。</w:t>
      </w:r>
    </w:p>
    <w:p w14:paraId="13638233">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sz w:val="32"/>
          <w:szCs w:val="32"/>
        </w:rPr>
        <w:t>③</w:t>
      </w:r>
      <w:r>
        <w:rPr>
          <w:rFonts w:hint="eastAsia" w:ascii="仿宋" w:hAnsi="仿宋" w:eastAsia="仿宋" w:cs="仿宋"/>
          <w:kern w:val="0"/>
          <w:sz w:val="32"/>
          <w:szCs w:val="32"/>
        </w:rPr>
        <w:t>在工作区域内乙方人员提供管理服务过程中，因乙方人员的故意或过失，造成甲乙双方或任何第三方的人身损害或财产损失，乙方承担一切法律责任与赔偿。</w:t>
      </w:r>
    </w:p>
    <w:p w14:paraId="7F8C4F71">
      <w:pPr>
        <w:keepNext w:val="0"/>
        <w:keepLines w:val="0"/>
        <w:pageBreakBefore w:val="0"/>
        <w:kinsoku/>
        <w:wordWrap/>
        <w:overflowPunct/>
        <w:topLinePunct w:val="0"/>
        <w:autoSpaceDE/>
        <w:autoSpaceDN/>
        <w:bidi w:val="0"/>
        <w:adjustRightInd/>
        <w:spacing w:line="500" w:lineRule="exact"/>
        <w:ind w:firstLine="636" w:firstLineChars="198"/>
        <w:textAlignment w:val="auto"/>
        <w:rPr>
          <w:rFonts w:hint="eastAsia" w:ascii="仿宋" w:hAnsi="仿宋" w:eastAsia="仿宋" w:cs="仿宋"/>
          <w:b/>
          <w:bCs/>
          <w:sz w:val="32"/>
          <w:szCs w:val="32"/>
        </w:rPr>
      </w:pPr>
      <w:r>
        <w:rPr>
          <w:rFonts w:hint="eastAsia" w:ascii="仿宋" w:hAnsi="仿宋" w:eastAsia="仿宋" w:cs="仿宋"/>
          <w:b/>
          <w:bCs/>
          <w:sz w:val="32"/>
          <w:szCs w:val="32"/>
        </w:rPr>
        <w:t>四、服务期限</w:t>
      </w:r>
    </w:p>
    <w:p w14:paraId="74D9F514">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本合同服务期限自</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日止。</w:t>
      </w:r>
    </w:p>
    <w:p w14:paraId="194F6CF1">
      <w:pPr>
        <w:keepNext w:val="0"/>
        <w:keepLines w:val="0"/>
        <w:pageBreakBefore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五、</w:t>
      </w:r>
      <w:r>
        <w:rPr>
          <w:rFonts w:hint="eastAsia" w:ascii="仿宋" w:hAnsi="仿宋" w:eastAsia="仿宋" w:cs="仿宋"/>
          <w:b/>
          <w:bCs/>
          <w:sz w:val="32"/>
          <w:szCs w:val="32"/>
        </w:rPr>
        <w:t>付款方式</w:t>
      </w:r>
    </w:p>
    <w:p w14:paraId="7AC0BD10">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本合同以人民币付款，</w:t>
      </w:r>
      <w:r>
        <w:rPr>
          <w:rFonts w:hint="eastAsia" w:ascii="仿宋" w:hAnsi="仿宋" w:eastAsia="仿宋" w:cs="仿宋"/>
          <w:kern w:val="0"/>
          <w:sz w:val="32"/>
          <w:szCs w:val="32"/>
        </w:rPr>
        <w:t>每月结算一次，</w:t>
      </w:r>
      <w:r>
        <w:rPr>
          <w:rFonts w:hint="eastAsia" w:ascii="仿宋" w:hAnsi="仿宋" w:eastAsia="仿宋" w:cs="仿宋"/>
          <w:sz w:val="32"/>
          <w:szCs w:val="32"/>
        </w:rPr>
        <w:t>（大写）：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元)，于当月底前支付。支付方式：甲方依据乙方开具发票对公转账。</w:t>
      </w:r>
    </w:p>
    <w:p w14:paraId="1EC12148">
      <w:pPr>
        <w:pStyle w:val="23"/>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636" w:firstLineChars="198"/>
        <w:textAlignment w:val="auto"/>
        <w:rPr>
          <w:rFonts w:hint="eastAsia" w:ascii="仿宋" w:hAnsi="仿宋" w:eastAsia="仿宋" w:cs="仿宋"/>
          <w:b/>
          <w:color w:val="auto"/>
          <w:kern w:val="2"/>
          <w:sz w:val="32"/>
          <w:szCs w:val="32"/>
        </w:rPr>
      </w:pPr>
      <w:r>
        <w:rPr>
          <w:rFonts w:hint="eastAsia" w:ascii="仿宋" w:hAnsi="仿宋" w:eastAsia="仿宋" w:cs="仿宋"/>
          <w:b/>
          <w:color w:val="auto"/>
          <w:kern w:val="2"/>
          <w:sz w:val="32"/>
          <w:szCs w:val="32"/>
        </w:rPr>
        <w:t>六、违约责任</w:t>
      </w:r>
    </w:p>
    <w:p w14:paraId="3704877B">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1.甲方违反本合同的约定，使乙方不能完成服务目标，乙方有权要求甲方在一定期限内解决，逾期未解决的乙方有权终止合同；造成乙方经济损失的，甲方应给予乙方经济赔偿。</w:t>
      </w:r>
    </w:p>
    <w:p w14:paraId="5EB6B2C4">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2.乙方违反本合同的约定，不能完成服务目标，甲方有权要求乙方限期整改，逾期未整改或不能达到服务目标，甲方有权单方终止合同；造成甲方经济损失的，乙方应给予甲方经济赔偿。</w:t>
      </w:r>
    </w:p>
    <w:p w14:paraId="4CB00969">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3.甲乙双方任何一方无法律依据提前终止本合同的，违约方应赔偿对方百分之二十的违约金，造成对方经济损失的，应给予经济赔偿。</w:t>
      </w:r>
    </w:p>
    <w:p w14:paraId="54C7124E">
      <w:pPr>
        <w:keepNext w:val="0"/>
        <w:keepLines w:val="0"/>
        <w:pageBreakBefore w:val="0"/>
        <w:kinsoku/>
        <w:wordWrap/>
        <w:overflowPunct/>
        <w:topLinePunct w:val="0"/>
        <w:autoSpaceDE/>
        <w:autoSpaceDN/>
        <w:bidi w:val="0"/>
        <w:adjustRightInd/>
        <w:spacing w:line="500" w:lineRule="exact"/>
        <w:ind w:firstLine="321" w:firstLineChars="100"/>
        <w:textAlignment w:val="auto"/>
        <w:rPr>
          <w:rFonts w:hint="eastAsia" w:ascii="仿宋" w:hAnsi="仿宋" w:eastAsia="仿宋" w:cs="仿宋"/>
          <w:b/>
          <w:bCs/>
          <w:sz w:val="32"/>
          <w:szCs w:val="32"/>
        </w:rPr>
      </w:pPr>
      <w:r>
        <w:rPr>
          <w:rFonts w:hint="eastAsia" w:ascii="仿宋" w:hAnsi="仿宋" w:eastAsia="仿宋" w:cs="仿宋"/>
          <w:b/>
          <w:bCs/>
          <w:kern w:val="0"/>
          <w:sz w:val="32"/>
          <w:szCs w:val="32"/>
        </w:rPr>
        <w:t>七、</w:t>
      </w:r>
      <w:r>
        <w:rPr>
          <w:rFonts w:hint="eastAsia" w:ascii="仿宋" w:hAnsi="仿宋" w:eastAsia="仿宋" w:cs="仿宋"/>
          <w:b/>
          <w:bCs/>
          <w:sz w:val="32"/>
          <w:szCs w:val="32"/>
        </w:rPr>
        <w:t>不可抗力</w:t>
      </w:r>
    </w:p>
    <w:p w14:paraId="671F95C0">
      <w:pPr>
        <w:keepNext w:val="0"/>
        <w:keepLines w:val="0"/>
        <w:pageBreakBefore w:val="0"/>
        <w:kinsoku/>
        <w:wordWrap/>
        <w:overflowPunct/>
        <w:topLinePunct w:val="0"/>
        <w:autoSpaceDE/>
        <w:autoSpaceDN/>
        <w:bidi w:val="0"/>
        <w:adjustRightInd/>
        <w:spacing w:line="500" w:lineRule="exact"/>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任何一方由于不可抗力原因不能履行合同时，应在不可抗力事件结束后2日内向对方通报，以减轻可能给对方造成的损失，在取得有关机构的不可抗力证明或双方谅解确认后，允许延期履行或修订合同，并根据情况可部分或全部免于承担违约责任。</w:t>
      </w:r>
    </w:p>
    <w:p w14:paraId="4CBF68D4">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八、税费</w:t>
      </w:r>
    </w:p>
    <w:p w14:paraId="1BB9E58C">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本合同执行有关的一切税费均由乙方负担。</w:t>
      </w:r>
    </w:p>
    <w:p w14:paraId="097917F4">
      <w:pPr>
        <w:keepNext w:val="0"/>
        <w:keepLines w:val="0"/>
        <w:pageBreakBefore w:val="0"/>
        <w:widowControl/>
        <w:kinsoku/>
        <w:wordWrap/>
        <w:overflowPunct/>
        <w:topLinePunct w:val="0"/>
        <w:autoSpaceDE/>
        <w:autoSpaceDN/>
        <w:bidi w:val="0"/>
        <w:adjustRightInd/>
        <w:snapToGrid w:val="0"/>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九、其他事项</w:t>
      </w:r>
    </w:p>
    <w:p w14:paraId="2D86D24A">
      <w:pPr>
        <w:pStyle w:val="23"/>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1.合同执行期内，甲乙双方均不得随意变更或解除合同。合同如有未尽事宜，须经双方共同协商，做出补充规定，补充规定与本合同具有同等效力，也可按照《</w:t>
      </w:r>
      <w:r>
        <w:rPr>
          <w:rFonts w:hint="eastAsia" w:ascii="仿宋" w:hAnsi="仿宋" w:eastAsia="仿宋" w:cs="仿宋"/>
          <w:color w:val="auto"/>
          <w:sz w:val="32"/>
          <w:szCs w:val="32"/>
          <w:lang w:val="en-US" w:eastAsia="zh-CN"/>
        </w:rPr>
        <w:t>中华人民共和国</w:t>
      </w:r>
      <w:r>
        <w:rPr>
          <w:rFonts w:hint="eastAsia" w:ascii="仿宋" w:hAnsi="仿宋" w:eastAsia="仿宋" w:cs="仿宋"/>
          <w:color w:val="auto"/>
          <w:sz w:val="32"/>
          <w:szCs w:val="32"/>
        </w:rPr>
        <w:t>民法典》的规定执行。</w:t>
      </w:r>
    </w:p>
    <w:p w14:paraId="339D86A0">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2.本合同执行期间，如遇不可抗力，致使合同无法履行时，双方按有关法律规定及时协商处理。</w:t>
      </w:r>
    </w:p>
    <w:p w14:paraId="18EABF3D">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rPr>
        <w:t>3.</w:t>
      </w:r>
      <w:r>
        <w:rPr>
          <w:rFonts w:hint="eastAsia" w:ascii="仿宋" w:hAnsi="仿宋" w:eastAsia="仿宋" w:cs="仿宋"/>
          <w:sz w:val="32"/>
          <w:szCs w:val="32"/>
        </w:rPr>
        <w:t>本合同如发生纠纷，当事人双方应当及时协商解决，协商不成时，任何一方均可向合同签订地有管辖权的人民法院起诉。</w:t>
      </w:r>
    </w:p>
    <w:p w14:paraId="5D39F684">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十、合同生效</w:t>
      </w:r>
    </w:p>
    <w:p w14:paraId="3D886648">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1.本合同甲乙双方签字盖章后生效。</w:t>
      </w:r>
    </w:p>
    <w:p w14:paraId="03A2B4FF">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2.合同一式</w:t>
      </w:r>
      <w:r>
        <w:rPr>
          <w:rFonts w:hint="eastAsia" w:ascii="仿宋" w:hAnsi="仿宋" w:eastAsia="仿宋" w:cs="仿宋"/>
          <w:sz w:val="32"/>
          <w:szCs w:val="32"/>
          <w:lang w:val="en-US" w:eastAsia="zh-CN"/>
        </w:rPr>
        <w:t>贰</w:t>
      </w:r>
      <w:r>
        <w:rPr>
          <w:rFonts w:hint="eastAsia" w:ascii="仿宋" w:hAnsi="仿宋" w:eastAsia="仿宋" w:cs="仿宋"/>
          <w:sz w:val="32"/>
          <w:szCs w:val="32"/>
        </w:rPr>
        <w:t>份，甲乙双方各</w:t>
      </w:r>
      <w:r>
        <w:rPr>
          <w:rFonts w:hint="eastAsia" w:ascii="仿宋" w:hAnsi="仿宋" w:eastAsia="仿宋" w:cs="仿宋"/>
          <w:sz w:val="32"/>
          <w:szCs w:val="32"/>
          <w:lang w:val="en-US" w:eastAsia="zh-CN"/>
        </w:rPr>
        <w:t>执壹</w:t>
      </w:r>
      <w:r>
        <w:rPr>
          <w:rFonts w:hint="eastAsia" w:ascii="仿宋" w:hAnsi="仿宋" w:eastAsia="仿宋" w:cs="仿宋"/>
          <w:sz w:val="32"/>
          <w:szCs w:val="32"/>
        </w:rPr>
        <w:t>份。</w:t>
      </w:r>
    </w:p>
    <w:p w14:paraId="40B49236">
      <w:pPr>
        <w:pStyle w:val="2"/>
        <w:keepNext w:val="0"/>
        <w:keepLines w:val="0"/>
        <w:pageBreakBefore w:val="0"/>
        <w:kinsoku/>
        <w:wordWrap/>
        <w:overflowPunct/>
        <w:topLinePunct w:val="0"/>
        <w:autoSpaceDE/>
        <w:autoSpaceDN/>
        <w:bidi w:val="0"/>
        <w:adjustRightInd/>
        <w:spacing w:after="0" w:line="500" w:lineRule="exact"/>
        <w:ind w:firstLine="648"/>
        <w:textAlignment w:val="auto"/>
        <w:rPr>
          <w:rFonts w:hint="eastAsia" w:ascii="仿宋" w:hAnsi="仿宋" w:eastAsia="仿宋" w:cs="仿宋"/>
          <w:sz w:val="32"/>
          <w:szCs w:val="32"/>
        </w:rPr>
      </w:pPr>
    </w:p>
    <w:p w14:paraId="37B7268D">
      <w:pPr>
        <w:keepNext w:val="0"/>
        <w:keepLines w:val="0"/>
        <w:pageBreakBefore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b w:val="0"/>
          <w:bCs w:val="0"/>
          <w:sz w:val="32"/>
        </w:rPr>
      </w:pPr>
      <w:r>
        <w:rPr>
          <w:rFonts w:hint="eastAsia" w:ascii="仿宋" w:hAnsi="仿宋" w:eastAsia="仿宋" w:cs="仿宋"/>
          <w:b w:val="0"/>
          <w:bCs w:val="0"/>
          <w:sz w:val="32"/>
        </w:rPr>
        <w:t>甲   方：                         乙    方：</w:t>
      </w:r>
    </w:p>
    <w:p w14:paraId="4D9DEA02">
      <w:pPr>
        <w:keepNext w:val="0"/>
        <w:keepLines w:val="0"/>
        <w:pageBreakBefore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b w:val="0"/>
          <w:bCs w:val="0"/>
          <w:sz w:val="32"/>
        </w:rPr>
      </w:pPr>
      <w:r>
        <w:rPr>
          <w:rFonts w:hint="eastAsia" w:ascii="仿宋" w:hAnsi="仿宋" w:eastAsia="仿宋" w:cs="仿宋"/>
          <w:b w:val="0"/>
          <w:bCs w:val="0"/>
          <w:sz w:val="32"/>
        </w:rPr>
        <w:t>单位名称（盖章）：                单位名称（盖章）：</w:t>
      </w:r>
    </w:p>
    <w:p w14:paraId="4325BE4B">
      <w:pPr>
        <w:keepNext w:val="0"/>
        <w:keepLines w:val="0"/>
        <w:pageBreakBefore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b w:val="0"/>
          <w:bCs w:val="0"/>
          <w:sz w:val="32"/>
        </w:rPr>
      </w:pPr>
      <w:r>
        <w:rPr>
          <w:rFonts w:hint="eastAsia" w:ascii="仿宋" w:hAnsi="仿宋" w:eastAsia="仿宋" w:cs="仿宋"/>
          <w:b w:val="0"/>
          <w:bCs w:val="0"/>
          <w:sz w:val="32"/>
        </w:rPr>
        <w:t>单位地址：                        单位地址：</w:t>
      </w:r>
    </w:p>
    <w:p w14:paraId="536F3909">
      <w:pPr>
        <w:keepNext w:val="0"/>
        <w:keepLines w:val="0"/>
        <w:pageBreakBefore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b w:val="0"/>
          <w:bCs w:val="0"/>
          <w:sz w:val="32"/>
          <w:lang w:val="en-US" w:eastAsia="zh-CN"/>
        </w:rPr>
      </w:pPr>
      <w:r>
        <w:rPr>
          <w:rFonts w:hint="eastAsia" w:ascii="仿宋" w:hAnsi="仿宋" w:eastAsia="仿宋" w:cs="仿宋"/>
          <w:b w:val="0"/>
          <w:bCs w:val="0"/>
          <w:sz w:val="32"/>
        </w:rPr>
        <w:t>法定代表人或</w:t>
      </w:r>
      <w:r>
        <w:rPr>
          <w:rFonts w:hint="eastAsia" w:ascii="仿宋" w:hAnsi="仿宋" w:eastAsia="仿宋" w:cs="仿宋"/>
          <w:b w:val="0"/>
          <w:bCs w:val="0"/>
          <w:sz w:val="32"/>
          <w:lang w:val="en-US" w:eastAsia="zh-CN"/>
        </w:rPr>
        <w:t xml:space="preserve">                      </w:t>
      </w:r>
      <w:r>
        <w:rPr>
          <w:rFonts w:hint="eastAsia" w:ascii="仿宋" w:hAnsi="仿宋" w:eastAsia="仿宋" w:cs="仿宋"/>
          <w:b w:val="0"/>
          <w:bCs w:val="0"/>
          <w:sz w:val="32"/>
        </w:rPr>
        <w:t>法定代表人或</w:t>
      </w:r>
    </w:p>
    <w:p w14:paraId="171B93CE">
      <w:pPr>
        <w:keepNext w:val="0"/>
        <w:keepLines w:val="0"/>
        <w:pageBreakBefore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b w:val="0"/>
          <w:bCs w:val="0"/>
          <w:sz w:val="32"/>
        </w:rPr>
      </w:pPr>
      <w:r>
        <w:rPr>
          <w:rFonts w:hint="eastAsia" w:ascii="仿宋" w:hAnsi="仿宋" w:eastAsia="仿宋" w:cs="仿宋"/>
          <w:b w:val="0"/>
          <w:bCs w:val="0"/>
          <w:sz w:val="32"/>
        </w:rPr>
        <w:t xml:space="preserve">授权代表（签名）：        </w:t>
      </w:r>
      <w:r>
        <w:rPr>
          <w:rFonts w:hint="eastAsia" w:ascii="仿宋" w:hAnsi="仿宋" w:eastAsia="仿宋" w:cs="仿宋"/>
          <w:b w:val="0"/>
          <w:bCs w:val="0"/>
          <w:sz w:val="32"/>
          <w:lang w:val="en-US" w:eastAsia="zh-CN"/>
        </w:rPr>
        <w:t xml:space="preserve">        </w:t>
      </w:r>
      <w:r>
        <w:rPr>
          <w:rFonts w:hint="eastAsia" w:ascii="仿宋" w:hAnsi="仿宋" w:eastAsia="仿宋" w:cs="仿宋"/>
          <w:b w:val="0"/>
          <w:bCs w:val="0"/>
          <w:sz w:val="32"/>
        </w:rPr>
        <w:t>授权代表（签名）：</w:t>
      </w:r>
    </w:p>
    <w:p w14:paraId="039B83CE">
      <w:pPr>
        <w:keepNext w:val="0"/>
        <w:keepLines w:val="0"/>
        <w:pageBreakBefore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b w:val="0"/>
          <w:bCs w:val="0"/>
          <w:sz w:val="32"/>
        </w:rPr>
      </w:pPr>
      <w:r>
        <w:rPr>
          <w:rFonts w:hint="eastAsia" w:ascii="仿宋" w:hAnsi="仿宋" w:eastAsia="仿宋" w:cs="仿宋"/>
          <w:b w:val="0"/>
          <w:bCs w:val="0"/>
          <w:sz w:val="32"/>
        </w:rPr>
        <w:t>联 系 人：                        联 系 人：</w:t>
      </w:r>
    </w:p>
    <w:p w14:paraId="5B728195">
      <w:pPr>
        <w:keepNext w:val="0"/>
        <w:keepLines w:val="0"/>
        <w:pageBreakBefore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b w:val="0"/>
          <w:bCs w:val="0"/>
          <w:sz w:val="32"/>
        </w:rPr>
      </w:pPr>
      <w:r>
        <w:rPr>
          <w:rFonts w:hint="eastAsia" w:ascii="仿宋" w:hAnsi="仿宋" w:eastAsia="仿宋" w:cs="仿宋"/>
          <w:b w:val="0"/>
          <w:bCs w:val="0"/>
          <w:sz w:val="32"/>
        </w:rPr>
        <w:t>电    话：                        电    话：</w:t>
      </w:r>
    </w:p>
    <w:p w14:paraId="067C588E">
      <w:pPr>
        <w:keepNext w:val="0"/>
        <w:keepLines w:val="0"/>
        <w:pageBreakBefore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b w:val="0"/>
          <w:bCs w:val="0"/>
          <w:sz w:val="32"/>
        </w:rPr>
      </w:pPr>
      <w:r>
        <w:rPr>
          <w:rFonts w:hint="eastAsia" w:ascii="仿宋" w:hAnsi="仿宋" w:eastAsia="仿宋" w:cs="仿宋"/>
          <w:b w:val="0"/>
          <w:bCs w:val="0"/>
          <w:sz w:val="32"/>
        </w:rPr>
        <w:t>传    真：                        传    真：</w:t>
      </w:r>
    </w:p>
    <w:p w14:paraId="3D90CDE9">
      <w:pPr>
        <w:keepNext w:val="0"/>
        <w:keepLines w:val="0"/>
        <w:pageBreakBefore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b w:val="0"/>
          <w:bCs w:val="0"/>
          <w:sz w:val="32"/>
        </w:rPr>
      </w:pPr>
      <w:r>
        <w:rPr>
          <w:rFonts w:hint="eastAsia" w:ascii="仿宋" w:hAnsi="仿宋" w:eastAsia="仿宋" w:cs="仿宋"/>
          <w:b w:val="0"/>
          <w:bCs w:val="0"/>
          <w:sz w:val="32"/>
        </w:rPr>
        <w:t>邮政编码：                        邮政编码：</w:t>
      </w:r>
    </w:p>
    <w:p w14:paraId="60EA5A13">
      <w:pPr>
        <w:keepNext w:val="0"/>
        <w:keepLines w:val="0"/>
        <w:pageBreakBefore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b w:val="0"/>
          <w:bCs w:val="0"/>
          <w:sz w:val="32"/>
        </w:rPr>
      </w:pPr>
      <w:r>
        <w:rPr>
          <w:rFonts w:hint="eastAsia" w:ascii="仿宋" w:hAnsi="仿宋" w:eastAsia="仿宋" w:cs="仿宋"/>
          <w:b w:val="0"/>
          <w:bCs w:val="0"/>
          <w:sz w:val="32"/>
        </w:rPr>
        <w:t xml:space="preserve">开户银行：                       </w:t>
      </w:r>
      <w:r>
        <w:rPr>
          <w:rFonts w:hint="eastAsia" w:ascii="仿宋" w:hAnsi="仿宋" w:eastAsia="仿宋" w:cs="仿宋"/>
          <w:b w:val="0"/>
          <w:bCs w:val="0"/>
          <w:sz w:val="32"/>
          <w:lang w:val="en-US" w:eastAsia="zh-CN"/>
        </w:rPr>
        <w:t xml:space="preserve"> </w:t>
      </w:r>
      <w:r>
        <w:rPr>
          <w:rFonts w:hint="eastAsia" w:ascii="仿宋" w:hAnsi="仿宋" w:eastAsia="仿宋" w:cs="仿宋"/>
          <w:b w:val="0"/>
          <w:bCs w:val="0"/>
          <w:sz w:val="32"/>
        </w:rPr>
        <w:t>开户银行：</w:t>
      </w:r>
    </w:p>
    <w:p w14:paraId="367642B6">
      <w:pPr>
        <w:keepNext w:val="0"/>
        <w:keepLines w:val="0"/>
        <w:pageBreakBefore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b w:val="0"/>
          <w:bCs w:val="0"/>
          <w:sz w:val="32"/>
        </w:rPr>
      </w:pPr>
      <w:r>
        <w:rPr>
          <w:rFonts w:hint="eastAsia" w:ascii="仿宋" w:hAnsi="仿宋" w:eastAsia="仿宋" w:cs="仿宋"/>
          <w:b w:val="0"/>
          <w:bCs w:val="0"/>
          <w:sz w:val="32"/>
        </w:rPr>
        <w:t>账    号：                        账    号：</w:t>
      </w:r>
    </w:p>
    <w:p w14:paraId="7CAAF442">
      <w:pPr>
        <w:spacing w:line="400" w:lineRule="atLeast"/>
        <w:ind w:firstLine="640" w:firstLineChars="200"/>
        <w:rPr>
          <w:rFonts w:hint="eastAsia" w:ascii="仿宋" w:hAnsi="仿宋" w:eastAsia="仿宋" w:cs="仿宋"/>
          <w:sz w:val="32"/>
          <w:szCs w:val="32"/>
        </w:rPr>
      </w:pPr>
    </w:p>
    <w:p w14:paraId="4D214DC2">
      <w:pPr>
        <w:spacing w:line="4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签定地点：南阳市宛城区人民法院</w:t>
      </w:r>
    </w:p>
    <w:p w14:paraId="5230BD41">
      <w:pPr>
        <w:spacing w:line="4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签定日期：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34DB371A">
      <w:pPr>
        <w:ind w:firstLine="643" w:firstLineChars="200"/>
        <w:jc w:val="left"/>
        <w:rPr>
          <w:rFonts w:hint="eastAsia" w:ascii="仿宋" w:hAnsi="仿宋" w:eastAsia="仿宋"/>
          <w:b/>
          <w:bCs/>
          <w:sz w:val="32"/>
        </w:rPr>
      </w:pPr>
    </w:p>
    <w:p w14:paraId="68781D1A">
      <w:pPr>
        <w:ind w:firstLine="643" w:firstLineChars="200"/>
        <w:jc w:val="left"/>
        <w:rPr>
          <w:rFonts w:ascii="仿宋" w:hAnsi="仿宋" w:eastAsia="仿宋"/>
          <w:sz w:val="32"/>
          <w:u w:val="single"/>
        </w:rPr>
      </w:pPr>
      <w:r>
        <w:rPr>
          <w:rFonts w:hint="eastAsia" w:ascii="仿宋" w:hAnsi="仿宋" w:eastAsia="仿宋"/>
          <w:b/>
          <w:bCs/>
          <w:sz w:val="32"/>
        </w:rPr>
        <w:t>（四）履约验收方案</w:t>
      </w:r>
    </w:p>
    <w:p w14:paraId="47F80891">
      <w:pPr>
        <w:ind w:firstLine="640" w:firstLineChars="200"/>
        <w:jc w:val="left"/>
        <w:rPr>
          <w:rFonts w:ascii="仿宋" w:hAnsi="仿宋" w:eastAsia="仿宋"/>
          <w:sz w:val="32"/>
        </w:rPr>
      </w:pPr>
      <w:r>
        <w:rPr>
          <w:rFonts w:ascii="仿宋" w:hAnsi="仿宋" w:eastAsia="仿宋"/>
          <w:sz w:val="32"/>
        </w:rPr>
        <w:t>1</w:t>
      </w:r>
      <w:r>
        <w:rPr>
          <w:rFonts w:hint="eastAsia" w:ascii="仿宋" w:hAnsi="仿宋" w:eastAsia="仿宋"/>
          <w:sz w:val="32"/>
        </w:rPr>
        <w:t>．包</w:t>
      </w:r>
      <w:r>
        <w:rPr>
          <w:rFonts w:ascii="仿宋" w:hAnsi="仿宋" w:eastAsia="仿宋"/>
          <w:sz w:val="32"/>
        </w:rPr>
        <w:t>1</w:t>
      </w:r>
    </w:p>
    <w:p w14:paraId="29523909">
      <w:pPr>
        <w:ind w:firstLine="640" w:firstLineChars="200"/>
        <w:jc w:val="left"/>
        <w:rPr>
          <w:rFonts w:ascii="仿宋" w:hAnsi="仿宋" w:eastAsia="仿宋"/>
          <w:sz w:val="32"/>
        </w:rPr>
      </w:pPr>
      <w:r>
        <w:rPr>
          <w:rFonts w:hint="eastAsia" w:ascii="仿宋" w:hAnsi="仿宋" w:eastAsia="仿宋"/>
          <w:sz w:val="32"/>
        </w:rPr>
        <w:t>（</w:t>
      </w:r>
      <w:r>
        <w:rPr>
          <w:rFonts w:ascii="仿宋" w:hAnsi="仿宋" w:eastAsia="仿宋"/>
          <w:sz w:val="32"/>
        </w:rPr>
        <w:t>1</w:t>
      </w:r>
      <w:r>
        <w:rPr>
          <w:rFonts w:hint="eastAsia" w:ascii="仿宋" w:hAnsi="仿宋" w:eastAsia="仿宋"/>
          <w:sz w:val="32"/>
        </w:rPr>
        <w:t>）履约验收主体</w:t>
      </w:r>
    </w:p>
    <w:p w14:paraId="15A40FCC">
      <w:pPr>
        <w:ind w:firstLine="960" w:firstLineChars="300"/>
        <w:jc w:val="left"/>
        <w:rPr>
          <w:rFonts w:ascii="仿宋" w:hAnsi="仿宋" w:eastAsia="仿宋"/>
          <w:sz w:val="32"/>
          <w:u w:val="single"/>
        </w:rPr>
      </w:pPr>
      <w:r>
        <w:rPr>
          <w:rFonts w:hint="eastAsia" w:ascii="仿宋" w:hAnsi="仿宋" w:eastAsia="仿宋"/>
          <w:sz w:val="32"/>
          <w:lang w:eastAsia="zh-CN"/>
        </w:rPr>
        <w:t>☑</w:t>
      </w:r>
      <w:r>
        <w:rPr>
          <w:rFonts w:hint="eastAsia" w:ascii="仿宋" w:hAnsi="仿宋" w:eastAsia="仿宋"/>
          <w:sz w:val="32"/>
        </w:rPr>
        <w:t>采购人：</w:t>
      </w:r>
      <w:r>
        <w:rPr>
          <w:rFonts w:hint="eastAsia" w:ascii="仿宋" w:hAnsi="仿宋" w:eastAsia="仿宋"/>
          <w:sz w:val="32"/>
          <w:lang w:eastAsia="zh-CN"/>
        </w:rPr>
        <w:t>南阳市宛城区人民法院</w:t>
      </w:r>
    </w:p>
    <w:p w14:paraId="090EF16A">
      <w:pPr>
        <w:ind w:firstLine="640" w:firstLineChars="200"/>
        <w:jc w:val="left"/>
        <w:rPr>
          <w:rFonts w:ascii="仿宋" w:hAnsi="仿宋" w:eastAsia="仿宋"/>
          <w:sz w:val="32"/>
        </w:rPr>
      </w:pPr>
      <w:r>
        <w:rPr>
          <w:rFonts w:hint="eastAsia" w:ascii="仿宋" w:hAnsi="仿宋" w:eastAsia="仿宋"/>
          <w:sz w:val="32"/>
        </w:rPr>
        <w:t>（</w:t>
      </w:r>
      <w:r>
        <w:rPr>
          <w:rFonts w:ascii="仿宋" w:hAnsi="仿宋" w:eastAsia="仿宋"/>
          <w:sz w:val="32"/>
        </w:rPr>
        <w:t>2</w:t>
      </w:r>
      <w:r>
        <w:rPr>
          <w:rFonts w:hint="eastAsia" w:ascii="仿宋" w:hAnsi="仿宋" w:eastAsia="仿宋"/>
          <w:sz w:val="32"/>
        </w:rPr>
        <w:t>）履约验收时间</w:t>
      </w:r>
    </w:p>
    <w:p w14:paraId="06A0B512">
      <w:pPr>
        <w:ind w:firstLine="960" w:firstLineChars="300"/>
        <w:jc w:val="left"/>
        <w:rPr>
          <w:rFonts w:hint="default" w:ascii="仿宋" w:hAnsi="仿宋" w:eastAsia="仿宋"/>
          <w:sz w:val="32"/>
          <w:u w:val="none"/>
          <w:lang w:val="en-US" w:eastAsia="zh-CN"/>
        </w:rPr>
      </w:pPr>
      <w:r>
        <w:rPr>
          <w:rFonts w:hint="default" w:ascii="仿宋" w:hAnsi="仿宋" w:eastAsia="仿宋"/>
          <w:sz w:val="32"/>
          <w:u w:val="none"/>
          <w:lang w:val="en-US" w:eastAsia="zh-CN"/>
        </w:rPr>
        <w:t>服务期结束后</w:t>
      </w:r>
    </w:p>
    <w:p w14:paraId="0A61B4FE">
      <w:pPr>
        <w:ind w:firstLine="640" w:firstLineChars="200"/>
        <w:jc w:val="left"/>
        <w:rPr>
          <w:rFonts w:ascii="仿宋" w:hAnsi="仿宋" w:eastAsia="仿宋"/>
          <w:sz w:val="32"/>
        </w:rPr>
      </w:pPr>
      <w:r>
        <w:rPr>
          <w:rFonts w:hint="eastAsia" w:ascii="仿宋" w:hAnsi="仿宋" w:eastAsia="仿宋"/>
          <w:sz w:val="32"/>
        </w:rPr>
        <w:t>（</w:t>
      </w:r>
      <w:r>
        <w:rPr>
          <w:rFonts w:ascii="仿宋" w:hAnsi="仿宋" w:eastAsia="仿宋"/>
          <w:sz w:val="32"/>
        </w:rPr>
        <w:t>3</w:t>
      </w:r>
      <w:r>
        <w:rPr>
          <w:rFonts w:hint="eastAsia" w:ascii="仿宋" w:hAnsi="仿宋" w:eastAsia="仿宋"/>
          <w:sz w:val="32"/>
        </w:rPr>
        <w:t>）履约验收方式</w:t>
      </w:r>
    </w:p>
    <w:p w14:paraId="59396086">
      <w:pPr>
        <w:ind w:firstLine="960" w:firstLineChars="300"/>
        <w:jc w:val="left"/>
        <w:rPr>
          <w:rFonts w:ascii="仿宋" w:hAnsi="仿宋" w:eastAsia="仿宋"/>
          <w:sz w:val="32"/>
          <w:u w:val="none"/>
        </w:rPr>
      </w:pPr>
      <w:r>
        <w:rPr>
          <w:rFonts w:hint="eastAsia" w:ascii="仿宋" w:hAnsi="仿宋" w:eastAsia="仿宋"/>
          <w:sz w:val="32"/>
          <w:u w:val="none"/>
          <w:lang w:val="en-US" w:eastAsia="zh-CN"/>
        </w:rPr>
        <w:t>现场验收</w:t>
      </w:r>
    </w:p>
    <w:p w14:paraId="26CE229D">
      <w:pPr>
        <w:ind w:firstLine="640" w:firstLineChars="200"/>
        <w:jc w:val="left"/>
        <w:rPr>
          <w:rFonts w:ascii="仿宋" w:hAnsi="仿宋" w:eastAsia="仿宋"/>
          <w:sz w:val="32"/>
        </w:rPr>
      </w:pPr>
      <w:r>
        <w:rPr>
          <w:rFonts w:hint="eastAsia" w:ascii="仿宋" w:hAnsi="仿宋" w:eastAsia="仿宋"/>
          <w:sz w:val="32"/>
        </w:rPr>
        <w:t>（</w:t>
      </w:r>
      <w:r>
        <w:rPr>
          <w:rFonts w:ascii="仿宋" w:hAnsi="仿宋" w:eastAsia="仿宋"/>
          <w:sz w:val="32"/>
        </w:rPr>
        <w:t>4</w:t>
      </w:r>
      <w:r>
        <w:rPr>
          <w:rFonts w:hint="eastAsia" w:ascii="仿宋" w:hAnsi="仿宋" w:eastAsia="仿宋"/>
          <w:sz w:val="32"/>
        </w:rPr>
        <w:t>）履约验收程序</w:t>
      </w:r>
    </w:p>
    <w:p w14:paraId="6A1372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4.1收集项目相关材料</w:t>
      </w:r>
    </w:p>
    <w:p w14:paraId="36B1A2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合同、响应文件、磋商文件、实际服务偏差情况、现场照片等</w:t>
      </w:r>
    </w:p>
    <w:p w14:paraId="4624A54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4.2成交人提供自检报告</w:t>
      </w:r>
    </w:p>
    <w:p w14:paraId="0ECEC3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成交人根据自己的招投标文件及合同编写自己的自检报告，主要包含服务清单、偏差情况、质量售后等相关文档。</w:t>
      </w:r>
    </w:p>
    <w:p w14:paraId="023AEA9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4.3采购人及相关人员现场实地查验</w:t>
      </w:r>
    </w:p>
    <w:p w14:paraId="0CC0B137">
      <w:pPr>
        <w:ind w:firstLine="960" w:firstLineChars="300"/>
        <w:jc w:val="left"/>
        <w:rPr>
          <w:rFonts w:ascii="仿宋" w:hAnsi="仿宋" w:eastAsia="仿宋"/>
          <w:sz w:val="32"/>
          <w:u w:val="none"/>
        </w:rPr>
      </w:pPr>
      <w:r>
        <w:rPr>
          <w:rFonts w:hint="eastAsia" w:ascii="仿宋" w:hAnsi="仿宋" w:eastAsia="仿宋" w:cs="仿宋"/>
          <w:sz w:val="32"/>
          <w:szCs w:val="32"/>
          <w:lang w:val="en-US" w:eastAsia="zh-CN"/>
        </w:rPr>
        <w:t>结合成交人的自验汇报，到项目实施现场进一步核对情况，成交人可现场讲解。</w:t>
      </w:r>
    </w:p>
    <w:p w14:paraId="7C5737BC">
      <w:pPr>
        <w:numPr>
          <w:ilvl w:val="0"/>
          <w:numId w:val="1"/>
        </w:numPr>
        <w:ind w:firstLine="640" w:firstLineChars="200"/>
        <w:jc w:val="left"/>
        <w:rPr>
          <w:rFonts w:ascii="仿宋" w:hAnsi="仿宋" w:eastAsia="仿宋"/>
          <w:sz w:val="32"/>
        </w:rPr>
      </w:pPr>
      <w:r>
        <w:rPr>
          <w:rFonts w:hint="eastAsia" w:ascii="仿宋" w:hAnsi="仿宋" w:eastAsia="仿宋"/>
          <w:sz w:val="32"/>
        </w:rPr>
        <w:t>履约验收内容</w:t>
      </w:r>
    </w:p>
    <w:p w14:paraId="4692BFA7">
      <w:pPr>
        <w:ind w:firstLine="640" w:firstLineChars="200"/>
        <w:jc w:val="left"/>
        <w:rPr>
          <w:rFonts w:ascii="仿宋" w:hAnsi="仿宋" w:eastAsia="仿宋"/>
          <w:sz w:val="32"/>
        </w:rPr>
      </w:pPr>
      <w:r>
        <w:rPr>
          <w:rFonts w:hint="eastAsia" w:ascii="仿宋" w:hAnsi="仿宋" w:eastAsia="仿宋"/>
          <w:sz w:val="32"/>
          <w:lang w:val="en-US" w:eastAsia="zh-CN"/>
        </w:rPr>
        <w:t>服务区域，服务质量是否达到合格水平等。</w:t>
      </w:r>
    </w:p>
    <w:p w14:paraId="76940038">
      <w:pPr>
        <w:ind w:firstLine="640" w:firstLineChars="200"/>
        <w:jc w:val="left"/>
        <w:rPr>
          <w:rFonts w:ascii="仿宋" w:hAnsi="仿宋" w:eastAsia="仿宋"/>
          <w:sz w:val="32"/>
        </w:rPr>
      </w:pPr>
      <w:r>
        <w:rPr>
          <w:rFonts w:hint="eastAsia" w:ascii="仿宋" w:hAnsi="仿宋" w:eastAsia="仿宋"/>
          <w:sz w:val="32"/>
        </w:rPr>
        <w:t>（</w:t>
      </w:r>
      <w:r>
        <w:rPr>
          <w:rFonts w:ascii="仿宋" w:hAnsi="仿宋" w:eastAsia="仿宋"/>
          <w:sz w:val="32"/>
        </w:rPr>
        <w:t>6</w:t>
      </w:r>
      <w:r>
        <w:rPr>
          <w:rFonts w:hint="eastAsia" w:ascii="仿宋" w:hAnsi="仿宋" w:eastAsia="仿宋"/>
          <w:sz w:val="32"/>
        </w:rPr>
        <w:t>）履约验收验收标准</w:t>
      </w:r>
    </w:p>
    <w:p w14:paraId="1490C2E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sz w:val="32"/>
          <w:u w:val="none"/>
        </w:rPr>
      </w:pPr>
      <w:r>
        <w:rPr>
          <w:rFonts w:hint="eastAsia" w:ascii="仿宋" w:hAnsi="仿宋" w:eastAsia="仿宋"/>
          <w:sz w:val="32"/>
          <w:u w:val="none"/>
          <w:lang w:val="en-US" w:eastAsia="zh-CN"/>
        </w:rPr>
        <w:t>本项目验收工作严格按照采购合同、采购文件、响应文件的要求，相关产品符合国家及行业质量标准，服务质量满足采购人要求。</w:t>
      </w:r>
    </w:p>
    <w:p w14:paraId="3FA0CC22">
      <w:pPr>
        <w:ind w:firstLine="640" w:firstLineChars="200"/>
        <w:jc w:val="left"/>
        <w:rPr>
          <w:rFonts w:ascii="仿宋" w:hAnsi="仿宋" w:eastAsia="仿宋"/>
          <w:sz w:val="32"/>
        </w:rPr>
      </w:pPr>
      <w:r>
        <w:rPr>
          <w:rFonts w:hint="eastAsia" w:ascii="仿宋" w:hAnsi="仿宋" w:eastAsia="仿宋"/>
          <w:sz w:val="32"/>
        </w:rPr>
        <w:t>（</w:t>
      </w:r>
      <w:r>
        <w:rPr>
          <w:rFonts w:ascii="仿宋" w:hAnsi="仿宋" w:eastAsia="仿宋"/>
          <w:sz w:val="32"/>
        </w:rPr>
        <w:t>7</w:t>
      </w:r>
      <w:r>
        <w:rPr>
          <w:rFonts w:hint="eastAsia" w:ascii="仿宋" w:hAnsi="仿宋" w:eastAsia="仿宋"/>
          <w:sz w:val="32"/>
        </w:rPr>
        <w:t>）履约验收其他事项</w:t>
      </w:r>
    </w:p>
    <w:p w14:paraId="14A9FB7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u w:val="none"/>
          <w:lang w:eastAsia="zh-CN"/>
        </w:rPr>
      </w:pPr>
      <w:r>
        <w:rPr>
          <w:rFonts w:hint="eastAsia" w:ascii="仿宋" w:hAnsi="仿宋" w:eastAsia="仿宋"/>
          <w:sz w:val="32"/>
          <w:u w:val="none"/>
          <w:lang w:val="en-US" w:eastAsia="zh-CN"/>
        </w:rPr>
        <w:t>采购人结合现场仔细核对自检报告、招投标文件、合同、售后材料等，必要时可要求</w:t>
      </w:r>
      <w:r>
        <w:rPr>
          <w:rFonts w:hint="eastAsia" w:ascii="仿宋" w:hAnsi="仿宋" w:eastAsia="仿宋" w:cs="仿宋"/>
          <w:sz w:val="32"/>
          <w:szCs w:val="32"/>
          <w:lang w:val="en-US" w:eastAsia="zh-CN"/>
        </w:rPr>
        <w:t>成交人</w:t>
      </w:r>
      <w:r>
        <w:rPr>
          <w:rFonts w:hint="eastAsia" w:ascii="仿宋" w:hAnsi="仿宋" w:eastAsia="仿宋"/>
          <w:sz w:val="32"/>
          <w:u w:val="none"/>
          <w:lang w:val="en-US" w:eastAsia="zh-CN"/>
        </w:rPr>
        <w:t>对采购人验收有疑问的地方作出澄清或说明。</w:t>
      </w:r>
    </w:p>
    <w:p w14:paraId="677ADF01">
      <w:pPr>
        <w:ind w:firstLine="643" w:firstLineChars="200"/>
        <w:jc w:val="left"/>
        <w:rPr>
          <w:rFonts w:ascii="仿宋" w:hAnsi="仿宋" w:eastAsia="仿宋"/>
          <w:sz w:val="32"/>
          <w:u w:val="single"/>
        </w:rPr>
      </w:pPr>
      <w:r>
        <w:rPr>
          <w:rFonts w:hint="eastAsia" w:ascii="仿宋" w:hAnsi="仿宋" w:eastAsia="仿宋"/>
          <w:b/>
          <w:bCs/>
          <w:sz w:val="32"/>
        </w:rPr>
        <w:t>（五）风险管控措施</w:t>
      </w:r>
    </w:p>
    <w:p w14:paraId="111105A2">
      <w:pPr>
        <w:ind w:firstLine="640" w:firstLineChars="200"/>
        <w:jc w:val="left"/>
        <w:rPr>
          <w:rFonts w:hint="eastAsia" w:ascii="仿宋" w:hAnsi="仿宋" w:eastAsia="仿宋"/>
          <w:sz w:val="32"/>
          <w:u w:val="none"/>
        </w:rPr>
      </w:pPr>
      <w:r>
        <w:rPr>
          <w:rFonts w:hint="eastAsia" w:ascii="仿宋" w:hAnsi="仿宋" w:eastAsia="仿宋"/>
          <w:sz w:val="32"/>
          <w:u w:val="none"/>
        </w:rPr>
        <w:t>（1）国家政策变化应对措施：国家政策发生调整，依照新的国家政策进行相应调整，符合国家新的政策法规。</w:t>
      </w:r>
    </w:p>
    <w:p w14:paraId="15586D14">
      <w:pPr>
        <w:ind w:firstLine="640" w:firstLineChars="200"/>
        <w:jc w:val="left"/>
        <w:rPr>
          <w:rFonts w:hint="eastAsia" w:ascii="仿宋" w:hAnsi="仿宋" w:eastAsia="仿宋"/>
          <w:sz w:val="32"/>
          <w:u w:val="none"/>
        </w:rPr>
      </w:pPr>
      <w:r>
        <w:rPr>
          <w:rFonts w:hint="eastAsia" w:ascii="仿宋" w:hAnsi="仿宋" w:eastAsia="仿宋"/>
          <w:sz w:val="32"/>
          <w:u w:val="none"/>
        </w:rPr>
        <w:t>（2）实施环境变化应对措施：如遇不可抗力影响，按照合同约定进行应对。</w:t>
      </w:r>
    </w:p>
    <w:p w14:paraId="79EB8972">
      <w:pPr>
        <w:ind w:firstLine="640" w:firstLineChars="200"/>
        <w:jc w:val="left"/>
        <w:rPr>
          <w:rFonts w:hint="eastAsia" w:ascii="仿宋" w:hAnsi="仿宋" w:eastAsia="仿宋"/>
          <w:sz w:val="32"/>
          <w:u w:val="none"/>
        </w:rPr>
      </w:pPr>
      <w:r>
        <w:rPr>
          <w:rFonts w:hint="eastAsia" w:ascii="仿宋" w:hAnsi="仿宋" w:eastAsia="仿宋"/>
          <w:sz w:val="32"/>
          <w:u w:val="none"/>
        </w:rPr>
        <w:t>（3）重大技术变化应对措施：如国家相关技术发生调整，需根据调整内容进行优化。</w:t>
      </w:r>
    </w:p>
    <w:p w14:paraId="3F259D43">
      <w:pPr>
        <w:ind w:firstLine="640" w:firstLineChars="200"/>
        <w:jc w:val="left"/>
        <w:rPr>
          <w:rFonts w:hint="eastAsia" w:ascii="仿宋" w:hAnsi="仿宋" w:eastAsia="仿宋"/>
          <w:sz w:val="32"/>
          <w:u w:val="none"/>
        </w:rPr>
      </w:pPr>
      <w:r>
        <w:rPr>
          <w:rFonts w:hint="eastAsia" w:ascii="仿宋" w:hAnsi="仿宋" w:eastAsia="仿宋"/>
          <w:sz w:val="32"/>
          <w:u w:val="none"/>
        </w:rPr>
        <w:t>（4）预算项目调整应对措施：如遇项目预算发生调整，双方应积极协商应对。</w:t>
      </w:r>
    </w:p>
    <w:p w14:paraId="52470650">
      <w:pPr>
        <w:ind w:firstLine="640" w:firstLineChars="200"/>
        <w:jc w:val="left"/>
        <w:rPr>
          <w:rFonts w:hint="eastAsia" w:ascii="仿宋" w:hAnsi="仿宋" w:eastAsia="仿宋"/>
          <w:sz w:val="32"/>
          <w:u w:val="none"/>
        </w:rPr>
      </w:pPr>
      <w:r>
        <w:rPr>
          <w:rFonts w:hint="eastAsia" w:ascii="仿宋" w:hAnsi="仿宋" w:eastAsia="仿宋"/>
          <w:sz w:val="32"/>
          <w:u w:val="none"/>
        </w:rPr>
        <w:t>（5）因质疑投诉影响采购进度应对措施：依照相关法律法规处理质疑投诉。</w:t>
      </w:r>
    </w:p>
    <w:p w14:paraId="09327C54">
      <w:pPr>
        <w:ind w:firstLine="640" w:firstLineChars="200"/>
        <w:jc w:val="left"/>
        <w:rPr>
          <w:rFonts w:hint="eastAsia" w:ascii="仿宋" w:hAnsi="仿宋" w:eastAsia="仿宋"/>
          <w:sz w:val="32"/>
          <w:u w:val="none"/>
        </w:rPr>
      </w:pPr>
      <w:r>
        <w:rPr>
          <w:rFonts w:hint="eastAsia" w:ascii="仿宋" w:hAnsi="仿宋" w:eastAsia="仿宋"/>
          <w:sz w:val="32"/>
          <w:u w:val="none"/>
        </w:rPr>
        <w:t>（6）采购失败应对措施：依照政府采购法第三十七条规定。</w:t>
      </w:r>
    </w:p>
    <w:p w14:paraId="5665318B">
      <w:pPr>
        <w:ind w:firstLine="640" w:firstLineChars="200"/>
        <w:jc w:val="left"/>
        <w:rPr>
          <w:rFonts w:hint="eastAsia" w:ascii="仿宋" w:hAnsi="仿宋" w:eastAsia="仿宋"/>
          <w:sz w:val="32"/>
          <w:u w:val="none"/>
        </w:rPr>
      </w:pPr>
      <w:r>
        <w:rPr>
          <w:rFonts w:hint="eastAsia" w:ascii="仿宋" w:hAnsi="仿宋" w:eastAsia="仿宋"/>
          <w:sz w:val="32"/>
          <w:u w:val="none"/>
        </w:rPr>
        <w:t>（7）不按规定签订或者履行合同应对措施：依照相关法律法规对未履行责任的进行处罚。</w:t>
      </w:r>
    </w:p>
    <w:p w14:paraId="735916DA">
      <w:pPr>
        <w:ind w:firstLine="640" w:firstLineChars="200"/>
        <w:jc w:val="left"/>
        <w:rPr>
          <w:rFonts w:hint="eastAsia" w:ascii="仿宋" w:hAnsi="仿宋" w:eastAsia="仿宋"/>
          <w:sz w:val="32"/>
          <w:u w:val="single"/>
        </w:rPr>
      </w:pPr>
      <w:r>
        <w:rPr>
          <w:rFonts w:hint="eastAsia" w:ascii="仿宋" w:hAnsi="仿宋" w:eastAsia="仿宋"/>
          <w:sz w:val="32"/>
          <w:u w:val="none"/>
        </w:rPr>
        <w:t>（8）出现损害国家利益和社会公共利益情形应对措施：终止合同，依照法律法规追究相关单位及人员责任</w:t>
      </w:r>
      <w:r>
        <w:rPr>
          <w:rFonts w:hint="eastAsia" w:ascii="仿宋" w:hAnsi="仿宋" w:eastAsia="仿宋"/>
          <w:sz w:val="32"/>
          <w:u w:val="none"/>
          <w:lang w:eastAsia="zh-CN"/>
        </w:rPr>
        <w:t>。</w:t>
      </w:r>
    </w:p>
    <w:p w14:paraId="05B8B3B6">
      <w:pPr>
        <w:pStyle w:val="7"/>
        <w:keepNext w:val="0"/>
        <w:keepLines w:val="0"/>
        <w:pageBreakBefore w:val="0"/>
        <w:kinsoku/>
        <w:wordWrap w:val="0"/>
        <w:overflowPunct/>
        <w:topLinePunct w:val="0"/>
        <w:bidi w:val="0"/>
        <w:spacing w:before="353" w:line="360" w:lineRule="auto"/>
        <w:ind w:left="2654"/>
        <w:jc w:val="both"/>
        <w:rPr>
          <w:spacing w:val="-5"/>
          <w:sz w:val="36"/>
          <w:szCs w:val="36"/>
          <w14:textOutline w14:w="2306" w14:cap="flat" w14:cmpd="sng">
            <w14:solidFill>
              <w14:srgbClr w14:val="000000"/>
            </w14:solidFill>
            <w14:prstDash w14:val="solid"/>
            <w14:miter w14:val="0"/>
          </w14:textOutline>
        </w:rPr>
      </w:pPr>
    </w:p>
    <w:p w14:paraId="1FE9D7AF">
      <w:pPr>
        <w:pStyle w:val="7"/>
        <w:keepNext w:val="0"/>
        <w:keepLines w:val="0"/>
        <w:pageBreakBefore w:val="0"/>
        <w:kinsoku/>
        <w:wordWrap w:val="0"/>
        <w:overflowPunct/>
        <w:topLinePunct w:val="0"/>
        <w:bidi w:val="0"/>
        <w:spacing w:before="353" w:line="360" w:lineRule="auto"/>
        <w:ind w:left="2654"/>
        <w:jc w:val="both"/>
        <w:rPr>
          <w:spacing w:val="-5"/>
          <w:sz w:val="36"/>
          <w:szCs w:val="36"/>
          <w14:textOutline w14:w="2306" w14:cap="flat" w14:cmpd="sng">
            <w14:solidFill>
              <w14:srgbClr w14:val="000000"/>
            </w14:solidFill>
            <w14:prstDash w14:val="solid"/>
            <w14:miter w14:val="0"/>
          </w14:textOutline>
        </w:rPr>
      </w:pPr>
    </w:p>
    <w:p w14:paraId="55AE9FFD">
      <w:pPr>
        <w:pStyle w:val="7"/>
        <w:keepNext w:val="0"/>
        <w:keepLines w:val="0"/>
        <w:pageBreakBefore w:val="0"/>
        <w:kinsoku/>
        <w:wordWrap w:val="0"/>
        <w:overflowPunct/>
        <w:topLinePunct w:val="0"/>
        <w:bidi w:val="0"/>
        <w:spacing w:before="353" w:line="360" w:lineRule="auto"/>
        <w:ind w:left="2654"/>
        <w:jc w:val="both"/>
        <w:rPr>
          <w:rFonts w:ascii="Arial"/>
          <w:sz w:val="21"/>
        </w:rPr>
      </w:pPr>
      <w:r>
        <w:rPr>
          <w:spacing w:val="-5"/>
          <w:sz w:val="36"/>
          <w:szCs w:val="36"/>
          <w14:textOutline w14:w="2306" w14:cap="flat" w14:cmpd="sng">
            <w14:solidFill>
              <w14:srgbClr w14:val="000000"/>
            </w14:solidFill>
            <w14:prstDash w14:val="solid"/>
            <w14:miter w14:val="0"/>
          </w14:textOutline>
        </w:rPr>
        <w:t>第六章</w:t>
      </w:r>
      <w:r>
        <w:rPr>
          <w:rFonts w:hint="eastAsia"/>
          <w:spacing w:val="-5"/>
          <w:sz w:val="36"/>
          <w:szCs w:val="36"/>
          <w:lang w:val="en-US" w:eastAsia="zh-CN"/>
          <w14:textOutline w14:w="2306" w14:cap="flat" w14:cmpd="sng">
            <w14:solidFill>
              <w14:srgbClr w14:val="000000"/>
            </w14:solidFill>
            <w14:prstDash w14:val="solid"/>
            <w14:miter w14:val="0"/>
          </w14:textOutline>
        </w:rPr>
        <w:t xml:space="preserve"> </w:t>
      </w:r>
      <w:r>
        <w:rPr>
          <w:spacing w:val="-5"/>
          <w:sz w:val="36"/>
          <w:szCs w:val="36"/>
          <w14:textOutline w14:w="2306" w14:cap="flat" w14:cmpd="sng">
            <w14:solidFill>
              <w14:srgbClr w14:val="000000"/>
            </w14:solidFill>
            <w14:prstDash w14:val="solid"/>
            <w14:miter w14:val="0"/>
          </w14:textOutline>
        </w:rPr>
        <w:t>响应文件格式</w:t>
      </w:r>
    </w:p>
    <w:p w14:paraId="65C270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14:paraId="7AD415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56DAE8A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14:paraId="69C671B5">
      <w:pPr>
        <w:keepNext w:val="0"/>
        <w:keepLines w:val="0"/>
        <w:pageBreakBefore w:val="0"/>
        <w:kinsoku/>
        <w:wordWrap w:val="0"/>
        <w:overflowPunct/>
        <w:topLinePunct w:val="0"/>
        <w:bidi w:val="0"/>
        <w:spacing w:line="219" w:lineRule="auto"/>
        <w:jc w:val="both"/>
        <w:rPr>
          <w:sz w:val="24"/>
          <w:szCs w:val="24"/>
        </w:rPr>
        <w:sectPr>
          <w:headerReference r:id="rId6" w:type="default"/>
          <w:footerReference r:id="rId7" w:type="default"/>
          <w:pgSz w:w="11907" w:h="16840"/>
          <w:pgMar w:top="1440" w:right="1800" w:bottom="1440" w:left="1800" w:header="878" w:footer="886" w:gutter="0"/>
          <w:pgNumType w:fmt="decimal"/>
          <w:cols w:space="720" w:num="1"/>
        </w:sectPr>
      </w:pPr>
    </w:p>
    <w:p w14:paraId="1A80A6A3">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响应函格式</w:t>
      </w:r>
    </w:p>
    <w:p w14:paraId="131B0C5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18C10F0B">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w:t>
      </w:r>
    </w:p>
    <w:p w14:paraId="2E38D667">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24B64CA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1BED7C79">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14:paraId="2EA561FB">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14:paraId="0C4A200C">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14:paraId="69320CDE">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14:paraId="2EA5D98D">
      <w:pPr>
        <w:pStyle w:val="7"/>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14:paraId="11D137D7">
      <w:pPr>
        <w:pStyle w:val="7"/>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宋体" w:hAnsi="宋体" w:eastAsia="宋体" w:cs="宋体"/>
          <w:snapToGrid w:val="0"/>
          <w:color w:val="000000"/>
          <w:kern w:val="0"/>
          <w:sz w:val="24"/>
          <w:szCs w:val="24"/>
          <w:lang w:val="en-US" w:eastAsia="en-US" w:bidi="ar-SA"/>
        </w:rPr>
        <w:t>《政府采购竞争性磋商采购方式管理暂行办法》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14:paraId="5E118CE6">
      <w:pPr>
        <w:pStyle w:val="7"/>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14:paraId="35AF53FC">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35877FB">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14:paraId="4350C23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14:paraId="0CE78702">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DD2683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8B797B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7E95AF3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523C81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14:paraId="3B05DC03">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28ED46FB">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法定代表人或负责人授权委托书</w:t>
      </w:r>
    </w:p>
    <w:p w14:paraId="2347849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619513A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237B9831">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14:paraId="5AE631D1">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14:paraId="69EE395F">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14:paraId="7D92506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C986A6D">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14:paraId="6C0A9AAF">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14:paraId="51B64524">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14:paraId="6F2076F7">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14:paraId="024A3B0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25EC075">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14:paraId="3FC7A8F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423AC516">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183A1ED7">
      <w:pPr>
        <w:keepNext w:val="0"/>
        <w:keepLines w:val="0"/>
        <w:pageBreakBefore w:val="0"/>
        <w:kinsoku/>
        <w:wordWrap w:val="0"/>
        <w:overflowPunct/>
        <w:topLinePunct w:val="0"/>
        <w:bidi w:val="0"/>
        <w:spacing w:after="0" w:line="360" w:lineRule="auto"/>
        <w:ind w:firstLine="5382" w:firstLineChars="2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14:paraId="38CBE935">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5B1FF1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pPr>
    </w:p>
    <w:p w14:paraId="31E47AD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三、</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tbl>
      <w:tblPr>
        <w:tblStyle w:val="14"/>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6930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CE402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1E369C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5873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E470E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6B4DE2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9B2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CE48A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2C5EA37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008B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8BFD8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D71D6B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7B1E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5C900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7825A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2EFB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F7179D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C91F4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547F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9B72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A75B31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82E8D3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0C2641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供应商（公章）：法定代表人（负责人）或授权代表（签字）：</w:t>
      </w:r>
    </w:p>
    <w:p w14:paraId="636FB25D">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63CF879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AA577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7782B2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5D172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8576C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0C9E31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7EF4C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7296FF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57EE3A30">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79011B50">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0E2468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w:t>
      </w:r>
    </w:p>
    <w:p w14:paraId="1A56276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中没有重大违法记录的声明等；</w:t>
      </w:r>
    </w:p>
    <w:p w14:paraId="6E4442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14:paraId="794964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14:paraId="053C2162">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14:paraId="6253A8F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14:paraId="2D1A731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14:paraId="1E3D44B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14:paraId="618323D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4411A8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14:paraId="13E087E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5D3C02B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公司全称）向本项目的采购人和采购代理机构郑重声明如下：</w:t>
      </w:r>
    </w:p>
    <w:p w14:paraId="01E9DE0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14:paraId="0DB8AEE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14:paraId="1BF2D98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E4320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1599C7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14:paraId="55904D8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14:paraId="2165C5E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67A4B7F">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18A0939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7DE9A87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6EF7A0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6CC2FC0">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AC771C0">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CF22B62">
      <w:pPr>
        <w:keepNext w:val="0"/>
        <w:keepLines w:val="0"/>
        <w:pageBreakBefore w:val="0"/>
        <w:numPr>
          <w:ilvl w:val="0"/>
          <w:numId w:val="0"/>
        </w:numPr>
        <w:kinsoku/>
        <w:wordWrap w:val="0"/>
        <w:overflowPunct/>
        <w:topLinePunct w:val="0"/>
        <w:bidi w:val="0"/>
        <w:spacing w:line="240" w:lineRule="atLeast"/>
        <w:ind w:left="0" w:leftChars="0" w:firstLine="0" w:firstLineChars="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napToGrid w:val="0"/>
          <w:color w:val="000000"/>
          <w:kern w:val="0"/>
          <w:sz w:val="24"/>
          <w:szCs w:val="24"/>
          <w:lang w:val="en-US" w:eastAsia="zh-CN" w:bidi="ar-SA"/>
        </w:rPr>
        <w:t>五、</w:t>
      </w:r>
      <w:r>
        <w:rPr>
          <w:rFonts w:hint="eastAsia" w:asciiTheme="minorEastAsia" w:hAnsiTheme="minorEastAsia" w:eastAsiaTheme="minorEastAsia" w:cstheme="minorEastAsia"/>
          <w:b/>
          <w:bCs/>
          <w:sz w:val="24"/>
          <w:szCs w:val="24"/>
          <w:lang w:val="en-US" w:eastAsia="zh-CN"/>
        </w:rPr>
        <w:t>商务偏差表</w:t>
      </w:r>
    </w:p>
    <w:p w14:paraId="593DF3F5">
      <w:pPr>
        <w:pStyle w:val="2"/>
        <w:numPr>
          <w:ilvl w:val="0"/>
          <w:numId w:val="0"/>
        </w:numPr>
        <w:kinsoku w:val="0"/>
        <w:autoSpaceDE w:val="0"/>
        <w:autoSpaceDN w:val="0"/>
        <w:adjustRightInd w:val="0"/>
        <w:snapToGrid w:val="0"/>
        <w:spacing w:after="120" w:line="240" w:lineRule="auto"/>
        <w:jc w:val="left"/>
        <w:textAlignment w:val="baseline"/>
        <w:rPr>
          <w:rFonts w:hint="default"/>
          <w:lang w:val="en-US"/>
        </w:rPr>
      </w:pPr>
    </w:p>
    <w:p w14:paraId="35FE792A">
      <w:pPr>
        <w:pStyle w:val="2"/>
        <w:numPr>
          <w:ilvl w:val="0"/>
          <w:numId w:val="0"/>
        </w:numPr>
        <w:kinsoku w:val="0"/>
        <w:autoSpaceDE w:val="0"/>
        <w:autoSpaceDN w:val="0"/>
        <w:adjustRightInd w:val="0"/>
        <w:snapToGrid w:val="0"/>
        <w:spacing w:after="120" w:line="240" w:lineRule="auto"/>
        <w:jc w:val="left"/>
        <w:textAlignment w:val="baseline"/>
        <w:rPr>
          <w:rFonts w:hint="default"/>
          <w:lang w:val="en-US"/>
        </w:rPr>
      </w:pPr>
    </w:p>
    <w:tbl>
      <w:tblPr>
        <w:tblStyle w:val="14"/>
        <w:tblpPr w:leftFromText="180" w:rightFromText="180" w:vertAnchor="text" w:horzAnchor="page" w:tblpX="2046" w:tblpY="4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42DC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469365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7116F5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14:paraId="586DF8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697F3DC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p>
          <w:p w14:paraId="73887C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418CEE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CDB50F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6A4D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3AD591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4F95A5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4467A7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77D57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F8E19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026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A517CE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C019E6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20304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7062E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4142E3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D5C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566A1D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81D3CD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8411F3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A347F5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DF57BB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E05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4A6953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E28B1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8F928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5603D2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3E6DDB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58F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432A7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CB943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74893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3FA07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17D26F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C19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804F90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23341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E33A7C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E6104A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04FB7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35D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6D9836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749BC8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A7F24E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6AD21D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552D32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0AA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6C90F4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CAAB2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1316C4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3BAA5D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70DC5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A8E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E1D17F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04989D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4A63D4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7D3AB4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C31D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585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6B97B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18E503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EDAB37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01F443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7CF8A4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1B8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D2E631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C3DD2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9DC96F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29CE6B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6C44DB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5C12DB65">
      <w:pPr>
        <w:keepNext w:val="0"/>
        <w:keepLines w:val="0"/>
        <w:widowControl w:val="0"/>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黑体" w:hAnsi="黑体" w:eastAsia="黑体" w:cs="黑体"/>
          <w:sz w:val="24"/>
          <w:szCs w:val="24"/>
          <w:lang w:val="en-US"/>
        </w:rPr>
      </w:pPr>
      <w:r>
        <w:rPr>
          <w:rFonts w:hint="eastAsia" w:ascii="黑体" w:hAnsi="黑体" w:eastAsia="黑体" w:cs="黑体"/>
          <w:sz w:val="24"/>
          <w:szCs w:val="24"/>
          <w:lang w:val="en-US"/>
        </w:rPr>
        <w:t>项目名称：                               项目编号：</w:t>
      </w:r>
    </w:p>
    <w:p w14:paraId="6C47F74D">
      <w:pPr>
        <w:keepNext w:val="0"/>
        <w:keepLines w:val="0"/>
        <w:widowControl w:val="0"/>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default"/>
          <w:lang w:val="en-US"/>
        </w:rPr>
      </w:pPr>
    </w:p>
    <w:p w14:paraId="7F7E6408">
      <w:pPr>
        <w:keepNext w:val="0"/>
        <w:keepLines w:val="0"/>
        <w:widowControl w:val="0"/>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default"/>
          <w:lang w:val="en-US"/>
        </w:rPr>
      </w:pPr>
    </w:p>
    <w:p w14:paraId="01F4FFC3">
      <w:pPr>
        <w:keepNext w:val="0"/>
        <w:keepLines w:val="0"/>
        <w:widowControl w:val="0"/>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b/>
          <w:bCs w:val="0"/>
          <w:snapToGrid w:val="0"/>
          <w:color w:val="000000"/>
          <w:kern w:val="0"/>
          <w:sz w:val="24"/>
          <w:szCs w:val="24"/>
          <w:lang w:val="en-US" w:eastAsia="zh-CN" w:bidi="ar"/>
        </w:rPr>
      </w:pPr>
      <w:r>
        <w:rPr>
          <w:rFonts w:hint="eastAsia" w:ascii="宋体" w:hAnsi="宋体" w:eastAsia="宋体" w:cs="宋体"/>
          <w:b/>
          <w:bCs/>
          <w:snapToGrid w:val="0"/>
          <w:color w:val="000000"/>
          <w:spacing w:val="2"/>
          <w:kern w:val="0"/>
          <w:sz w:val="24"/>
          <w:szCs w:val="24"/>
          <w:lang w:val="en-US" w:eastAsia="zh-CN" w:bidi="ar"/>
        </w:rPr>
        <w:t>供应商</w:t>
      </w:r>
      <w:r>
        <w:rPr>
          <w:rFonts w:hint="eastAsia" w:ascii="宋体" w:hAnsi="宋体" w:eastAsia="宋体" w:cs="宋体"/>
          <w:b/>
          <w:bCs w:val="0"/>
          <w:snapToGrid w:val="0"/>
          <w:color w:val="000000"/>
          <w:kern w:val="0"/>
          <w:sz w:val="24"/>
          <w:szCs w:val="24"/>
          <w:lang w:val="en-US" w:eastAsia="zh-CN" w:bidi="ar"/>
        </w:rPr>
        <w:t>（公章）：</w:t>
      </w:r>
    </w:p>
    <w:p w14:paraId="4D8E2576">
      <w:pPr>
        <w:keepNext w:val="0"/>
        <w:keepLines w:val="0"/>
        <w:widowControl w:val="0"/>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b/>
          <w:bCs w:val="0"/>
          <w:color w:val="000000"/>
          <w:kern w:val="0"/>
          <w:sz w:val="24"/>
          <w:szCs w:val="24"/>
        </w:rPr>
      </w:pPr>
      <w:r>
        <w:rPr>
          <w:rFonts w:hint="eastAsia" w:ascii="宋体" w:hAnsi="宋体" w:eastAsia="宋体" w:cs="宋体"/>
          <w:b/>
          <w:bCs w:val="0"/>
          <w:snapToGrid w:val="0"/>
          <w:color w:val="000000"/>
          <w:kern w:val="0"/>
          <w:sz w:val="24"/>
          <w:szCs w:val="24"/>
          <w:lang w:val="en-US" w:eastAsia="zh-CN" w:bidi="ar"/>
        </w:rPr>
        <w:t>法定代表人（负责人）或授权代表（签字）：</w:t>
      </w:r>
    </w:p>
    <w:p w14:paraId="7CE28DD0">
      <w:pPr>
        <w:keepNext w:val="0"/>
        <w:keepLines w:val="0"/>
        <w:widowControl w:val="0"/>
        <w:suppressLineNumbers w:val="0"/>
        <w:kinsoku w:val="0"/>
        <w:wordWrap w:val="0"/>
        <w:autoSpaceDE w:val="0"/>
        <w:autoSpaceDN w:val="0"/>
        <w:adjustRightInd w:val="0"/>
        <w:snapToGrid w:val="0"/>
        <w:spacing w:before="0" w:beforeAutospacing="0" w:after="0" w:afterAutospacing="0" w:line="360" w:lineRule="auto"/>
        <w:ind w:right="0"/>
        <w:jc w:val="both"/>
        <w:textAlignment w:val="baseline"/>
        <w:rPr>
          <w:rFonts w:hint="eastAsia" w:ascii="宋体" w:hAnsi="宋体" w:eastAsia="宋体" w:cs="宋体"/>
          <w:b/>
          <w:bCs/>
          <w:color w:val="000000"/>
          <w:spacing w:val="-8"/>
          <w:kern w:val="0"/>
          <w:sz w:val="24"/>
          <w:szCs w:val="24"/>
        </w:rPr>
      </w:pPr>
      <w:r>
        <w:rPr>
          <w:rFonts w:hint="eastAsia" w:ascii="宋体" w:hAnsi="宋体" w:eastAsia="宋体" w:cs="宋体"/>
          <w:b/>
          <w:bCs/>
          <w:snapToGrid w:val="0"/>
          <w:color w:val="000000"/>
          <w:spacing w:val="-8"/>
          <w:kern w:val="0"/>
          <w:sz w:val="24"/>
          <w:szCs w:val="24"/>
          <w:lang w:val="en-US" w:eastAsia="zh-CN" w:bidi="ar"/>
        </w:rPr>
        <w:t>日期：</w:t>
      </w:r>
      <w:r>
        <w:rPr>
          <w:rFonts w:hint="eastAsia" w:ascii="宋体" w:hAnsi="宋体" w:eastAsia="宋体" w:cs="宋体"/>
          <w:b/>
          <w:bCs/>
          <w:snapToGrid w:val="0"/>
          <w:color w:val="000000"/>
          <w:spacing w:val="-8"/>
          <w:kern w:val="0"/>
          <w:sz w:val="24"/>
          <w:szCs w:val="24"/>
          <w:u w:val="single"/>
          <w:lang w:val="en-US" w:eastAsia="zh-CN" w:bidi="ar"/>
        </w:rPr>
        <w:t xml:space="preserve">    </w:t>
      </w:r>
      <w:r>
        <w:rPr>
          <w:rFonts w:hint="eastAsia" w:ascii="宋体" w:hAnsi="宋体" w:eastAsia="宋体" w:cs="宋体"/>
          <w:b/>
          <w:bCs/>
          <w:snapToGrid w:val="0"/>
          <w:color w:val="000000"/>
          <w:spacing w:val="-8"/>
          <w:kern w:val="0"/>
          <w:sz w:val="24"/>
          <w:szCs w:val="24"/>
          <w:lang w:val="en-US" w:eastAsia="zh-CN" w:bidi="ar"/>
        </w:rPr>
        <w:t>年</w:t>
      </w:r>
      <w:r>
        <w:rPr>
          <w:rFonts w:hint="eastAsia" w:ascii="宋体" w:hAnsi="宋体" w:eastAsia="宋体" w:cs="宋体"/>
          <w:b/>
          <w:bCs/>
          <w:snapToGrid w:val="0"/>
          <w:color w:val="000000"/>
          <w:spacing w:val="-8"/>
          <w:kern w:val="0"/>
          <w:sz w:val="24"/>
          <w:szCs w:val="24"/>
          <w:u w:val="single"/>
          <w:lang w:val="en-US" w:eastAsia="zh-CN" w:bidi="ar"/>
        </w:rPr>
        <w:t xml:space="preserve">    </w:t>
      </w:r>
      <w:r>
        <w:rPr>
          <w:rFonts w:hint="eastAsia" w:ascii="宋体" w:hAnsi="宋体" w:eastAsia="宋体" w:cs="宋体"/>
          <w:b/>
          <w:bCs/>
          <w:snapToGrid w:val="0"/>
          <w:color w:val="000000"/>
          <w:spacing w:val="-8"/>
          <w:kern w:val="0"/>
          <w:sz w:val="24"/>
          <w:szCs w:val="24"/>
          <w:lang w:val="en-US" w:eastAsia="zh-CN" w:bidi="ar"/>
        </w:rPr>
        <w:t>月</w:t>
      </w:r>
      <w:r>
        <w:rPr>
          <w:rFonts w:hint="eastAsia" w:ascii="宋体" w:hAnsi="宋体" w:eastAsia="宋体" w:cs="宋体"/>
          <w:b/>
          <w:bCs/>
          <w:snapToGrid w:val="0"/>
          <w:color w:val="000000"/>
          <w:spacing w:val="-8"/>
          <w:kern w:val="0"/>
          <w:sz w:val="24"/>
          <w:szCs w:val="24"/>
          <w:u w:val="single"/>
          <w:lang w:val="en-US" w:eastAsia="zh-CN" w:bidi="ar"/>
        </w:rPr>
        <w:t xml:space="preserve">    </w:t>
      </w:r>
      <w:r>
        <w:rPr>
          <w:rFonts w:hint="eastAsia" w:ascii="宋体" w:hAnsi="宋体" w:eastAsia="宋体" w:cs="宋体"/>
          <w:b/>
          <w:bCs/>
          <w:snapToGrid w:val="0"/>
          <w:color w:val="000000"/>
          <w:spacing w:val="-8"/>
          <w:kern w:val="0"/>
          <w:sz w:val="24"/>
          <w:szCs w:val="24"/>
          <w:lang w:val="en-US" w:eastAsia="zh-CN" w:bidi="ar"/>
        </w:rPr>
        <w:t>日</w:t>
      </w:r>
    </w:p>
    <w:p w14:paraId="6A71DEF9">
      <w:pPr>
        <w:pStyle w:val="2"/>
        <w:numPr>
          <w:ilvl w:val="0"/>
          <w:numId w:val="0"/>
        </w:numPr>
        <w:kinsoku w:val="0"/>
        <w:autoSpaceDE w:val="0"/>
        <w:autoSpaceDN w:val="0"/>
        <w:adjustRightInd w:val="0"/>
        <w:snapToGrid w:val="0"/>
        <w:spacing w:after="120" w:line="240" w:lineRule="auto"/>
        <w:jc w:val="left"/>
        <w:textAlignment w:val="baseline"/>
        <w:rPr>
          <w:rFonts w:hint="default"/>
          <w:lang w:val="en-US"/>
        </w:rPr>
        <w:sectPr>
          <w:headerReference r:id="rId10" w:type="default"/>
          <w:footerReference r:id="rId11" w:type="default"/>
          <w:pgSz w:w="11907" w:h="16840"/>
          <w:pgMar w:top="1440" w:right="1800" w:bottom="1440" w:left="1800" w:header="851" w:footer="992" w:gutter="0"/>
          <w:pgNumType w:fmt="decimal"/>
          <w:cols w:space="720" w:num="1"/>
          <w:docGrid w:linePitch="332" w:charSpace="0"/>
        </w:sectPr>
      </w:pPr>
    </w:p>
    <w:p w14:paraId="60F6FFF7">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14:paraId="6C4A92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14:paraId="78C55F7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诚信承诺书</w:t>
      </w:r>
    </w:p>
    <w:p w14:paraId="2D404AFC">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5CCBA8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39644B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4E794D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7D855D4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B0C4647">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448D89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14:paraId="05E1964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14:paraId="15B649C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14:paraId="1D2085F1">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6E5692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57C4A7F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33520F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BA0E8B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1969A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0F0378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8FE68B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29577B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A088C4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59CA14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EA71F7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七、环境卫生管理方案、水电维修方案、绿化养护方案及措施、会务服务方案及措施、人员配备、拟投入的设备、管理制度、应急预案等</w:t>
      </w:r>
    </w:p>
    <w:p w14:paraId="2BBDA07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八、业绩、体系认证证书、</w:t>
      </w:r>
      <w:r>
        <w:rPr>
          <w:rFonts w:hint="eastAsia" w:asciiTheme="minorEastAsia" w:hAnsiTheme="minorEastAsia" w:eastAsiaTheme="minorEastAsia" w:cstheme="minorEastAsia"/>
          <w:b/>
          <w:bCs/>
          <w:snapToGrid w:val="0"/>
          <w:color w:val="auto"/>
          <w:spacing w:val="-3"/>
          <w:kern w:val="0"/>
          <w:sz w:val="24"/>
          <w:szCs w:val="24"/>
          <w:lang w:val="en-US" w:eastAsia="zh-CN" w:bidi="ar-SA"/>
        </w:rPr>
        <w:t>信用等级证书</w:t>
      </w:r>
    </w:p>
    <w:p w14:paraId="276BC15E">
      <w:pPr>
        <w:pStyle w:val="2"/>
        <w:ind w:left="0" w:leftChars="0" w:firstLine="0" w:firstLineChars="0"/>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九、技术人员相关证书</w:t>
      </w:r>
    </w:p>
    <w:p w14:paraId="0DBE0991">
      <w:pPr>
        <w:pStyle w:val="2"/>
        <w:ind w:left="0" w:leftChars="0" w:firstLine="0" w:firstLineChars="0"/>
        <w:rPr>
          <w:rFonts w:hint="default"/>
          <w:lang w:val="en-US" w:eastAsia="zh-CN"/>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十、服务承诺及其他承诺</w:t>
      </w:r>
    </w:p>
    <w:p w14:paraId="3B4E21AA">
      <w:pPr>
        <w:pStyle w:val="2"/>
        <w:numPr>
          <w:ilvl w:val="0"/>
          <w:numId w:val="0"/>
        </w:numPr>
        <w:ind w:leftChars="0"/>
        <w:rPr>
          <w:rFonts w:hint="default"/>
          <w:lang w:val="en-US" w:eastAsia="zh-CN"/>
        </w:rPr>
      </w:pPr>
    </w:p>
    <w:p w14:paraId="42B2152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EECF41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69F322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BA8BA1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1836A6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3DA21C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033F23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8F1796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6D3965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9273BB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C2278E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F1ECCB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16F263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3EBBEF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37466C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145C71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162C97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93B13C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1E8888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70C97F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B9AF33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F46940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5164FE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A6E657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十一、供应商认为需要的其他文件资料</w:t>
      </w:r>
    </w:p>
    <w:p w14:paraId="5FEAB04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1F40B5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645AC2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743D6C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16630B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0F6AA52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59B59A2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39434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01185FA7">
      <w:pPr>
        <w:pStyle w:val="7"/>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75F829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31D9CC9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7C31DB7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698D08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6536F0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1C238BBD">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3F7083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5487039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45EE644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E3916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BED168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DF890E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14:paraId="5742DFE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6085C1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35BCD4C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0F35E6C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31593E4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57D64A0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640777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EF2D7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6343BEAD">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A4418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14:paraId="408F3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5220625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07C257E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CF4248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4063EF9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F32C1C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FEF686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DC5B93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2B813B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1AF55F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5DEC9F0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C11522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3DB2A307">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3B248661">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5894D4D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E69D81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1F37821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7F6041D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35843DB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75A112C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198AC3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44A64D1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3ABD85E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4EE6866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0EC68D2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p>
    <w:sectPr>
      <w:headerReference r:id="rId12" w:type="default"/>
      <w:footerReference r:id="rId13"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241D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CB1F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A4CB1F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DFE82">
                          <w:pPr>
                            <w:pStyle w:val="1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59264;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37DDFE82">
                    <w:pPr>
                      <w:pStyle w:val="10"/>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985D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8571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F18571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7A1E">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663CC">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DB663CC">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04C5F">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5AE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EE5AE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97F42">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46FC">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D4C0">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7585">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2CFED">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BC07C"/>
    <w:multiLevelType w:val="singleLevel"/>
    <w:tmpl w:val="BE9BC07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000000"/>
    <w:rsid w:val="008953F8"/>
    <w:rsid w:val="019F636B"/>
    <w:rsid w:val="02980B47"/>
    <w:rsid w:val="0304627B"/>
    <w:rsid w:val="03F005BF"/>
    <w:rsid w:val="049308F0"/>
    <w:rsid w:val="05C82C12"/>
    <w:rsid w:val="064B2778"/>
    <w:rsid w:val="06731CDB"/>
    <w:rsid w:val="06BD7DF4"/>
    <w:rsid w:val="084F1CF6"/>
    <w:rsid w:val="08743EB7"/>
    <w:rsid w:val="08896F10"/>
    <w:rsid w:val="08DF64FD"/>
    <w:rsid w:val="095962AF"/>
    <w:rsid w:val="09A84B40"/>
    <w:rsid w:val="09A960A9"/>
    <w:rsid w:val="0A2175C7"/>
    <w:rsid w:val="0A4E3858"/>
    <w:rsid w:val="0A530F50"/>
    <w:rsid w:val="0A7D7363"/>
    <w:rsid w:val="0ADC6029"/>
    <w:rsid w:val="0B3F3282"/>
    <w:rsid w:val="0BA47589"/>
    <w:rsid w:val="0C152235"/>
    <w:rsid w:val="0C272EF4"/>
    <w:rsid w:val="0C450913"/>
    <w:rsid w:val="0CF167FE"/>
    <w:rsid w:val="0E3E7CBD"/>
    <w:rsid w:val="0EB9334C"/>
    <w:rsid w:val="0EE83C0B"/>
    <w:rsid w:val="0F130CAE"/>
    <w:rsid w:val="0FF95996"/>
    <w:rsid w:val="0FFF7484"/>
    <w:rsid w:val="108160EB"/>
    <w:rsid w:val="10832DEB"/>
    <w:rsid w:val="11E54B27"/>
    <w:rsid w:val="11F10D0E"/>
    <w:rsid w:val="120B59A8"/>
    <w:rsid w:val="13504EE3"/>
    <w:rsid w:val="13D318D3"/>
    <w:rsid w:val="14143437"/>
    <w:rsid w:val="14184102"/>
    <w:rsid w:val="146A4EE4"/>
    <w:rsid w:val="147A2410"/>
    <w:rsid w:val="14B05372"/>
    <w:rsid w:val="156F62EF"/>
    <w:rsid w:val="15C27640"/>
    <w:rsid w:val="16655340"/>
    <w:rsid w:val="16882EF5"/>
    <w:rsid w:val="16FD3ABE"/>
    <w:rsid w:val="172F0E42"/>
    <w:rsid w:val="17E0335D"/>
    <w:rsid w:val="18277578"/>
    <w:rsid w:val="196A0814"/>
    <w:rsid w:val="19B27315"/>
    <w:rsid w:val="1AEC6857"/>
    <w:rsid w:val="1BFF6021"/>
    <w:rsid w:val="1C587110"/>
    <w:rsid w:val="1CC05665"/>
    <w:rsid w:val="1D7F2147"/>
    <w:rsid w:val="1D996CC8"/>
    <w:rsid w:val="1DA01659"/>
    <w:rsid w:val="1E6454A8"/>
    <w:rsid w:val="1FB84222"/>
    <w:rsid w:val="1FCD677B"/>
    <w:rsid w:val="1FCF1E87"/>
    <w:rsid w:val="20631369"/>
    <w:rsid w:val="208E4164"/>
    <w:rsid w:val="21A07893"/>
    <w:rsid w:val="21A97250"/>
    <w:rsid w:val="23554AEF"/>
    <w:rsid w:val="23645F64"/>
    <w:rsid w:val="23F5677C"/>
    <w:rsid w:val="23FB5E39"/>
    <w:rsid w:val="244A2A1D"/>
    <w:rsid w:val="2564491D"/>
    <w:rsid w:val="25B83A87"/>
    <w:rsid w:val="266463E7"/>
    <w:rsid w:val="26E9311B"/>
    <w:rsid w:val="27DB3EDB"/>
    <w:rsid w:val="28032F0B"/>
    <w:rsid w:val="2A3D0E7D"/>
    <w:rsid w:val="2A924A38"/>
    <w:rsid w:val="2AE32E31"/>
    <w:rsid w:val="2CD208B5"/>
    <w:rsid w:val="2D0637A8"/>
    <w:rsid w:val="2E6C7ED8"/>
    <w:rsid w:val="2EA57FA1"/>
    <w:rsid w:val="2EF243BC"/>
    <w:rsid w:val="2F884949"/>
    <w:rsid w:val="2FBE036A"/>
    <w:rsid w:val="309C0FB0"/>
    <w:rsid w:val="30EF0857"/>
    <w:rsid w:val="30FF5990"/>
    <w:rsid w:val="3140197F"/>
    <w:rsid w:val="31E05F1C"/>
    <w:rsid w:val="320C16C0"/>
    <w:rsid w:val="32672625"/>
    <w:rsid w:val="32831B16"/>
    <w:rsid w:val="32E93950"/>
    <w:rsid w:val="32F6583E"/>
    <w:rsid w:val="333A48FA"/>
    <w:rsid w:val="3341378C"/>
    <w:rsid w:val="334A1323"/>
    <w:rsid w:val="33D92F7A"/>
    <w:rsid w:val="341669C7"/>
    <w:rsid w:val="34251C2F"/>
    <w:rsid w:val="348E47AF"/>
    <w:rsid w:val="34B2130C"/>
    <w:rsid w:val="34BD6E42"/>
    <w:rsid w:val="350E12EA"/>
    <w:rsid w:val="354173ED"/>
    <w:rsid w:val="355552CD"/>
    <w:rsid w:val="35992C99"/>
    <w:rsid w:val="360F3354"/>
    <w:rsid w:val="371774CF"/>
    <w:rsid w:val="373D426B"/>
    <w:rsid w:val="37BD0585"/>
    <w:rsid w:val="37CA6352"/>
    <w:rsid w:val="38533A18"/>
    <w:rsid w:val="38BB7B3D"/>
    <w:rsid w:val="396226AE"/>
    <w:rsid w:val="3AB900AC"/>
    <w:rsid w:val="3B223EA3"/>
    <w:rsid w:val="3BAF7174"/>
    <w:rsid w:val="3CA32DC2"/>
    <w:rsid w:val="3D660BE0"/>
    <w:rsid w:val="3DA9164D"/>
    <w:rsid w:val="3EB41E07"/>
    <w:rsid w:val="3F29681A"/>
    <w:rsid w:val="3F4A51F0"/>
    <w:rsid w:val="3FD339BE"/>
    <w:rsid w:val="413C5593"/>
    <w:rsid w:val="41F66AB4"/>
    <w:rsid w:val="43670FED"/>
    <w:rsid w:val="43D372D6"/>
    <w:rsid w:val="44B74AB0"/>
    <w:rsid w:val="44C27AD5"/>
    <w:rsid w:val="45300AE7"/>
    <w:rsid w:val="453E72E0"/>
    <w:rsid w:val="4594599D"/>
    <w:rsid w:val="463F4C16"/>
    <w:rsid w:val="46832AB5"/>
    <w:rsid w:val="46942B8F"/>
    <w:rsid w:val="487675DC"/>
    <w:rsid w:val="498A3D49"/>
    <w:rsid w:val="4A471230"/>
    <w:rsid w:val="4B0E7FA0"/>
    <w:rsid w:val="4BBB7B8C"/>
    <w:rsid w:val="4CB97E79"/>
    <w:rsid w:val="4CBA2C7D"/>
    <w:rsid w:val="4CDB2104"/>
    <w:rsid w:val="4E355844"/>
    <w:rsid w:val="4E5C03B2"/>
    <w:rsid w:val="4F652159"/>
    <w:rsid w:val="4F982C1D"/>
    <w:rsid w:val="4FA36E2B"/>
    <w:rsid w:val="50A51A05"/>
    <w:rsid w:val="50CD1D3A"/>
    <w:rsid w:val="50DF62FA"/>
    <w:rsid w:val="514A7858"/>
    <w:rsid w:val="523A6D37"/>
    <w:rsid w:val="52952D55"/>
    <w:rsid w:val="529C40E3"/>
    <w:rsid w:val="538452A3"/>
    <w:rsid w:val="53A25729"/>
    <w:rsid w:val="53BA6487"/>
    <w:rsid w:val="554A067A"/>
    <w:rsid w:val="562B2D19"/>
    <w:rsid w:val="566F2249"/>
    <w:rsid w:val="571C70F4"/>
    <w:rsid w:val="578C1E3F"/>
    <w:rsid w:val="58122B18"/>
    <w:rsid w:val="582157B7"/>
    <w:rsid w:val="583737A8"/>
    <w:rsid w:val="59791FCF"/>
    <w:rsid w:val="59C70462"/>
    <w:rsid w:val="5B942EAB"/>
    <w:rsid w:val="5BFB1656"/>
    <w:rsid w:val="5C2A2760"/>
    <w:rsid w:val="5C71213D"/>
    <w:rsid w:val="5C805C3A"/>
    <w:rsid w:val="5CED210B"/>
    <w:rsid w:val="5DD33159"/>
    <w:rsid w:val="5E401EE1"/>
    <w:rsid w:val="5E862024"/>
    <w:rsid w:val="5FE54AEF"/>
    <w:rsid w:val="5FE62E42"/>
    <w:rsid w:val="604F0C94"/>
    <w:rsid w:val="60811390"/>
    <w:rsid w:val="60E905BC"/>
    <w:rsid w:val="611C486A"/>
    <w:rsid w:val="612C3317"/>
    <w:rsid w:val="613320B7"/>
    <w:rsid w:val="62F31AFE"/>
    <w:rsid w:val="63D336DD"/>
    <w:rsid w:val="64B4350F"/>
    <w:rsid w:val="64C17C5F"/>
    <w:rsid w:val="64CC2606"/>
    <w:rsid w:val="64E32222"/>
    <w:rsid w:val="660C0310"/>
    <w:rsid w:val="674A54CB"/>
    <w:rsid w:val="67E96DB3"/>
    <w:rsid w:val="68324E76"/>
    <w:rsid w:val="68740EAF"/>
    <w:rsid w:val="691A37DC"/>
    <w:rsid w:val="695F7E2D"/>
    <w:rsid w:val="6A443604"/>
    <w:rsid w:val="6ACC2E0B"/>
    <w:rsid w:val="6B0C5747"/>
    <w:rsid w:val="6B6B37C9"/>
    <w:rsid w:val="6B9F656F"/>
    <w:rsid w:val="6DAF0580"/>
    <w:rsid w:val="6DD02520"/>
    <w:rsid w:val="6DE17F47"/>
    <w:rsid w:val="6E1128F7"/>
    <w:rsid w:val="6E6B7F83"/>
    <w:rsid w:val="6EA77C40"/>
    <w:rsid w:val="6EE2110B"/>
    <w:rsid w:val="6F3D21B4"/>
    <w:rsid w:val="70411D13"/>
    <w:rsid w:val="70710506"/>
    <w:rsid w:val="70A41317"/>
    <w:rsid w:val="70FE2352"/>
    <w:rsid w:val="718B602C"/>
    <w:rsid w:val="7222612A"/>
    <w:rsid w:val="727D45B0"/>
    <w:rsid w:val="727F5D14"/>
    <w:rsid w:val="728C1627"/>
    <w:rsid w:val="72D8486C"/>
    <w:rsid w:val="73CA0659"/>
    <w:rsid w:val="74123DAE"/>
    <w:rsid w:val="74143D3D"/>
    <w:rsid w:val="74844CAB"/>
    <w:rsid w:val="754B7577"/>
    <w:rsid w:val="7571756C"/>
    <w:rsid w:val="75EA0EAB"/>
    <w:rsid w:val="76102BC1"/>
    <w:rsid w:val="768D73E4"/>
    <w:rsid w:val="770F0408"/>
    <w:rsid w:val="778B45A3"/>
    <w:rsid w:val="77AC443F"/>
    <w:rsid w:val="786749F3"/>
    <w:rsid w:val="78F607B2"/>
    <w:rsid w:val="79A15AC2"/>
    <w:rsid w:val="7B1B79EC"/>
    <w:rsid w:val="7BC65611"/>
    <w:rsid w:val="7C2C76E7"/>
    <w:rsid w:val="7D8E0EE2"/>
    <w:rsid w:val="7DAB214F"/>
    <w:rsid w:val="7DC51E91"/>
    <w:rsid w:val="7EE2719E"/>
    <w:rsid w:val="7F6814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3">
    <w:name w:val="Body Text Indent"/>
    <w:basedOn w:val="1"/>
    <w:next w:val="4"/>
    <w:autoRedefine/>
    <w:qFormat/>
    <w:uiPriority w:val="0"/>
    <w:pPr>
      <w:tabs>
        <w:tab w:val="left" w:pos="0"/>
      </w:tabs>
      <w:ind w:firstLine="538" w:firstLineChars="192"/>
    </w:pPr>
    <w:rPr>
      <w:rFonts w:ascii="Tahoma" w:hAnsi="Tahoma"/>
      <w:kern w:val="2"/>
      <w:sz w:val="28"/>
      <w:szCs w:val="24"/>
    </w:rPr>
  </w:style>
  <w:style w:type="paragraph" w:customStyle="1" w:styleId="4">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6">
    <w:name w:val="annotation text"/>
    <w:basedOn w:val="1"/>
    <w:autoRedefine/>
    <w:qFormat/>
    <w:uiPriority w:val="0"/>
    <w:pPr>
      <w:jc w:val="left"/>
    </w:pPr>
  </w:style>
  <w:style w:type="paragraph" w:styleId="7">
    <w:name w:val="Body Text"/>
    <w:basedOn w:val="1"/>
    <w:next w:val="8"/>
    <w:autoRedefine/>
    <w:qFormat/>
    <w:uiPriority w:val="0"/>
    <w:rPr>
      <w:rFonts w:ascii="宋体" w:hAnsi="宋体" w:eastAsia="宋体" w:cs="宋体"/>
      <w:sz w:val="31"/>
      <w:szCs w:val="31"/>
      <w:lang w:val="en-US" w:eastAsia="en-US" w:bidi="ar-SA"/>
    </w:rPr>
  </w:style>
  <w:style w:type="paragraph" w:styleId="8">
    <w:name w:val="Body Text 2"/>
    <w:basedOn w:val="1"/>
    <w:semiHidden/>
    <w:qFormat/>
    <w:uiPriority w:val="99"/>
    <w:pPr>
      <w:spacing w:after="120" w:line="480" w:lineRule="auto"/>
    </w:pPr>
  </w:style>
  <w:style w:type="paragraph" w:styleId="9">
    <w:name w:val="Plain Text"/>
    <w:basedOn w:val="1"/>
    <w:qFormat/>
    <w:uiPriority w:val="0"/>
    <w:rPr>
      <w:rFonts w:ascii="宋体" w:hAnsi="Courier New" w:cs="Courier New"/>
      <w:szCs w:val="21"/>
    </w:rPr>
  </w:style>
  <w:style w:type="paragraph" w:styleId="10">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Arial" w:hAnsi="Arial" w:eastAsia="Arial" w:cs="Arial"/>
      <w:sz w:val="21"/>
      <w:szCs w:val="21"/>
      <w:lang w:val="en-US" w:eastAsia="en-US" w:bidi="ar-SA"/>
    </w:rPr>
  </w:style>
  <w:style w:type="paragraph" w:customStyle="1" w:styleId="20">
    <w:name w:val="列出段落1"/>
    <w:basedOn w:val="1"/>
    <w:autoRedefine/>
    <w:qFormat/>
    <w:uiPriority w:val="0"/>
    <w:pPr>
      <w:ind w:firstLine="420" w:firstLineChars="200"/>
    </w:pPr>
    <w:rPr>
      <w:szCs w:val="21"/>
    </w:rPr>
  </w:style>
  <w:style w:type="paragraph" w:customStyle="1" w:styleId="21">
    <w:name w:val="首行缩进"/>
    <w:basedOn w:val="1"/>
    <w:qFormat/>
    <w:uiPriority w:val="0"/>
    <w:pPr>
      <w:ind w:firstLine="480"/>
    </w:pPr>
    <w:rPr>
      <w:szCs w:val="20"/>
    </w:rPr>
  </w:style>
  <w:style w:type="paragraph" w:customStyle="1" w:styleId="22">
    <w:name w:val="正"/>
    <w:basedOn w:val="13"/>
    <w:qFormat/>
    <w:uiPriority w:val="0"/>
    <w:pPr>
      <w:widowControl w:val="0"/>
      <w:spacing w:before="0" w:beforeAutospacing="0" w:after="0" w:afterAutospacing="0" w:line="300" w:lineRule="auto"/>
      <w:ind w:firstLine="200" w:firstLineChars="200"/>
    </w:pPr>
    <w:rPr>
      <w:bCs/>
    </w:rPr>
  </w:style>
  <w:style w:type="paragraph" w:customStyle="1" w:styleId="23">
    <w:name w:val="unnamed1"/>
    <w:basedOn w:val="1"/>
    <w:qFormat/>
    <w:uiPriority w:val="0"/>
    <w:pPr>
      <w:widowControl/>
      <w:spacing w:before="100" w:beforeAutospacing="1" w:after="100" w:afterAutospacing="1" w:line="360" w:lineRule="auto"/>
      <w:jc w:val="left"/>
    </w:pPr>
    <w:rPr>
      <w:rFonts w:ascii="宋体" w:hAnsi="宋体" w:cs="宋体"/>
      <w:color w:val="008888"/>
      <w:kern w:val="0"/>
      <w:szCs w:val="21"/>
    </w:rPr>
  </w:style>
  <w:style w:type="paragraph" w:customStyle="1" w:styleId="24">
    <w:name w:val="footer"/>
    <w:basedOn w:val="1"/>
    <w:qFormat/>
    <w:uiPriority w:val="0"/>
    <w:pPr>
      <w:tabs>
        <w:tab w:val="center" w:pos="4153"/>
        <w:tab w:val="right" w:pos="8306"/>
      </w:tabs>
      <w:snapToGrid w:val="0"/>
      <w:jc w:val="left"/>
    </w:pPr>
    <w:rPr>
      <w:rFonts w:ascii="Calibri" w:hAnsi="Calibri"/>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14091</Words>
  <Characters>14861</Characters>
  <Lines>1</Lines>
  <Paragraphs>1</Paragraphs>
  <TotalTime>36</TotalTime>
  <ScaleCrop>false</ScaleCrop>
  <LinksUpToDate>false</LinksUpToDate>
  <CharactersWithSpaces>15098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JJoey</cp:lastModifiedBy>
  <dcterms:modified xsi:type="dcterms:W3CDTF">2025-09-02T08:44:58Z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48BBC1E7A1E0434CB43367FCE79953F5_13</vt:lpwstr>
  </property>
  <property fmtid="{D5CDD505-2E9C-101B-9397-08002B2CF9AE}" pid="6" name="KSOTemplateDocerSaveRecord">
    <vt:lpwstr>eyJoZGlkIjoiYTUyM2UwYjBmYzc3YmM3ZjI1ODg2NTk3ZGJhZGNiNGIiLCJ1c2VySWQiOiI0MTY3MTE2MDgifQ==</vt:lpwstr>
  </property>
</Properties>
</file>