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highlight w:val="none"/>
        </w:rPr>
      </w:pPr>
      <w:r>
        <w:rPr>
          <w:rFonts w:hint="eastAsia" w:ascii="宋体" w:hAnsi="宋体" w:cs="宋体"/>
          <w:b/>
          <w:bCs/>
          <w:sz w:val="28"/>
          <w:szCs w:val="28"/>
          <w:highlight w:val="none"/>
        </w:rPr>
        <w:t>包1采购清单及技术参数要求</w:t>
      </w:r>
    </w:p>
    <w:p>
      <w:pPr>
        <w:rPr>
          <w:rFonts w:hint="default" w:eastAsia="宋体"/>
          <w:b/>
          <w:color w:val="auto"/>
          <w:sz w:val="28"/>
          <w:szCs w:val="28"/>
          <w:highlight w:val="none"/>
          <w:u w:val="single"/>
          <w:lang w:val="en-US" w:eastAsia="zh-CN"/>
        </w:rPr>
      </w:pPr>
      <w:r>
        <w:rPr>
          <w:rFonts w:hint="eastAsia"/>
          <w:b/>
          <w:color w:val="auto"/>
          <w:sz w:val="28"/>
          <w:szCs w:val="28"/>
          <w:highlight w:val="none"/>
        </w:rPr>
        <w:t>包1核心产品为：</w:t>
      </w:r>
      <w:r>
        <w:rPr>
          <w:rFonts w:hint="eastAsia"/>
          <w:b/>
          <w:color w:val="auto"/>
          <w:sz w:val="28"/>
          <w:szCs w:val="28"/>
          <w:highlight w:val="none"/>
          <w:u w:val="single"/>
          <w:lang w:val="en-US" w:eastAsia="zh-CN"/>
        </w:rPr>
        <w:t xml:space="preserve"> 便携式彩超多普勒诊断仪-全身型机器 </w:t>
      </w:r>
    </w:p>
    <w:tbl>
      <w:tblPr>
        <w:tblStyle w:val="4"/>
        <w:tblW w:w="9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4895"/>
        <w:gridCol w:w="121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905" w:type="dxa"/>
            <w:vAlign w:val="center"/>
          </w:tcPr>
          <w:p>
            <w:pPr>
              <w:spacing w:line="380" w:lineRule="exact"/>
              <w:jc w:val="center"/>
              <w:rPr>
                <w:rFonts w:ascii="宋体" w:hAnsi="宋体" w:cs="宋体"/>
                <w:szCs w:val="21"/>
                <w:highlight w:val="none"/>
              </w:rPr>
            </w:pPr>
            <w:r>
              <w:rPr>
                <w:rFonts w:hint="eastAsia" w:ascii="宋体" w:hAnsi="宋体" w:cs="宋体"/>
                <w:szCs w:val="21"/>
                <w:highlight w:val="none"/>
              </w:rPr>
              <w:t>包号</w:t>
            </w:r>
          </w:p>
        </w:tc>
        <w:tc>
          <w:tcPr>
            <w:tcW w:w="4895"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设备名称</w:t>
            </w:r>
          </w:p>
        </w:tc>
        <w:tc>
          <w:tcPr>
            <w:tcW w:w="1210"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2109" w:type="dxa"/>
            <w:vAlign w:val="center"/>
          </w:tcPr>
          <w:p>
            <w:pPr>
              <w:spacing w:line="380" w:lineRule="exact"/>
              <w:jc w:val="center"/>
              <w:rPr>
                <w:rFonts w:hint="eastAsia" w:ascii="宋体" w:hAnsi="宋体" w:cs="宋体"/>
                <w:szCs w:val="21"/>
                <w:highlight w:val="none"/>
              </w:rPr>
            </w:pPr>
            <w:r>
              <w:rPr>
                <w:rFonts w:hint="eastAsia" w:ascii="宋体" w:hAnsi="宋体" w:cs="宋体"/>
                <w:szCs w:val="21"/>
                <w:highlight w:val="none"/>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jc w:val="center"/>
        </w:trPr>
        <w:tc>
          <w:tcPr>
            <w:tcW w:w="9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包1</w:t>
            </w:r>
          </w:p>
        </w:tc>
        <w:tc>
          <w:tcPr>
            <w:tcW w:w="4895"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lang w:bidi="ar"/>
              </w:rPr>
              <w:t>便携式彩超多普勒诊断仪</w:t>
            </w:r>
            <w:r>
              <w:rPr>
                <w:rFonts w:hint="eastAsia" w:ascii="宋体" w:hAnsi="宋体" w:cs="宋体"/>
                <w:color w:val="auto"/>
                <w:kern w:val="0"/>
                <w:szCs w:val="21"/>
                <w:lang w:val="en-US" w:eastAsia="zh-CN" w:bidi="ar"/>
              </w:rPr>
              <w:t>-全身型机器</w:t>
            </w:r>
          </w:p>
        </w:tc>
        <w:tc>
          <w:tcPr>
            <w:tcW w:w="1210" w:type="dxa"/>
            <w:vAlign w:val="center"/>
          </w:tcPr>
          <w:p>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lang w:bidi="ar"/>
              </w:rPr>
              <w:t>8台</w:t>
            </w:r>
          </w:p>
        </w:tc>
        <w:tc>
          <w:tcPr>
            <w:tcW w:w="210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是</w:t>
            </w:r>
          </w:p>
        </w:tc>
      </w:tr>
    </w:tbl>
    <w:p>
      <w:pPr>
        <w:bidi w:val="0"/>
        <w:spacing w:line="360" w:lineRule="auto"/>
        <w:jc w:val="center"/>
        <w:rPr>
          <w:rFonts w:hint="eastAsia" w:ascii="宋体" w:hAnsi="宋体" w:eastAsia="宋体" w:cs="宋体"/>
          <w:b/>
          <w:bCs/>
          <w:color w:val="000000"/>
          <w:sz w:val="24"/>
          <w:szCs w:val="24"/>
          <w:lang w:val="en-US" w:eastAsia="zh-CN"/>
        </w:rPr>
      </w:pPr>
      <w:r>
        <w:rPr>
          <w:rFonts w:hint="eastAsia" w:ascii="宋体" w:hAnsi="宋体" w:cs="宋体"/>
          <w:b/>
          <w:color w:val="000000"/>
          <w:kern w:val="0"/>
          <w:sz w:val="32"/>
          <w:szCs w:val="32"/>
        </w:rPr>
        <w:t>便携式彩超多普勒诊断仪参数</w:t>
      </w:r>
    </w:p>
    <w:tbl>
      <w:tblPr>
        <w:tblStyle w:val="4"/>
        <w:tblW w:w="9195" w:type="dxa"/>
        <w:tblInd w:w="93" w:type="dxa"/>
        <w:tblLayout w:type="fixed"/>
        <w:tblCellMar>
          <w:top w:w="0" w:type="dxa"/>
          <w:left w:w="108" w:type="dxa"/>
          <w:bottom w:w="0" w:type="dxa"/>
          <w:right w:w="108" w:type="dxa"/>
        </w:tblCellMar>
      </w:tblPr>
      <w:tblGrid>
        <w:gridCol w:w="1028"/>
        <w:gridCol w:w="1240"/>
        <w:gridCol w:w="120"/>
        <w:gridCol w:w="2710"/>
        <w:gridCol w:w="2732"/>
        <w:gridCol w:w="589"/>
        <w:gridCol w:w="776"/>
      </w:tblGrid>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680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技术参数和性能要求</w:t>
            </w:r>
          </w:p>
        </w:tc>
      </w:tr>
      <w:tr>
        <w:tblPrEx>
          <w:tblLayout w:type="fixed"/>
          <w:tblCellMar>
            <w:top w:w="0" w:type="dxa"/>
            <w:left w:w="108" w:type="dxa"/>
            <w:bottom w:w="0" w:type="dxa"/>
            <w:right w:w="108" w:type="dxa"/>
          </w:tblCellMar>
        </w:tblPrEx>
        <w:trPr>
          <w:trHeight w:val="444"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 </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设备名称及数量</w:t>
            </w:r>
          </w:p>
        </w:tc>
        <w:tc>
          <w:tcPr>
            <w:tcW w:w="680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便携式彩超多普勒诊断仪</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1.1 </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设备用途</w:t>
            </w:r>
          </w:p>
        </w:tc>
        <w:tc>
          <w:tcPr>
            <w:tcW w:w="680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满足腹部、 心脏、浅表、血管、神经肌骨、妇产等全身应用需求，全面拓展麻醉、TEE、 ICU/CCU、介入、术中（人体内）、 急诊等新兴临床领域</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 </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配置清单</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品名</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2.1 </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配置1</w:t>
            </w: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便携式彩色多普勒超声波诊断仪主机</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2.2 </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配置2</w:t>
            </w: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凸阵探头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2.3</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配置3</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成人心脏探头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2.4</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配置4</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线阵探头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2.5</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配置5</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腔内凸阵经阴道探头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2.6</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配置6</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小微凸探头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2.7</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配置7</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小儿心脏探头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2.8</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配置8</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tabs>
                <w:tab w:val="left" w:pos="426"/>
              </w:tabs>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术中腹腔镜探头</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把</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2.9</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配置9</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台车</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2.10</w:t>
            </w:r>
          </w:p>
        </w:tc>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配置10</w:t>
            </w:r>
          </w:p>
        </w:tc>
        <w:tc>
          <w:tcPr>
            <w:tcW w:w="2710" w:type="dxa"/>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专用旅行箱</w:t>
            </w:r>
          </w:p>
        </w:tc>
        <w:tc>
          <w:tcPr>
            <w:tcW w:w="27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r>
      <w:tr>
        <w:tblPrEx>
          <w:tblLayout w:type="fixed"/>
          <w:tblCellMar>
            <w:top w:w="0" w:type="dxa"/>
            <w:left w:w="108" w:type="dxa"/>
            <w:bottom w:w="0" w:type="dxa"/>
            <w:right w:w="108" w:type="dxa"/>
          </w:tblCellMar>
        </w:tblPrEx>
        <w:trPr>
          <w:trHeight w:val="42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3 </w:t>
            </w:r>
          </w:p>
        </w:tc>
        <w:tc>
          <w:tcPr>
            <w:tcW w:w="8167"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主要参数与性能要求</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left"/>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主机系统</w:t>
            </w:r>
          </w:p>
        </w:tc>
        <w:tc>
          <w:tcPr>
            <w:tcW w:w="776" w:type="dxa"/>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≥15.6寸高清晰、医用专业彩色显示屏，分辨率不低于</w:t>
            </w:r>
            <w:r>
              <w:rPr>
                <w:rFonts w:hint="eastAsia" w:ascii="宋体" w:hAnsi="宋体" w:eastAsia="宋体" w:cs="宋体"/>
                <w:color w:val="000000"/>
                <w:kern w:val="0"/>
                <w:sz w:val="18"/>
                <w:szCs w:val="18"/>
              </w:rPr>
              <w:t>1280x1024，</w:t>
            </w:r>
            <w:r>
              <w:rPr>
                <w:rFonts w:hint="eastAsia" w:ascii="宋体" w:hAnsi="宋体" w:eastAsia="宋体" w:cs="宋体"/>
                <w:color w:val="000000"/>
                <w:sz w:val="18"/>
                <w:szCs w:val="18"/>
              </w:rPr>
              <w:t>根据环境光变化自动调节亮度</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探头接口1个，至少可扩展到3个</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整机重量≤</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kg（含电池）</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支持用户自定义按键数量≥4个，同一个自定义键支持≥4个功能</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支持英语，中文，法语等语种（包括键盘输入、注释、操作面板等）</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主机自带QWERTY物理英文全键盘，支持多语言输入，支持用户自定义按键数量≥4个</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二维灰阶模式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组织谐波成像模式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组织特异性成像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多角度空间复合成像技术，支持≥7条偏转线，多级可调，支持线阵和凸阵探头</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频率复合成像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斑点噪声抑制成像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357"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3.2.6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回波增强技术</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M型成像模式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3.3.1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彩色M型</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3.3.2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解剖M型，取样线≥2条，可360度任意旋转，支持实时扫描以及离线重构M型图像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632"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彩色多普勒成像（包括彩色、能量、方向能量多普勒模式）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3.4.1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参数19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超宽动态血流技术</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3.4.2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高分辨率血流成像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3.4.3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双实时同屏对比显示</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3.4.4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自动调节取样框的角度及位置</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频谱多普勒成像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3.5.1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脉冲多普勒、高脉冲重复频率</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3.5.2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连续多普勒</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3.5.3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智能多普勒自动优化频谱多普勒取样线角度，以及快速矫正取样角度</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组织多普勒成像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3.6.1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支持TDI、TEI、TVD、TVM四种模式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3.6.2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参数29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曲线解剖M型</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3.7</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造影成像及定量分析单元</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3.7.1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用于腹部、浅表和微血管造影</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3.7.2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左室造影和心肌造影</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3.7.3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支持时间强度分析曲线和运动追踪</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926"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3.8</w:t>
            </w:r>
          </w:p>
        </w:tc>
        <w:tc>
          <w:tcPr>
            <w:tcW w:w="1240" w:type="dxa"/>
            <w:tcBorders>
              <w:top w:val="single" w:color="000000" w:sz="4" w:space="0"/>
              <w:left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*参数34</w:t>
            </w:r>
          </w:p>
        </w:tc>
        <w:tc>
          <w:tcPr>
            <w:tcW w:w="6151" w:type="dxa"/>
            <w:gridSpan w:val="4"/>
            <w:tcBorders>
              <w:top w:val="single" w:color="000000" w:sz="4" w:space="0"/>
              <w:left w:val="single" w:color="000000" w:sz="4" w:space="0"/>
              <w:right w:val="single" w:color="000000" w:sz="4" w:space="0"/>
            </w:tcBorders>
            <w:vAlign w:val="center"/>
          </w:tcPr>
          <w:p>
            <w:pPr>
              <w:pStyle w:val="5"/>
              <w:widowControl/>
              <w:overflowPunct w:val="0"/>
              <w:autoSpaceDE w:val="0"/>
              <w:autoSpaceDN w:val="0"/>
              <w:adjustRightInd w:val="0"/>
              <w:snapToGrid w:val="0"/>
              <w:spacing w:line="276" w:lineRule="auto"/>
              <w:ind w:firstLine="0" w:firstLineChars="0"/>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弹性成像及定量分析单元</w:t>
            </w:r>
          </w:p>
          <w:p>
            <w:pPr>
              <w:pStyle w:val="5"/>
              <w:widowControl/>
              <w:overflowPunct w:val="0"/>
              <w:autoSpaceDE w:val="0"/>
              <w:autoSpaceDN w:val="0"/>
              <w:adjustRightInd w:val="0"/>
              <w:snapToGrid w:val="0"/>
              <w:spacing w:line="276" w:lineRule="auto"/>
              <w:ind w:left="425" w:hanging="425" w:firstLineChars="0"/>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组织硬度定量分析软件和压力曲线提示图标</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支持应变率测量和肿块周边组织弹性定量分析</w:t>
            </w:r>
          </w:p>
        </w:tc>
        <w:tc>
          <w:tcPr>
            <w:tcW w:w="7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3.9</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实时宽景成像：支持凸阵、线阵和相控阵探头，具有扫描速度提示功能方便用户操作，可360度旋转</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一键自动优化（包括应用于二维、彩色、频谱模式、TDI及造影）</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图像放大技术</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3.11.1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一键实现全屏放大</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3.11.2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参数39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10倍局部放大（支持前端、后端放大）</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穿刺针增强技术</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3.12.1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双屏实时对比显示增强前后效果</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3.12.2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增强平面角度可调，步进10°</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超声教学助手，能提供标准超声声像图、解剖示意图、手法图及扫查技巧提示等，并支持以上帮助信息区域的单窗口放大功能。</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测量分析和报告</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常规测量，支持距离、椭圆、描迹测、体积、斜率等</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多普勒测量（自动或手动包络测量，自动计算测量参数）</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1163" w:hRule="atLeast"/>
        </w:trPr>
        <w:tc>
          <w:tcPr>
            <w:tcW w:w="102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参数47</w:t>
            </w:r>
          </w:p>
        </w:tc>
        <w:tc>
          <w:tcPr>
            <w:tcW w:w="6151" w:type="dxa"/>
            <w:gridSpan w:val="4"/>
            <w:tcBorders>
              <w:top w:val="single" w:color="000000" w:sz="4" w:space="0"/>
              <w:left w:val="single" w:color="000000" w:sz="4" w:space="0"/>
              <w:right w:val="single" w:color="000000" w:sz="4" w:space="0"/>
            </w:tcBorders>
            <w:vAlign w:val="center"/>
          </w:tcPr>
          <w:p>
            <w:pPr>
              <w:pStyle w:val="5"/>
              <w:spacing w:line="276" w:lineRule="auto"/>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妇科/产科专用测量及分析</w:t>
            </w:r>
          </w:p>
          <w:p>
            <w:pPr>
              <w:pStyle w:val="5"/>
              <w:widowControl/>
              <w:numPr>
                <w:ilvl w:val="1"/>
                <w:numId w:val="0"/>
              </w:numPr>
              <w:overflowPunct w:val="0"/>
              <w:autoSpaceDE w:val="0"/>
              <w:autoSpaceDN w:val="0"/>
              <w:adjustRightInd w:val="0"/>
              <w:snapToGrid w:val="0"/>
              <w:spacing w:line="276" w:lineRule="auto"/>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含多胎测量、胎儿生理评分、中国人群产科公式 </w:t>
            </w:r>
          </w:p>
          <w:p>
            <w:pPr>
              <w:pStyle w:val="5"/>
              <w:widowControl/>
              <w:numPr>
                <w:ilvl w:val="1"/>
                <w:numId w:val="0"/>
              </w:numPr>
              <w:overflowPunct w:val="0"/>
              <w:autoSpaceDE w:val="0"/>
              <w:autoSpaceDN w:val="0"/>
              <w:adjustRightInd w:val="0"/>
              <w:snapToGrid w:val="0"/>
              <w:spacing w:line="276" w:lineRule="auto"/>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自动产科测量（支持双顶径、头围、枕额径、股骨长、腹围）</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自动NT测量</w:t>
            </w:r>
          </w:p>
        </w:tc>
        <w:tc>
          <w:tcPr>
            <w:tcW w:w="7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心脏功能专用测量及分析，包括Simpson BP，Tei指数分析，PISA等</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*参数49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2"/>
                <w:sz w:val="18"/>
                <w:szCs w:val="18"/>
                <w:lang w:val="en-US" w:eastAsia="zh-CN" w:bidi="ar-SA"/>
              </w:rPr>
              <w:t>血管内中膜自动测量，可同时进行血管前、后壁的内中膜一段距离的自动描记、自动生成测量数据结果</w:t>
            </w:r>
          </w:p>
        </w:tc>
        <w:tc>
          <w:tcPr>
            <w:tcW w:w="776"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3.14.6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儿科髋关节测量、神经测量和急重症测量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电影回放及原始数据处理</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1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3.15.1</w:t>
            </w:r>
          </w:p>
        </w:tc>
        <w:tc>
          <w:tcPr>
            <w:tcW w:w="1240" w:type="dxa"/>
            <w:tcBorders>
              <w:top w:val="single" w:color="000000" w:sz="4" w:space="0"/>
              <w:left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参数52</w:t>
            </w:r>
          </w:p>
        </w:tc>
        <w:tc>
          <w:tcPr>
            <w:tcW w:w="6151" w:type="dxa"/>
            <w:gridSpan w:val="4"/>
            <w:tcBorders>
              <w:top w:val="single" w:color="000000" w:sz="4" w:space="0"/>
              <w:left w:val="single" w:color="000000" w:sz="4" w:space="0"/>
              <w:right w:val="single" w:color="000000" w:sz="4" w:space="0"/>
            </w:tcBorders>
            <w:vAlign w:val="center"/>
          </w:tcPr>
          <w:p>
            <w:pPr>
              <w:widowControl/>
              <w:overflowPunct w:val="0"/>
              <w:autoSpaceDE w:val="0"/>
              <w:autoSpaceDN w:val="0"/>
              <w:adjustRightInd w:val="0"/>
              <w:snapToGrid w:val="0"/>
              <w:spacing w:line="360" w:lineRule="auto"/>
              <w:ind w:left="21" w:leftChars="10"/>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电影回放</w:t>
            </w:r>
          </w:p>
          <w:p>
            <w:pPr>
              <w:pStyle w:val="5"/>
              <w:widowControl/>
              <w:overflowPunct w:val="0"/>
              <w:autoSpaceDE w:val="0"/>
              <w:autoSpaceDN w:val="0"/>
              <w:adjustRightInd w:val="0"/>
              <w:snapToGrid w:val="0"/>
              <w:spacing w:line="276" w:lineRule="auto"/>
              <w:ind w:firstLine="0" w:firstLineChars="0"/>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所有模式下支持手动、自动回放</w:t>
            </w:r>
          </w:p>
          <w:p>
            <w:pPr>
              <w:pStyle w:val="5"/>
              <w:widowControl/>
              <w:overflowPunct w:val="0"/>
              <w:autoSpaceDE w:val="0"/>
              <w:autoSpaceDN w:val="0"/>
              <w:adjustRightInd w:val="0"/>
              <w:snapToGrid w:val="0"/>
              <w:spacing w:line="276" w:lineRule="auto"/>
              <w:ind w:firstLine="0" w:firstLineChars="0"/>
              <w:jc w:val="left"/>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支持向后存储和向前存储，时间长度可预置，向后存储≥5分钟的电影</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支持保存后的图像同屏对比分析（动态、静态）</w:t>
            </w:r>
          </w:p>
        </w:tc>
        <w:tc>
          <w:tcPr>
            <w:tcW w:w="776"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3.15.2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原始数据处理，可对回放图像进行≥20个参数调节</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检查存储和管理</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≥240G固态硬盘</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内置超声工作站，支持同步存储，即后台存储或导出图像数据的同时前台可以完成实时扫描，不影响检查操作</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支持直接一键存储至硬盘或U盘，突然关机或未结束检查关机资料不丢失</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3.16.4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动态图像、静态图像以PC格式直接导出（支持单帧图像文件包含： DCM、TIFF、BMP、JPG单帧，电影文件包括：CIN、AVI、DCM），无需特殊软件即能在普通PC 机上直接观看图像。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参数59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技术参数及要求</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二维灰阶模式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51"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焦点：≥2个，动态可调</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pStyle w:val="5"/>
              <w:spacing w:line="276" w:lineRule="auto"/>
              <w:ind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扫描频率：</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凸阵探头：超声频率1.3-5.0MHz，支持扩展成像；</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成人心脏探头：超声频率1.5-5.0MHz，扫描角度≥90°；</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线阵探头：超声频率3.0-13MHz，支持扩展成像；</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腔内凸阵经阴道探头：2.6-12.8MHz，扫描角度≥180°；</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小微凸探头：超声频率2.6-12.8MHz，扫描角度≥120°；</w:t>
            </w:r>
          </w:p>
          <w:p>
            <w:pPr>
              <w:pStyle w:val="5"/>
              <w:spacing w:line="276" w:lineRule="auto"/>
              <w:ind w:left="0" w:leftChars="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小儿心脏探头：超声频率2.3-7.0MHz；</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术中腹腔镜探头：超声频率3.0-13.0MHz</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最大显示深度:≥38cm</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TGC: ≥8段，LGC: ≥4段</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动态范围: 30-190dB，可视可调</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增益调节: B/M/D分别独立可调，≥100</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3.17.1.7</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伪彩图谱: ≥8种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3.17.1.8</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扫描帧率：相控阵探头18cm深，全视野二维帧频≥50帧/秒；凸阵探头18cm深，全视野二维帧频≥40帧/秒</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参数69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彩色多普勒成像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包括速度、速度方差、能量、方向能量显示等</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显示方式：B/C、B/C/M、B/POWER、B/C/PW</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取样框偏转: ≥±30度 (线阵探头)</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扫描帧率：相控阵探头18cm深，高线密度全视野彩色帧频≥4帧/秒；凸阵探头18cm深，高线密度全视野彩色帧频≥6帧/秒</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3.17.2.5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支持B/C 同宽</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频谱多普勒模式</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显示控制：反转、零移位、B刷新、D扩展、B/D扩展等</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PW最大速度: ≥8m/s</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最小速度: ≤5mm/s</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参数79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 xml:space="preserve">取样容积: 0.5-20mm </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偏转角度: ≥±30度 (线阵探头)</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零位移动：≥8 级</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3.17.3.7</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参数82</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快速角度校正</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参数83</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连通性</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参数84</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参考信号:心电，呼吸波，心电触发</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3.18.2</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参数85</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数据接口:HDMI、USB3.0接口、音频接口</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参数86</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支持数据无线传输</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3.18.4</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参数87</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外设数据模块：包含S-视频、VGA视频接口、高清音视频接口</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3.18.5</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参数88</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专用台车：可升降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3.18.6</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参数89</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具备可装卸探头扩展槽</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3.18.7</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ind w:left="425" w:hanging="425"/>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参数90</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专用旅行箱，可装载主机、探头及相关备件</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3.18.8</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参数91</w:t>
            </w:r>
          </w:p>
        </w:tc>
        <w:tc>
          <w:tcPr>
            <w:tcW w:w="61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提供两台超声工作站电脑</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具备</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 </w:t>
            </w:r>
          </w:p>
        </w:tc>
        <w:tc>
          <w:tcPr>
            <w:tcW w:w="8167"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bCs/>
                <w:color w:val="000000"/>
                <w:sz w:val="18"/>
                <w:szCs w:val="18"/>
              </w:rPr>
            </w:pPr>
            <w:r>
              <w:rPr>
                <w:rFonts w:hint="eastAsia" w:ascii="宋体" w:hAnsi="宋体" w:eastAsia="宋体" w:cs="宋体"/>
                <w:b/>
                <w:bCs/>
                <w:sz w:val="18"/>
                <w:szCs w:val="18"/>
                <w:lang w:val="en-US" w:eastAsia="zh-CN"/>
              </w:rPr>
              <w:t>售后服务及其他</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4.1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保修年限</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设备自验收合格之日起，整机原厂质保≥5年</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4.2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交货期</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小于等于90日历天</w:t>
            </w:r>
          </w:p>
        </w:tc>
      </w:tr>
      <w:tr>
        <w:tblPrEx>
          <w:tblLayout w:type="fixed"/>
          <w:tblCellMar>
            <w:top w:w="0" w:type="dxa"/>
            <w:left w:w="108" w:type="dxa"/>
            <w:bottom w:w="0" w:type="dxa"/>
            <w:right w:w="108" w:type="dxa"/>
          </w:tblCellMar>
        </w:tblPrEx>
        <w:trPr>
          <w:trHeight w:val="1075"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4.3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故障响应时间</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tblPrEx>
          <w:tblLayout w:type="fixed"/>
          <w:tblCellMar>
            <w:top w:w="0" w:type="dxa"/>
            <w:left w:w="108" w:type="dxa"/>
            <w:bottom w:w="0" w:type="dxa"/>
            <w:right w:w="108" w:type="dxa"/>
          </w:tblCellMar>
        </w:tblPrEx>
        <w:trPr>
          <w:trHeight w:val="66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4.4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维修支持</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公司技术人员对所售仪器定期巡防，</w:t>
            </w:r>
            <w:r>
              <w:rPr>
                <w:rFonts w:hint="eastAsia" w:ascii="宋体" w:hAnsi="宋体" w:eastAsia="宋体" w:cs="宋体"/>
                <w:color w:val="000000"/>
                <w:kern w:val="0"/>
                <w:sz w:val="18"/>
                <w:szCs w:val="18"/>
                <w:highlight w:val="none"/>
                <w:lang w:val="en-US" w:eastAsia="zh-CN" w:bidi="ar"/>
              </w:rPr>
              <w:t>无偿</w:t>
            </w:r>
            <w:r>
              <w:rPr>
                <w:rFonts w:hint="eastAsia" w:ascii="宋体" w:hAnsi="宋体" w:eastAsia="宋体" w:cs="宋体"/>
                <w:color w:val="000000"/>
                <w:kern w:val="0"/>
                <w:sz w:val="18"/>
                <w:szCs w:val="18"/>
                <w:highlight w:val="none"/>
                <w:lang w:bidi="ar"/>
              </w:rPr>
              <w:t>进行系统的维护、保养及升级服务，使仪器使用率达到最大化，每年内不少于2次上门保养服务。保证保修期内开机率不低于95%。</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4.5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耗材或零配件</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提供耗材或主要零配件目录(含报价)</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4.6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维修资料</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提供详细操作手册/使用说明书，维修保养手册及用户维修联络卡，安装手册等</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4.7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预防性维修/定期维护保养</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保修期内提供定期维护保养服务</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4.8</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升级</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终身</w:t>
            </w:r>
            <w:r>
              <w:rPr>
                <w:rFonts w:hint="eastAsia" w:ascii="宋体" w:hAnsi="宋体" w:eastAsia="宋体" w:cs="宋体"/>
                <w:color w:val="000000"/>
                <w:kern w:val="0"/>
                <w:sz w:val="18"/>
                <w:szCs w:val="18"/>
                <w:highlight w:val="none"/>
                <w:lang w:val="en-US" w:eastAsia="zh-CN" w:bidi="ar"/>
              </w:rPr>
              <w:t>无偿</w:t>
            </w:r>
            <w:r>
              <w:rPr>
                <w:rFonts w:hint="eastAsia" w:ascii="宋体" w:hAnsi="宋体" w:eastAsia="宋体" w:cs="宋体"/>
                <w:color w:val="000000"/>
                <w:kern w:val="0"/>
                <w:sz w:val="18"/>
                <w:szCs w:val="18"/>
                <w:highlight w:val="none"/>
                <w:lang w:bidi="ar"/>
              </w:rPr>
              <w:t>软件升级</w:t>
            </w:r>
          </w:p>
        </w:tc>
      </w:tr>
      <w:tr>
        <w:tblPrEx>
          <w:tblLayout w:type="fixed"/>
          <w:tblCellMar>
            <w:top w:w="0" w:type="dxa"/>
            <w:left w:w="108" w:type="dxa"/>
            <w:bottom w:w="0" w:type="dxa"/>
            <w:right w:w="108" w:type="dxa"/>
          </w:tblCellMar>
        </w:tblPrEx>
        <w:trPr>
          <w:trHeight w:val="64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4.9</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使用培训</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经销商（生产厂家）负责对我院使用科室及维修人员关于机器常见故障及解决方案进行培训，培训必须达到我方能熟练掌握机器操作流程，能解决常见故障。</w:t>
            </w:r>
          </w:p>
        </w:tc>
      </w:tr>
      <w:tr>
        <w:tblPrEx>
          <w:tblLayout w:type="fixed"/>
          <w:tblCellMar>
            <w:top w:w="0" w:type="dxa"/>
            <w:left w:w="108" w:type="dxa"/>
            <w:bottom w:w="0" w:type="dxa"/>
            <w:right w:w="108" w:type="dxa"/>
          </w:tblCellMar>
        </w:tblPrEx>
        <w:trPr>
          <w:trHeight w:val="40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4.10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产品生产年限</w:t>
            </w:r>
          </w:p>
        </w:tc>
        <w:tc>
          <w:tcPr>
            <w:tcW w:w="692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产品为一年内生产的产品（以交货期时间为准）</w:t>
            </w:r>
          </w:p>
        </w:tc>
      </w:tr>
    </w:tbl>
    <w:p>
      <w:pPr>
        <w:jc w:val="center"/>
        <w:rPr>
          <w:rFonts w:hint="eastAsia" w:ascii="宋体" w:hAnsi="宋体" w:cs="宋体"/>
          <w:b/>
          <w:bCs/>
          <w:sz w:val="28"/>
          <w:szCs w:val="28"/>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423F0"/>
    <w:rsid w:val="7344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60" w:lineRule="auto"/>
    </w:pPr>
    <w:rPr>
      <w:sz w:val="24"/>
      <w:szCs w:val="20"/>
    </w:r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2025-06-17T07:31:00Z</dcterms:created>
  <dc:creator>Administrator</dc:creator>
  <cp:lastModifiedBy>Administrator</cp:lastModifiedBy>
  <dcterms:modified xsi:type="dcterms:W3CDTF">2025-06-17T07:32:08Z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