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75A4">
      <w:pPr>
        <w:widowControl w:val="0"/>
        <w:snapToGrid w:val="0"/>
        <w:spacing w:line="560" w:lineRule="exact"/>
        <w:ind w:firstLine="241" w:firstLineChars="50"/>
        <w:jc w:val="center"/>
        <w:rPr>
          <w:rFonts w:eastAsia="黑体"/>
          <w:b/>
          <w:color w:val="auto"/>
          <w:spacing w:val="40"/>
          <w:sz w:val="40"/>
          <w:szCs w:val="40"/>
          <w:highlight w:val="none"/>
        </w:rPr>
      </w:pPr>
      <w:bookmarkStart w:id="46" w:name="_GoBack"/>
      <w:bookmarkEnd w:id="46"/>
    </w:p>
    <w:p w14:paraId="012CE066">
      <w:pPr>
        <w:widowControl w:val="0"/>
        <w:snapToGrid w:val="0"/>
        <w:spacing w:line="560" w:lineRule="exact"/>
        <w:ind w:firstLine="241" w:firstLineChars="50"/>
        <w:jc w:val="center"/>
        <w:rPr>
          <w:rFonts w:eastAsia="黑体"/>
          <w:b/>
          <w:color w:val="auto"/>
          <w:spacing w:val="40"/>
          <w:sz w:val="40"/>
          <w:szCs w:val="40"/>
          <w:highlight w:val="none"/>
        </w:rPr>
      </w:pPr>
    </w:p>
    <w:p w14:paraId="38FE77E2">
      <w:pPr>
        <w:widowControl w:val="0"/>
        <w:snapToGrid w:val="0"/>
        <w:spacing w:line="560" w:lineRule="exact"/>
        <w:ind w:firstLine="241" w:firstLineChars="50"/>
        <w:jc w:val="center"/>
        <w:rPr>
          <w:rFonts w:eastAsia="黑体"/>
          <w:b/>
          <w:color w:val="auto"/>
          <w:spacing w:val="40"/>
          <w:sz w:val="40"/>
          <w:szCs w:val="40"/>
          <w:highlight w:val="none"/>
        </w:rPr>
      </w:pPr>
    </w:p>
    <w:p w14:paraId="7606B910">
      <w:pPr>
        <w:widowControl w:val="0"/>
        <w:snapToGrid w:val="0"/>
        <w:spacing w:line="560" w:lineRule="exact"/>
        <w:ind w:firstLine="221" w:firstLineChars="50"/>
        <w:jc w:val="distribute"/>
        <w:rPr>
          <w:rFonts w:hint="eastAsia" w:ascii="黑体" w:eastAsia="黑体"/>
          <w:b/>
          <w:color w:val="auto"/>
          <w:sz w:val="44"/>
          <w:szCs w:val="44"/>
          <w:highlight w:val="none"/>
        </w:rPr>
      </w:pPr>
      <w:r>
        <w:rPr>
          <w:rFonts w:hint="eastAsia" w:ascii="黑体" w:eastAsia="黑体"/>
          <w:b/>
          <w:color w:val="auto"/>
          <w:sz w:val="44"/>
          <w:szCs w:val="44"/>
          <w:highlight w:val="none"/>
        </w:rPr>
        <w:t>河南省安阳市中级人民法院</w:t>
      </w:r>
    </w:p>
    <w:p w14:paraId="50DA4606">
      <w:pPr>
        <w:widowControl w:val="0"/>
        <w:snapToGrid w:val="0"/>
        <w:spacing w:line="560" w:lineRule="exact"/>
        <w:ind w:firstLine="221" w:firstLineChars="50"/>
        <w:jc w:val="distribute"/>
        <w:rPr>
          <w:rFonts w:hint="eastAsia" w:ascii="黑体" w:eastAsia="黑体"/>
          <w:b/>
          <w:color w:val="auto"/>
          <w:spacing w:val="40"/>
          <w:sz w:val="44"/>
          <w:szCs w:val="44"/>
          <w:highlight w:val="none"/>
          <w:lang w:eastAsia="zh-CN"/>
        </w:rPr>
      </w:pPr>
      <w:r>
        <w:rPr>
          <w:rFonts w:hint="eastAsia" w:ascii="黑体" w:eastAsia="黑体"/>
          <w:b/>
          <w:color w:val="auto"/>
          <w:sz w:val="44"/>
          <w:szCs w:val="44"/>
          <w:highlight w:val="none"/>
        </w:rPr>
        <w:t>移动办公办案系统升级服务项目</w:t>
      </w:r>
      <w:r>
        <w:rPr>
          <w:rFonts w:hint="eastAsia" w:ascii="黑体" w:eastAsia="黑体"/>
          <w:b/>
          <w:color w:val="auto"/>
          <w:sz w:val="44"/>
          <w:szCs w:val="44"/>
          <w:highlight w:val="none"/>
          <w:lang w:eastAsia="zh-CN"/>
        </w:rPr>
        <w:t>（</w:t>
      </w:r>
      <w:r>
        <w:rPr>
          <w:rFonts w:hint="eastAsia" w:ascii="黑体" w:eastAsia="黑体"/>
          <w:b/>
          <w:color w:val="auto"/>
          <w:sz w:val="44"/>
          <w:szCs w:val="44"/>
          <w:highlight w:val="none"/>
          <w:lang w:val="en-US" w:eastAsia="zh-CN"/>
        </w:rPr>
        <w:t>二次</w:t>
      </w:r>
      <w:r>
        <w:rPr>
          <w:rFonts w:hint="eastAsia" w:ascii="黑体" w:eastAsia="黑体"/>
          <w:b/>
          <w:color w:val="auto"/>
          <w:sz w:val="44"/>
          <w:szCs w:val="44"/>
          <w:highlight w:val="none"/>
          <w:lang w:eastAsia="zh-CN"/>
        </w:rPr>
        <w:t>）</w:t>
      </w:r>
    </w:p>
    <w:p w14:paraId="1C592B83">
      <w:pPr>
        <w:widowControl w:val="0"/>
        <w:snapToGrid w:val="0"/>
        <w:spacing w:line="560" w:lineRule="exact"/>
        <w:ind w:firstLine="261" w:firstLineChars="50"/>
        <w:jc w:val="center"/>
        <w:rPr>
          <w:rFonts w:ascii="黑体" w:eastAsia="黑体"/>
          <w:b/>
          <w:color w:val="auto"/>
          <w:spacing w:val="40"/>
          <w:sz w:val="44"/>
          <w:szCs w:val="44"/>
          <w:highlight w:val="none"/>
        </w:rPr>
      </w:pPr>
    </w:p>
    <w:p w14:paraId="54F3C71C">
      <w:pPr>
        <w:widowControl w:val="0"/>
        <w:snapToGrid w:val="0"/>
        <w:spacing w:before="240" w:beforeLines="100" w:line="560" w:lineRule="exact"/>
        <w:jc w:val="center"/>
        <w:rPr>
          <w:rFonts w:eastAsia="黑体"/>
          <w:b/>
          <w:color w:val="auto"/>
          <w:sz w:val="44"/>
          <w:highlight w:val="none"/>
        </w:rPr>
      </w:pPr>
    </w:p>
    <w:p w14:paraId="032DC900">
      <w:pPr>
        <w:widowControl w:val="0"/>
        <w:snapToGrid w:val="0"/>
        <w:spacing w:before="240" w:beforeLines="100" w:line="240" w:lineRule="auto"/>
        <w:jc w:val="center"/>
        <w:rPr>
          <w:rFonts w:eastAsia="黑体"/>
          <w:b/>
          <w:color w:val="auto"/>
          <w:sz w:val="44"/>
          <w:highlight w:val="none"/>
        </w:rPr>
      </w:pPr>
    </w:p>
    <w:p w14:paraId="5B1E17BF">
      <w:pPr>
        <w:widowControl w:val="0"/>
        <w:snapToGrid w:val="0"/>
        <w:spacing w:before="240" w:beforeLines="100" w:line="240" w:lineRule="auto"/>
        <w:jc w:val="center"/>
        <w:rPr>
          <w:rFonts w:eastAsia="黑体"/>
          <w:b/>
          <w:color w:val="auto"/>
          <w:sz w:val="44"/>
          <w:highlight w:val="none"/>
        </w:rPr>
      </w:pPr>
    </w:p>
    <w:p w14:paraId="246163E9">
      <w:pPr>
        <w:widowControl w:val="0"/>
        <w:snapToGrid w:val="0"/>
        <w:spacing w:before="240" w:beforeLines="100" w:line="240" w:lineRule="auto"/>
        <w:jc w:val="center"/>
        <w:rPr>
          <w:rFonts w:ascii="华文新魏" w:hAnsi="微软雅黑" w:eastAsia="华文新魏"/>
          <w:b/>
          <w:color w:val="auto"/>
          <w:sz w:val="116"/>
          <w:szCs w:val="116"/>
          <w:highlight w:val="none"/>
        </w:rPr>
      </w:pPr>
      <w:r>
        <w:rPr>
          <w:rFonts w:hint="eastAsia" w:ascii="华文新魏" w:hAnsi="微软雅黑" w:eastAsia="华文新魏"/>
          <w:b/>
          <w:color w:val="auto"/>
          <w:sz w:val="116"/>
          <w:szCs w:val="116"/>
          <w:highlight w:val="none"/>
        </w:rPr>
        <w:t>谈</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判</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件</w:t>
      </w:r>
    </w:p>
    <w:p w14:paraId="32B9E5F0">
      <w:pPr>
        <w:widowControl w:val="0"/>
        <w:snapToGrid w:val="0"/>
        <w:spacing w:before="240" w:beforeLines="100" w:line="560" w:lineRule="exact"/>
        <w:jc w:val="center"/>
        <w:rPr>
          <w:rFonts w:eastAsia="黑体"/>
          <w:b/>
          <w:color w:val="auto"/>
          <w:sz w:val="30"/>
          <w:szCs w:val="30"/>
          <w:highlight w:val="none"/>
        </w:rPr>
      </w:pPr>
      <w:r>
        <w:rPr>
          <w:rFonts w:hint="eastAsia" w:ascii="宋体" w:hAnsi="宋体"/>
          <w:color w:val="auto"/>
          <w:sz w:val="32"/>
          <w:szCs w:val="32"/>
          <w:highlight w:val="none"/>
        </w:rPr>
        <w:t>项目编号：豫财竞谈-2024-44</w:t>
      </w:r>
      <w:r>
        <w:rPr>
          <w:rFonts w:eastAsia="黑体"/>
          <w:b/>
          <w:color w:val="auto"/>
          <w:sz w:val="30"/>
          <w:szCs w:val="30"/>
          <w:highlight w:val="none"/>
        </w:rPr>
        <w:t xml:space="preserve"> </w:t>
      </w:r>
    </w:p>
    <w:p w14:paraId="22607F2B">
      <w:pPr>
        <w:widowControl w:val="0"/>
        <w:snapToGrid w:val="0"/>
        <w:spacing w:before="240" w:beforeLines="100" w:line="560" w:lineRule="exact"/>
        <w:jc w:val="center"/>
        <w:rPr>
          <w:rFonts w:eastAsia="黑体"/>
          <w:b/>
          <w:color w:val="auto"/>
          <w:sz w:val="44"/>
          <w:highlight w:val="none"/>
        </w:rPr>
      </w:pPr>
    </w:p>
    <w:p w14:paraId="36EF85A1">
      <w:pPr>
        <w:widowControl w:val="0"/>
        <w:snapToGrid w:val="0"/>
        <w:spacing w:before="240" w:beforeLines="100" w:line="560" w:lineRule="exact"/>
        <w:jc w:val="center"/>
        <w:rPr>
          <w:rFonts w:eastAsia="黑体"/>
          <w:b/>
          <w:color w:val="auto"/>
          <w:sz w:val="44"/>
          <w:highlight w:val="none"/>
        </w:rPr>
      </w:pPr>
    </w:p>
    <w:p w14:paraId="0B54A1A5">
      <w:pPr>
        <w:widowControl w:val="0"/>
        <w:snapToGrid w:val="0"/>
        <w:spacing w:before="240" w:beforeLines="100" w:line="560" w:lineRule="exact"/>
        <w:jc w:val="center"/>
        <w:rPr>
          <w:rFonts w:eastAsia="黑体"/>
          <w:b/>
          <w:color w:val="auto"/>
          <w:sz w:val="44"/>
          <w:highlight w:val="none"/>
        </w:rPr>
      </w:pPr>
    </w:p>
    <w:p w14:paraId="34E2C02F">
      <w:pPr>
        <w:widowControl w:val="0"/>
        <w:snapToGrid w:val="0"/>
        <w:spacing w:before="240" w:beforeLines="100" w:line="560" w:lineRule="exact"/>
        <w:rPr>
          <w:rFonts w:eastAsia="黑体"/>
          <w:b/>
          <w:color w:val="auto"/>
          <w:sz w:val="44"/>
          <w:highlight w:val="none"/>
        </w:rPr>
      </w:pPr>
    </w:p>
    <w:p w14:paraId="309315FA">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采购人：河南省安阳市中级人民法院</w:t>
      </w:r>
    </w:p>
    <w:p w14:paraId="2FB00DD1">
      <w:pPr>
        <w:widowControl w:val="0"/>
        <w:snapToGrid w:val="0"/>
        <w:spacing w:line="660" w:lineRule="exact"/>
        <w:ind w:firstLine="540" w:firstLineChars="168"/>
        <w:rPr>
          <w:rFonts w:ascii="黑体" w:hAnsi="黑体" w:eastAsia="黑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5" w:h="16837"/>
          <w:pgMar w:top="1418" w:right="1106" w:bottom="1418" w:left="1418" w:header="567" w:footer="567" w:gutter="0"/>
          <w:pgNumType w:fmt="numberInDash" w:start="0"/>
          <w:cols w:space="720" w:num="1"/>
          <w:titlePg/>
        </w:sectPr>
      </w:pPr>
      <w:r>
        <w:rPr>
          <w:rFonts w:hint="eastAsia" w:ascii="黑体" w:hAnsi="黑体" w:eastAsia="黑体"/>
          <w:b/>
          <w:color w:val="auto"/>
          <w:sz w:val="32"/>
          <w:szCs w:val="32"/>
          <w:highlight w:val="none"/>
        </w:rPr>
        <w:t>代理机构：安阳市方正招标采购服务有限责任公司</w:t>
      </w:r>
    </w:p>
    <w:p w14:paraId="4A82D9B2">
      <w:pPr>
        <w:widowControl w:val="0"/>
        <w:snapToGrid w:val="0"/>
        <w:spacing w:line="660" w:lineRule="exact"/>
        <w:ind w:firstLine="540" w:firstLineChars="168"/>
        <w:rPr>
          <w:rFonts w:ascii="黑体" w:hAnsi="黑体" w:eastAsia="黑体"/>
          <w:b/>
          <w:color w:val="auto"/>
          <w:sz w:val="32"/>
          <w:szCs w:val="32"/>
          <w:highlight w:val="none"/>
        </w:rPr>
      </w:pPr>
    </w:p>
    <w:p w14:paraId="137DAAC2">
      <w:pPr>
        <w:pStyle w:val="47"/>
        <w:jc w:val="center"/>
        <w:rPr>
          <w:rFonts w:ascii="Calibri" w:hAnsi="Calibri"/>
          <w:color w:val="auto"/>
          <w:kern w:val="2"/>
          <w:szCs w:val="22"/>
          <w:highlight w:val="none"/>
        </w:rPr>
      </w:pPr>
      <w:r>
        <w:rPr>
          <w:rFonts w:hint="eastAsia" w:ascii="黑体" w:hAnsi="黑体" w:eastAsia="黑体"/>
          <w:color w:val="auto"/>
          <w:sz w:val="36"/>
          <w:szCs w:val="36"/>
          <w:highlight w:val="none"/>
          <w:lang w:val="zh-CN"/>
        </w:rPr>
        <w:t>目录</w:t>
      </w: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5F217774">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"_Toc65679374" </w:instrText>
      </w:r>
      <w:r>
        <w:rPr>
          <w:color w:val="auto"/>
          <w:highlight w:val="none"/>
        </w:rPr>
        <w:fldChar w:fldCharType="separate"/>
      </w:r>
      <w:r>
        <w:rPr>
          <w:rStyle w:val="19"/>
          <w:rFonts w:hint="eastAsia" w:eastAsia="黑体"/>
          <w:b/>
          <w:color w:val="auto"/>
          <w:highlight w:val="none"/>
        </w:rPr>
        <w:t>第一章</w:t>
      </w:r>
      <w:r>
        <w:rPr>
          <w:rStyle w:val="19"/>
          <w:rFonts w:eastAsia="黑体"/>
          <w:b/>
          <w:color w:val="auto"/>
          <w:highlight w:val="none"/>
        </w:rPr>
        <w:t xml:space="preserve"> </w:t>
      </w:r>
      <w:r>
        <w:rPr>
          <w:rStyle w:val="19"/>
          <w:rFonts w:hint="eastAsia" w:eastAsia="黑体"/>
          <w:b/>
          <w:color w:val="auto"/>
          <w:highlight w:val="none"/>
        </w:rPr>
        <w:t>谈判公告</w:t>
      </w:r>
      <w:r>
        <w:rPr>
          <w:color w:val="auto"/>
          <w:highlight w:val="none"/>
        </w:rPr>
        <w:tab/>
      </w:r>
      <w:r>
        <w:rPr>
          <w:color w:val="auto"/>
          <w:highlight w:val="none"/>
        </w:rPr>
        <w:fldChar w:fldCharType="begin"/>
      </w:r>
      <w:r>
        <w:rPr>
          <w:color w:val="auto"/>
          <w:highlight w:val="none"/>
        </w:rPr>
        <w:instrText xml:space="preserve"> PAGEREF _Toc65679374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67ECD9DF">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"_Toc65679375" </w:instrText>
      </w:r>
      <w:r>
        <w:rPr>
          <w:color w:val="auto"/>
          <w:highlight w:val="none"/>
        </w:rPr>
        <w:fldChar w:fldCharType="separate"/>
      </w:r>
      <w:r>
        <w:rPr>
          <w:rStyle w:val="19"/>
          <w:rFonts w:hint="eastAsia" w:eastAsia="黑体"/>
          <w:b/>
          <w:color w:val="auto"/>
          <w:highlight w:val="none"/>
        </w:rPr>
        <w:t>第二章</w:t>
      </w:r>
      <w:r>
        <w:rPr>
          <w:rStyle w:val="19"/>
          <w:rFonts w:eastAsia="黑体"/>
          <w:b/>
          <w:color w:val="auto"/>
          <w:highlight w:val="none"/>
        </w:rPr>
        <w:t xml:space="preserve"> </w:t>
      </w:r>
      <w:r>
        <w:rPr>
          <w:rStyle w:val="19"/>
          <w:rFonts w:hint="eastAsia" w:eastAsia="黑体"/>
          <w:b/>
          <w:color w:val="auto"/>
          <w:highlight w:val="none"/>
        </w:rPr>
        <w:t>采购项目及服务要求</w:t>
      </w:r>
      <w:r>
        <w:rPr>
          <w:color w:val="auto"/>
          <w:highlight w:val="none"/>
        </w:rPr>
        <w:tab/>
      </w:r>
      <w:r>
        <w:rPr>
          <w:color w:val="auto"/>
          <w:highlight w:val="none"/>
        </w:rPr>
        <w:fldChar w:fldCharType="begin"/>
      </w:r>
      <w:r>
        <w:rPr>
          <w:color w:val="auto"/>
          <w:highlight w:val="none"/>
        </w:rPr>
        <w:instrText xml:space="preserve"> PAGEREF _Toc65679375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11A2734F">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"_Toc65679376" </w:instrText>
      </w:r>
      <w:r>
        <w:rPr>
          <w:color w:val="auto"/>
          <w:highlight w:val="none"/>
        </w:rPr>
        <w:fldChar w:fldCharType="separate"/>
      </w:r>
      <w:r>
        <w:rPr>
          <w:rStyle w:val="19"/>
          <w:rFonts w:ascii="黑体" w:hAnsi="黑体" w:eastAsia="黑体"/>
          <w:b/>
          <w:color w:val="auto"/>
          <w:highlight w:val="none"/>
        </w:rPr>
        <w:t xml:space="preserve">1. </w:t>
      </w:r>
      <w:r>
        <w:rPr>
          <w:rStyle w:val="19"/>
          <w:rFonts w:hint="eastAsia" w:ascii="黑体" w:hAnsi="黑体" w:eastAsia="黑体"/>
          <w:b/>
          <w:color w:val="auto"/>
          <w:highlight w:val="none"/>
        </w:rPr>
        <w:t>采购项目、标段（包）划分、投标报价</w:t>
      </w:r>
      <w:r>
        <w:rPr>
          <w:color w:val="auto"/>
          <w:highlight w:val="none"/>
        </w:rPr>
        <w:tab/>
      </w:r>
      <w:r>
        <w:rPr>
          <w:color w:val="auto"/>
          <w:highlight w:val="none"/>
        </w:rPr>
        <w:fldChar w:fldCharType="begin"/>
      </w:r>
      <w:r>
        <w:rPr>
          <w:color w:val="auto"/>
          <w:highlight w:val="none"/>
        </w:rPr>
        <w:instrText xml:space="preserve"> PAGEREF _Toc65679376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6979E629">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"_Toc65679377" </w:instrText>
      </w:r>
      <w:r>
        <w:rPr>
          <w:color w:val="auto"/>
          <w:highlight w:val="none"/>
        </w:rPr>
        <w:fldChar w:fldCharType="separate"/>
      </w:r>
      <w:r>
        <w:rPr>
          <w:rStyle w:val="19"/>
          <w:rFonts w:ascii="黑体" w:hAnsi="黑体" w:eastAsia="黑体"/>
          <w:b/>
          <w:color w:val="auto"/>
          <w:highlight w:val="none"/>
        </w:rPr>
        <w:t xml:space="preserve">2. </w:t>
      </w:r>
      <w:r>
        <w:rPr>
          <w:rStyle w:val="19"/>
          <w:rFonts w:hint="eastAsia" w:ascii="黑体" w:hAnsi="黑体" w:eastAsia="黑体"/>
          <w:b/>
          <w:color w:val="auto"/>
          <w:highlight w:val="none"/>
        </w:rPr>
        <w:t>标段（包）内容（范围）及服务要求</w:t>
      </w:r>
      <w:r>
        <w:rPr>
          <w:color w:val="auto"/>
          <w:highlight w:val="none"/>
        </w:rPr>
        <w:tab/>
      </w:r>
      <w:r>
        <w:rPr>
          <w:color w:val="auto"/>
          <w:highlight w:val="none"/>
        </w:rPr>
        <w:fldChar w:fldCharType="begin"/>
      </w:r>
      <w:r>
        <w:rPr>
          <w:color w:val="auto"/>
          <w:highlight w:val="none"/>
        </w:rPr>
        <w:instrText xml:space="preserve"> PAGEREF _Toc65679377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62ECFC14">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"_Toc65679378" </w:instrText>
      </w:r>
      <w:r>
        <w:rPr>
          <w:color w:val="auto"/>
          <w:highlight w:val="none"/>
        </w:rPr>
        <w:fldChar w:fldCharType="separate"/>
      </w:r>
      <w:r>
        <w:rPr>
          <w:rStyle w:val="19"/>
          <w:rFonts w:hint="eastAsia" w:eastAsia="黑体"/>
          <w:b/>
          <w:color w:val="auto"/>
          <w:highlight w:val="none"/>
        </w:rPr>
        <w:t>第三章</w:t>
      </w:r>
      <w:r>
        <w:rPr>
          <w:rStyle w:val="19"/>
          <w:rFonts w:eastAsia="黑体"/>
          <w:b/>
          <w:color w:val="auto"/>
          <w:highlight w:val="none"/>
        </w:rPr>
        <w:t xml:space="preserve"> </w:t>
      </w:r>
      <w:r>
        <w:rPr>
          <w:rStyle w:val="19"/>
          <w:rFonts w:hint="eastAsia" w:eastAsia="黑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_Toc65679378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30FF28F7">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"_Toc65679379" </w:instrText>
      </w:r>
      <w:r>
        <w:rPr>
          <w:color w:val="auto"/>
          <w:highlight w:val="none"/>
        </w:rPr>
        <w:fldChar w:fldCharType="separate"/>
      </w:r>
      <w:r>
        <w:rPr>
          <w:rStyle w:val="19"/>
          <w:rFonts w:hint="eastAsia" w:eastAsia="黑体"/>
          <w:b/>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_Toc65679379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124164B">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"_Toc65679380" </w:instrText>
      </w:r>
      <w:r>
        <w:rPr>
          <w:color w:val="auto"/>
          <w:highlight w:val="none"/>
        </w:rPr>
        <w:fldChar w:fldCharType="separate"/>
      </w:r>
      <w:r>
        <w:rPr>
          <w:rStyle w:val="19"/>
          <w:rFonts w:ascii="黑体" w:hAnsi="黑体" w:eastAsia="黑体" w:cs="楷体_GB2312"/>
          <w:b/>
          <w:bCs/>
          <w:color w:val="auto"/>
          <w:highlight w:val="none"/>
          <w:lang w:val="zh-CN"/>
        </w:rPr>
        <w:t xml:space="preserve">1. </w:t>
      </w:r>
      <w:r>
        <w:rPr>
          <w:rStyle w:val="19"/>
          <w:rFonts w:hint="eastAsia" w:ascii="黑体" w:hAnsi="黑体" w:eastAsia="黑体" w:cs="楷体_GB2312"/>
          <w:b/>
          <w:bCs/>
          <w:color w:val="auto"/>
          <w:highlight w:val="none"/>
          <w:lang w:val="zh-CN"/>
        </w:rPr>
        <w:t>总则</w:t>
      </w:r>
      <w:r>
        <w:rPr>
          <w:color w:val="auto"/>
          <w:highlight w:val="none"/>
        </w:rPr>
        <w:tab/>
      </w:r>
      <w:r>
        <w:rPr>
          <w:color w:val="auto"/>
          <w:highlight w:val="none"/>
        </w:rPr>
        <w:fldChar w:fldCharType="begin"/>
      </w:r>
      <w:r>
        <w:rPr>
          <w:color w:val="auto"/>
          <w:highlight w:val="none"/>
        </w:rPr>
        <w:instrText xml:space="preserve"> PAGEREF _Toc65679380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0A3DCCF6">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"_Toc65679381" </w:instrText>
      </w:r>
      <w:r>
        <w:rPr>
          <w:color w:val="auto"/>
          <w:highlight w:val="none"/>
        </w:rPr>
        <w:fldChar w:fldCharType="separate"/>
      </w:r>
      <w:r>
        <w:rPr>
          <w:rStyle w:val="19"/>
          <w:rFonts w:ascii="黑体" w:hAnsi="黑体" w:eastAsia="黑体" w:cs="楷体_GB2312"/>
          <w:b/>
          <w:bCs/>
          <w:color w:val="auto"/>
          <w:highlight w:val="none"/>
          <w:lang w:val="zh-CN"/>
        </w:rPr>
        <w:t xml:space="preserve">2. </w:t>
      </w:r>
      <w:r>
        <w:rPr>
          <w:rStyle w:val="19"/>
          <w:rFonts w:hint="eastAsia" w:ascii="黑体" w:hAnsi="黑体" w:eastAsia="黑体" w:cs="楷体_GB2312"/>
          <w:b/>
          <w:bCs/>
          <w:color w:val="auto"/>
          <w:highlight w:val="none"/>
          <w:lang w:val="zh-CN"/>
        </w:rPr>
        <w:t>谈判文件</w:t>
      </w:r>
      <w:r>
        <w:rPr>
          <w:color w:val="auto"/>
          <w:highlight w:val="none"/>
        </w:rPr>
        <w:tab/>
      </w:r>
      <w:r>
        <w:rPr>
          <w:color w:val="auto"/>
          <w:highlight w:val="none"/>
        </w:rPr>
        <w:fldChar w:fldCharType="begin"/>
      </w:r>
      <w:r>
        <w:rPr>
          <w:color w:val="auto"/>
          <w:highlight w:val="none"/>
        </w:rPr>
        <w:instrText xml:space="preserve"> PAGEREF _Toc65679381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6B0057D">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"_Toc65679382" </w:instrText>
      </w:r>
      <w:r>
        <w:rPr>
          <w:color w:val="auto"/>
          <w:highlight w:val="none"/>
        </w:rPr>
        <w:fldChar w:fldCharType="separate"/>
      </w:r>
      <w:r>
        <w:rPr>
          <w:rStyle w:val="19"/>
          <w:rFonts w:ascii="黑体" w:hAnsi="黑体" w:eastAsia="黑体" w:cs="楷体_GB2312"/>
          <w:b/>
          <w:bCs/>
          <w:color w:val="auto"/>
          <w:highlight w:val="none"/>
          <w:lang w:val="zh-CN"/>
        </w:rPr>
        <w:t xml:space="preserve">3. </w:t>
      </w:r>
      <w:r>
        <w:rPr>
          <w:rStyle w:val="19"/>
          <w:rFonts w:hint="eastAsia" w:ascii="黑体" w:hAnsi="黑体" w:eastAsia="黑体" w:cs="楷体_GB2312"/>
          <w:b/>
          <w:bCs/>
          <w:color w:val="auto"/>
          <w:highlight w:val="none"/>
          <w:lang w:val="zh-CN"/>
        </w:rPr>
        <w:t>投标文件（响应文件）</w:t>
      </w:r>
      <w:r>
        <w:rPr>
          <w:color w:val="auto"/>
          <w:highlight w:val="none"/>
        </w:rPr>
        <w:tab/>
      </w:r>
      <w:r>
        <w:rPr>
          <w:color w:val="auto"/>
          <w:highlight w:val="none"/>
        </w:rPr>
        <w:fldChar w:fldCharType="begin"/>
      </w:r>
      <w:r>
        <w:rPr>
          <w:color w:val="auto"/>
          <w:highlight w:val="none"/>
        </w:rPr>
        <w:instrText xml:space="preserve"> PAGEREF _Toc65679382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600D95A0">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"_Toc65679383" </w:instrText>
      </w:r>
      <w:r>
        <w:rPr>
          <w:color w:val="auto"/>
          <w:highlight w:val="none"/>
        </w:rPr>
        <w:fldChar w:fldCharType="separate"/>
      </w:r>
      <w:r>
        <w:rPr>
          <w:rStyle w:val="19"/>
          <w:rFonts w:ascii="黑体" w:hAnsi="黑体" w:eastAsia="黑体" w:cs="楷体_GB2312"/>
          <w:b/>
          <w:bCs/>
          <w:color w:val="auto"/>
          <w:highlight w:val="none"/>
          <w:lang w:val="zh-CN"/>
        </w:rPr>
        <w:t xml:space="preserve">4. </w:t>
      </w:r>
      <w:r>
        <w:rPr>
          <w:rStyle w:val="19"/>
          <w:rFonts w:hint="eastAsia" w:ascii="黑体" w:hAnsi="黑体" w:eastAsia="黑体" w:cs="楷体_GB2312"/>
          <w:b/>
          <w:bCs/>
          <w:color w:val="auto"/>
          <w:highlight w:val="none"/>
          <w:lang w:val="zh-CN"/>
        </w:rPr>
        <w:t>投标（响应文件的递交）</w:t>
      </w:r>
      <w:r>
        <w:rPr>
          <w:color w:val="auto"/>
          <w:highlight w:val="none"/>
        </w:rPr>
        <w:tab/>
      </w:r>
      <w:r>
        <w:rPr>
          <w:color w:val="auto"/>
          <w:highlight w:val="none"/>
        </w:rPr>
        <w:fldChar w:fldCharType="begin"/>
      </w:r>
      <w:r>
        <w:rPr>
          <w:color w:val="auto"/>
          <w:highlight w:val="none"/>
        </w:rPr>
        <w:instrText xml:space="preserve"> PAGEREF _Toc65679383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70FD871A">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"_Toc65679384" </w:instrText>
      </w:r>
      <w:r>
        <w:rPr>
          <w:color w:val="auto"/>
          <w:highlight w:val="none"/>
        </w:rPr>
        <w:fldChar w:fldCharType="separate"/>
      </w:r>
      <w:r>
        <w:rPr>
          <w:rStyle w:val="19"/>
          <w:rFonts w:ascii="黑体" w:hAnsi="黑体" w:eastAsia="黑体" w:cs="楷体_GB2312"/>
          <w:b/>
          <w:bCs/>
          <w:color w:val="auto"/>
          <w:highlight w:val="none"/>
          <w:lang w:val="zh-CN"/>
        </w:rPr>
        <w:t xml:space="preserve">5. </w:t>
      </w:r>
      <w:r>
        <w:rPr>
          <w:rStyle w:val="19"/>
          <w:rFonts w:hint="eastAsia" w:ascii="黑体" w:hAnsi="黑体" w:eastAsia="黑体" w:cs="楷体_GB2312"/>
          <w:b/>
          <w:bCs/>
          <w:color w:val="auto"/>
          <w:highlight w:val="none"/>
          <w:lang w:val="zh-CN"/>
        </w:rPr>
        <w:t>开标（响应文件的开启）</w:t>
      </w:r>
      <w:r>
        <w:rPr>
          <w:color w:val="auto"/>
          <w:highlight w:val="none"/>
        </w:rPr>
        <w:tab/>
      </w:r>
      <w:r>
        <w:rPr>
          <w:color w:val="auto"/>
          <w:highlight w:val="none"/>
        </w:rPr>
        <w:fldChar w:fldCharType="begin"/>
      </w:r>
      <w:r>
        <w:rPr>
          <w:color w:val="auto"/>
          <w:highlight w:val="none"/>
        </w:rPr>
        <w:instrText xml:space="preserve"> PAGEREF _Toc65679384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554AB784">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"_Toc65679385" </w:instrText>
      </w:r>
      <w:r>
        <w:rPr>
          <w:color w:val="auto"/>
          <w:highlight w:val="none"/>
        </w:rPr>
        <w:fldChar w:fldCharType="separate"/>
      </w:r>
      <w:r>
        <w:rPr>
          <w:rStyle w:val="19"/>
          <w:rFonts w:ascii="黑体" w:hAnsi="黑体" w:eastAsia="黑体" w:cs="楷体_GB2312"/>
          <w:b/>
          <w:bCs/>
          <w:color w:val="auto"/>
          <w:highlight w:val="none"/>
          <w:lang w:val="zh-CN"/>
        </w:rPr>
        <w:t xml:space="preserve">6. </w:t>
      </w:r>
      <w:r>
        <w:rPr>
          <w:rStyle w:val="19"/>
          <w:rFonts w:hint="eastAsia" w:ascii="黑体" w:hAnsi="黑体" w:eastAsia="黑体" w:cs="楷体_GB2312"/>
          <w:b/>
          <w:bCs/>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_Toc65679385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06C2FB3D">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"_Toc65679386" </w:instrText>
      </w:r>
      <w:r>
        <w:rPr>
          <w:color w:val="auto"/>
          <w:highlight w:val="none"/>
        </w:rPr>
        <w:fldChar w:fldCharType="separate"/>
      </w:r>
      <w:r>
        <w:rPr>
          <w:rStyle w:val="19"/>
          <w:rFonts w:ascii="黑体" w:hAnsi="黑体" w:eastAsia="黑体" w:cs="楷体_GB2312"/>
          <w:b/>
          <w:bCs/>
          <w:color w:val="auto"/>
          <w:highlight w:val="none"/>
          <w:lang w:val="zh-CN"/>
        </w:rPr>
        <w:t xml:space="preserve">7. </w:t>
      </w:r>
      <w:r>
        <w:rPr>
          <w:rStyle w:val="19"/>
          <w:rFonts w:hint="eastAsia" w:ascii="黑体" w:hAnsi="黑体" w:eastAsia="黑体" w:cs="楷体_GB2312"/>
          <w:b/>
          <w:bCs/>
          <w:color w:val="auto"/>
          <w:highlight w:val="none"/>
          <w:lang w:val="zh-CN"/>
        </w:rPr>
        <w:t>授予合同</w:t>
      </w:r>
      <w:r>
        <w:rPr>
          <w:color w:val="auto"/>
          <w:highlight w:val="none"/>
        </w:rPr>
        <w:tab/>
      </w:r>
      <w:r>
        <w:rPr>
          <w:color w:val="auto"/>
          <w:highlight w:val="none"/>
        </w:rPr>
        <w:fldChar w:fldCharType="begin"/>
      </w:r>
      <w:r>
        <w:rPr>
          <w:color w:val="auto"/>
          <w:highlight w:val="none"/>
        </w:rPr>
        <w:instrText xml:space="preserve"> PAGEREF _Toc65679386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728E7FDB">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"_Toc65679387" </w:instrText>
      </w:r>
      <w:r>
        <w:rPr>
          <w:color w:val="auto"/>
          <w:highlight w:val="none"/>
        </w:rPr>
        <w:fldChar w:fldCharType="separate"/>
      </w:r>
      <w:r>
        <w:rPr>
          <w:rStyle w:val="19"/>
          <w:rFonts w:ascii="黑体" w:hAnsi="黑体" w:eastAsia="黑体" w:cs="楷体_GB2312"/>
          <w:b/>
          <w:bCs/>
          <w:color w:val="auto"/>
          <w:highlight w:val="none"/>
          <w:lang w:val="zh-CN"/>
        </w:rPr>
        <w:t xml:space="preserve">8. </w:t>
      </w:r>
      <w:r>
        <w:rPr>
          <w:rStyle w:val="19"/>
          <w:rFonts w:hint="eastAsia" w:ascii="黑体" w:hAnsi="黑体" w:eastAsia="黑体" w:cs="楷体_GB2312"/>
          <w:b/>
          <w:bCs/>
          <w:color w:val="auto"/>
          <w:highlight w:val="none"/>
          <w:lang w:val="zh-CN"/>
        </w:rPr>
        <w:t>验收</w:t>
      </w:r>
      <w:r>
        <w:rPr>
          <w:color w:val="auto"/>
          <w:highlight w:val="none"/>
        </w:rPr>
        <w:tab/>
      </w:r>
      <w:r>
        <w:rPr>
          <w:color w:val="auto"/>
          <w:highlight w:val="none"/>
        </w:rPr>
        <w:fldChar w:fldCharType="begin"/>
      </w:r>
      <w:r>
        <w:rPr>
          <w:color w:val="auto"/>
          <w:highlight w:val="none"/>
        </w:rPr>
        <w:instrText xml:space="preserve"> PAGEREF _Toc65679387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14:paraId="226952C3">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"_Toc65679388" </w:instrText>
      </w:r>
      <w:r>
        <w:rPr>
          <w:color w:val="auto"/>
          <w:highlight w:val="none"/>
        </w:rPr>
        <w:fldChar w:fldCharType="separate"/>
      </w:r>
      <w:r>
        <w:rPr>
          <w:rStyle w:val="19"/>
          <w:rFonts w:ascii="黑体" w:hAnsi="黑体" w:eastAsia="黑体" w:cs="楷体_GB2312"/>
          <w:b/>
          <w:bCs/>
          <w:color w:val="auto"/>
          <w:highlight w:val="none"/>
          <w:lang w:val="zh-CN"/>
        </w:rPr>
        <w:t>9.</w:t>
      </w:r>
      <w:r>
        <w:rPr>
          <w:rStyle w:val="19"/>
          <w:rFonts w:hint="eastAsia" w:ascii="黑体" w:hAnsi="黑体" w:eastAsia="黑体" w:cs="楷体_GB2312"/>
          <w:b/>
          <w:bCs/>
          <w:color w:val="auto"/>
          <w:highlight w:val="none"/>
          <w:lang w:val="zh-CN"/>
        </w:rPr>
        <w:t>付款</w:t>
      </w:r>
      <w:r>
        <w:rPr>
          <w:color w:val="auto"/>
          <w:highlight w:val="none"/>
        </w:rPr>
        <w:tab/>
      </w:r>
      <w:r>
        <w:rPr>
          <w:color w:val="auto"/>
          <w:highlight w:val="none"/>
        </w:rPr>
        <w:fldChar w:fldCharType="begin"/>
      </w:r>
      <w:r>
        <w:rPr>
          <w:color w:val="auto"/>
          <w:highlight w:val="none"/>
        </w:rPr>
        <w:instrText xml:space="preserve"> PAGEREF _Toc65679388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4BDBA42E">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"_Toc65679389" </w:instrText>
      </w:r>
      <w:r>
        <w:rPr>
          <w:color w:val="auto"/>
          <w:highlight w:val="none"/>
        </w:rPr>
        <w:fldChar w:fldCharType="separate"/>
      </w:r>
      <w:r>
        <w:rPr>
          <w:rStyle w:val="19"/>
          <w:rFonts w:ascii="黑体" w:hAnsi="黑体" w:eastAsia="黑体" w:cs="楷体_GB2312"/>
          <w:b/>
          <w:bCs/>
          <w:color w:val="auto"/>
          <w:highlight w:val="none"/>
          <w:lang w:val="zh-CN"/>
        </w:rPr>
        <w:t xml:space="preserve">10. </w:t>
      </w:r>
      <w:r>
        <w:rPr>
          <w:rStyle w:val="19"/>
          <w:rFonts w:hint="eastAsia" w:ascii="黑体" w:hAnsi="黑体" w:eastAsia="黑体" w:cs="楷体_GB2312"/>
          <w:b/>
          <w:bCs/>
          <w:color w:val="auto"/>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_Toc65679389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452FE21B">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"_Toc65679390" </w:instrText>
      </w:r>
      <w:r>
        <w:rPr>
          <w:color w:val="auto"/>
          <w:highlight w:val="none"/>
        </w:rPr>
        <w:fldChar w:fldCharType="separate"/>
      </w:r>
      <w:r>
        <w:rPr>
          <w:rStyle w:val="19"/>
          <w:rFonts w:ascii="黑体" w:hAnsi="黑体" w:eastAsia="黑体" w:cs="楷体_GB2312"/>
          <w:b/>
          <w:bCs/>
          <w:color w:val="auto"/>
          <w:highlight w:val="none"/>
          <w:lang w:val="zh-CN"/>
        </w:rPr>
        <w:t xml:space="preserve">11. </w:t>
      </w:r>
      <w:r>
        <w:rPr>
          <w:rStyle w:val="19"/>
          <w:rFonts w:hint="eastAsia" w:ascii="黑体" w:hAnsi="黑体" w:eastAsia="黑体" w:cs="楷体_GB2312"/>
          <w:b/>
          <w:bCs/>
          <w:color w:val="auto"/>
          <w:highlight w:val="none"/>
          <w:lang w:val="zh-CN"/>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_Toc65679390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454A5873">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"_Toc65679391" </w:instrText>
      </w:r>
      <w:r>
        <w:rPr>
          <w:color w:val="auto"/>
          <w:highlight w:val="none"/>
        </w:rPr>
        <w:fldChar w:fldCharType="separate"/>
      </w:r>
      <w:r>
        <w:rPr>
          <w:rStyle w:val="19"/>
          <w:rFonts w:hint="eastAsia" w:ascii="黑体" w:hAnsi="黑体" w:eastAsia="黑体"/>
          <w:b/>
          <w:color w:val="auto"/>
          <w:highlight w:val="none"/>
          <w:lang w:val="zh-CN"/>
        </w:rPr>
        <w:t>第四章</w:t>
      </w:r>
      <w:r>
        <w:rPr>
          <w:rStyle w:val="19"/>
          <w:rFonts w:ascii="黑体" w:hAnsi="黑体" w:eastAsia="黑体"/>
          <w:b/>
          <w:color w:val="auto"/>
          <w:highlight w:val="none"/>
          <w:lang w:val="zh-CN"/>
        </w:rPr>
        <w:t xml:space="preserve"> </w:t>
      </w:r>
      <w:r>
        <w:rPr>
          <w:rStyle w:val="19"/>
          <w:rFonts w:hint="eastAsia" w:ascii="黑体" w:hAnsi="黑体" w:eastAsia="黑体"/>
          <w:b/>
          <w:color w:val="auto"/>
          <w:highlight w:val="none"/>
          <w:lang w:val="zh-CN"/>
        </w:rPr>
        <w:t>评审办法</w:t>
      </w:r>
      <w:r>
        <w:rPr>
          <w:color w:val="auto"/>
          <w:highlight w:val="none"/>
        </w:rPr>
        <w:tab/>
      </w:r>
      <w:r>
        <w:rPr>
          <w:color w:val="auto"/>
          <w:highlight w:val="none"/>
        </w:rPr>
        <w:fldChar w:fldCharType="begin"/>
      </w:r>
      <w:r>
        <w:rPr>
          <w:color w:val="auto"/>
          <w:highlight w:val="none"/>
        </w:rPr>
        <w:instrText xml:space="preserve"> PAGEREF _Toc65679391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9CD28DF">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"_Toc65679392" </w:instrText>
      </w:r>
      <w:r>
        <w:rPr>
          <w:color w:val="auto"/>
          <w:highlight w:val="none"/>
        </w:rPr>
        <w:fldChar w:fldCharType="separate"/>
      </w:r>
      <w:r>
        <w:rPr>
          <w:rStyle w:val="19"/>
          <w:rFonts w:hint="eastAsia" w:ascii="黑体" w:hAnsi="黑体" w:eastAsia="黑体"/>
          <w:b/>
          <w:color w:val="auto"/>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_Toc65679392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73986453">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"_Toc65679393" </w:instrText>
      </w:r>
      <w:r>
        <w:rPr>
          <w:color w:val="auto"/>
          <w:highlight w:val="none"/>
        </w:rPr>
        <w:fldChar w:fldCharType="separate"/>
      </w:r>
      <w:r>
        <w:rPr>
          <w:rStyle w:val="19"/>
          <w:rFonts w:ascii="黑体" w:hAnsi="黑体" w:eastAsia="黑体" w:cs="楷体_GB2312"/>
          <w:b/>
          <w:bCs/>
          <w:color w:val="auto"/>
          <w:highlight w:val="none"/>
          <w:lang w:val="zh-CN"/>
        </w:rPr>
        <w:t xml:space="preserve">1. </w:t>
      </w:r>
      <w:r>
        <w:rPr>
          <w:rStyle w:val="19"/>
          <w:rFonts w:hint="eastAsia" w:ascii="黑体" w:hAnsi="黑体" w:eastAsia="黑体" w:cs="楷体_GB2312"/>
          <w:b/>
          <w:bCs/>
          <w:color w:val="auto"/>
          <w:highlight w:val="none"/>
          <w:lang w:val="zh-CN"/>
        </w:rPr>
        <w:t>评审方法（评定成交的标准）</w:t>
      </w:r>
      <w:r>
        <w:rPr>
          <w:color w:val="auto"/>
          <w:highlight w:val="none"/>
        </w:rPr>
        <w:tab/>
      </w:r>
      <w:r>
        <w:rPr>
          <w:color w:val="auto"/>
          <w:highlight w:val="none"/>
        </w:rPr>
        <w:fldChar w:fldCharType="begin"/>
      </w:r>
      <w:r>
        <w:rPr>
          <w:color w:val="auto"/>
          <w:highlight w:val="none"/>
        </w:rPr>
        <w:instrText xml:space="preserve"> PAGEREF _Toc65679393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04D6FD88">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"_Toc65679394" </w:instrText>
      </w:r>
      <w:r>
        <w:rPr>
          <w:color w:val="auto"/>
          <w:highlight w:val="none"/>
        </w:rPr>
        <w:fldChar w:fldCharType="separate"/>
      </w:r>
      <w:r>
        <w:rPr>
          <w:rStyle w:val="19"/>
          <w:rFonts w:ascii="黑体" w:hAnsi="黑体" w:eastAsia="黑体" w:cs="楷体_GB2312"/>
          <w:b/>
          <w:bCs/>
          <w:color w:val="auto"/>
          <w:highlight w:val="none"/>
          <w:lang w:val="zh-CN"/>
        </w:rPr>
        <w:t xml:space="preserve">2. </w:t>
      </w:r>
      <w:r>
        <w:rPr>
          <w:rStyle w:val="19"/>
          <w:rFonts w:hint="eastAsia" w:ascii="黑体" w:hAnsi="黑体" w:eastAsia="黑体" w:cs="楷体_GB2312"/>
          <w:b/>
          <w:bCs/>
          <w:color w:val="auto"/>
          <w:highlight w:val="none"/>
          <w:lang w:val="zh-CN"/>
        </w:rPr>
        <w:t>评审标准</w:t>
      </w:r>
      <w:r>
        <w:rPr>
          <w:color w:val="auto"/>
          <w:highlight w:val="none"/>
        </w:rPr>
        <w:tab/>
      </w:r>
      <w:r>
        <w:rPr>
          <w:color w:val="auto"/>
          <w:highlight w:val="none"/>
        </w:rPr>
        <w:fldChar w:fldCharType="begin"/>
      </w:r>
      <w:r>
        <w:rPr>
          <w:color w:val="auto"/>
          <w:highlight w:val="none"/>
        </w:rPr>
        <w:instrText xml:space="preserve"> PAGEREF _Toc65679394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37E3768D">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"_Toc65679395" </w:instrText>
      </w:r>
      <w:r>
        <w:rPr>
          <w:color w:val="auto"/>
          <w:highlight w:val="none"/>
        </w:rPr>
        <w:fldChar w:fldCharType="separate"/>
      </w:r>
      <w:r>
        <w:rPr>
          <w:rStyle w:val="19"/>
          <w:rFonts w:ascii="黑体" w:hAnsi="黑体" w:eastAsia="黑体" w:cs="楷体_GB2312"/>
          <w:b/>
          <w:bCs/>
          <w:color w:val="auto"/>
          <w:highlight w:val="none"/>
          <w:lang w:val="zh-CN"/>
        </w:rPr>
        <w:t xml:space="preserve">3. </w:t>
      </w:r>
      <w:r>
        <w:rPr>
          <w:rStyle w:val="19"/>
          <w:rFonts w:hint="eastAsia" w:ascii="黑体" w:hAnsi="黑体" w:eastAsia="黑体" w:cs="楷体_GB2312"/>
          <w:b/>
          <w:bCs/>
          <w:color w:val="auto"/>
          <w:highlight w:val="none"/>
          <w:lang w:val="zh-CN"/>
        </w:rPr>
        <w:t>评审程序</w:t>
      </w:r>
      <w:r>
        <w:rPr>
          <w:color w:val="auto"/>
          <w:highlight w:val="none"/>
        </w:rPr>
        <w:tab/>
      </w:r>
      <w:r>
        <w:rPr>
          <w:color w:val="auto"/>
          <w:highlight w:val="none"/>
        </w:rPr>
        <w:fldChar w:fldCharType="begin"/>
      </w:r>
      <w:r>
        <w:rPr>
          <w:color w:val="auto"/>
          <w:highlight w:val="none"/>
        </w:rPr>
        <w:instrText xml:space="preserve"> PAGEREF _Toc65679395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2F2BB1D3">
      <w:pPr>
        <w:pStyle w:val="11"/>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"_Toc65679396" </w:instrText>
      </w:r>
      <w:r>
        <w:rPr>
          <w:color w:val="auto"/>
          <w:highlight w:val="none"/>
        </w:rPr>
        <w:fldChar w:fldCharType="separate"/>
      </w:r>
      <w:r>
        <w:rPr>
          <w:rStyle w:val="19"/>
          <w:rFonts w:ascii="黑体" w:hAnsi="黑体" w:eastAsia="黑体" w:cs="楷体_GB2312"/>
          <w:b/>
          <w:bCs/>
          <w:color w:val="auto"/>
          <w:highlight w:val="none"/>
          <w:lang w:val="zh-CN"/>
        </w:rPr>
        <w:t xml:space="preserve">4. </w:t>
      </w:r>
      <w:r>
        <w:rPr>
          <w:rStyle w:val="19"/>
          <w:rFonts w:hint="eastAsia" w:ascii="黑体" w:hAnsi="黑体" w:eastAsia="黑体" w:cs="楷体_GB2312"/>
          <w:b/>
          <w:bCs/>
          <w:color w:val="auto"/>
          <w:highlight w:val="none"/>
          <w:lang w:val="zh-CN"/>
        </w:rPr>
        <w:t>政府采购促进中小企业发展扶持政策</w:t>
      </w:r>
      <w:r>
        <w:rPr>
          <w:color w:val="auto"/>
          <w:highlight w:val="none"/>
        </w:rPr>
        <w:tab/>
      </w:r>
      <w:r>
        <w:rPr>
          <w:color w:val="auto"/>
          <w:highlight w:val="none"/>
        </w:rPr>
        <w:fldChar w:fldCharType="begin"/>
      </w:r>
      <w:r>
        <w:rPr>
          <w:color w:val="auto"/>
          <w:highlight w:val="none"/>
        </w:rPr>
        <w:instrText xml:space="preserve"> PAGEREF _Toc65679396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4D4FDCA9">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"_Toc65679397" </w:instrText>
      </w:r>
      <w:r>
        <w:rPr>
          <w:color w:val="auto"/>
          <w:highlight w:val="none"/>
        </w:rPr>
        <w:fldChar w:fldCharType="separate"/>
      </w:r>
      <w:r>
        <w:rPr>
          <w:rStyle w:val="19"/>
          <w:rFonts w:hint="eastAsia" w:ascii="黑体" w:eastAsia="黑体"/>
          <w:b/>
          <w:color w:val="auto"/>
          <w:highlight w:val="none"/>
        </w:rPr>
        <w:t>第五章</w:t>
      </w:r>
      <w:r>
        <w:rPr>
          <w:rStyle w:val="19"/>
          <w:rFonts w:ascii="黑体" w:eastAsia="黑体"/>
          <w:b/>
          <w:color w:val="auto"/>
          <w:highlight w:val="none"/>
        </w:rPr>
        <w:t xml:space="preserve"> </w:t>
      </w:r>
      <w:r>
        <w:rPr>
          <w:rStyle w:val="19"/>
          <w:rFonts w:hint="eastAsia" w:ascii="黑体" w:eastAsia="黑体"/>
          <w:b/>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_Toc65679397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14:paraId="49021BE9">
      <w:pPr>
        <w:pStyle w:val="10"/>
        <w:tabs>
          <w:tab w:val="right" w:leader="dot" w:pos="9371"/>
        </w:tabs>
        <w:rPr>
          <w:rFonts w:ascii="Calibri" w:hAnsi="Calibri"/>
          <w:color w:val="auto"/>
          <w:kern w:val="2"/>
          <w:szCs w:val="22"/>
          <w:highlight w:val="none"/>
        </w:rPr>
      </w:pPr>
      <w:r>
        <w:rPr>
          <w:color w:val="auto"/>
          <w:highlight w:val="none"/>
        </w:rPr>
        <w:fldChar w:fldCharType="begin"/>
      </w:r>
      <w:r>
        <w:rPr>
          <w:color w:val="auto"/>
          <w:highlight w:val="none"/>
        </w:rPr>
        <w:instrText xml:space="preserve"> HYPERLINK \l "_Toc65679398" </w:instrText>
      </w:r>
      <w:r>
        <w:rPr>
          <w:color w:val="auto"/>
          <w:highlight w:val="none"/>
        </w:rPr>
        <w:fldChar w:fldCharType="separate"/>
      </w:r>
      <w:r>
        <w:rPr>
          <w:rStyle w:val="19"/>
          <w:rFonts w:hint="eastAsia" w:ascii="黑体" w:hAnsi="黑体" w:eastAsia="黑体"/>
          <w:b/>
          <w:color w:val="auto"/>
          <w:highlight w:val="none"/>
          <w:lang w:val="zh-CN"/>
        </w:rPr>
        <w:t>第六章</w:t>
      </w:r>
      <w:r>
        <w:rPr>
          <w:rStyle w:val="19"/>
          <w:rFonts w:ascii="黑体" w:hAnsi="黑体" w:eastAsia="黑体"/>
          <w:b/>
          <w:color w:val="auto"/>
          <w:highlight w:val="none"/>
          <w:lang w:val="zh-CN"/>
        </w:rPr>
        <w:t xml:space="preserve"> </w:t>
      </w:r>
      <w:r>
        <w:rPr>
          <w:rStyle w:val="19"/>
          <w:rFonts w:hint="eastAsia" w:ascii="黑体" w:hAnsi="黑体" w:eastAsia="黑体"/>
          <w:b/>
          <w:color w:val="auto"/>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_Toc65679398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736D1A7D">
      <w:pPr>
        <w:rPr>
          <w:color w:val="auto"/>
          <w:highlight w:val="none"/>
        </w:rPr>
      </w:pPr>
      <w:r>
        <w:rPr>
          <w:color w:val="auto"/>
          <w:highlight w:val="none"/>
        </w:rPr>
        <w:fldChar w:fldCharType="end"/>
      </w:r>
    </w:p>
    <w:p w14:paraId="6C53511C">
      <w:pPr>
        <w:widowControl w:val="0"/>
        <w:snapToGrid w:val="0"/>
        <w:spacing w:line="660" w:lineRule="exact"/>
        <w:ind w:firstLine="607" w:firstLineChars="168"/>
        <w:rPr>
          <w:rFonts w:ascii="黑体" w:hAnsi="黑体" w:eastAsia="黑体"/>
          <w:b/>
          <w:color w:val="auto"/>
          <w:sz w:val="36"/>
          <w:szCs w:val="36"/>
          <w:highlight w:val="none"/>
        </w:rPr>
      </w:pPr>
    </w:p>
    <w:p w14:paraId="13092140">
      <w:pPr>
        <w:widowControl w:val="0"/>
        <w:snapToGrid w:val="0"/>
        <w:spacing w:line="560" w:lineRule="exact"/>
        <w:ind w:firstLine="181" w:firstLineChars="50"/>
        <w:rPr>
          <w:rFonts w:ascii="黑体" w:eastAsia="黑体"/>
          <w:b/>
          <w:color w:val="auto"/>
          <w:sz w:val="36"/>
          <w:szCs w:val="36"/>
          <w:highlight w:val="none"/>
        </w:rPr>
        <w:sectPr>
          <w:pgSz w:w="11905" w:h="16837"/>
          <w:pgMar w:top="1418" w:right="1106" w:bottom="1418" w:left="1418" w:header="567" w:footer="567" w:gutter="0"/>
          <w:pgNumType w:fmt="numberInDash" w:start="0"/>
          <w:cols w:space="720" w:num="1"/>
          <w:titlePg/>
        </w:sectPr>
      </w:pPr>
    </w:p>
    <w:p w14:paraId="040B0420">
      <w:pPr>
        <w:widowControl w:val="0"/>
        <w:snapToGrid w:val="0"/>
        <w:spacing w:line="560" w:lineRule="exact"/>
        <w:jc w:val="left"/>
        <w:rPr>
          <w:rFonts w:ascii="宋体"/>
          <w:b/>
          <w:color w:val="auto"/>
          <w:sz w:val="24"/>
          <w:szCs w:val="24"/>
          <w:highlight w:val="none"/>
        </w:rPr>
      </w:pPr>
    </w:p>
    <w:p w14:paraId="0142055C">
      <w:pPr>
        <w:widowControl w:val="0"/>
        <w:snapToGrid w:val="0"/>
        <w:spacing w:line="560" w:lineRule="exact"/>
        <w:jc w:val="center"/>
        <w:outlineLvl w:val="0"/>
        <w:rPr>
          <w:color w:val="auto"/>
          <w:sz w:val="36"/>
          <w:szCs w:val="36"/>
          <w:highlight w:val="none"/>
        </w:rPr>
      </w:pPr>
      <w:bookmarkStart w:id="0" w:name="_Toc65679374"/>
      <w:r>
        <w:rPr>
          <w:rFonts w:hint="eastAsia" w:eastAsia="黑体"/>
          <w:b/>
          <w:color w:val="auto"/>
          <w:sz w:val="36"/>
          <w:szCs w:val="36"/>
          <w:highlight w:val="none"/>
        </w:rPr>
        <w:t>第一章</w:t>
      </w:r>
      <w:r>
        <w:rPr>
          <w:rFonts w:eastAsia="黑体"/>
          <w:b/>
          <w:color w:val="auto"/>
          <w:sz w:val="36"/>
          <w:szCs w:val="36"/>
          <w:highlight w:val="none"/>
        </w:rPr>
        <w:t xml:space="preserve"> </w:t>
      </w:r>
      <w:r>
        <w:rPr>
          <w:rFonts w:hint="eastAsia" w:eastAsia="黑体"/>
          <w:b/>
          <w:color w:val="auto"/>
          <w:sz w:val="36"/>
          <w:szCs w:val="36"/>
          <w:highlight w:val="none"/>
        </w:rPr>
        <w:t>谈判公告</w:t>
      </w:r>
      <w:bookmarkEnd w:id="0"/>
    </w:p>
    <w:p w14:paraId="4ED22D1A">
      <w:pPr>
        <w:widowControl w:val="0"/>
        <w:snapToGrid w:val="0"/>
        <w:spacing w:line="360" w:lineRule="auto"/>
        <w:ind w:firstLine="566"/>
        <w:rPr>
          <w:color w:val="auto"/>
          <w:sz w:val="28"/>
          <w:szCs w:val="28"/>
          <w:highlight w:val="none"/>
        </w:rPr>
      </w:pPr>
    </w:p>
    <w:p w14:paraId="65542850">
      <w:pPr>
        <w:widowControl w:val="0"/>
        <w:adjustRightInd w:val="0"/>
        <w:snapToGrid w:val="0"/>
        <w:spacing w:line="360" w:lineRule="auto"/>
        <w:ind w:firstLine="632" w:firstLineChars="225"/>
        <w:jc w:val="left"/>
        <w:rPr>
          <w:rFonts w:ascii="黑体" w:hAnsi="黑体" w:eastAsia="黑体"/>
          <w:b/>
          <w:color w:val="auto"/>
          <w:sz w:val="28"/>
          <w:szCs w:val="28"/>
          <w:highlight w:val="none"/>
        </w:rPr>
      </w:pPr>
      <w:r>
        <w:rPr>
          <w:rFonts w:hint="eastAsia" w:ascii="黑体" w:hAnsi="黑体" w:eastAsia="黑体"/>
          <w:b/>
          <w:color w:val="auto"/>
          <w:sz w:val="28"/>
          <w:szCs w:val="28"/>
          <w:highlight w:val="none"/>
        </w:rPr>
        <w:t>1.项目基本情况</w:t>
      </w:r>
    </w:p>
    <w:p w14:paraId="74010E47">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项目编号：豫财竞谈-2024-44</w:t>
      </w:r>
    </w:p>
    <w:p w14:paraId="48744DB4">
      <w:pPr>
        <w:widowControl w:val="0"/>
        <w:adjustRightInd w:val="0"/>
        <w:snapToGrid w:val="0"/>
        <w:spacing w:line="360" w:lineRule="auto"/>
        <w:ind w:firstLine="540" w:firstLineChars="225"/>
        <w:jc w:val="left"/>
        <w:rPr>
          <w:rFonts w:hint="eastAsia" w:eastAsia="宋体"/>
          <w:color w:val="auto"/>
          <w:sz w:val="24"/>
          <w:szCs w:val="24"/>
          <w:highlight w:val="none"/>
          <w:lang w:eastAsia="zh-CN"/>
        </w:rPr>
      </w:pPr>
      <w:r>
        <w:rPr>
          <w:rFonts w:ascii="宋体" w:hAnsi="宋体"/>
          <w:color w:val="auto"/>
          <w:sz w:val="24"/>
          <w:szCs w:val="24"/>
          <w:highlight w:val="none"/>
        </w:rPr>
        <w:t>1.2</w:t>
      </w:r>
      <w:r>
        <w:rPr>
          <w:rFonts w:hint="eastAsia" w:ascii="宋体" w:hAnsi="宋体"/>
          <w:color w:val="auto"/>
          <w:sz w:val="24"/>
          <w:szCs w:val="24"/>
          <w:highlight w:val="none"/>
        </w:rPr>
        <w:t>项目名称：</w:t>
      </w:r>
      <w:r>
        <w:rPr>
          <w:rFonts w:hint="eastAsia"/>
          <w:color w:val="auto"/>
          <w:sz w:val="24"/>
          <w:szCs w:val="24"/>
          <w:highlight w:val="none"/>
        </w:rPr>
        <w:t>河南省安阳市中级人民法院移动办公办案系统升级服务项目</w:t>
      </w:r>
      <w:r>
        <w:rPr>
          <w:rFonts w:hint="eastAsia"/>
          <w:color w:val="auto"/>
          <w:sz w:val="24"/>
          <w:szCs w:val="24"/>
          <w:highlight w:val="none"/>
          <w:lang w:eastAsia="zh-CN"/>
        </w:rPr>
        <w:t>（</w:t>
      </w:r>
      <w:r>
        <w:rPr>
          <w:rFonts w:hint="eastAsia"/>
          <w:color w:val="auto"/>
          <w:sz w:val="24"/>
          <w:szCs w:val="24"/>
          <w:highlight w:val="none"/>
          <w:lang w:val="en-US" w:eastAsia="zh-CN"/>
        </w:rPr>
        <w:t>二次</w:t>
      </w:r>
      <w:r>
        <w:rPr>
          <w:rFonts w:hint="eastAsia"/>
          <w:color w:val="auto"/>
          <w:sz w:val="24"/>
          <w:szCs w:val="24"/>
          <w:highlight w:val="none"/>
          <w:lang w:eastAsia="zh-CN"/>
        </w:rPr>
        <w:t>）</w:t>
      </w:r>
    </w:p>
    <w:p w14:paraId="6B1080B2">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1.3采购方式：竞争性谈判</w:t>
      </w:r>
    </w:p>
    <w:p w14:paraId="25894577">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4预算金额：26</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万元</w:t>
      </w:r>
      <w:r>
        <w:rPr>
          <w:rFonts w:ascii="宋体" w:hAnsi="宋体"/>
          <w:color w:val="auto"/>
          <w:sz w:val="24"/>
          <w:szCs w:val="24"/>
          <w:highlight w:val="none"/>
        </w:rPr>
        <w:t xml:space="preserve"> </w:t>
      </w:r>
    </w:p>
    <w:p w14:paraId="64174132">
      <w:pPr>
        <w:adjustRightInd w:val="0"/>
        <w:snapToGrid w:val="0"/>
        <w:spacing w:line="360" w:lineRule="auto"/>
        <w:ind w:firstLine="540" w:firstLineChars="225"/>
        <w:rPr>
          <w:rFonts w:ascii="宋体"/>
          <w:b/>
          <w:color w:val="auto"/>
          <w:szCs w:val="21"/>
          <w:highlight w:val="none"/>
        </w:rPr>
      </w:pPr>
      <w:r>
        <w:rPr>
          <w:rFonts w:hint="eastAsia" w:ascii="宋体" w:hAnsi="宋体"/>
          <w:color w:val="auto"/>
          <w:sz w:val="24"/>
          <w:szCs w:val="24"/>
          <w:highlight w:val="none"/>
        </w:rPr>
        <w:t>1.5采购需求：</w:t>
      </w:r>
      <w:r>
        <w:rPr>
          <w:rFonts w:hint="eastAsia"/>
          <w:color w:val="auto"/>
          <w:sz w:val="24"/>
          <w:szCs w:val="24"/>
          <w:highlight w:val="none"/>
        </w:rPr>
        <w:t>移动办公办案系统升级服务</w:t>
      </w:r>
      <w:r>
        <w:rPr>
          <w:rFonts w:hint="eastAsia" w:ascii="宋体" w:hAnsi="宋体"/>
          <w:color w:val="auto"/>
          <w:sz w:val="24"/>
          <w:szCs w:val="24"/>
          <w:highlight w:val="none"/>
        </w:rPr>
        <w:t>，技术参数详见《谈判文件》“服务要求”</w:t>
      </w:r>
    </w:p>
    <w:p w14:paraId="2D03F2F9">
      <w:pPr>
        <w:adjustRightInd w:val="0"/>
        <w:snapToGrid w:val="0"/>
        <w:spacing w:line="360" w:lineRule="auto"/>
        <w:ind w:firstLine="540" w:firstLineChars="225"/>
        <w:rPr>
          <w:color w:val="auto"/>
          <w:sz w:val="24"/>
          <w:szCs w:val="24"/>
          <w:highlight w:val="none"/>
        </w:rPr>
      </w:pPr>
      <w:r>
        <w:rPr>
          <w:rFonts w:hint="eastAsia" w:ascii="宋体" w:hAnsi="宋体"/>
          <w:color w:val="auto"/>
          <w:sz w:val="24"/>
          <w:szCs w:val="24"/>
          <w:highlight w:val="none"/>
        </w:rPr>
        <w:t>1.6合同履行期限：</w:t>
      </w:r>
      <w:r>
        <w:rPr>
          <w:rFonts w:hint="eastAsia"/>
          <w:color w:val="auto"/>
          <w:sz w:val="24"/>
          <w:szCs w:val="24"/>
          <w:highlight w:val="none"/>
        </w:rPr>
        <w:t>合同签订日起</w:t>
      </w:r>
      <w:r>
        <w:rPr>
          <w:rFonts w:hint="eastAsia" w:ascii="宋体" w:hAnsi="宋体"/>
          <w:color w:val="auto"/>
          <w:sz w:val="24"/>
          <w:szCs w:val="24"/>
          <w:highlight w:val="none"/>
        </w:rPr>
        <w:t>2年</w:t>
      </w:r>
    </w:p>
    <w:p w14:paraId="449158EB">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1.7本项目（是/否）接受联合体投标：否</w:t>
      </w:r>
    </w:p>
    <w:p w14:paraId="7ED5558D">
      <w:pPr>
        <w:widowControl w:val="0"/>
        <w:adjustRightInd w:val="0"/>
        <w:snapToGrid w:val="0"/>
        <w:spacing w:line="360" w:lineRule="auto"/>
        <w:ind w:firstLine="540" w:firstLineChars="225"/>
        <w:jc w:val="left"/>
        <w:rPr>
          <w:rFonts w:ascii="宋体"/>
          <w:color w:val="auto"/>
          <w:sz w:val="24"/>
          <w:szCs w:val="24"/>
          <w:highlight w:val="none"/>
        </w:rPr>
      </w:pPr>
      <w:r>
        <w:rPr>
          <w:rFonts w:hint="eastAsia" w:ascii="宋体" w:hAnsi="宋体"/>
          <w:color w:val="auto"/>
          <w:sz w:val="24"/>
          <w:szCs w:val="24"/>
          <w:highlight w:val="none"/>
        </w:rPr>
        <w:t>1.8是否接受进口产品：否</w:t>
      </w:r>
    </w:p>
    <w:p w14:paraId="051E0717">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2.申请人的资格要求：</w:t>
      </w:r>
    </w:p>
    <w:p w14:paraId="76801005">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14:paraId="0B0CC4D3">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落实政府采购政策需满足的资格要求：无专项资格要求。</w:t>
      </w:r>
    </w:p>
    <w:p w14:paraId="09BD078D">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2.3本项目的特定资格要求：</w:t>
      </w:r>
    </w:p>
    <w:p w14:paraId="38D3BA28">
      <w:pPr>
        <w:widowControl w:val="0"/>
        <w:adjustRightInd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rPr>
        <w:t>《政府采购法》第二十二条第一款--法定基本资格条件需提供的相关资格证明材料（文件）：</w:t>
      </w:r>
    </w:p>
    <w:p w14:paraId="50728DDC">
      <w:pPr>
        <w:widowControl w:val="0"/>
        <w:snapToGrid w:val="0"/>
        <w:spacing w:line="360" w:lineRule="auto"/>
        <w:ind w:firstLine="540" w:firstLineChars="225"/>
        <w:rPr>
          <w:rFonts w:hint="eastAsia" w:ascii="微软雅黑" w:hAnsi="微软雅黑" w:eastAsia="微软雅黑"/>
          <w:color w:val="auto"/>
          <w:szCs w:val="21"/>
          <w:highlight w:val="none"/>
          <w:shd w:val="clear" w:color="auto" w:fill="FFFFFF"/>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highlight w:val="none"/>
          <w:shd w:val="clear" w:color="auto" w:fill="FFFFFF"/>
        </w:rPr>
        <w:t>。</w:t>
      </w:r>
    </w:p>
    <w:p w14:paraId="7CF655B0">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注：根据法规要求，如投标人为具备合法经营(业务)范围的基础电信业务运营商或广电网络运营商的，可授权其分公司使用其资格和资质参与该项目投标。■提供总公司的资格证明文件、分公司营业执照、总公司授权分公司投标的授权书。</w:t>
      </w:r>
    </w:p>
    <w:p w14:paraId="5F92E362">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）具有良好的商业信誉和健全的财务会计制度，有依法缴纳税收和社会保障资金的良好记录。■提供银行出具的近</w:t>
      </w:r>
      <w:r>
        <w:rPr>
          <w:rFonts w:ascii="宋体" w:hAnsi="宋体"/>
          <w:color w:val="auto"/>
          <w:sz w:val="24"/>
          <w:szCs w:val="24"/>
          <w:highlight w:val="none"/>
        </w:rPr>
        <w:t>1</w:t>
      </w:r>
      <w:r>
        <w:rPr>
          <w:rFonts w:hint="eastAsia" w:ascii="宋体" w:hAnsi="宋体"/>
          <w:color w:val="auto"/>
          <w:sz w:val="24"/>
          <w:szCs w:val="24"/>
          <w:highlight w:val="none"/>
        </w:rPr>
        <w:t>年内资信证明（法人为基本开户行）、或2022年度以来（任一年度）经审计的财务报告、或银行（保险公司）出具的投标担保函；■提供近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个月）已依法缴纳税收的凭据；■提供近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个月）已依法缴纳社会保险的凭据。</w:t>
      </w:r>
    </w:p>
    <w:p w14:paraId="0085A3F7">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依法免税或不需要缴纳社会保障资金的供应商，应提供相应证明文件。</w:t>
      </w:r>
    </w:p>
    <w:p w14:paraId="2BB0DFAE">
      <w:pPr>
        <w:widowControl w:val="0"/>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具备履行合同所必需的设备和专业技术能力。■提供相关设备或设施的购置发票或单据（任一），■专业人员用工合同（任一人），或技术人员的职称证书或职业（执业）资格证或等级证书等相关证书（任一人）等的证明材料。</w:t>
      </w:r>
    </w:p>
    <w:p w14:paraId="62628FED">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）参加政府采购活动前</w:t>
      </w:r>
      <w:r>
        <w:rPr>
          <w:rFonts w:ascii="宋体" w:hAnsi="宋体"/>
          <w:color w:val="auto"/>
          <w:sz w:val="24"/>
          <w:szCs w:val="24"/>
          <w:highlight w:val="none"/>
        </w:rPr>
        <w:t>3</w:t>
      </w:r>
      <w:r>
        <w:rPr>
          <w:rFonts w:hint="eastAsia" w:ascii="宋体" w:hAnsi="宋体"/>
          <w:color w:val="auto"/>
          <w:sz w:val="24"/>
          <w:szCs w:val="24"/>
          <w:highlight w:val="none"/>
        </w:rPr>
        <w:t>年内在经营活动中没有重大违法记录。■提供供应商书面声明；供应商自行承诺并承担后果，声明函不实的，按《政府采购法》有关提供虚假材料的有关规定给予处罚。</w:t>
      </w:r>
    </w:p>
    <w:p w14:paraId="598093A1">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14:paraId="1A5304C4">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在“信用中国”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hint="eastAsia" w:ascii="宋体" w:hAnsi="宋体"/>
          <w:b/>
          <w:color w:val="auto"/>
          <w:sz w:val="24"/>
          <w:szCs w:val="24"/>
          <w:highlight w:val="none"/>
        </w:rPr>
        <w:t>均未列入</w:t>
      </w:r>
      <w:r>
        <w:rPr>
          <w:rFonts w:ascii="宋体" w:hAnsi="宋体"/>
          <w:color w:val="auto"/>
          <w:sz w:val="24"/>
          <w:szCs w:val="24"/>
          <w:highlight w:val="none"/>
        </w:rPr>
        <w:t>)</w:t>
      </w:r>
    </w:p>
    <w:p w14:paraId="7D946ED1">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供应商递交《响应文件》后，采购人或者采购代理机构将按以上信用信息查询渠道在解密《响应文件》之前对参加本项目的供应商信用记录进行查询，供应商有上述任一不良信用记录的，其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14:paraId="6579AF0B">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2308E45F">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5D9126C3">
      <w:pPr>
        <w:widowControl w:val="0"/>
        <w:snapToGrid w:val="0"/>
        <w:spacing w:line="360" w:lineRule="auto"/>
        <w:ind w:firstLine="540" w:firstLineChars="225"/>
        <w:rPr>
          <w:color w:val="auto"/>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14:paraId="7ACBBADE">
      <w:pPr>
        <w:widowControl w:val="0"/>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（1）具备法律、行政法规规定的其他条件。</w:t>
      </w:r>
    </w:p>
    <w:p w14:paraId="7F70C6C1">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（2）本项目（是/否）接受联合体投标：同“项目基本情况”1.7款要求。</w:t>
      </w:r>
    </w:p>
    <w:p w14:paraId="58368571">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注：（1）</w:t>
      </w:r>
      <w:r>
        <w:rPr>
          <w:rFonts w:hint="eastAsia" w:ascii="宋体" w:hAnsi="宋体"/>
          <w:color w:val="auto"/>
          <w:sz w:val="24"/>
          <w:szCs w:val="24"/>
          <w:highlight w:val="none"/>
        </w:rPr>
        <w:t>所</w:t>
      </w:r>
      <w:r>
        <w:rPr>
          <w:rFonts w:hint="eastAsia"/>
          <w:color w:val="auto"/>
          <w:sz w:val="24"/>
          <w:szCs w:val="24"/>
          <w:highlight w:val="none"/>
        </w:rPr>
        <w:t>有证照均应为有效的证照；文中“近”、“前”指距投标截止时间。</w:t>
      </w:r>
    </w:p>
    <w:p w14:paraId="3B0BAF1E">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（2）资格证明材料（文件）应附于投标文件中并经投</w:t>
      </w:r>
      <w:r>
        <w:rPr>
          <w:color w:val="auto"/>
          <w:sz w:val="24"/>
          <w:szCs w:val="24"/>
          <w:highlight w:val="none"/>
        </w:rPr>
        <w:t>标人</w:t>
      </w:r>
      <w:r>
        <w:rPr>
          <w:rFonts w:hint="eastAsia" w:ascii="宋体" w:hAnsi="宋体" w:cs="楷体_GB2312"/>
          <w:color w:val="auto"/>
          <w:sz w:val="24"/>
          <w:highlight w:val="none"/>
        </w:rPr>
        <w:t>电子签章</w:t>
      </w:r>
      <w:r>
        <w:rPr>
          <w:rFonts w:hint="eastAsia"/>
          <w:color w:val="auto"/>
          <w:sz w:val="24"/>
          <w:szCs w:val="24"/>
          <w:highlight w:val="none"/>
        </w:rPr>
        <w:t>。投标人对资格证明文件真实性有效合规承担责任，提供虚假材料的为无效投标并将进一步追究其责任。</w:t>
      </w:r>
    </w:p>
    <w:p w14:paraId="74BC4250">
      <w:pPr>
        <w:pStyle w:val="13"/>
        <w:shd w:val="clear" w:color="auto" w:fill="FFFFFF"/>
        <w:adjustRightInd w:val="0"/>
        <w:spacing w:before="50" w:beforeAutospacing="0" w:after="0" w:afterAutospacing="0" w:line="300" w:lineRule="auto"/>
        <w:ind w:firstLine="540" w:firstLineChars="225"/>
        <w:rPr>
          <w:color w:val="auto"/>
          <w:highlight w:val="none"/>
        </w:rPr>
      </w:pPr>
      <w:r>
        <w:rPr>
          <w:rFonts w:hint="eastAsia"/>
          <w:color w:val="auto"/>
          <w:highlight w:val="none"/>
        </w:rPr>
        <w:t>（3）本项目采取资格后审，开标后，将由谈判小组对投标人的资格证明材料（文件）进行资格审核，未按要求逐一提供、或资格审查不合格的为无效投标，投标人应自负其风险费用。</w:t>
      </w:r>
    </w:p>
    <w:p w14:paraId="11EC3D5F">
      <w:pPr>
        <w:widowControl w:val="0"/>
        <w:snapToGrid w:val="0"/>
        <w:spacing w:line="360" w:lineRule="auto"/>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3</w:t>
      </w:r>
      <w:r>
        <w:rPr>
          <w:rFonts w:hint="eastAsia" w:ascii="黑体" w:hAnsi="黑体" w:eastAsia="黑体"/>
          <w:b/>
          <w:color w:val="auto"/>
          <w:sz w:val="28"/>
          <w:szCs w:val="28"/>
          <w:highlight w:val="none"/>
        </w:rPr>
        <w:t>．获取谈判文件</w:t>
      </w:r>
    </w:p>
    <w:p w14:paraId="6C3A3563">
      <w:pPr>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3.1</w:t>
      </w:r>
      <w:r>
        <w:rPr>
          <w:rFonts w:hint="eastAsia"/>
          <w:color w:val="auto"/>
          <w:sz w:val="24"/>
          <w:szCs w:val="24"/>
          <w:highlight w:val="none"/>
        </w:rPr>
        <w:t>时间：</w:t>
      </w:r>
      <w:r>
        <w:rPr>
          <w:rFonts w:hint="eastAsia"/>
          <w:color w:val="auto"/>
          <w:sz w:val="24"/>
          <w:szCs w:val="24"/>
          <w:highlight w:val="none"/>
          <w:u w:val="single"/>
          <w:lang w:val="en-US" w:eastAsia="zh-CN"/>
        </w:rPr>
        <w:t>2024</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13</w:t>
      </w:r>
      <w:r>
        <w:rPr>
          <w:rFonts w:hint="eastAsia"/>
          <w:color w:val="auto"/>
          <w:sz w:val="24"/>
          <w:szCs w:val="24"/>
          <w:highlight w:val="none"/>
        </w:rPr>
        <w:t>日至</w:t>
      </w:r>
      <w:r>
        <w:rPr>
          <w:rFonts w:hint="eastAsia"/>
          <w:color w:val="auto"/>
          <w:sz w:val="24"/>
          <w:szCs w:val="24"/>
          <w:highlight w:val="none"/>
          <w:u w:val="single"/>
          <w:lang w:val="en-US" w:eastAsia="zh-CN"/>
        </w:rPr>
        <w:t>2024</w:t>
      </w:r>
      <w:r>
        <w:rPr>
          <w:rFonts w:hint="eastAsia"/>
          <w:color w:val="auto"/>
          <w:sz w:val="24"/>
          <w:szCs w:val="24"/>
          <w:highlight w:val="none"/>
        </w:rPr>
        <w:t>年</w:t>
      </w:r>
      <w:r>
        <w:rPr>
          <w:rFonts w:hint="eastAsia"/>
          <w:color w:val="auto"/>
          <w:sz w:val="24"/>
          <w:szCs w:val="24"/>
          <w:highlight w:val="none"/>
          <w:u w:val="single"/>
          <w:lang w:val="en-US" w:eastAsia="zh-CN"/>
        </w:rPr>
        <w:t>9</w:t>
      </w:r>
      <w:r>
        <w:rPr>
          <w:rFonts w:hint="eastAsia"/>
          <w:color w:val="auto"/>
          <w:sz w:val="24"/>
          <w:szCs w:val="24"/>
          <w:highlight w:val="none"/>
        </w:rPr>
        <w:t>月</w:t>
      </w:r>
      <w:r>
        <w:rPr>
          <w:rFonts w:hint="eastAsia"/>
          <w:color w:val="auto"/>
          <w:sz w:val="24"/>
          <w:szCs w:val="24"/>
          <w:highlight w:val="none"/>
          <w:u w:val="single"/>
          <w:lang w:val="en-US" w:eastAsia="zh-CN"/>
        </w:rPr>
        <w:t>19</w:t>
      </w:r>
      <w:r>
        <w:rPr>
          <w:rFonts w:hint="eastAsia"/>
          <w:color w:val="auto"/>
          <w:sz w:val="24"/>
          <w:szCs w:val="24"/>
          <w:highlight w:val="none"/>
        </w:rPr>
        <w:t>日，</w:t>
      </w:r>
      <w:r>
        <w:rPr>
          <w:rFonts w:hint="eastAsia"/>
          <w:color w:val="auto"/>
          <w:sz w:val="24"/>
          <w:szCs w:val="24"/>
        </w:rPr>
        <w:t>每天上午</w:t>
      </w:r>
      <w:r>
        <w:rPr>
          <w:rFonts w:hint="eastAsia"/>
          <w:color w:val="auto"/>
          <w:sz w:val="24"/>
          <w:szCs w:val="24"/>
          <w:u w:val="single"/>
        </w:rPr>
        <w:t>00:00</w:t>
      </w:r>
      <w:r>
        <w:rPr>
          <w:rFonts w:hint="eastAsia"/>
          <w:color w:val="auto"/>
          <w:sz w:val="24"/>
          <w:szCs w:val="24"/>
        </w:rPr>
        <w:t>至</w:t>
      </w:r>
      <w:r>
        <w:rPr>
          <w:rFonts w:hint="eastAsia"/>
          <w:color w:val="auto"/>
          <w:sz w:val="24"/>
          <w:szCs w:val="24"/>
          <w:u w:val="single"/>
        </w:rPr>
        <w:t>12:00</w:t>
      </w:r>
      <w:r>
        <w:rPr>
          <w:rFonts w:hint="eastAsia"/>
          <w:color w:val="auto"/>
          <w:sz w:val="24"/>
          <w:szCs w:val="24"/>
        </w:rPr>
        <w:t>，下午</w:t>
      </w:r>
      <w:r>
        <w:rPr>
          <w:rFonts w:hint="eastAsia"/>
          <w:color w:val="auto"/>
          <w:sz w:val="24"/>
          <w:szCs w:val="24"/>
          <w:u w:val="single"/>
        </w:rPr>
        <w:t>12:00</w:t>
      </w:r>
      <w:r>
        <w:rPr>
          <w:rFonts w:hint="eastAsia"/>
          <w:color w:val="auto"/>
          <w:sz w:val="24"/>
          <w:szCs w:val="24"/>
        </w:rPr>
        <w:t>至</w:t>
      </w:r>
      <w:r>
        <w:rPr>
          <w:rFonts w:hint="eastAsia"/>
          <w:color w:val="auto"/>
          <w:sz w:val="24"/>
          <w:szCs w:val="24"/>
          <w:u w:val="single"/>
        </w:rPr>
        <w:t>23:59</w:t>
      </w:r>
      <w:r>
        <w:rPr>
          <w:rFonts w:hint="eastAsia"/>
          <w:color w:val="auto"/>
          <w:sz w:val="24"/>
          <w:szCs w:val="24"/>
          <w:highlight w:val="none"/>
        </w:rPr>
        <w:t>（北京时间，</w:t>
      </w:r>
      <w:r>
        <w:rPr>
          <w:color w:val="auto"/>
          <w:sz w:val="24"/>
          <w:szCs w:val="24"/>
          <w:highlight w:val="none"/>
        </w:rPr>
        <w:t>法定节假日</w:t>
      </w:r>
      <w:r>
        <w:rPr>
          <w:rFonts w:hint="eastAsia"/>
          <w:color w:val="auto"/>
          <w:sz w:val="24"/>
          <w:szCs w:val="24"/>
          <w:highlight w:val="none"/>
        </w:rPr>
        <w:t>除外）</w:t>
      </w:r>
    </w:p>
    <w:p w14:paraId="1C16B4EA">
      <w:pPr>
        <w:widowControl w:val="0"/>
        <w:snapToGrid w:val="0"/>
        <w:spacing w:line="360" w:lineRule="auto"/>
        <w:ind w:left="55" w:leftChars="26" w:firstLine="540" w:firstLineChars="225"/>
        <w:rPr>
          <w:rFonts w:ascii="宋体" w:hAnsi="宋体"/>
          <w:b/>
          <w:color w:val="auto"/>
          <w:sz w:val="24"/>
          <w:szCs w:val="24"/>
          <w:highlight w:val="none"/>
        </w:rPr>
      </w:pPr>
      <w:r>
        <w:rPr>
          <w:rFonts w:hint="eastAsia" w:ascii="宋体" w:hAnsi="宋体"/>
          <w:color w:val="auto"/>
          <w:sz w:val="24"/>
          <w:szCs w:val="24"/>
          <w:highlight w:val="none"/>
        </w:rPr>
        <w:t>3.2地点</w:t>
      </w:r>
      <w:r>
        <w:rPr>
          <w:rFonts w:hint="eastAsia"/>
          <w:color w:val="auto"/>
          <w:sz w:val="24"/>
          <w:szCs w:val="24"/>
          <w:highlight w:val="none"/>
        </w:rPr>
        <w:t>：</w:t>
      </w:r>
      <w:r>
        <w:rPr>
          <w:rFonts w:hint="eastAsia"/>
          <w:b/>
          <w:bCs/>
          <w:color w:val="auto"/>
          <w:sz w:val="24"/>
          <w:szCs w:val="24"/>
          <w:highlight w:val="none"/>
        </w:rPr>
        <w:t>登陆安阳市公共资源交易中心网站（</w:t>
      </w:r>
      <w:r>
        <w:rPr>
          <w:b/>
          <w:bCs/>
          <w:color w:val="auto"/>
          <w:sz w:val="24"/>
          <w:szCs w:val="24"/>
          <w:highlight w:val="none"/>
        </w:rPr>
        <w:t>https://xwz.ggzy.anyang.gov.cn:3720/ayggzy/</w:t>
      </w:r>
      <w:r>
        <w:rPr>
          <w:rFonts w:hint="eastAsia"/>
          <w:b/>
          <w:bCs/>
          <w:color w:val="auto"/>
          <w:sz w:val="24"/>
          <w:szCs w:val="24"/>
          <w:highlight w:val="none"/>
        </w:rPr>
        <w:t>），在【交易主体登录】入口完成注册。凭数字证书下载谈判文件及其它资料。</w:t>
      </w:r>
    </w:p>
    <w:p w14:paraId="645D055C">
      <w:pPr>
        <w:spacing w:line="360" w:lineRule="auto"/>
        <w:ind w:firstLine="540"/>
        <w:rPr>
          <w:b/>
          <w:bCs/>
          <w:color w:val="auto"/>
          <w:sz w:val="24"/>
          <w:szCs w:val="24"/>
          <w:highlight w:val="none"/>
        </w:rPr>
      </w:pPr>
      <w:r>
        <w:rPr>
          <w:rFonts w:hint="eastAsia" w:ascii="宋体" w:hAnsi="宋体"/>
          <w:color w:val="auto"/>
          <w:sz w:val="24"/>
          <w:szCs w:val="24"/>
          <w:highlight w:val="none"/>
        </w:rPr>
        <w:t>3.3方式：</w:t>
      </w:r>
      <w:r>
        <w:rPr>
          <w:rFonts w:hint="eastAsia"/>
          <w:b/>
          <w:bCs/>
          <w:color w:val="auto"/>
          <w:sz w:val="24"/>
          <w:szCs w:val="24"/>
          <w:highlight w:val="none"/>
        </w:rPr>
        <w:t>网上</w:t>
      </w:r>
      <w:r>
        <w:rPr>
          <w:b/>
          <w:bCs/>
          <w:color w:val="auto"/>
          <w:sz w:val="24"/>
          <w:szCs w:val="24"/>
          <w:highlight w:val="none"/>
        </w:rPr>
        <w:t>下载</w:t>
      </w:r>
      <w:r>
        <w:rPr>
          <w:rFonts w:hint="eastAsia"/>
          <w:b/>
          <w:bCs/>
          <w:color w:val="auto"/>
          <w:sz w:val="24"/>
          <w:szCs w:val="24"/>
          <w:highlight w:val="none"/>
        </w:rPr>
        <w:t>；</w:t>
      </w:r>
    </w:p>
    <w:p w14:paraId="01E96F9D">
      <w:pPr>
        <w:spacing w:line="360" w:lineRule="auto"/>
        <w:ind w:firstLine="540"/>
        <w:rPr>
          <w:b/>
          <w:bCs/>
          <w:color w:val="auto"/>
          <w:sz w:val="24"/>
          <w:szCs w:val="24"/>
          <w:highlight w:val="none"/>
        </w:rPr>
      </w:pPr>
      <w:r>
        <w:rPr>
          <w:rFonts w:hint="eastAsia"/>
          <w:b/>
          <w:bCs/>
          <w:color w:val="auto"/>
          <w:sz w:val="24"/>
          <w:szCs w:val="24"/>
          <w:highlight w:val="none"/>
        </w:rPr>
        <w:t>具体流程请查询安阳市公共资源交易中心网站-服务指南-操作手册-《安阳市公共资源交易系统投标人（供应商）操作手册》。</w:t>
      </w:r>
      <w:r>
        <w:rPr>
          <w:b/>
          <w:bCs/>
          <w:color w:val="auto"/>
          <w:sz w:val="24"/>
          <w:szCs w:val="24"/>
          <w:highlight w:val="none"/>
        </w:rPr>
        <w:t>如有技术问题请咨询</w:t>
      </w:r>
      <w:r>
        <w:rPr>
          <w:rFonts w:hint="eastAsia"/>
          <w:b/>
          <w:bCs/>
          <w:color w:val="auto"/>
          <w:sz w:val="24"/>
          <w:szCs w:val="24"/>
          <w:highlight w:val="none"/>
        </w:rPr>
        <w:t>400-998-0000、0372-3387739。</w:t>
      </w:r>
    </w:p>
    <w:p w14:paraId="7D46F275">
      <w:pPr>
        <w:spacing w:line="360" w:lineRule="auto"/>
        <w:ind w:firstLine="540"/>
        <w:rPr>
          <w:rFonts w:ascii="宋体" w:hAnsi="宋体" w:cs="宋体"/>
          <w:color w:val="auto"/>
          <w:sz w:val="24"/>
          <w:szCs w:val="24"/>
          <w:highlight w:val="none"/>
        </w:rPr>
      </w:pPr>
      <w:r>
        <w:rPr>
          <w:rFonts w:hint="eastAsia" w:ascii="宋体" w:hAnsi="宋体"/>
          <w:color w:val="auto"/>
          <w:sz w:val="24"/>
          <w:szCs w:val="24"/>
          <w:highlight w:val="none"/>
        </w:rPr>
        <w:t>3.4售价：</w:t>
      </w:r>
      <w:r>
        <w:rPr>
          <w:rFonts w:hint="eastAsia" w:ascii="宋体" w:hAnsi="宋体" w:cs="宋体"/>
          <w:color w:val="auto"/>
          <w:sz w:val="24"/>
          <w:szCs w:val="24"/>
          <w:highlight w:val="none"/>
        </w:rPr>
        <w:t>0元</w:t>
      </w:r>
    </w:p>
    <w:p w14:paraId="03808407">
      <w:pPr>
        <w:widowControl w:val="0"/>
        <w:snapToGrid w:val="0"/>
        <w:spacing w:line="360" w:lineRule="auto"/>
        <w:ind w:firstLine="562" w:firstLineChars="200"/>
        <w:rPr>
          <w:rFonts w:ascii="黑体" w:hAnsi="黑体" w:eastAsia="黑体"/>
          <w:b/>
          <w:color w:val="auto"/>
          <w:sz w:val="28"/>
          <w:szCs w:val="28"/>
          <w:highlight w:val="none"/>
        </w:rPr>
      </w:pPr>
      <w:r>
        <w:rPr>
          <w:rFonts w:ascii="黑体" w:hAnsi="黑体" w:eastAsia="黑体"/>
          <w:b/>
          <w:color w:val="auto"/>
          <w:sz w:val="28"/>
          <w:szCs w:val="28"/>
          <w:highlight w:val="none"/>
        </w:rPr>
        <w:t>4</w:t>
      </w:r>
      <w:r>
        <w:rPr>
          <w:rFonts w:hint="eastAsia" w:ascii="黑体" w:hAnsi="黑体" w:eastAsia="黑体"/>
          <w:b/>
          <w:color w:val="auto"/>
          <w:sz w:val="28"/>
          <w:szCs w:val="28"/>
          <w:highlight w:val="none"/>
        </w:rPr>
        <w:t>．响应文件提交</w:t>
      </w:r>
    </w:p>
    <w:p w14:paraId="24B66348">
      <w:pPr>
        <w:widowControl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4.1截止时间：2024年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日09时00分（北京时间）</w:t>
      </w:r>
    </w:p>
    <w:p w14:paraId="7BFAE239">
      <w:pPr>
        <w:widowControl w:val="0"/>
        <w:adjustRightIn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4.2地点：于安阳市公共资源交易平台网上上传递交、并由供应商在规定时间远程解密。</w:t>
      </w:r>
    </w:p>
    <w:p w14:paraId="178EC3BA">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5.响应文件开启</w:t>
      </w:r>
    </w:p>
    <w:p w14:paraId="5721F5DD">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5.1时间：2024年</w:t>
      </w:r>
      <w:r>
        <w:rPr>
          <w:rFonts w:hint="eastAsia"/>
          <w:color w:val="auto"/>
          <w:sz w:val="24"/>
          <w:szCs w:val="24"/>
          <w:highlight w:val="none"/>
          <w:lang w:val="en-US" w:eastAsia="zh-CN"/>
        </w:rPr>
        <w:t>9</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日09时00分（北京时间）</w:t>
      </w:r>
    </w:p>
    <w:p w14:paraId="498FA740">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5.2地点（管理员网上操作地点）：安阳市公共资源交易中心五楼集中开标大厅</w:t>
      </w:r>
      <w:r>
        <w:rPr>
          <w:rFonts w:hint="eastAsia"/>
          <w:color w:val="auto"/>
          <w:sz w:val="24"/>
          <w:szCs w:val="24"/>
          <w:highlight w:val="none"/>
          <w:lang w:val="en-US" w:eastAsia="zh-CN"/>
        </w:rPr>
        <w:t>8</w:t>
      </w:r>
      <w:r>
        <w:rPr>
          <w:rFonts w:hint="eastAsia"/>
          <w:color w:val="auto"/>
          <w:sz w:val="24"/>
          <w:szCs w:val="24"/>
          <w:highlight w:val="none"/>
        </w:rPr>
        <w:t>室（安阳市文峰大道东段559号安阳市民之家）。</w:t>
      </w:r>
    </w:p>
    <w:p w14:paraId="004B6938">
      <w:pPr>
        <w:widowControl w:val="0"/>
        <w:adjustRightInd w:val="0"/>
        <w:spacing w:before="156" w:beforeLines="50" w:line="300" w:lineRule="auto"/>
        <w:ind w:firstLine="540" w:firstLineChars="225"/>
        <w:rPr>
          <w:rFonts w:hint="eastAsia"/>
          <w:color w:val="auto"/>
          <w:sz w:val="24"/>
          <w:szCs w:val="24"/>
          <w:highlight w:val="none"/>
        </w:rPr>
      </w:pPr>
      <w:r>
        <w:rPr>
          <w:rFonts w:hint="eastAsia"/>
          <w:color w:val="auto"/>
          <w:sz w:val="24"/>
          <w:szCs w:val="24"/>
          <w:highlight w:val="none"/>
        </w:rPr>
        <w:t>5.3本项目采用远程不见面交易的模式，开标当日，投标人无需到开标现场参加开标会议，投标人应当在投标截止时间前，使用IE浏览器登录到安阳市公共资源交易不见面开标大厅（http://xwz.ggzy.anyang.gov.cn:2345/BidOpening/bidhall/default/login.html），点击右上方【登录】按钮进入，在线准时参加开标活动并进行投标文件解密等。因投标人原因未能解密、解密失败或解密超时的将被拒绝。</w:t>
      </w:r>
    </w:p>
    <w:p w14:paraId="432FB91F">
      <w:pPr>
        <w:widowControl w:val="0"/>
        <w:snapToGrid w:val="0"/>
        <w:spacing w:line="360" w:lineRule="auto"/>
        <w:ind w:firstLine="562" w:firstLineChars="200"/>
        <w:rPr>
          <w:rFonts w:hint="eastAsia" w:ascii="黑体" w:hAnsi="黑体" w:eastAsia="黑体"/>
          <w:b/>
          <w:color w:val="auto"/>
          <w:sz w:val="28"/>
          <w:szCs w:val="28"/>
          <w:highlight w:val="none"/>
        </w:rPr>
      </w:pPr>
    </w:p>
    <w:p w14:paraId="5202A917">
      <w:pPr>
        <w:widowControl w:val="0"/>
        <w:snapToGrid w:val="0"/>
        <w:spacing w:line="360" w:lineRule="auto"/>
        <w:ind w:firstLine="562" w:firstLineChars="200"/>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6. 发布公告的媒介及公告期限</w:t>
      </w:r>
    </w:p>
    <w:p w14:paraId="08A30D80">
      <w:pPr>
        <w:widowControl w:val="0"/>
        <w:tabs>
          <w:tab w:val="left" w:pos="39"/>
          <w:tab w:val="left" w:pos="96"/>
        </w:tabs>
        <w:snapToGrid w:val="0"/>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本项目在“河南省政府采购网（安阳市政府采购网）”、“</w:t>
      </w:r>
      <w:r>
        <w:rPr>
          <w:rFonts w:hint="eastAsia" w:ascii="宋体" w:hAnsi="宋体" w:cs="宋体"/>
          <w:color w:val="auto"/>
          <w:sz w:val="24"/>
          <w:szCs w:val="24"/>
          <w:highlight w:val="none"/>
        </w:rPr>
        <w:t>全国公共资源交易平台（河南省·安阳市）</w:t>
      </w:r>
      <w:r>
        <w:rPr>
          <w:rFonts w:hint="eastAsia" w:ascii="宋体" w:hAnsi="宋体"/>
          <w:color w:val="auto"/>
          <w:sz w:val="24"/>
          <w:szCs w:val="24"/>
          <w:highlight w:val="none"/>
        </w:rPr>
        <w:t>安阳市公共资源交易中心”</w:t>
      </w:r>
      <w:r>
        <w:rPr>
          <w:rFonts w:hint="eastAsia" w:ascii="宋体" w:hAnsi="宋体" w:cs="宋体"/>
          <w:color w:val="auto"/>
          <w:sz w:val="24"/>
          <w:szCs w:val="24"/>
          <w:highlight w:val="none"/>
        </w:rPr>
        <w:t>、</w:t>
      </w:r>
      <w:r>
        <w:rPr>
          <w:rFonts w:hint="eastAsia" w:ascii="宋体" w:hAnsi="宋体"/>
          <w:color w:val="auto"/>
          <w:sz w:val="24"/>
          <w:szCs w:val="24"/>
          <w:highlight w:val="none"/>
        </w:rPr>
        <w:t>“安阳招标采购网”网站上同期发布。公告期限为三个工作日</w:t>
      </w:r>
      <w:r>
        <w:rPr>
          <w:rFonts w:hint="eastAsia" w:ascii="宋体" w:hAnsi="宋体" w:cs="宋体"/>
          <w:color w:val="auto"/>
          <w:sz w:val="24"/>
          <w:szCs w:val="24"/>
          <w:highlight w:val="none"/>
        </w:rPr>
        <w:t>。</w:t>
      </w:r>
    </w:p>
    <w:p w14:paraId="0ED8E903">
      <w:pPr>
        <w:widowControl w:val="0"/>
        <w:tabs>
          <w:tab w:val="left" w:pos="39"/>
          <w:tab w:val="left" w:pos="96"/>
        </w:tabs>
        <w:snapToGrid w:val="0"/>
        <w:spacing w:line="360" w:lineRule="auto"/>
        <w:ind w:firstLine="566" w:firstLineChars="236"/>
        <w:rPr>
          <w:rFonts w:ascii="宋体" w:hAnsi="宋体" w:cs="宋体"/>
          <w:color w:val="auto"/>
          <w:sz w:val="24"/>
          <w:szCs w:val="24"/>
          <w:highlight w:val="none"/>
        </w:rPr>
      </w:pPr>
    </w:p>
    <w:p w14:paraId="0F1667BC">
      <w:pPr>
        <w:widowControl w:val="0"/>
        <w:tabs>
          <w:tab w:val="left" w:pos="39"/>
          <w:tab w:val="left" w:pos="96"/>
        </w:tabs>
        <w:snapToGrid w:val="0"/>
        <w:spacing w:line="360" w:lineRule="auto"/>
        <w:ind w:firstLine="663" w:firstLineChars="236"/>
        <w:rPr>
          <w:rFonts w:ascii="黑体" w:hAnsi="黑体" w:eastAsia="黑体"/>
          <w:b/>
          <w:color w:val="auto"/>
          <w:sz w:val="28"/>
          <w:szCs w:val="28"/>
          <w:highlight w:val="none"/>
        </w:rPr>
      </w:pPr>
      <w:r>
        <w:rPr>
          <w:rFonts w:hint="eastAsia" w:ascii="黑体" w:hAnsi="黑体" w:eastAsia="黑体"/>
          <w:b/>
          <w:color w:val="auto"/>
          <w:sz w:val="28"/>
          <w:szCs w:val="28"/>
          <w:highlight w:val="none"/>
        </w:rPr>
        <w:t>7. 其他补充事宜</w:t>
      </w:r>
    </w:p>
    <w:p w14:paraId="1FB1A2D6">
      <w:pPr>
        <w:widowControl w:val="0"/>
        <w:snapToGrid w:val="0"/>
        <w:spacing w:line="360" w:lineRule="auto"/>
        <w:ind w:firstLine="540" w:firstLineChars="225"/>
        <w:jc w:val="left"/>
        <w:rPr>
          <w:color w:val="auto"/>
          <w:sz w:val="24"/>
          <w:szCs w:val="24"/>
          <w:highlight w:val="none"/>
        </w:rPr>
      </w:pPr>
      <w:r>
        <w:rPr>
          <w:rFonts w:hint="eastAsia" w:ascii="宋体" w:hAnsi="宋体"/>
          <w:color w:val="auto"/>
          <w:sz w:val="24"/>
          <w:szCs w:val="24"/>
          <w:highlight w:val="none"/>
        </w:rPr>
        <w:t>7.1项目落实的政府采购政策：</w:t>
      </w:r>
      <w:r>
        <w:rPr>
          <w:rFonts w:hint="eastAsia"/>
          <w:color w:val="auto"/>
          <w:sz w:val="24"/>
          <w:szCs w:val="24"/>
          <w:highlight w:val="none"/>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highlight w:val="none"/>
        </w:rPr>
        <w:t>支持绿色建筑、绿色建材，支持不发达、少数民族地区的企业，促进自主创新产业发展，支持脱贫攻坚等</w:t>
      </w:r>
      <w:r>
        <w:rPr>
          <w:rFonts w:hint="eastAsia"/>
          <w:color w:val="auto"/>
          <w:sz w:val="24"/>
          <w:szCs w:val="24"/>
          <w:highlight w:val="none"/>
        </w:rPr>
        <w:t>。</w:t>
      </w:r>
    </w:p>
    <w:p w14:paraId="0069AC25">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7.2政府采购合同融资</w:t>
      </w:r>
    </w:p>
    <w:p w14:paraId="678AC4E9">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049B4DD5">
      <w:pPr>
        <w:pStyle w:val="13"/>
        <w:shd w:val="clear" w:color="auto" w:fill="FFFFFF"/>
        <w:adjustRightInd w:val="0"/>
        <w:spacing w:before="50" w:beforeAutospacing="0" w:after="0" w:afterAutospacing="0" w:line="300" w:lineRule="auto"/>
        <w:ind w:firstLine="540" w:firstLineChars="225"/>
        <w:rPr>
          <w:rFonts w:cs="Times New Roman"/>
          <w:color w:val="auto"/>
          <w:highlight w:val="none"/>
        </w:rPr>
      </w:pPr>
      <w:r>
        <w:rPr>
          <w:rFonts w:hint="eastAsia"/>
          <w:color w:val="auto"/>
          <w:highlight w:val="none"/>
        </w:rPr>
        <w:t>7.3</w:t>
      </w:r>
      <w:r>
        <w:rPr>
          <w:rFonts w:hint="eastAsia" w:cs="Times New Roman"/>
          <w:color w:val="auto"/>
          <w:highlight w:val="none"/>
        </w:rPr>
        <w:t>网</w:t>
      </w:r>
      <w:r>
        <w:rPr>
          <w:rFonts w:cs="Times New Roman"/>
          <w:color w:val="auto"/>
          <w:highlight w:val="none"/>
        </w:rPr>
        <w:t>上</w:t>
      </w:r>
      <w:r>
        <w:rPr>
          <w:rFonts w:hint="eastAsia" w:cs="Times New Roman"/>
          <w:color w:val="auto"/>
          <w:highlight w:val="none"/>
        </w:rPr>
        <w:t>电子交易系</w:t>
      </w:r>
      <w:r>
        <w:rPr>
          <w:rFonts w:cs="Times New Roman"/>
          <w:color w:val="auto"/>
          <w:highlight w:val="none"/>
        </w:rPr>
        <w:t>统</w:t>
      </w:r>
      <w:r>
        <w:rPr>
          <w:rFonts w:hint="eastAsia" w:cs="Times New Roman"/>
          <w:color w:val="auto"/>
          <w:highlight w:val="none"/>
        </w:rPr>
        <w:t>网</w:t>
      </w:r>
      <w:r>
        <w:rPr>
          <w:rFonts w:cs="Times New Roman"/>
          <w:color w:val="auto"/>
          <w:highlight w:val="none"/>
        </w:rPr>
        <w:t>址</w:t>
      </w:r>
    </w:p>
    <w:p w14:paraId="2D942BAD">
      <w:pPr>
        <w:widowControl w:val="0"/>
        <w:tabs>
          <w:tab w:val="left" w:pos="39"/>
          <w:tab w:val="left" w:pos="96"/>
        </w:tabs>
        <w:snapToGrid w:val="0"/>
        <w:spacing w:line="360" w:lineRule="auto"/>
        <w:ind w:firstLine="590" w:firstLineChars="245"/>
        <w:rPr>
          <w:b/>
          <w:color w:val="auto"/>
          <w:sz w:val="24"/>
          <w:szCs w:val="24"/>
          <w:highlight w:val="none"/>
        </w:rPr>
      </w:pPr>
      <w:r>
        <w:rPr>
          <w:rFonts w:hint="eastAsia" w:ascii="宋体"/>
          <w:b/>
          <w:color w:val="auto"/>
          <w:sz w:val="24"/>
          <w:szCs w:val="24"/>
          <w:highlight w:val="none"/>
        </w:rPr>
        <w:t>7</w:t>
      </w:r>
      <w:r>
        <w:rPr>
          <w:rFonts w:ascii="宋体"/>
          <w:b/>
          <w:color w:val="auto"/>
          <w:sz w:val="24"/>
          <w:szCs w:val="24"/>
          <w:highlight w:val="none"/>
        </w:rPr>
        <w:t>.</w:t>
      </w:r>
      <w:r>
        <w:rPr>
          <w:rFonts w:hint="eastAsia" w:ascii="宋体"/>
          <w:b/>
          <w:color w:val="auto"/>
          <w:sz w:val="24"/>
          <w:szCs w:val="24"/>
          <w:highlight w:val="none"/>
        </w:rPr>
        <w:t>3.</w:t>
      </w:r>
      <w:r>
        <w:rPr>
          <w:rFonts w:ascii="宋体"/>
          <w:b/>
          <w:color w:val="auto"/>
          <w:sz w:val="24"/>
          <w:szCs w:val="24"/>
          <w:highlight w:val="none"/>
        </w:rPr>
        <w:t>1</w:t>
      </w:r>
      <w:r>
        <w:rPr>
          <w:rFonts w:hint="eastAsia" w:ascii="宋体" w:hAnsi="宋体"/>
          <w:b/>
          <w:color w:val="auto"/>
          <w:sz w:val="24"/>
          <w:szCs w:val="24"/>
          <w:highlight w:val="none"/>
        </w:rPr>
        <w:t>全国公共资源交易平</w:t>
      </w:r>
      <w:r>
        <w:rPr>
          <w:rFonts w:ascii="宋体" w:hAnsi="宋体"/>
          <w:b/>
          <w:color w:val="auto"/>
          <w:sz w:val="24"/>
          <w:szCs w:val="24"/>
          <w:highlight w:val="none"/>
        </w:rPr>
        <w:t>台</w:t>
      </w:r>
      <w:r>
        <w:rPr>
          <w:rFonts w:hint="eastAsia" w:ascii="宋体" w:hAnsi="宋体"/>
          <w:b/>
          <w:color w:val="auto"/>
          <w:sz w:val="24"/>
          <w:szCs w:val="24"/>
          <w:highlight w:val="none"/>
        </w:rPr>
        <w:t>（河南</w:t>
      </w:r>
      <w:r>
        <w:rPr>
          <w:rFonts w:ascii="宋体" w:hAnsi="宋体"/>
          <w:b/>
          <w:color w:val="auto"/>
          <w:sz w:val="24"/>
          <w:szCs w:val="24"/>
          <w:highlight w:val="none"/>
        </w:rPr>
        <w:t>省</w:t>
      </w:r>
      <w:r>
        <w:rPr>
          <w:rFonts w:hint="eastAsia" w:ascii="宋体" w:hAnsi="宋体" w:cs="宋体"/>
          <w:color w:val="auto"/>
          <w:sz w:val="24"/>
          <w:szCs w:val="24"/>
          <w:highlight w:val="none"/>
        </w:rPr>
        <w:t>·</w:t>
      </w:r>
      <w:r>
        <w:rPr>
          <w:rFonts w:hint="eastAsia" w:ascii="宋体" w:hAnsi="宋体"/>
          <w:b/>
          <w:color w:val="auto"/>
          <w:sz w:val="24"/>
          <w:szCs w:val="24"/>
          <w:highlight w:val="none"/>
        </w:rPr>
        <w:t>安</w:t>
      </w:r>
      <w:r>
        <w:rPr>
          <w:rFonts w:ascii="宋体" w:hAnsi="宋体"/>
          <w:b/>
          <w:color w:val="auto"/>
          <w:sz w:val="24"/>
          <w:szCs w:val="24"/>
          <w:highlight w:val="none"/>
        </w:rPr>
        <w:t>阳</w:t>
      </w:r>
      <w:r>
        <w:rPr>
          <w:rFonts w:hint="eastAsia" w:ascii="宋体" w:hAnsi="宋体"/>
          <w:b/>
          <w:color w:val="auto"/>
          <w:sz w:val="24"/>
          <w:szCs w:val="24"/>
          <w:highlight w:val="none"/>
        </w:rPr>
        <w:t>市</w:t>
      </w:r>
      <w:r>
        <w:rPr>
          <w:rFonts w:ascii="宋体" w:hAnsi="宋体"/>
          <w:b/>
          <w:color w:val="auto"/>
          <w:sz w:val="24"/>
          <w:szCs w:val="24"/>
          <w:highlight w:val="none"/>
        </w:rPr>
        <w:t>）</w:t>
      </w:r>
      <w:r>
        <w:rPr>
          <w:b/>
          <w:color w:val="auto"/>
          <w:sz w:val="24"/>
          <w:szCs w:val="24"/>
          <w:highlight w:val="none"/>
        </w:rPr>
        <w:t>https://xwz.ggzy.anyang.gov.cn:3720/ayggzy/</w:t>
      </w:r>
    </w:p>
    <w:p w14:paraId="08F4C652">
      <w:pPr>
        <w:widowControl w:val="0"/>
        <w:tabs>
          <w:tab w:val="left" w:pos="39"/>
          <w:tab w:val="left" w:pos="96"/>
        </w:tabs>
        <w:snapToGrid w:val="0"/>
        <w:spacing w:line="360" w:lineRule="auto"/>
        <w:ind w:firstLine="602" w:firstLineChars="250"/>
        <w:rPr>
          <w:rFonts w:ascii="宋体"/>
          <w:b/>
          <w:color w:val="auto"/>
          <w:sz w:val="24"/>
          <w:szCs w:val="24"/>
          <w:highlight w:val="none"/>
        </w:rPr>
      </w:pPr>
      <w:r>
        <w:rPr>
          <w:rFonts w:hint="eastAsia" w:ascii="宋体" w:hAnsi="宋体"/>
          <w:b/>
          <w:color w:val="auto"/>
          <w:sz w:val="24"/>
          <w:szCs w:val="24"/>
          <w:highlight w:val="none"/>
        </w:rPr>
        <w:t>谈判文件</w:t>
      </w:r>
      <w:r>
        <w:rPr>
          <w:rFonts w:ascii="宋体" w:hAnsi="宋体"/>
          <w:b/>
          <w:color w:val="auto"/>
          <w:sz w:val="24"/>
          <w:szCs w:val="24"/>
          <w:highlight w:val="none"/>
        </w:rPr>
        <w:t>简称“</w:t>
      </w:r>
      <w:r>
        <w:rPr>
          <w:rFonts w:hint="eastAsia" w:ascii="宋体" w:hAnsi="宋体"/>
          <w:b/>
          <w:color w:val="auto"/>
          <w:sz w:val="24"/>
          <w:szCs w:val="24"/>
          <w:highlight w:val="none"/>
        </w:rPr>
        <w:t>安</w:t>
      </w:r>
      <w:r>
        <w:rPr>
          <w:rFonts w:ascii="宋体" w:hAnsi="宋体"/>
          <w:b/>
          <w:color w:val="auto"/>
          <w:sz w:val="24"/>
          <w:szCs w:val="24"/>
          <w:highlight w:val="none"/>
        </w:rPr>
        <w:t>阳</w:t>
      </w:r>
      <w:r>
        <w:rPr>
          <w:rFonts w:hint="eastAsia" w:ascii="宋体" w:hAnsi="宋体"/>
          <w:b/>
          <w:color w:val="auto"/>
          <w:sz w:val="24"/>
          <w:szCs w:val="24"/>
          <w:highlight w:val="none"/>
        </w:rPr>
        <w:t>市公共资源交易平</w:t>
      </w:r>
      <w:r>
        <w:rPr>
          <w:rFonts w:ascii="宋体" w:hAnsi="宋体"/>
          <w:b/>
          <w:color w:val="auto"/>
          <w:sz w:val="24"/>
          <w:szCs w:val="24"/>
          <w:highlight w:val="none"/>
        </w:rPr>
        <w:t>台”</w:t>
      </w:r>
    </w:p>
    <w:p w14:paraId="5ED66D4F">
      <w:pPr>
        <w:widowControl w:val="0"/>
        <w:tabs>
          <w:tab w:val="left" w:pos="39"/>
          <w:tab w:val="left" w:pos="96"/>
        </w:tabs>
        <w:snapToGrid w:val="0"/>
        <w:spacing w:line="360" w:lineRule="auto"/>
        <w:ind w:firstLine="602" w:firstLineChars="250"/>
        <w:rPr>
          <w:rFonts w:ascii="宋体"/>
          <w:b/>
          <w:color w:val="auto"/>
          <w:sz w:val="24"/>
          <w:szCs w:val="24"/>
          <w:highlight w:val="none"/>
        </w:rPr>
      </w:pPr>
      <w:r>
        <w:rPr>
          <w:rFonts w:hint="eastAsia" w:ascii="宋体"/>
          <w:b/>
          <w:color w:val="auto"/>
          <w:sz w:val="24"/>
          <w:szCs w:val="24"/>
          <w:highlight w:val="none"/>
        </w:rPr>
        <w:t>7</w:t>
      </w:r>
      <w:r>
        <w:rPr>
          <w:rFonts w:ascii="宋体"/>
          <w:b/>
          <w:color w:val="auto"/>
          <w:sz w:val="24"/>
          <w:szCs w:val="24"/>
          <w:highlight w:val="none"/>
        </w:rPr>
        <w:t>.</w:t>
      </w:r>
      <w:r>
        <w:rPr>
          <w:rFonts w:hint="eastAsia" w:ascii="宋体"/>
          <w:b/>
          <w:color w:val="auto"/>
          <w:sz w:val="24"/>
          <w:szCs w:val="24"/>
          <w:highlight w:val="none"/>
        </w:rPr>
        <w:t>3.</w:t>
      </w:r>
      <w:r>
        <w:rPr>
          <w:rFonts w:ascii="宋体"/>
          <w:b/>
          <w:color w:val="auto"/>
          <w:sz w:val="24"/>
          <w:szCs w:val="24"/>
          <w:highlight w:val="none"/>
        </w:rPr>
        <w:t>2</w:t>
      </w:r>
      <w:r>
        <w:rPr>
          <w:rFonts w:hint="eastAsia" w:ascii="宋体"/>
          <w:b/>
          <w:color w:val="auto"/>
          <w:sz w:val="24"/>
          <w:szCs w:val="24"/>
          <w:highlight w:val="none"/>
        </w:rPr>
        <w:t>投标文件制作软件：在安阳市公共资源交易平台进行下载、并安装投标文件制作工具，查看</w:t>
      </w:r>
      <w:r>
        <w:rPr>
          <w:rFonts w:hint="eastAsia" w:ascii="宋体" w:hAnsi="宋体"/>
          <w:b/>
          <w:color w:val="auto"/>
          <w:sz w:val="24"/>
          <w:szCs w:val="24"/>
          <w:highlight w:val="none"/>
        </w:rPr>
        <w:t>谈判</w:t>
      </w:r>
      <w:r>
        <w:rPr>
          <w:rFonts w:hint="eastAsia" w:ascii="宋体"/>
          <w:b/>
          <w:color w:val="auto"/>
          <w:sz w:val="24"/>
          <w:szCs w:val="24"/>
          <w:highlight w:val="none"/>
        </w:rPr>
        <w:t>文件和制作电子投标文件。</w:t>
      </w:r>
    </w:p>
    <w:p w14:paraId="5C45E402">
      <w:pPr>
        <w:widowControl w:val="0"/>
        <w:snapToGrid w:val="0"/>
        <w:spacing w:line="360" w:lineRule="auto"/>
        <w:jc w:val="left"/>
        <w:rPr>
          <w:rFonts w:ascii="黑体" w:hAnsi="黑体" w:eastAsia="黑体"/>
          <w:b/>
          <w:color w:val="auto"/>
          <w:sz w:val="28"/>
          <w:szCs w:val="28"/>
          <w:highlight w:val="none"/>
        </w:rPr>
      </w:pPr>
    </w:p>
    <w:p w14:paraId="005EA275">
      <w:pPr>
        <w:widowControl w:val="0"/>
        <w:snapToGrid w:val="0"/>
        <w:spacing w:line="360" w:lineRule="auto"/>
        <w:ind w:firstLine="562" w:firstLineChars="200"/>
        <w:rPr>
          <w:rFonts w:ascii="黑体" w:hAnsi="黑体" w:eastAsia="黑体"/>
          <w:b/>
          <w:color w:val="auto"/>
          <w:sz w:val="28"/>
          <w:szCs w:val="28"/>
          <w:highlight w:val="none"/>
        </w:rPr>
      </w:pPr>
      <w:bookmarkStart w:id="1" w:name="_Toc28359008"/>
      <w:bookmarkStart w:id="2" w:name="_Toc35393796"/>
      <w:bookmarkStart w:id="3" w:name="_Toc28359085"/>
      <w:bookmarkStart w:id="4" w:name="_Toc35393627"/>
      <w:r>
        <w:rPr>
          <w:rFonts w:hint="eastAsia" w:ascii="黑体" w:hAnsi="黑体" w:eastAsia="黑体"/>
          <w:b/>
          <w:color w:val="auto"/>
          <w:sz w:val="28"/>
          <w:szCs w:val="28"/>
          <w:highlight w:val="none"/>
        </w:rPr>
        <w:t>8.凡对本次采购提出询问，请按</w:t>
      </w:r>
      <w:r>
        <w:rPr>
          <w:rFonts w:ascii="黑体" w:hAnsi="黑体" w:eastAsia="黑体"/>
          <w:b/>
          <w:color w:val="auto"/>
          <w:sz w:val="28"/>
          <w:szCs w:val="28"/>
          <w:highlight w:val="none"/>
        </w:rPr>
        <w:t>以下方式</w:t>
      </w:r>
      <w:r>
        <w:rPr>
          <w:rFonts w:hint="eastAsia" w:ascii="黑体" w:hAnsi="黑体" w:eastAsia="黑体"/>
          <w:b/>
          <w:color w:val="auto"/>
          <w:sz w:val="28"/>
          <w:szCs w:val="28"/>
          <w:highlight w:val="none"/>
        </w:rPr>
        <w:t>联系。</w:t>
      </w:r>
      <w:bookmarkEnd w:id="1"/>
      <w:bookmarkEnd w:id="2"/>
      <w:bookmarkEnd w:id="3"/>
      <w:bookmarkEnd w:id="4"/>
    </w:p>
    <w:p w14:paraId="5496E957">
      <w:pPr>
        <w:ind w:firstLine="600" w:firstLineChars="250"/>
        <w:jc w:val="left"/>
        <w:rPr>
          <w:rFonts w:ascii="宋体" w:hAnsi="宋体"/>
          <w:color w:val="auto"/>
          <w:sz w:val="24"/>
          <w:szCs w:val="24"/>
          <w:highlight w:val="none"/>
        </w:rPr>
      </w:pPr>
      <w:r>
        <w:rPr>
          <w:rFonts w:hint="eastAsia" w:ascii="宋体" w:hAnsi="宋体" w:cs="宋体"/>
          <w:color w:val="auto"/>
          <w:sz w:val="24"/>
          <w:szCs w:val="24"/>
          <w:highlight w:val="none"/>
        </w:rPr>
        <w:t>8.1采购人信息</w:t>
      </w:r>
    </w:p>
    <w:p w14:paraId="66CE63A8">
      <w:pPr>
        <w:spacing w:line="360" w:lineRule="auto"/>
        <w:ind w:left="1079" w:leftChars="371" w:hanging="300" w:hangingChars="1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名 称：河南省安阳市中级人民法院</w:t>
      </w:r>
    </w:p>
    <w:p w14:paraId="3A05FA8D">
      <w:pPr>
        <w:spacing w:line="360" w:lineRule="auto"/>
        <w:ind w:left="1079" w:leftChars="371" w:hanging="300" w:hangingChars="1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地址：河南省安阳市文峰区文峰大道东段592号　       　</w:t>
      </w:r>
    </w:p>
    <w:p w14:paraId="23B2293D">
      <w:pPr>
        <w:spacing w:line="360" w:lineRule="auto"/>
        <w:ind w:left="1079" w:leftChars="371" w:hanging="300" w:hangingChars="125"/>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联系人：萧香文</w:t>
      </w:r>
    </w:p>
    <w:p w14:paraId="685E434D">
      <w:pPr>
        <w:spacing w:line="360" w:lineRule="auto"/>
        <w:ind w:left="1079" w:leftChars="371" w:hanging="300" w:hangingChars="125"/>
        <w:jc w:val="left"/>
        <w:rPr>
          <w:rFonts w:ascii="宋体" w:hAnsi="宋体"/>
          <w:color w:val="auto"/>
          <w:sz w:val="24"/>
          <w:szCs w:val="24"/>
          <w:highlight w:val="none"/>
        </w:rPr>
      </w:pPr>
      <w:r>
        <w:rPr>
          <w:rFonts w:hint="eastAsia" w:ascii="宋体" w:hAnsi="宋体"/>
          <w:color w:val="auto"/>
          <w:sz w:val="24"/>
          <w:szCs w:val="24"/>
          <w:highlight w:val="none"/>
          <w:lang w:val="en-US" w:eastAsia="zh-CN"/>
        </w:rPr>
        <w:t xml:space="preserve">联系方式：16692727299　　 </w:t>
      </w:r>
      <w:r>
        <w:rPr>
          <w:rFonts w:hint="eastAsia" w:ascii="宋体" w:hAnsi="宋体"/>
          <w:color w:val="auto"/>
          <w:sz w:val="24"/>
          <w:szCs w:val="24"/>
          <w:highlight w:val="none"/>
        </w:rPr>
        <w:t xml:space="preserve">     </w:t>
      </w:r>
      <w:bookmarkStart w:id="5" w:name="_Toc28359009"/>
      <w:bookmarkStart w:id="6" w:name="_Toc28359086"/>
    </w:p>
    <w:p w14:paraId="66FA684E">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8.2采购代理机构信息</w:t>
      </w:r>
      <w:bookmarkEnd w:id="5"/>
      <w:bookmarkEnd w:id="6"/>
    </w:p>
    <w:p w14:paraId="2BC67867">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名 称：安阳市方正招标采购服务有限责任公司  　</w:t>
      </w:r>
    </w:p>
    <w:p w14:paraId="5E51C05F">
      <w:pPr>
        <w:spacing w:line="360" w:lineRule="auto"/>
        <w:ind w:left="1798" w:leftChars="342" w:hanging="1080" w:hangingChars="450"/>
        <w:rPr>
          <w:rFonts w:ascii="宋体" w:hAnsi="宋体"/>
          <w:color w:val="auto"/>
          <w:sz w:val="24"/>
          <w:szCs w:val="24"/>
          <w:highlight w:val="none"/>
        </w:rPr>
      </w:pPr>
      <w:r>
        <w:rPr>
          <w:rFonts w:hint="eastAsia" w:ascii="宋体" w:hAnsi="宋体"/>
          <w:color w:val="auto"/>
          <w:sz w:val="24"/>
          <w:szCs w:val="24"/>
          <w:highlight w:val="none"/>
        </w:rPr>
        <w:t>地　址：安阳市安钢大道39号（人民大道北地下道口南侧、安阳粮食产业集团-后院办公楼五楼）　</w:t>
      </w:r>
    </w:p>
    <w:p w14:paraId="14A62984">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 xml:space="preserve">联系人：白杨  </w:t>
      </w:r>
    </w:p>
    <w:p w14:paraId="0BB5BA98">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联系方式：</w:t>
      </w:r>
      <w:bookmarkStart w:id="7" w:name="_Toc28359010"/>
      <w:bookmarkStart w:id="8" w:name="_Toc28359087"/>
      <w:r>
        <w:rPr>
          <w:rFonts w:hint="eastAsia" w:ascii="宋体" w:hAnsi="宋体"/>
          <w:color w:val="auto"/>
          <w:sz w:val="24"/>
          <w:szCs w:val="24"/>
          <w:highlight w:val="none"/>
        </w:rPr>
        <w:t>0372-2283981、2283982   财务部咨询电话：0372-2283983　</w:t>
      </w:r>
    </w:p>
    <w:p w14:paraId="7AD167D4">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8.3项目</w:t>
      </w:r>
      <w:r>
        <w:rPr>
          <w:rFonts w:ascii="宋体" w:hAnsi="宋体" w:cs="宋体"/>
          <w:color w:val="auto"/>
          <w:sz w:val="24"/>
          <w:szCs w:val="24"/>
          <w:highlight w:val="none"/>
        </w:rPr>
        <w:t>联系方式</w:t>
      </w:r>
      <w:bookmarkEnd w:id="7"/>
      <w:bookmarkEnd w:id="8"/>
    </w:p>
    <w:p w14:paraId="5EEACF4B">
      <w:pPr>
        <w:pStyle w:val="5"/>
        <w:spacing w:line="360" w:lineRule="auto"/>
        <w:ind w:firstLine="720" w:firstLineChars="300"/>
        <w:rPr>
          <w:rFonts w:hAnsi="宋体"/>
          <w:color w:val="auto"/>
          <w:sz w:val="24"/>
          <w:szCs w:val="24"/>
          <w:highlight w:val="none"/>
        </w:rPr>
      </w:pPr>
      <w:r>
        <w:rPr>
          <w:rFonts w:hint="eastAsia" w:hAnsi="宋体"/>
          <w:color w:val="auto"/>
          <w:sz w:val="24"/>
          <w:szCs w:val="24"/>
          <w:highlight w:val="none"/>
        </w:rPr>
        <w:t xml:space="preserve">项目联系人：白杨 </w:t>
      </w:r>
    </w:p>
    <w:p w14:paraId="39E18A34">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联系方式：15737221608　　</w:t>
      </w:r>
    </w:p>
    <w:p w14:paraId="003D022C">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9</w:t>
      </w:r>
      <w:r>
        <w:rPr>
          <w:rFonts w:ascii="黑体" w:hAnsi="黑体" w:eastAsia="黑体"/>
          <w:b/>
          <w:color w:val="auto"/>
          <w:sz w:val="28"/>
          <w:szCs w:val="28"/>
          <w:highlight w:val="none"/>
        </w:rPr>
        <w:t>.</w:t>
      </w:r>
      <w:r>
        <w:rPr>
          <w:rFonts w:hint="eastAsia" w:ascii="黑体" w:hAnsi="黑体" w:eastAsia="黑体"/>
          <w:b/>
          <w:color w:val="auto"/>
          <w:sz w:val="28"/>
          <w:szCs w:val="28"/>
          <w:highlight w:val="none"/>
        </w:rPr>
        <w:t>网</w:t>
      </w:r>
      <w:r>
        <w:rPr>
          <w:rFonts w:ascii="黑体" w:hAnsi="黑体" w:eastAsia="黑体"/>
          <w:b/>
          <w:color w:val="auto"/>
          <w:sz w:val="28"/>
          <w:szCs w:val="28"/>
          <w:highlight w:val="none"/>
        </w:rPr>
        <w:t>上</w:t>
      </w:r>
      <w:r>
        <w:rPr>
          <w:rFonts w:hint="eastAsia" w:ascii="黑体" w:hAnsi="黑体" w:eastAsia="黑体"/>
          <w:b/>
          <w:color w:val="auto"/>
          <w:sz w:val="28"/>
          <w:szCs w:val="28"/>
          <w:highlight w:val="none"/>
        </w:rPr>
        <w:t>电子交易提示：</w:t>
      </w:r>
      <w:r>
        <w:rPr>
          <w:rFonts w:ascii="黑体" w:hAnsi="黑体" w:eastAsia="黑体"/>
          <w:b/>
          <w:color w:val="auto"/>
          <w:sz w:val="28"/>
          <w:szCs w:val="28"/>
          <w:highlight w:val="none"/>
        </w:rPr>
        <w:t xml:space="preserve"> </w:t>
      </w:r>
    </w:p>
    <w:p w14:paraId="0D0891A2">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szCs w:val="24"/>
          <w:highlight w:val="none"/>
        </w:rPr>
        <w:t xml:space="preserve"> 注</w:t>
      </w:r>
      <w:r>
        <w:rPr>
          <w:rFonts w:ascii="宋体" w:hAnsi="宋体"/>
          <w:color w:val="auto"/>
          <w:sz w:val="24"/>
          <w:szCs w:val="24"/>
          <w:highlight w:val="none"/>
        </w:rPr>
        <w:t>册</w:t>
      </w:r>
      <w:r>
        <w:rPr>
          <w:rFonts w:hint="eastAsia" w:ascii="宋体" w:hAnsi="宋体"/>
          <w:color w:val="auto"/>
          <w:sz w:val="24"/>
          <w:szCs w:val="24"/>
          <w:highlight w:val="none"/>
        </w:rPr>
        <w:t>：投标人完成注</w:t>
      </w:r>
      <w:r>
        <w:rPr>
          <w:rFonts w:ascii="宋体" w:hAnsi="宋体"/>
          <w:color w:val="auto"/>
          <w:sz w:val="24"/>
          <w:szCs w:val="24"/>
          <w:highlight w:val="none"/>
        </w:rPr>
        <w:t>册</w:t>
      </w:r>
      <w:r>
        <w:rPr>
          <w:rFonts w:hint="eastAsia" w:ascii="宋体" w:hAnsi="宋体"/>
          <w:color w:val="auto"/>
          <w:sz w:val="24"/>
          <w:szCs w:val="24"/>
          <w:highlight w:val="none"/>
        </w:rPr>
        <w:t>、办理数字证书后</w:t>
      </w:r>
      <w:r>
        <w:rPr>
          <w:rFonts w:ascii="宋体" w:hAnsi="宋体"/>
          <w:color w:val="auto"/>
          <w:sz w:val="24"/>
          <w:szCs w:val="24"/>
          <w:highlight w:val="none"/>
        </w:rPr>
        <w:t>，方可</w:t>
      </w:r>
      <w:r>
        <w:rPr>
          <w:rFonts w:hint="eastAsia" w:ascii="宋体" w:hAnsi="宋体"/>
          <w:color w:val="auto"/>
          <w:sz w:val="24"/>
          <w:szCs w:val="24"/>
          <w:highlight w:val="none"/>
        </w:rPr>
        <w:t>获</w:t>
      </w:r>
      <w:r>
        <w:rPr>
          <w:rFonts w:ascii="宋体" w:hAnsi="宋体"/>
          <w:color w:val="auto"/>
          <w:sz w:val="24"/>
          <w:szCs w:val="24"/>
          <w:highlight w:val="none"/>
        </w:rPr>
        <w:t>取谈判文件、</w:t>
      </w:r>
      <w:r>
        <w:rPr>
          <w:rFonts w:hint="eastAsia" w:ascii="宋体" w:hAnsi="宋体"/>
          <w:color w:val="auto"/>
          <w:sz w:val="24"/>
          <w:szCs w:val="24"/>
          <w:highlight w:val="none"/>
        </w:rPr>
        <w:t>参</w:t>
      </w:r>
      <w:r>
        <w:rPr>
          <w:rFonts w:ascii="宋体" w:hAnsi="宋体"/>
          <w:color w:val="auto"/>
          <w:sz w:val="24"/>
          <w:szCs w:val="24"/>
          <w:highlight w:val="none"/>
        </w:rPr>
        <w:t>加</w:t>
      </w:r>
      <w:r>
        <w:rPr>
          <w:rFonts w:hint="eastAsia" w:ascii="宋体" w:hAnsi="宋体"/>
          <w:color w:val="auto"/>
          <w:sz w:val="24"/>
          <w:szCs w:val="24"/>
          <w:highlight w:val="none"/>
        </w:rPr>
        <w:t>投标等网上电子交易。</w:t>
      </w:r>
    </w:p>
    <w:p w14:paraId="3EC7B72F">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9.2 获取谈判文件：</w:t>
      </w:r>
      <w:r>
        <w:rPr>
          <w:rFonts w:ascii="宋体" w:hAnsi="宋体"/>
          <w:color w:val="auto"/>
          <w:sz w:val="24"/>
          <w:szCs w:val="24"/>
          <w:highlight w:val="none"/>
        </w:rPr>
        <w:t>按</w:t>
      </w:r>
      <w:r>
        <w:rPr>
          <w:rFonts w:hint="eastAsia" w:ascii="宋体" w:hAnsi="宋体"/>
          <w:color w:val="auto"/>
          <w:sz w:val="24"/>
          <w:szCs w:val="24"/>
          <w:highlight w:val="none"/>
        </w:rPr>
        <w:t>本</w:t>
      </w:r>
      <w:r>
        <w:rPr>
          <w:rFonts w:ascii="宋体" w:hAnsi="宋体"/>
          <w:color w:val="auto"/>
          <w:sz w:val="24"/>
          <w:szCs w:val="24"/>
          <w:highlight w:val="none"/>
        </w:rPr>
        <w:t>章第</w:t>
      </w:r>
      <w:r>
        <w:rPr>
          <w:rFonts w:hint="eastAsia" w:ascii="宋体" w:hAnsi="宋体"/>
          <w:color w:val="auto"/>
          <w:sz w:val="24"/>
          <w:szCs w:val="24"/>
          <w:highlight w:val="none"/>
        </w:rPr>
        <w:t>3条</w:t>
      </w:r>
      <w:r>
        <w:rPr>
          <w:rFonts w:ascii="宋体" w:hAnsi="宋体"/>
          <w:color w:val="auto"/>
          <w:sz w:val="24"/>
          <w:szCs w:val="24"/>
          <w:highlight w:val="none"/>
        </w:rPr>
        <w:t>“</w:t>
      </w:r>
      <w:r>
        <w:rPr>
          <w:rFonts w:hint="eastAsia" w:ascii="宋体" w:hAnsi="宋体"/>
          <w:color w:val="auto"/>
          <w:sz w:val="24"/>
          <w:szCs w:val="24"/>
          <w:highlight w:val="none"/>
        </w:rPr>
        <w:t>获取谈判文件</w:t>
      </w:r>
      <w:r>
        <w:rPr>
          <w:rFonts w:ascii="宋体" w:hAnsi="宋体"/>
          <w:color w:val="auto"/>
          <w:sz w:val="24"/>
          <w:szCs w:val="24"/>
          <w:highlight w:val="none"/>
        </w:rPr>
        <w:t>”</w:t>
      </w:r>
      <w:r>
        <w:rPr>
          <w:rFonts w:hint="eastAsia" w:ascii="宋体" w:hAnsi="宋体"/>
          <w:color w:val="auto"/>
          <w:sz w:val="24"/>
          <w:szCs w:val="24"/>
          <w:highlight w:val="none"/>
        </w:rPr>
        <w:t>办</w:t>
      </w:r>
      <w:r>
        <w:rPr>
          <w:rFonts w:ascii="宋体" w:hAnsi="宋体"/>
          <w:color w:val="auto"/>
          <w:sz w:val="24"/>
          <w:szCs w:val="24"/>
          <w:highlight w:val="none"/>
        </w:rPr>
        <w:t>理。</w:t>
      </w:r>
    </w:p>
    <w:p w14:paraId="7B7FDB99">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hAnsi="宋体"/>
          <w:color w:val="auto"/>
          <w:sz w:val="24"/>
          <w:szCs w:val="24"/>
          <w:highlight w:val="none"/>
        </w:rPr>
        <w:t>9.3 谈判文件的澄清与修改或延期的</w:t>
      </w:r>
      <w:r>
        <w:rPr>
          <w:rFonts w:ascii="宋体" w:hAnsi="宋体"/>
          <w:color w:val="auto"/>
          <w:sz w:val="24"/>
          <w:szCs w:val="24"/>
          <w:highlight w:val="none"/>
        </w:rPr>
        <w:t>通知</w:t>
      </w:r>
      <w:r>
        <w:rPr>
          <w:rFonts w:hint="eastAsia" w:ascii="宋体" w:hAnsi="宋体"/>
          <w:color w:val="auto"/>
          <w:sz w:val="24"/>
          <w:szCs w:val="24"/>
          <w:highlight w:val="none"/>
        </w:rPr>
        <w:t>：</w:t>
      </w:r>
      <w:r>
        <w:rPr>
          <w:rFonts w:ascii="宋体" w:hAnsi="宋体"/>
          <w:color w:val="auto"/>
          <w:sz w:val="24"/>
          <w:szCs w:val="24"/>
          <w:highlight w:val="none"/>
        </w:rPr>
        <w:t>按</w:t>
      </w:r>
      <w:r>
        <w:rPr>
          <w:rFonts w:hint="eastAsia" w:ascii="宋体" w:hAnsi="宋体"/>
          <w:color w:val="auto"/>
          <w:sz w:val="24"/>
          <w:szCs w:val="24"/>
          <w:highlight w:val="none"/>
        </w:rPr>
        <w:t>《</w:t>
      </w:r>
      <w:r>
        <w:rPr>
          <w:rFonts w:ascii="宋体" w:hAnsi="宋体"/>
          <w:color w:val="auto"/>
          <w:sz w:val="24"/>
          <w:szCs w:val="24"/>
          <w:highlight w:val="none"/>
        </w:rPr>
        <w:t>谈判文件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2</w:t>
      </w:r>
      <w:r>
        <w:rPr>
          <w:rFonts w:hint="eastAsia" w:ascii="宋体" w:hAnsi="宋体"/>
          <w:color w:val="auto"/>
          <w:sz w:val="24"/>
          <w:szCs w:val="24"/>
          <w:highlight w:val="none"/>
        </w:rPr>
        <w:t>条“2.4 谈判文件的澄清、修改、补充的通知，及相应时间变更</w:t>
      </w:r>
      <w:r>
        <w:rPr>
          <w:rFonts w:ascii="宋体" w:hAnsi="宋体"/>
          <w:color w:val="auto"/>
          <w:sz w:val="24"/>
          <w:szCs w:val="24"/>
          <w:highlight w:val="none"/>
        </w:rPr>
        <w:t>”执行</w:t>
      </w:r>
      <w:r>
        <w:rPr>
          <w:rFonts w:hint="eastAsia" w:ascii="宋体" w:hAnsi="宋体"/>
          <w:color w:val="auto"/>
          <w:sz w:val="24"/>
          <w:szCs w:val="24"/>
          <w:highlight w:val="none"/>
        </w:rPr>
        <w:t>。</w:t>
      </w:r>
      <w:r>
        <w:rPr>
          <w:rFonts w:hint="eastAsia" w:ascii="黑体" w:hAnsi="黑体" w:eastAsia="黑体" w:cs="楷体_GB2312"/>
          <w:b/>
          <w:color w:val="auto"/>
          <w:sz w:val="24"/>
          <w:highlight w:val="none"/>
          <w:lang w:val="zh-CN"/>
        </w:rPr>
        <w:t>不</w:t>
      </w:r>
      <w:r>
        <w:rPr>
          <w:rFonts w:ascii="黑体" w:hAnsi="黑体" w:eastAsia="黑体" w:cs="楷体_GB2312"/>
          <w:b/>
          <w:color w:val="auto"/>
          <w:sz w:val="24"/>
          <w:highlight w:val="none"/>
          <w:lang w:val="zh-CN"/>
        </w:rPr>
        <w:t>另行通知。</w:t>
      </w:r>
    </w:p>
    <w:p w14:paraId="1F1D5141">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hAns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 xml:space="preserve"> 响应文件编制：在安阳市公共资源交易中心网站（https://xwz.ggzy.anyang.gov.cn:3720/ayggzy/）下载并安装投标文件制作工具、进行编制，按《谈判文件》第三章“投标人须知”第3条第</w:t>
      </w:r>
      <w:r>
        <w:rPr>
          <w:rFonts w:ascii="宋体" w:hAnsi="宋体"/>
          <w:color w:val="auto"/>
          <w:sz w:val="24"/>
          <w:szCs w:val="24"/>
          <w:highlight w:val="none"/>
        </w:rPr>
        <w:t>7</w:t>
      </w:r>
      <w:r>
        <w:rPr>
          <w:rFonts w:hint="eastAsia" w:ascii="宋体" w:hAnsi="宋体"/>
          <w:color w:val="auto"/>
          <w:sz w:val="24"/>
          <w:szCs w:val="24"/>
          <w:highlight w:val="none"/>
        </w:rPr>
        <w:t>款“</w:t>
      </w:r>
      <w:r>
        <w:rPr>
          <w:rFonts w:ascii="宋体" w:hAnsi="宋体"/>
          <w:color w:val="auto"/>
          <w:sz w:val="24"/>
          <w:szCs w:val="24"/>
          <w:highlight w:val="none"/>
        </w:rPr>
        <w:t>3.7</w:t>
      </w:r>
      <w:r>
        <w:rPr>
          <w:rFonts w:hint="eastAsia" w:ascii="宋体" w:hAnsi="宋体"/>
          <w:color w:val="auto"/>
          <w:sz w:val="24"/>
          <w:szCs w:val="24"/>
          <w:highlight w:val="none"/>
        </w:rPr>
        <w:t>投标文件的编制”执行，</w:t>
      </w:r>
      <w:r>
        <w:rPr>
          <w:rFonts w:hint="eastAsia" w:ascii="黑体" w:hAnsi="黑体" w:eastAsia="黑体" w:cs="楷体_GB2312"/>
          <w:b/>
          <w:color w:val="auto"/>
          <w:sz w:val="24"/>
          <w:highlight w:val="none"/>
          <w:lang w:val="zh-CN"/>
        </w:rPr>
        <w:t>否则将会评定为无效投标。</w:t>
      </w:r>
    </w:p>
    <w:p w14:paraId="42320D56">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9.5 响应文件递交：</w:t>
      </w:r>
      <w:r>
        <w:rPr>
          <w:rFonts w:hint="eastAsia" w:ascii="宋体" w:hAnsi="宋体"/>
          <w:color w:val="auto"/>
          <w:sz w:val="24"/>
          <w:szCs w:val="24"/>
          <w:highlight w:val="none"/>
        </w:rPr>
        <w:t>投标人应在投标截止时间前上传加密的电子投标文件（*.aytf）到安阳市公共资源交易平台，</w:t>
      </w:r>
      <w:r>
        <w:rPr>
          <w:rFonts w:ascii="宋体" w:hAnsi="宋体"/>
          <w:color w:val="auto"/>
          <w:sz w:val="24"/>
          <w:szCs w:val="24"/>
          <w:highlight w:val="none"/>
        </w:rPr>
        <w:t>按</w:t>
      </w:r>
      <w:r>
        <w:rPr>
          <w:rFonts w:hint="eastAsia" w:ascii="宋体" w:hAnsi="宋体"/>
          <w:color w:val="auto"/>
          <w:sz w:val="24"/>
          <w:szCs w:val="24"/>
          <w:highlight w:val="none"/>
        </w:rPr>
        <w:t>《</w:t>
      </w:r>
      <w:r>
        <w:rPr>
          <w:rFonts w:ascii="宋体" w:hAnsi="宋体"/>
          <w:color w:val="auto"/>
          <w:sz w:val="24"/>
          <w:szCs w:val="24"/>
          <w:highlight w:val="none"/>
        </w:rPr>
        <w:t>谈判文件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4</w:t>
      </w:r>
      <w:r>
        <w:rPr>
          <w:rFonts w:hint="eastAsia" w:ascii="宋体" w:hAnsi="宋体"/>
          <w:color w:val="auto"/>
          <w:sz w:val="24"/>
          <w:szCs w:val="24"/>
          <w:highlight w:val="none"/>
        </w:rPr>
        <w:t>条</w:t>
      </w:r>
      <w:r>
        <w:rPr>
          <w:rFonts w:ascii="宋体" w:hAnsi="宋体"/>
          <w:color w:val="auto"/>
          <w:sz w:val="24"/>
          <w:szCs w:val="24"/>
          <w:highlight w:val="none"/>
        </w:rPr>
        <w:t xml:space="preserve"> “</w:t>
      </w:r>
      <w:r>
        <w:rPr>
          <w:rFonts w:hint="eastAsia" w:ascii="宋体" w:hAnsi="宋体"/>
          <w:color w:val="auto"/>
          <w:sz w:val="24"/>
          <w:szCs w:val="24"/>
          <w:highlight w:val="none"/>
        </w:rPr>
        <w:t>4. 投标（响应文件的递交）”</w:t>
      </w:r>
      <w:r>
        <w:rPr>
          <w:rFonts w:ascii="宋体" w:hAnsi="宋体"/>
          <w:color w:val="auto"/>
          <w:sz w:val="24"/>
          <w:szCs w:val="24"/>
          <w:highlight w:val="none"/>
        </w:rPr>
        <w:t>执行，</w:t>
      </w:r>
      <w:r>
        <w:rPr>
          <w:rFonts w:hint="eastAsia" w:ascii="黑体" w:hAnsi="黑体" w:eastAsia="黑体" w:cs="楷体_GB2312"/>
          <w:b/>
          <w:color w:val="auto"/>
          <w:sz w:val="24"/>
          <w:highlight w:val="none"/>
          <w:lang w:val="zh-CN"/>
        </w:rPr>
        <w:t>否</w:t>
      </w:r>
      <w:r>
        <w:rPr>
          <w:rFonts w:ascii="黑体" w:hAnsi="黑体" w:eastAsia="黑体" w:cs="楷体_GB2312"/>
          <w:b/>
          <w:color w:val="auto"/>
          <w:sz w:val="24"/>
          <w:highlight w:val="none"/>
          <w:lang w:val="zh-CN"/>
        </w:rPr>
        <w:t>则将会</w:t>
      </w:r>
      <w:r>
        <w:rPr>
          <w:rFonts w:hint="eastAsia" w:ascii="黑体" w:hAnsi="黑体" w:eastAsia="黑体" w:cs="楷体_GB2312"/>
          <w:b/>
          <w:color w:val="auto"/>
          <w:sz w:val="24"/>
          <w:highlight w:val="none"/>
          <w:lang w:val="zh-CN"/>
        </w:rPr>
        <w:t>评</w:t>
      </w:r>
      <w:r>
        <w:rPr>
          <w:rFonts w:ascii="黑体" w:hAnsi="黑体" w:eastAsia="黑体" w:cs="楷体_GB2312"/>
          <w:b/>
          <w:color w:val="auto"/>
          <w:sz w:val="24"/>
          <w:highlight w:val="none"/>
          <w:lang w:val="zh-CN"/>
        </w:rPr>
        <w:t>定为无效投标。</w:t>
      </w:r>
    </w:p>
    <w:p w14:paraId="5A42B3B4">
      <w:pPr>
        <w:widowControl w:val="0"/>
        <w:tabs>
          <w:tab w:val="left" w:pos="39"/>
          <w:tab w:val="left" w:pos="96"/>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9</w:t>
      </w:r>
      <w:r>
        <w:rPr>
          <w:rFonts w:ascii="宋体"/>
          <w:color w:val="auto"/>
          <w:sz w:val="24"/>
          <w:szCs w:val="24"/>
          <w:highlight w:val="none"/>
        </w:rPr>
        <w:t>.</w:t>
      </w:r>
      <w:r>
        <w:rPr>
          <w:rFonts w:hint="eastAsia" w:ascii="宋体"/>
          <w:color w:val="auto"/>
          <w:sz w:val="24"/>
          <w:szCs w:val="24"/>
          <w:highlight w:val="none"/>
        </w:rPr>
        <w:t>6 响应文件</w:t>
      </w:r>
      <w:r>
        <w:rPr>
          <w:rFonts w:hint="eastAsia" w:ascii="宋体" w:hAnsi="宋体"/>
          <w:color w:val="auto"/>
          <w:sz w:val="24"/>
          <w:szCs w:val="24"/>
          <w:highlight w:val="none"/>
        </w:rPr>
        <w:t>解密</w:t>
      </w:r>
      <w:r>
        <w:rPr>
          <w:rFonts w:hint="eastAsia" w:ascii="宋体"/>
          <w:color w:val="auto"/>
          <w:sz w:val="24"/>
          <w:szCs w:val="24"/>
          <w:highlight w:val="none"/>
        </w:rPr>
        <w:t>：</w:t>
      </w:r>
      <w:r>
        <w:rPr>
          <w:bCs/>
          <w:color w:val="auto"/>
          <w:sz w:val="24"/>
          <w:szCs w:val="24"/>
          <w:highlight w:val="none"/>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r>
        <w:rPr>
          <w:rFonts w:ascii="宋体" w:hAnsi="宋体"/>
          <w:color w:val="auto"/>
          <w:sz w:val="24"/>
          <w:szCs w:val="24"/>
          <w:highlight w:val="none"/>
        </w:rPr>
        <w:t>按</w:t>
      </w:r>
      <w:r>
        <w:rPr>
          <w:rFonts w:hint="eastAsia" w:ascii="宋体" w:hAnsi="宋体"/>
          <w:color w:val="auto"/>
          <w:sz w:val="24"/>
          <w:szCs w:val="24"/>
          <w:highlight w:val="none"/>
        </w:rPr>
        <w:t>《</w:t>
      </w:r>
      <w:r>
        <w:rPr>
          <w:rFonts w:ascii="宋体" w:hAnsi="宋体"/>
          <w:color w:val="auto"/>
          <w:sz w:val="24"/>
          <w:szCs w:val="24"/>
          <w:highlight w:val="none"/>
        </w:rPr>
        <w:t>谈判文件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5</w:t>
      </w:r>
      <w:r>
        <w:rPr>
          <w:rFonts w:hint="eastAsia" w:ascii="宋体" w:hAnsi="宋体"/>
          <w:color w:val="auto"/>
          <w:sz w:val="24"/>
          <w:szCs w:val="24"/>
          <w:highlight w:val="none"/>
        </w:rPr>
        <w:t>条</w:t>
      </w:r>
      <w:r>
        <w:rPr>
          <w:rFonts w:ascii="宋体" w:hAnsi="宋体"/>
          <w:color w:val="auto"/>
          <w:sz w:val="24"/>
          <w:szCs w:val="24"/>
          <w:highlight w:val="none"/>
        </w:rPr>
        <w:t xml:space="preserve">“5 </w:t>
      </w:r>
      <w:r>
        <w:rPr>
          <w:rFonts w:hint="eastAsia" w:ascii="宋体"/>
          <w:color w:val="auto"/>
          <w:sz w:val="24"/>
          <w:szCs w:val="24"/>
          <w:highlight w:val="none"/>
        </w:rPr>
        <w:t>开标（响应文件的开启）</w:t>
      </w:r>
      <w:r>
        <w:rPr>
          <w:rFonts w:hint="eastAsia" w:ascii="宋体" w:hAnsi="宋体"/>
          <w:color w:val="auto"/>
          <w:sz w:val="24"/>
          <w:szCs w:val="24"/>
          <w:highlight w:val="none"/>
        </w:rPr>
        <w:t>”</w:t>
      </w:r>
      <w:r>
        <w:rPr>
          <w:rFonts w:ascii="宋体" w:hAnsi="宋体"/>
          <w:color w:val="auto"/>
          <w:sz w:val="24"/>
          <w:szCs w:val="24"/>
          <w:highlight w:val="none"/>
        </w:rPr>
        <w:t>执行，</w:t>
      </w:r>
      <w:r>
        <w:rPr>
          <w:rFonts w:hint="eastAsia" w:ascii="宋体" w:hAnsi="宋体" w:cs="楷体_GB2312"/>
          <w:color w:val="auto"/>
          <w:sz w:val="24"/>
          <w:highlight w:val="none"/>
          <w:lang w:val="zh-CN"/>
        </w:rPr>
        <w:t>否</w:t>
      </w:r>
      <w:r>
        <w:rPr>
          <w:rFonts w:ascii="宋体" w:hAnsi="宋体" w:cs="楷体_GB2312"/>
          <w:color w:val="auto"/>
          <w:sz w:val="24"/>
          <w:highlight w:val="none"/>
          <w:lang w:val="zh-CN"/>
        </w:rPr>
        <w:t>则</w:t>
      </w:r>
      <w:r>
        <w:rPr>
          <w:rFonts w:hint="eastAsia" w:ascii="宋体" w:hAnsi="宋体" w:cs="楷体_GB2312"/>
          <w:color w:val="auto"/>
          <w:sz w:val="24"/>
          <w:highlight w:val="none"/>
          <w:lang w:val="zh-CN"/>
        </w:rPr>
        <w:t>其投标将不能被接受</w:t>
      </w:r>
      <w:r>
        <w:rPr>
          <w:rFonts w:ascii="宋体" w:hAnsi="宋体" w:cs="楷体_GB2312"/>
          <w:color w:val="auto"/>
          <w:sz w:val="24"/>
          <w:highlight w:val="none"/>
          <w:lang w:val="zh-CN"/>
        </w:rPr>
        <w:t>。</w:t>
      </w:r>
    </w:p>
    <w:p w14:paraId="2357BC56">
      <w:pPr>
        <w:widowControl w:val="0"/>
        <w:tabs>
          <w:tab w:val="left" w:pos="39"/>
          <w:tab w:val="left" w:pos="96"/>
        </w:tabs>
        <w:snapToGrid w:val="0"/>
        <w:spacing w:line="360" w:lineRule="auto"/>
        <w:ind w:firstLine="480" w:firstLineChars="200"/>
        <w:rPr>
          <w:rFonts w:ascii="黑体" w:hAnsi="黑体" w:eastAsia="黑体" w:cs="楷体_GB2312"/>
          <w:b/>
          <w:color w:val="auto"/>
          <w:sz w:val="24"/>
          <w:highlight w:val="none"/>
          <w:lang w:val="zh-CN"/>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谈</w:t>
      </w:r>
      <w:r>
        <w:rPr>
          <w:rFonts w:ascii="宋体" w:hAnsi="宋体"/>
          <w:color w:val="auto"/>
          <w:sz w:val="24"/>
          <w:szCs w:val="24"/>
          <w:highlight w:val="none"/>
        </w:rPr>
        <w:t>判：</w:t>
      </w:r>
      <w:r>
        <w:rPr>
          <w:rFonts w:hint="eastAsia" w:ascii="宋体" w:hAnsi="宋体"/>
          <w:color w:val="auto"/>
          <w:sz w:val="24"/>
          <w:highlight w:val="none"/>
        </w:rPr>
        <w:t>时刻关注电子开标室并及时澄清，有</w:t>
      </w:r>
      <w:r>
        <w:rPr>
          <w:rFonts w:ascii="宋体" w:hAnsi="宋体"/>
          <w:color w:val="auto"/>
          <w:sz w:val="24"/>
          <w:highlight w:val="none"/>
        </w:rPr>
        <w:t>效投标人在规定时间进行</w:t>
      </w:r>
      <w:r>
        <w:rPr>
          <w:rFonts w:hint="eastAsia" w:ascii="宋体" w:hAnsi="宋体"/>
          <w:color w:val="auto"/>
          <w:sz w:val="24"/>
          <w:highlight w:val="none"/>
        </w:rPr>
        <w:t>最后报价</w:t>
      </w:r>
      <w:r>
        <w:rPr>
          <w:rFonts w:ascii="宋体" w:hAnsi="宋体"/>
          <w:color w:val="auto"/>
          <w:sz w:val="24"/>
          <w:highlight w:val="none"/>
        </w:rPr>
        <w:t>，</w:t>
      </w:r>
      <w:r>
        <w:rPr>
          <w:rFonts w:ascii="宋体" w:hAnsi="宋体"/>
          <w:color w:val="auto"/>
          <w:sz w:val="24"/>
          <w:szCs w:val="24"/>
          <w:highlight w:val="none"/>
        </w:rPr>
        <w:t>按</w:t>
      </w:r>
      <w:r>
        <w:rPr>
          <w:rFonts w:hint="eastAsia" w:ascii="宋体" w:hAnsi="宋体"/>
          <w:color w:val="auto"/>
          <w:sz w:val="24"/>
          <w:szCs w:val="24"/>
          <w:highlight w:val="none"/>
        </w:rPr>
        <w:t>《</w:t>
      </w:r>
      <w:r>
        <w:rPr>
          <w:rFonts w:ascii="宋体" w:hAnsi="宋体"/>
          <w:color w:val="auto"/>
          <w:sz w:val="24"/>
          <w:szCs w:val="24"/>
          <w:highlight w:val="none"/>
        </w:rPr>
        <w:t>谈判文件</w:t>
      </w:r>
      <w:r>
        <w:rPr>
          <w:rFonts w:hint="eastAsia" w:ascii="宋体" w:hAnsi="宋体"/>
          <w:color w:val="auto"/>
          <w:sz w:val="24"/>
          <w:szCs w:val="24"/>
          <w:highlight w:val="none"/>
        </w:rPr>
        <w:t>》第四章“评审办法”</w:t>
      </w:r>
      <w:r>
        <w:rPr>
          <w:rFonts w:ascii="宋体" w:hAnsi="宋体"/>
          <w:color w:val="auto"/>
          <w:sz w:val="24"/>
          <w:szCs w:val="24"/>
          <w:highlight w:val="none"/>
        </w:rPr>
        <w:t>执行，</w:t>
      </w:r>
      <w:r>
        <w:rPr>
          <w:rFonts w:hint="eastAsia" w:ascii="黑体" w:hAnsi="黑体" w:eastAsia="黑体" w:cs="楷体_GB2312"/>
          <w:b/>
          <w:color w:val="auto"/>
          <w:sz w:val="24"/>
          <w:highlight w:val="none"/>
          <w:lang w:val="zh-CN"/>
        </w:rPr>
        <w:t>否</w:t>
      </w:r>
      <w:r>
        <w:rPr>
          <w:rFonts w:ascii="黑体" w:hAnsi="黑体" w:eastAsia="黑体" w:cs="楷体_GB2312"/>
          <w:b/>
          <w:color w:val="auto"/>
          <w:sz w:val="24"/>
          <w:highlight w:val="none"/>
          <w:lang w:val="zh-CN"/>
        </w:rPr>
        <w:t>则将会</w:t>
      </w:r>
      <w:r>
        <w:rPr>
          <w:rFonts w:hint="eastAsia" w:ascii="黑体" w:hAnsi="黑体" w:eastAsia="黑体" w:cs="楷体_GB2312"/>
          <w:b/>
          <w:color w:val="auto"/>
          <w:sz w:val="24"/>
          <w:highlight w:val="none"/>
          <w:lang w:val="zh-CN"/>
        </w:rPr>
        <w:t>评</w:t>
      </w:r>
      <w:r>
        <w:rPr>
          <w:rFonts w:ascii="黑体" w:hAnsi="黑体" w:eastAsia="黑体" w:cs="楷体_GB2312"/>
          <w:b/>
          <w:color w:val="auto"/>
          <w:sz w:val="24"/>
          <w:highlight w:val="none"/>
          <w:lang w:val="zh-CN"/>
        </w:rPr>
        <w:t>定为无效投标。</w:t>
      </w:r>
    </w:p>
    <w:p w14:paraId="754972B3">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9.8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14:paraId="640FBAD3">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①锁名称变更前建议先在交易系统修改单位名称为最新的，变更完成后再变更锁名称，以免因名称不一致无法正常登录系统。</w:t>
      </w:r>
    </w:p>
    <w:p w14:paraId="1A979ADE">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②锁延期之后序列号可能会发生改变（视不同CA而定），变更后需要重新进行绑定。</w:t>
      </w:r>
    </w:p>
    <w:p w14:paraId="551F013D">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9.9政府采购电子交易中，投标人网上电子交易的系统操作规则应以安阳市公共资源交易平台即时发布的相关规则为准。</w:t>
      </w:r>
    </w:p>
    <w:p w14:paraId="11DC8898">
      <w:pPr>
        <w:widowControl w:val="0"/>
        <w:tabs>
          <w:tab w:val="left" w:pos="39"/>
          <w:tab w:val="left" w:pos="96"/>
        </w:tabs>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9.10 望投标人充分熟悉网上电子交易操作流程、以便有效投标。</w:t>
      </w:r>
    </w:p>
    <w:p w14:paraId="2607F17C">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bCs/>
          <w:color w:val="auto"/>
          <w:sz w:val="24"/>
          <w:szCs w:val="24"/>
          <w:highlight w:val="none"/>
        </w:rPr>
        <w:t>9.11 如遇到网上系统操作等技术问题请咨询</w:t>
      </w:r>
      <w:r>
        <w:rPr>
          <w:rFonts w:hint="eastAsia" w:ascii="宋体" w:hAnsi="宋体"/>
          <w:color w:val="auto"/>
          <w:sz w:val="24"/>
          <w:szCs w:val="24"/>
          <w:highlight w:val="none"/>
        </w:rPr>
        <w:t>400-998-0000、0372-3387739。</w:t>
      </w:r>
    </w:p>
    <w:p w14:paraId="55144075">
      <w:pPr>
        <w:widowControl w:val="0"/>
        <w:tabs>
          <w:tab w:val="left" w:pos="39"/>
          <w:tab w:val="left" w:pos="96"/>
        </w:tabs>
        <w:snapToGrid w:val="0"/>
        <w:spacing w:line="360" w:lineRule="auto"/>
        <w:ind w:firstLine="540" w:firstLineChars="225"/>
        <w:rPr>
          <w:rFonts w:ascii="宋体"/>
          <w:color w:val="auto"/>
          <w:sz w:val="24"/>
          <w:szCs w:val="24"/>
          <w:highlight w:val="none"/>
        </w:rPr>
      </w:pPr>
    </w:p>
    <w:p w14:paraId="0D0A5776">
      <w:pPr>
        <w:widowControl w:val="0"/>
        <w:tabs>
          <w:tab w:val="left" w:pos="39"/>
          <w:tab w:val="left" w:pos="96"/>
        </w:tabs>
        <w:snapToGrid w:val="0"/>
        <w:spacing w:line="360" w:lineRule="auto"/>
        <w:ind w:firstLine="5220" w:firstLineChars="2175"/>
        <w:jc w:val="right"/>
        <w:rPr>
          <w:rFonts w:ascii="宋体"/>
          <w:color w:val="auto"/>
          <w:sz w:val="24"/>
          <w:szCs w:val="24"/>
          <w:highlight w:val="none"/>
        </w:rPr>
      </w:pPr>
      <w:r>
        <w:rPr>
          <w:rFonts w:hint="eastAsia" w:ascii="宋体"/>
          <w:color w:val="auto"/>
          <w:sz w:val="24"/>
          <w:szCs w:val="24"/>
          <w:highlight w:val="none"/>
        </w:rPr>
        <w:t>安阳市方正招标采购服务有限责任公司</w:t>
      </w:r>
    </w:p>
    <w:p w14:paraId="3CD116E8">
      <w:pPr>
        <w:widowControl w:val="0"/>
        <w:tabs>
          <w:tab w:val="left" w:pos="39"/>
          <w:tab w:val="left" w:pos="96"/>
        </w:tabs>
        <w:snapToGrid w:val="0"/>
        <w:spacing w:line="360" w:lineRule="auto"/>
        <w:ind w:firstLine="540" w:firstLineChars="225"/>
        <w:jc w:val="right"/>
        <w:rPr>
          <w:rFonts w:ascii="宋体"/>
          <w:color w:val="auto"/>
          <w:sz w:val="24"/>
          <w:szCs w:val="24"/>
          <w:highlight w:val="none"/>
        </w:rPr>
      </w:pPr>
      <w:r>
        <w:rPr>
          <w:rFonts w:hint="eastAsia" w:ascii="宋体"/>
          <w:color w:val="auto"/>
          <w:sz w:val="24"/>
          <w:szCs w:val="24"/>
          <w:highlight w:val="none"/>
        </w:rPr>
        <w:t>二〇二四年</w:t>
      </w:r>
      <w:r>
        <w:rPr>
          <w:rFonts w:hint="eastAsia" w:ascii="宋体"/>
          <w:color w:val="auto"/>
          <w:sz w:val="24"/>
          <w:szCs w:val="24"/>
          <w:highlight w:val="none"/>
          <w:lang w:val="en-US" w:eastAsia="zh-CN"/>
        </w:rPr>
        <w:t>九</w:t>
      </w:r>
      <w:r>
        <w:rPr>
          <w:rFonts w:hint="eastAsia" w:ascii="宋体"/>
          <w:color w:val="auto"/>
          <w:sz w:val="24"/>
          <w:szCs w:val="24"/>
          <w:highlight w:val="none"/>
        </w:rPr>
        <w:t>月</w:t>
      </w:r>
      <w:r>
        <w:rPr>
          <w:rFonts w:hint="eastAsia" w:ascii="宋体"/>
          <w:color w:val="auto"/>
          <w:sz w:val="24"/>
          <w:szCs w:val="24"/>
          <w:highlight w:val="none"/>
          <w:lang w:val="en-US" w:eastAsia="zh-CN"/>
        </w:rPr>
        <w:t>十三</w:t>
      </w:r>
      <w:r>
        <w:rPr>
          <w:rFonts w:hint="eastAsia" w:ascii="宋体"/>
          <w:color w:val="auto"/>
          <w:sz w:val="24"/>
          <w:szCs w:val="24"/>
          <w:highlight w:val="none"/>
        </w:rPr>
        <w:t>日</w:t>
      </w:r>
    </w:p>
    <w:p w14:paraId="407494A0">
      <w:pPr>
        <w:widowControl w:val="0"/>
        <w:tabs>
          <w:tab w:val="left" w:pos="39"/>
          <w:tab w:val="left" w:pos="96"/>
        </w:tabs>
        <w:snapToGrid w:val="0"/>
        <w:spacing w:line="360" w:lineRule="auto"/>
        <w:ind w:firstLine="630" w:firstLineChars="225"/>
        <w:rPr>
          <w:rFonts w:ascii="宋体" w:hAnsi="宋体"/>
          <w:color w:val="auto"/>
          <w:sz w:val="24"/>
          <w:szCs w:val="24"/>
          <w:highlight w:val="none"/>
        </w:rPr>
      </w:pPr>
      <w:r>
        <w:rPr>
          <w:rFonts w:eastAsia="方正黑体简体"/>
          <w:color w:val="auto"/>
          <w:sz w:val="28"/>
          <w:szCs w:val="28"/>
          <w:highlight w:val="none"/>
        </w:rPr>
        <w:br w:type="page"/>
      </w:r>
    </w:p>
    <w:p w14:paraId="11709591">
      <w:pPr>
        <w:widowControl w:val="0"/>
        <w:snapToGrid w:val="0"/>
        <w:spacing w:line="360" w:lineRule="auto"/>
        <w:jc w:val="center"/>
        <w:outlineLvl w:val="0"/>
        <w:rPr>
          <w:rFonts w:eastAsia="方正黑体简体"/>
          <w:color w:val="auto"/>
          <w:sz w:val="36"/>
          <w:szCs w:val="36"/>
          <w:highlight w:val="none"/>
        </w:rPr>
      </w:pPr>
      <w:bookmarkStart w:id="9" w:name="_Toc65679375"/>
      <w:r>
        <w:rPr>
          <w:rFonts w:hint="eastAsia" w:eastAsia="黑体"/>
          <w:b/>
          <w:color w:val="auto"/>
          <w:sz w:val="36"/>
          <w:szCs w:val="36"/>
          <w:highlight w:val="none"/>
        </w:rPr>
        <w:t>第二章 采购项目及服务要求</w:t>
      </w:r>
      <w:bookmarkEnd w:id="9"/>
    </w:p>
    <w:p w14:paraId="2A7E4693">
      <w:pPr>
        <w:widowControl w:val="0"/>
        <w:snapToGrid w:val="0"/>
        <w:spacing w:line="360" w:lineRule="auto"/>
        <w:jc w:val="center"/>
        <w:rPr>
          <w:b/>
          <w:color w:val="auto"/>
          <w:sz w:val="28"/>
          <w:highlight w:val="none"/>
        </w:rPr>
      </w:pPr>
    </w:p>
    <w:p w14:paraId="1B97B00B">
      <w:pPr>
        <w:widowControl w:val="0"/>
        <w:snapToGrid w:val="0"/>
        <w:spacing w:line="360" w:lineRule="auto"/>
        <w:ind w:firstLine="422" w:firstLineChars="150"/>
        <w:jc w:val="left"/>
        <w:outlineLvl w:val="1"/>
        <w:rPr>
          <w:rFonts w:ascii="黑体" w:hAnsi="黑体" w:eastAsia="黑体"/>
          <w:b/>
          <w:color w:val="auto"/>
          <w:sz w:val="28"/>
          <w:highlight w:val="none"/>
        </w:rPr>
      </w:pPr>
      <w:bookmarkStart w:id="10" w:name="_Toc65679376"/>
      <w:r>
        <w:rPr>
          <w:rFonts w:ascii="黑体" w:hAnsi="黑体" w:eastAsia="黑体"/>
          <w:b/>
          <w:color w:val="auto"/>
          <w:sz w:val="28"/>
          <w:highlight w:val="none"/>
        </w:rPr>
        <w:t xml:space="preserve">1. </w:t>
      </w:r>
      <w:r>
        <w:rPr>
          <w:rFonts w:hint="eastAsia" w:ascii="黑体" w:hAnsi="黑体" w:eastAsia="黑体"/>
          <w:b/>
          <w:color w:val="auto"/>
          <w:sz w:val="28"/>
          <w:highlight w:val="none"/>
        </w:rPr>
        <w:t>采购项目、标段（包）划分、投标报价</w:t>
      </w:r>
      <w:bookmarkEnd w:id="10"/>
    </w:p>
    <w:p w14:paraId="557826AA">
      <w:pPr>
        <w:widowControl w:val="0"/>
        <w:snapToGrid w:val="0"/>
        <w:spacing w:line="360" w:lineRule="auto"/>
        <w:ind w:firstLine="482" w:firstLineChars="200"/>
        <w:jc w:val="left"/>
        <w:rPr>
          <w:rFonts w:hint="eastAsia" w:eastAsia="宋体"/>
          <w:color w:val="auto"/>
          <w:sz w:val="24"/>
          <w:szCs w:val="24"/>
          <w:highlight w:val="none"/>
          <w:lang w:eastAsia="zh-CN"/>
        </w:rPr>
      </w:pPr>
      <w:r>
        <w:rPr>
          <w:rFonts w:ascii="黑体" w:hAnsi="黑体" w:eastAsia="黑体"/>
          <w:b/>
          <w:color w:val="auto"/>
          <w:sz w:val="24"/>
          <w:szCs w:val="24"/>
          <w:highlight w:val="none"/>
        </w:rPr>
        <w:t>1.1</w:t>
      </w:r>
      <w:r>
        <w:rPr>
          <w:rFonts w:hint="eastAsia" w:ascii="黑体" w:hAnsi="黑体" w:eastAsia="黑体"/>
          <w:b/>
          <w:color w:val="auto"/>
          <w:sz w:val="24"/>
          <w:szCs w:val="24"/>
          <w:highlight w:val="none"/>
        </w:rPr>
        <w:t>采购项目名称</w:t>
      </w:r>
      <w:r>
        <w:rPr>
          <w:rFonts w:hint="eastAsia"/>
          <w:color w:val="auto"/>
          <w:sz w:val="24"/>
          <w:szCs w:val="24"/>
          <w:highlight w:val="none"/>
        </w:rPr>
        <w:t>：河南省安阳市中级人民法院移动办公办案系统升级服务项目</w:t>
      </w:r>
      <w:r>
        <w:rPr>
          <w:rFonts w:hint="eastAsia"/>
          <w:color w:val="auto"/>
          <w:sz w:val="24"/>
          <w:szCs w:val="24"/>
          <w:highlight w:val="none"/>
          <w:lang w:eastAsia="zh-CN"/>
        </w:rPr>
        <w:t>（</w:t>
      </w:r>
      <w:r>
        <w:rPr>
          <w:rFonts w:hint="eastAsia"/>
          <w:color w:val="auto"/>
          <w:sz w:val="24"/>
          <w:szCs w:val="24"/>
          <w:highlight w:val="none"/>
          <w:lang w:val="en-US" w:eastAsia="zh-CN"/>
        </w:rPr>
        <w:t>二次</w:t>
      </w:r>
      <w:r>
        <w:rPr>
          <w:rFonts w:hint="eastAsia"/>
          <w:color w:val="auto"/>
          <w:sz w:val="24"/>
          <w:szCs w:val="24"/>
          <w:highlight w:val="none"/>
          <w:lang w:eastAsia="zh-CN"/>
        </w:rPr>
        <w:t>）</w:t>
      </w:r>
    </w:p>
    <w:p w14:paraId="6A2AC7A9">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 xml:space="preserve">1.2 </w:t>
      </w:r>
      <w:r>
        <w:rPr>
          <w:rFonts w:hint="eastAsia" w:ascii="黑体" w:hAnsi="黑体" w:eastAsia="黑体"/>
          <w:b/>
          <w:color w:val="auto"/>
          <w:sz w:val="24"/>
          <w:szCs w:val="24"/>
          <w:highlight w:val="none"/>
        </w:rPr>
        <w:t>标段（包）划分及其服务期服务地点</w:t>
      </w:r>
      <w:r>
        <w:rPr>
          <w:rFonts w:hint="eastAsia"/>
          <w:color w:val="auto"/>
          <w:sz w:val="24"/>
          <w:szCs w:val="24"/>
          <w:highlight w:val="none"/>
        </w:rPr>
        <w:t>：本次采购项目划分为</w:t>
      </w:r>
      <w:r>
        <w:rPr>
          <w:color w:val="auto"/>
          <w:sz w:val="24"/>
          <w:szCs w:val="24"/>
          <w:highlight w:val="none"/>
        </w:rPr>
        <w:t>1</w:t>
      </w:r>
      <w:r>
        <w:rPr>
          <w:rFonts w:hint="eastAsia"/>
          <w:color w:val="auto"/>
          <w:sz w:val="24"/>
          <w:szCs w:val="24"/>
          <w:highlight w:val="none"/>
        </w:rPr>
        <w:t>个标段（包）。</w:t>
      </w:r>
    </w:p>
    <w:tbl>
      <w:tblPr>
        <w:tblStyle w:val="1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790"/>
        <w:gridCol w:w="2510"/>
        <w:gridCol w:w="1701"/>
        <w:gridCol w:w="1458"/>
      </w:tblGrid>
      <w:tr w14:paraId="6276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363" w:type="dxa"/>
            <w:gridSpan w:val="5"/>
            <w:vAlign w:val="center"/>
          </w:tcPr>
          <w:p w14:paraId="2BF69CC3">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标段（包）一览表</w:t>
            </w:r>
          </w:p>
        </w:tc>
      </w:tr>
      <w:tr w14:paraId="139A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04" w:type="dxa"/>
            <w:vAlign w:val="center"/>
          </w:tcPr>
          <w:p w14:paraId="6E441FF5">
            <w:pPr>
              <w:widowControl w:val="0"/>
              <w:snapToGrid w:val="0"/>
              <w:spacing w:line="240" w:lineRule="auto"/>
              <w:jc w:val="center"/>
              <w:rPr>
                <w:b/>
                <w:color w:val="auto"/>
                <w:sz w:val="24"/>
                <w:szCs w:val="24"/>
                <w:highlight w:val="none"/>
              </w:rPr>
            </w:pPr>
            <w:r>
              <w:rPr>
                <w:rFonts w:hint="eastAsia"/>
                <w:b/>
                <w:color w:val="auto"/>
                <w:sz w:val="24"/>
                <w:szCs w:val="24"/>
                <w:highlight w:val="none"/>
              </w:rPr>
              <w:t>项目名称</w:t>
            </w:r>
          </w:p>
        </w:tc>
        <w:tc>
          <w:tcPr>
            <w:tcW w:w="1790" w:type="dxa"/>
            <w:vAlign w:val="center"/>
          </w:tcPr>
          <w:p w14:paraId="54948DA4">
            <w:pPr>
              <w:widowControl w:val="0"/>
              <w:snapToGrid w:val="0"/>
              <w:spacing w:line="240" w:lineRule="auto"/>
              <w:jc w:val="center"/>
              <w:rPr>
                <w:b/>
                <w:color w:val="auto"/>
                <w:sz w:val="24"/>
                <w:szCs w:val="24"/>
                <w:highlight w:val="none"/>
              </w:rPr>
            </w:pPr>
            <w:r>
              <w:rPr>
                <w:rFonts w:hint="eastAsia"/>
                <w:b/>
                <w:color w:val="auto"/>
                <w:sz w:val="24"/>
                <w:szCs w:val="24"/>
                <w:highlight w:val="none"/>
              </w:rPr>
              <w:t>标段（包）名称</w:t>
            </w:r>
          </w:p>
        </w:tc>
        <w:tc>
          <w:tcPr>
            <w:tcW w:w="2510" w:type="dxa"/>
            <w:vAlign w:val="center"/>
          </w:tcPr>
          <w:p w14:paraId="586B265A">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标段（包）内容（范围）</w:t>
            </w:r>
          </w:p>
        </w:tc>
        <w:tc>
          <w:tcPr>
            <w:tcW w:w="1701" w:type="dxa"/>
            <w:vAlign w:val="center"/>
          </w:tcPr>
          <w:p w14:paraId="1364C9F5">
            <w:pPr>
              <w:widowControl w:val="0"/>
              <w:snapToGrid w:val="0"/>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合同履行期限</w:t>
            </w:r>
          </w:p>
          <w:p w14:paraId="768EA790">
            <w:pPr>
              <w:widowControl w:val="0"/>
              <w:snapToGrid w:val="0"/>
              <w:spacing w:line="240" w:lineRule="auto"/>
              <w:jc w:val="center"/>
              <w:rPr>
                <w:b/>
                <w:color w:val="auto"/>
                <w:sz w:val="24"/>
                <w:szCs w:val="24"/>
                <w:highlight w:val="none"/>
              </w:rPr>
            </w:pPr>
            <w:r>
              <w:rPr>
                <w:rFonts w:hint="eastAsia" w:ascii="宋体" w:hAnsi="宋体"/>
                <w:b/>
                <w:color w:val="auto"/>
                <w:sz w:val="24"/>
                <w:szCs w:val="24"/>
                <w:highlight w:val="none"/>
              </w:rPr>
              <w:t>（服务期）</w:t>
            </w:r>
          </w:p>
        </w:tc>
        <w:tc>
          <w:tcPr>
            <w:tcW w:w="1458" w:type="dxa"/>
            <w:vAlign w:val="center"/>
          </w:tcPr>
          <w:p w14:paraId="40BBB79F">
            <w:pPr>
              <w:widowControl w:val="0"/>
              <w:snapToGrid w:val="0"/>
              <w:spacing w:line="240" w:lineRule="auto"/>
              <w:jc w:val="center"/>
              <w:rPr>
                <w:b/>
                <w:color w:val="auto"/>
                <w:sz w:val="24"/>
                <w:szCs w:val="24"/>
                <w:highlight w:val="none"/>
              </w:rPr>
            </w:pPr>
            <w:r>
              <w:rPr>
                <w:rFonts w:hint="eastAsia" w:ascii="宋体" w:hAnsi="宋体"/>
                <w:b/>
                <w:color w:val="auto"/>
                <w:sz w:val="24"/>
                <w:szCs w:val="24"/>
                <w:highlight w:val="none"/>
              </w:rPr>
              <w:t>服务地点</w:t>
            </w:r>
          </w:p>
        </w:tc>
      </w:tr>
      <w:tr w14:paraId="46B8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04" w:type="dxa"/>
            <w:vAlign w:val="center"/>
          </w:tcPr>
          <w:p w14:paraId="6253F1F3">
            <w:pPr>
              <w:widowControl w:val="0"/>
              <w:adjustRightInd w:val="0"/>
              <w:snapToGrid w:val="0"/>
              <w:spacing w:line="240" w:lineRule="auto"/>
              <w:rPr>
                <w:rFonts w:hint="eastAsia" w:eastAsia="宋体"/>
                <w:color w:val="auto"/>
                <w:sz w:val="24"/>
                <w:szCs w:val="24"/>
                <w:highlight w:val="none"/>
                <w:lang w:eastAsia="zh-CN"/>
              </w:rPr>
            </w:pPr>
            <w:r>
              <w:rPr>
                <w:rFonts w:hint="eastAsia"/>
                <w:color w:val="auto"/>
                <w:sz w:val="24"/>
                <w:szCs w:val="24"/>
                <w:highlight w:val="none"/>
              </w:rPr>
              <w:t>河南省安阳市中级人民法院移动办公办案系统升级服务项目</w:t>
            </w:r>
            <w:r>
              <w:rPr>
                <w:rFonts w:hint="eastAsia"/>
                <w:color w:val="auto"/>
                <w:sz w:val="24"/>
                <w:szCs w:val="24"/>
                <w:highlight w:val="none"/>
                <w:lang w:eastAsia="zh-CN"/>
              </w:rPr>
              <w:t>（</w:t>
            </w:r>
            <w:r>
              <w:rPr>
                <w:rFonts w:hint="eastAsia"/>
                <w:color w:val="auto"/>
                <w:sz w:val="24"/>
                <w:szCs w:val="24"/>
                <w:highlight w:val="none"/>
                <w:lang w:val="en-US" w:eastAsia="zh-CN"/>
              </w:rPr>
              <w:t>二次</w:t>
            </w:r>
            <w:r>
              <w:rPr>
                <w:rFonts w:hint="eastAsia"/>
                <w:color w:val="auto"/>
                <w:sz w:val="24"/>
                <w:szCs w:val="24"/>
                <w:highlight w:val="none"/>
                <w:lang w:eastAsia="zh-CN"/>
              </w:rPr>
              <w:t>）</w:t>
            </w:r>
          </w:p>
        </w:tc>
        <w:tc>
          <w:tcPr>
            <w:tcW w:w="1790" w:type="dxa"/>
            <w:vAlign w:val="center"/>
          </w:tcPr>
          <w:p w14:paraId="13B436EA">
            <w:pPr>
              <w:widowControl w:val="0"/>
              <w:adjustRightInd w:val="0"/>
              <w:snapToGrid w:val="0"/>
              <w:spacing w:line="240" w:lineRule="auto"/>
              <w:rPr>
                <w:color w:val="auto"/>
                <w:sz w:val="24"/>
                <w:szCs w:val="24"/>
                <w:highlight w:val="none"/>
              </w:rPr>
            </w:pPr>
            <w:r>
              <w:rPr>
                <w:rFonts w:hint="eastAsia"/>
                <w:color w:val="auto"/>
                <w:sz w:val="24"/>
                <w:szCs w:val="24"/>
                <w:highlight w:val="none"/>
              </w:rPr>
              <w:t>同项目名称</w:t>
            </w:r>
          </w:p>
        </w:tc>
        <w:tc>
          <w:tcPr>
            <w:tcW w:w="2510" w:type="dxa"/>
            <w:vAlign w:val="center"/>
          </w:tcPr>
          <w:p w14:paraId="48522AC3">
            <w:pPr>
              <w:widowControl w:val="0"/>
              <w:adjustRightInd w:val="0"/>
              <w:snapToGrid w:val="0"/>
              <w:spacing w:line="240" w:lineRule="auto"/>
              <w:rPr>
                <w:color w:val="auto"/>
                <w:sz w:val="24"/>
                <w:szCs w:val="24"/>
                <w:highlight w:val="none"/>
              </w:rPr>
            </w:pPr>
            <w:r>
              <w:rPr>
                <w:rFonts w:hint="eastAsia"/>
                <w:color w:val="auto"/>
                <w:sz w:val="24"/>
                <w:szCs w:val="24"/>
                <w:highlight w:val="none"/>
              </w:rPr>
              <w:t>见“第二章第</w:t>
            </w:r>
            <w:r>
              <w:rPr>
                <w:color w:val="auto"/>
                <w:sz w:val="24"/>
                <w:szCs w:val="24"/>
                <w:highlight w:val="none"/>
              </w:rPr>
              <w:t>2</w:t>
            </w:r>
            <w:r>
              <w:rPr>
                <w:rFonts w:hint="eastAsia"/>
                <w:color w:val="auto"/>
                <w:sz w:val="24"/>
                <w:szCs w:val="24"/>
                <w:highlight w:val="none"/>
              </w:rPr>
              <w:t>条：标段（包）内容（范围）及服务要求”</w:t>
            </w:r>
          </w:p>
        </w:tc>
        <w:tc>
          <w:tcPr>
            <w:tcW w:w="1701" w:type="dxa"/>
            <w:vAlign w:val="center"/>
          </w:tcPr>
          <w:p w14:paraId="2CF95341">
            <w:pPr>
              <w:widowControl w:val="0"/>
              <w:adjustRightInd w:val="0"/>
              <w:snapToGrid w:val="0"/>
              <w:spacing w:line="240" w:lineRule="auto"/>
              <w:rPr>
                <w:color w:val="auto"/>
                <w:sz w:val="24"/>
                <w:szCs w:val="24"/>
                <w:highlight w:val="none"/>
              </w:rPr>
            </w:pPr>
            <w:r>
              <w:rPr>
                <w:rFonts w:hint="eastAsia"/>
                <w:color w:val="auto"/>
                <w:sz w:val="24"/>
                <w:szCs w:val="24"/>
                <w:highlight w:val="none"/>
              </w:rPr>
              <w:t>见谈判公告1.6</w:t>
            </w:r>
            <w:r>
              <w:rPr>
                <w:color w:val="auto"/>
                <w:sz w:val="24"/>
                <w:szCs w:val="24"/>
                <w:highlight w:val="none"/>
              </w:rPr>
              <w:t xml:space="preserve"> </w:t>
            </w:r>
          </w:p>
        </w:tc>
        <w:tc>
          <w:tcPr>
            <w:tcW w:w="1458" w:type="dxa"/>
            <w:vAlign w:val="center"/>
          </w:tcPr>
          <w:p w14:paraId="6006CC55">
            <w:pPr>
              <w:widowControl w:val="0"/>
              <w:adjustRightInd w:val="0"/>
              <w:snapToGrid w:val="0"/>
              <w:spacing w:line="240" w:lineRule="auto"/>
              <w:rPr>
                <w:color w:val="auto"/>
                <w:sz w:val="24"/>
                <w:szCs w:val="24"/>
                <w:highlight w:val="none"/>
              </w:rPr>
            </w:pPr>
            <w:r>
              <w:rPr>
                <w:rFonts w:hint="eastAsia"/>
                <w:color w:val="auto"/>
                <w:sz w:val="24"/>
                <w:szCs w:val="24"/>
                <w:highlight w:val="none"/>
              </w:rPr>
              <w:t>采购人指定地点</w:t>
            </w:r>
          </w:p>
        </w:tc>
      </w:tr>
    </w:tbl>
    <w:p w14:paraId="24DB4497">
      <w:pPr>
        <w:spacing w:line="56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1.3 </w:t>
      </w:r>
      <w:r>
        <w:rPr>
          <w:rFonts w:hint="eastAsia" w:ascii="宋体" w:hAnsi="宋体"/>
          <w:b/>
          <w:color w:val="auto"/>
          <w:sz w:val="24"/>
          <w:szCs w:val="24"/>
          <w:highlight w:val="none"/>
        </w:rPr>
        <w:t>投标报价（价格构成）</w:t>
      </w:r>
    </w:p>
    <w:p w14:paraId="0D8EFDBF">
      <w:pPr>
        <w:widowControl w:val="0"/>
        <w:snapToGrid w:val="0"/>
        <w:spacing w:line="360" w:lineRule="auto"/>
        <w:ind w:firstLine="480" w:firstLineChars="200"/>
        <w:jc w:val="left"/>
        <w:rPr>
          <w:color w:val="auto"/>
          <w:sz w:val="24"/>
          <w:szCs w:val="24"/>
          <w:highlight w:val="none"/>
        </w:rPr>
      </w:pPr>
      <w:r>
        <w:rPr>
          <w:rFonts w:ascii="宋体" w:hAnsi="宋体"/>
          <w:color w:val="auto"/>
          <w:sz w:val="24"/>
          <w:szCs w:val="24"/>
          <w:highlight w:val="none"/>
        </w:rPr>
        <w:t>1.3.1</w:t>
      </w:r>
      <w:r>
        <w:rPr>
          <w:rFonts w:hint="eastAsia"/>
          <w:color w:val="auto"/>
          <w:sz w:val="24"/>
          <w:szCs w:val="24"/>
          <w:highlight w:val="none"/>
        </w:rPr>
        <w:t>投标人的投标报价均应为达到服务要求下的目的地交验价，包括终端设备费、2年服务费、相关税费、基础通信、数据流量、宽带服务费、知识产权（如有）、保险（如需）、所涉货物包装、相关税费、材料费、技术服务费等与采购项目（标段（包））相关的、必须的款项及费用（包括未列明而完成交验所必须的所有费用、材料、工具、设施）。</w:t>
      </w:r>
      <w:r>
        <w:rPr>
          <w:rFonts w:hint="eastAsia" w:ascii="宋体" w:hAnsi="宋体"/>
          <w:color w:val="auto"/>
          <w:sz w:val="24"/>
          <w:szCs w:val="24"/>
          <w:highlight w:val="none"/>
        </w:rPr>
        <w:t>成交价格在成交合同范围内固定不变。</w:t>
      </w:r>
    </w:p>
    <w:p w14:paraId="19FF46E7">
      <w:pPr>
        <w:widowControl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1.3.2</w:t>
      </w:r>
      <w:r>
        <w:rPr>
          <w:rFonts w:hint="eastAsia" w:ascii="宋体" w:hAnsi="宋体"/>
          <w:color w:val="auto"/>
          <w:sz w:val="24"/>
          <w:szCs w:val="24"/>
          <w:highlight w:val="none"/>
        </w:rPr>
        <w:t>本次竞争性谈判共二次报价（含系统中开标一览表报价共二次价格谈判）。谈判小组未对谈判文件作优化变更增加的，谈判中的报价均不应超过前次报价，投标人擅自调高报价的，谈判小组将按二次报价中的最低报价作为有效报价。投标人拒绝接受上述意见的，谈判小组将视为变相在提交投标文件（响应文件）截止时间后撤回投标文件（响应文件），并评定其为无效投标。依据谈判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p>
    <w:p w14:paraId="2A8294A3">
      <w:pPr>
        <w:autoSpaceDE w:val="0"/>
        <w:autoSpaceDN w:val="0"/>
        <w:adjustRightInd w:val="0"/>
        <w:snapToGrid w:val="0"/>
        <w:spacing w:before="156" w:beforeLines="50" w:line="300" w:lineRule="auto"/>
        <w:ind w:firstLine="569" w:firstLineChars="236"/>
        <w:jc w:val="left"/>
        <w:rPr>
          <w:rFonts w:ascii="宋体" w:hAnsi="宋体"/>
          <w:b/>
          <w:color w:val="auto"/>
          <w:sz w:val="24"/>
          <w:szCs w:val="24"/>
          <w:highlight w:val="none"/>
        </w:rPr>
      </w:pPr>
      <w:r>
        <w:rPr>
          <w:rFonts w:hint="eastAsia" w:ascii="宋体" w:hAnsi="宋体"/>
          <w:b/>
          <w:color w:val="auto"/>
          <w:sz w:val="24"/>
          <w:szCs w:val="24"/>
          <w:highlight w:val="none"/>
        </w:rPr>
        <w:t>价</w:t>
      </w:r>
      <w:r>
        <w:rPr>
          <w:rFonts w:ascii="宋体" w:hAnsi="宋体"/>
          <w:b/>
          <w:color w:val="auto"/>
          <w:sz w:val="24"/>
          <w:szCs w:val="24"/>
          <w:highlight w:val="none"/>
        </w:rPr>
        <w:t>格谈</w:t>
      </w:r>
      <w:r>
        <w:rPr>
          <w:rFonts w:hint="eastAsia" w:ascii="宋体" w:hAnsi="宋体"/>
          <w:b/>
          <w:color w:val="auto"/>
          <w:sz w:val="24"/>
          <w:szCs w:val="24"/>
          <w:highlight w:val="none"/>
        </w:rPr>
        <w:t>判</w:t>
      </w:r>
      <w:r>
        <w:rPr>
          <w:rFonts w:ascii="宋体" w:hAnsi="宋体"/>
          <w:b/>
          <w:color w:val="auto"/>
          <w:sz w:val="24"/>
          <w:szCs w:val="24"/>
          <w:highlight w:val="none"/>
        </w:rPr>
        <w:t>规</w:t>
      </w:r>
      <w:r>
        <w:rPr>
          <w:rFonts w:hint="eastAsia" w:ascii="宋体" w:hAnsi="宋体"/>
          <w:b/>
          <w:color w:val="auto"/>
          <w:sz w:val="24"/>
          <w:szCs w:val="24"/>
          <w:highlight w:val="none"/>
        </w:rPr>
        <w:t>则</w:t>
      </w:r>
      <w:r>
        <w:rPr>
          <w:rFonts w:ascii="宋体" w:hAnsi="宋体"/>
          <w:b/>
          <w:color w:val="auto"/>
          <w:sz w:val="24"/>
          <w:szCs w:val="24"/>
          <w:highlight w:val="none"/>
        </w:rPr>
        <w:t>详见第四章</w:t>
      </w:r>
      <w:r>
        <w:rPr>
          <w:rFonts w:hint="eastAsia" w:ascii="宋体" w:hAnsi="宋体"/>
          <w:b/>
          <w:color w:val="auto"/>
          <w:sz w:val="24"/>
          <w:szCs w:val="24"/>
          <w:highlight w:val="none"/>
        </w:rPr>
        <w:t>“评审办法”</w:t>
      </w:r>
      <w:r>
        <w:rPr>
          <w:rFonts w:ascii="宋体" w:hAnsi="宋体"/>
          <w:b/>
          <w:color w:val="auto"/>
          <w:sz w:val="24"/>
          <w:szCs w:val="24"/>
          <w:highlight w:val="none"/>
        </w:rPr>
        <w:t>第</w:t>
      </w:r>
      <w:r>
        <w:rPr>
          <w:rFonts w:hint="eastAsia" w:ascii="宋体" w:hAnsi="宋体"/>
          <w:b/>
          <w:color w:val="auto"/>
          <w:sz w:val="24"/>
          <w:szCs w:val="24"/>
          <w:highlight w:val="none"/>
        </w:rPr>
        <w:t>“</w:t>
      </w:r>
      <w:r>
        <w:rPr>
          <w:rFonts w:ascii="宋体" w:hAnsi="宋体"/>
          <w:b/>
          <w:color w:val="auto"/>
          <w:sz w:val="24"/>
          <w:szCs w:val="24"/>
          <w:highlight w:val="none"/>
        </w:rPr>
        <w:t xml:space="preserve">3.5.7 </w:t>
      </w:r>
      <w:r>
        <w:rPr>
          <w:rFonts w:hint="eastAsia" w:ascii="宋体" w:hAnsi="宋体"/>
          <w:b/>
          <w:color w:val="auto"/>
          <w:sz w:val="24"/>
          <w:szCs w:val="24"/>
          <w:highlight w:val="none"/>
        </w:rPr>
        <w:t>价格谈判”</w:t>
      </w:r>
      <w:r>
        <w:rPr>
          <w:rFonts w:ascii="宋体" w:hAnsi="宋体"/>
          <w:b/>
          <w:color w:val="auto"/>
          <w:sz w:val="24"/>
          <w:szCs w:val="24"/>
          <w:highlight w:val="none"/>
        </w:rPr>
        <w:t>条款</w:t>
      </w:r>
      <w:r>
        <w:rPr>
          <w:rFonts w:hint="eastAsia" w:ascii="宋体" w:hAnsi="宋体"/>
          <w:b/>
          <w:color w:val="auto"/>
          <w:sz w:val="24"/>
          <w:szCs w:val="24"/>
          <w:highlight w:val="none"/>
        </w:rPr>
        <w:t>。</w:t>
      </w:r>
    </w:p>
    <w:p w14:paraId="0663205F">
      <w:pPr>
        <w:widowControl w:val="0"/>
        <w:snapToGrid w:val="0"/>
        <w:spacing w:line="360" w:lineRule="auto"/>
        <w:ind w:firstLine="480" w:firstLineChars="200"/>
        <w:jc w:val="left"/>
        <w:rPr>
          <w:color w:val="auto"/>
          <w:sz w:val="24"/>
          <w:szCs w:val="24"/>
          <w:highlight w:val="none"/>
        </w:rPr>
      </w:pPr>
    </w:p>
    <w:p w14:paraId="421796B2">
      <w:pPr>
        <w:widowControl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1.3.3 </w:t>
      </w:r>
      <w:r>
        <w:rPr>
          <w:rFonts w:hint="eastAsia" w:ascii="宋体" w:hAnsi="宋体"/>
          <w:color w:val="auto"/>
          <w:sz w:val="24"/>
          <w:szCs w:val="24"/>
          <w:highlight w:val="none"/>
        </w:rPr>
        <w:t>如投标人的投标报价未超过预算金额（见谈判公告</w:t>
      </w:r>
      <w:r>
        <w:rPr>
          <w:rFonts w:ascii="宋体" w:hAnsi="宋体"/>
          <w:color w:val="auto"/>
          <w:sz w:val="24"/>
          <w:szCs w:val="24"/>
          <w:highlight w:val="none"/>
        </w:rPr>
        <w:t>1.</w:t>
      </w:r>
      <w:r>
        <w:rPr>
          <w:rFonts w:hint="eastAsia" w:ascii="宋体" w:hAnsi="宋体"/>
          <w:color w:val="auto"/>
          <w:sz w:val="24"/>
          <w:szCs w:val="24"/>
          <w:highlight w:val="none"/>
        </w:rPr>
        <w:t>4）的供应商不足三家的，该标段（包）做废标处理。</w:t>
      </w:r>
    </w:p>
    <w:p w14:paraId="40DB0013">
      <w:pPr>
        <w:widowControl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遵循第三章投标人须知</w:t>
      </w:r>
      <w:r>
        <w:rPr>
          <w:rFonts w:ascii="宋体" w:hAnsi="宋体"/>
          <w:color w:val="auto"/>
          <w:sz w:val="24"/>
          <w:szCs w:val="24"/>
          <w:highlight w:val="none"/>
        </w:rPr>
        <w:t>3.7.</w:t>
      </w:r>
      <w:r>
        <w:rPr>
          <w:rFonts w:hint="eastAsia" w:ascii="宋体" w:hAnsi="宋体"/>
          <w:color w:val="auto"/>
          <w:sz w:val="24"/>
          <w:szCs w:val="24"/>
          <w:highlight w:val="none"/>
        </w:rPr>
        <w:t>5项规定。</w:t>
      </w:r>
    </w:p>
    <w:p w14:paraId="063CE157">
      <w:pPr>
        <w:spacing w:line="560" w:lineRule="exact"/>
        <w:ind w:firstLine="562" w:firstLineChars="200"/>
        <w:rPr>
          <w:rFonts w:ascii="黑体" w:hAnsi="黑体" w:eastAsia="黑体"/>
          <w:b/>
          <w:color w:val="auto"/>
          <w:sz w:val="28"/>
          <w:highlight w:val="none"/>
        </w:rPr>
      </w:pPr>
    </w:p>
    <w:p w14:paraId="61FD68E6">
      <w:pPr>
        <w:spacing w:line="560" w:lineRule="exact"/>
        <w:ind w:firstLine="562" w:firstLineChars="200"/>
        <w:outlineLvl w:val="1"/>
        <w:rPr>
          <w:rFonts w:ascii="黑体" w:hAnsi="黑体" w:eastAsia="黑体"/>
          <w:b/>
          <w:color w:val="auto"/>
          <w:sz w:val="28"/>
          <w:highlight w:val="none"/>
        </w:rPr>
      </w:pPr>
      <w:bookmarkStart w:id="11" w:name="_Toc65679377"/>
      <w:r>
        <w:rPr>
          <w:rFonts w:ascii="黑体" w:hAnsi="黑体" w:eastAsia="黑体"/>
          <w:b/>
          <w:color w:val="auto"/>
          <w:sz w:val="28"/>
          <w:highlight w:val="none"/>
        </w:rPr>
        <w:t xml:space="preserve">2. </w:t>
      </w:r>
      <w:r>
        <w:rPr>
          <w:rFonts w:hint="eastAsia" w:ascii="黑体" w:hAnsi="黑体" w:eastAsia="黑体"/>
          <w:b/>
          <w:color w:val="auto"/>
          <w:sz w:val="28"/>
          <w:highlight w:val="none"/>
        </w:rPr>
        <w:t>标段（包）内容（范围）及服务要求</w:t>
      </w:r>
      <w:bookmarkEnd w:id="11"/>
    </w:p>
    <w:p w14:paraId="5D7E53E3">
      <w:pPr>
        <w:spacing w:line="560" w:lineRule="exact"/>
        <w:ind w:firstLine="482" w:firstLineChars="200"/>
        <w:rPr>
          <w:color w:val="auto"/>
          <w:sz w:val="24"/>
          <w:szCs w:val="24"/>
          <w:highlight w:val="none"/>
        </w:rPr>
      </w:pPr>
      <w:r>
        <w:rPr>
          <w:rFonts w:ascii="黑体" w:hAnsi="黑体" w:eastAsia="黑体"/>
          <w:b/>
          <w:color w:val="auto"/>
          <w:sz w:val="24"/>
          <w:szCs w:val="24"/>
          <w:highlight w:val="none"/>
        </w:rPr>
        <w:t xml:space="preserve">2.1 </w:t>
      </w:r>
      <w:r>
        <w:rPr>
          <w:rFonts w:hint="eastAsia" w:ascii="黑体" w:hAnsi="黑体" w:eastAsia="黑体"/>
          <w:b/>
          <w:color w:val="auto"/>
          <w:sz w:val="24"/>
          <w:szCs w:val="24"/>
          <w:highlight w:val="none"/>
        </w:rPr>
        <w:t>总体服务（方案）要求及标段（包）内容（范围）：</w:t>
      </w:r>
      <w:r>
        <w:rPr>
          <w:rFonts w:hint="eastAsia"/>
          <w:color w:val="auto"/>
          <w:sz w:val="24"/>
          <w:szCs w:val="24"/>
          <w:highlight w:val="none"/>
        </w:rPr>
        <w:t>详见下述</w:t>
      </w:r>
      <w:r>
        <w:rPr>
          <w:color w:val="auto"/>
          <w:sz w:val="24"/>
          <w:szCs w:val="24"/>
          <w:highlight w:val="none"/>
        </w:rPr>
        <w:t>2.</w:t>
      </w:r>
      <w:r>
        <w:rPr>
          <w:rFonts w:hint="eastAsia"/>
          <w:color w:val="auto"/>
          <w:sz w:val="24"/>
          <w:szCs w:val="24"/>
          <w:highlight w:val="none"/>
        </w:rPr>
        <w:t>4款</w:t>
      </w:r>
    </w:p>
    <w:p w14:paraId="3EC91234">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2项目落实的政府采购政策（法规标准条款）</w:t>
      </w:r>
    </w:p>
    <w:p w14:paraId="2ACB0E5B">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政府采购节能产品、环境标志产品实施品目清单管理后，对本次采购产品属于“节能产品政府采购品目清单”中强制采购品目的</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标产</w:t>
      </w:r>
      <w:r>
        <w:rPr>
          <w:rFonts w:hint="eastAsia" w:ascii="宋体" w:hAnsi="宋体" w:cs="宋体"/>
          <w:color w:val="auto"/>
          <w:sz w:val="24"/>
          <w:szCs w:val="24"/>
          <w:highlight w:val="none"/>
        </w:rPr>
        <w:t>品</w:t>
      </w:r>
      <w:r>
        <w:rPr>
          <w:rFonts w:ascii="宋体" w:hAnsi="宋体" w:cs="宋体"/>
          <w:color w:val="auto"/>
          <w:sz w:val="24"/>
          <w:szCs w:val="24"/>
          <w:highlight w:val="none"/>
        </w:rPr>
        <w:t>应当具有</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标文件中应当提供</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p>
    <w:p w14:paraId="7CFDB507">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属于政府强制采购</w:t>
      </w:r>
      <w:r>
        <w:rPr>
          <w:rFonts w:hint="eastAsia" w:ascii="宋体" w:hAnsi="宋体" w:cs="宋体"/>
          <w:color w:val="auto"/>
          <w:sz w:val="24"/>
          <w:szCs w:val="24"/>
          <w:highlight w:val="none"/>
        </w:rPr>
        <w:t>品目</w:t>
      </w:r>
      <w:r>
        <w:rPr>
          <w:rFonts w:hint="eastAsia" w:ascii="宋体" w:hAnsi="宋体"/>
          <w:color w:val="auto"/>
          <w:sz w:val="24"/>
          <w:szCs w:val="24"/>
          <w:highlight w:val="none"/>
        </w:rPr>
        <w:t>、而未按要求提供相应资料的，</w:t>
      </w:r>
      <w:r>
        <w:rPr>
          <w:rFonts w:hint="eastAsia" w:ascii="宋体" w:hAnsi="宋体"/>
          <w:b/>
          <w:color w:val="auto"/>
          <w:sz w:val="24"/>
          <w:szCs w:val="24"/>
          <w:highlight w:val="none"/>
        </w:rPr>
        <w:t>为无效投标</w:t>
      </w:r>
      <w:r>
        <w:rPr>
          <w:rFonts w:hint="eastAsia" w:ascii="宋体" w:hAnsi="宋体"/>
          <w:color w:val="auto"/>
          <w:sz w:val="24"/>
          <w:szCs w:val="24"/>
          <w:highlight w:val="none"/>
        </w:rPr>
        <w:t>。</w:t>
      </w:r>
    </w:p>
    <w:p w14:paraId="7EB15169">
      <w:pPr>
        <w:adjustRightInd w:val="0"/>
        <w:snapToGrid w:val="0"/>
        <w:spacing w:before="156" w:beforeLines="50" w:line="300" w:lineRule="auto"/>
        <w:ind w:firstLine="480" w:firstLineChars="200"/>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同等条件下，</w:t>
      </w:r>
      <w:r>
        <w:rPr>
          <w:rFonts w:hint="eastAsia" w:ascii="宋体" w:hAnsi="宋体" w:cs="宋体"/>
          <w:color w:val="auto"/>
          <w:sz w:val="24"/>
          <w:szCs w:val="24"/>
          <w:highlight w:val="none"/>
        </w:rPr>
        <w:t>获得节能产品认证证书或环境标志产品认证证书的产品优先采购。(认证证书应</w:t>
      </w:r>
      <w:r>
        <w:rPr>
          <w:rFonts w:ascii="宋体" w:hAnsi="宋体" w:cs="宋体"/>
          <w:color w:val="auto"/>
          <w:sz w:val="24"/>
          <w:szCs w:val="24"/>
          <w:highlight w:val="none"/>
        </w:rPr>
        <w:t>当为</w:t>
      </w:r>
      <w:r>
        <w:rPr>
          <w:rFonts w:hint="eastAsia" w:ascii="宋体" w:hAnsi="宋体" w:cs="宋体"/>
          <w:color w:val="auto"/>
          <w:sz w:val="24"/>
          <w:szCs w:val="24"/>
          <w:highlight w:val="none"/>
        </w:rPr>
        <w:t>国家确定的认证机构出具、且</w:t>
      </w:r>
      <w:r>
        <w:rPr>
          <w:rFonts w:ascii="宋体" w:hAnsi="宋体" w:cs="宋体"/>
          <w:color w:val="auto"/>
          <w:sz w:val="24"/>
          <w:szCs w:val="24"/>
          <w:highlight w:val="none"/>
        </w:rPr>
        <w:t>应</w:t>
      </w:r>
      <w:r>
        <w:rPr>
          <w:rFonts w:hint="eastAsia" w:ascii="宋体" w:hAnsi="宋体" w:cs="宋体"/>
          <w:color w:val="auto"/>
          <w:sz w:val="24"/>
          <w:szCs w:val="24"/>
          <w:highlight w:val="none"/>
        </w:rPr>
        <w:t>处于有效期之内。)</w:t>
      </w:r>
    </w:p>
    <w:p w14:paraId="78A1AE92">
      <w:pPr>
        <w:adjustRightInd w:val="0"/>
        <w:snapToGrid w:val="0"/>
        <w:spacing w:before="156" w:beforeLines="50" w:line="300" w:lineRule="auto"/>
        <w:ind w:firstLine="480" w:firstLineChars="200"/>
        <w:rPr>
          <w:rFonts w:hint="eastAsia"/>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highlight w:val="none"/>
        </w:rPr>
        <w:t>应处于有效期内</w:t>
      </w:r>
      <w:r>
        <w:rPr>
          <w:rFonts w:hint="eastAsia" w:ascii="宋体" w:hAnsi="宋体"/>
          <w:color w:val="auto"/>
          <w:sz w:val="24"/>
          <w:szCs w:val="24"/>
          <w:highlight w:val="none"/>
        </w:rPr>
        <w:t>）。</w:t>
      </w:r>
    </w:p>
    <w:p w14:paraId="351F436D">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4计算机产品须预装正版操作系统软件。</w:t>
      </w:r>
    </w:p>
    <w:p w14:paraId="5F90788F">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本次采购不允许进口产品参加。</w:t>
      </w:r>
    </w:p>
    <w:p w14:paraId="010251C9">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6如允许采购进口产品的，优先采购向我国企业转让技术、与我国企业签订消化吸收再创新方案的供应商的进口产品。</w:t>
      </w:r>
    </w:p>
    <w:p w14:paraId="1428BEBD">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促进中小企业发展扶持政策：见第四章“评审办法”第</w:t>
      </w:r>
      <w:r>
        <w:rPr>
          <w:rFonts w:ascii="宋体" w:hAnsi="宋体"/>
          <w:color w:val="auto"/>
          <w:sz w:val="24"/>
          <w:szCs w:val="24"/>
          <w:highlight w:val="none"/>
        </w:rPr>
        <w:t>4</w:t>
      </w:r>
      <w:r>
        <w:rPr>
          <w:rFonts w:hint="eastAsia" w:ascii="宋体" w:hAnsi="宋体"/>
          <w:color w:val="auto"/>
          <w:sz w:val="24"/>
          <w:szCs w:val="24"/>
          <w:highlight w:val="none"/>
        </w:rPr>
        <w:t>条。</w:t>
      </w:r>
    </w:p>
    <w:p w14:paraId="36EE84C9">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8促进残疾人就业、支持监狱企业发展：见第四章“评审办法”第</w:t>
      </w:r>
      <w:r>
        <w:rPr>
          <w:rFonts w:ascii="宋体" w:hAnsi="宋体"/>
          <w:color w:val="auto"/>
          <w:sz w:val="24"/>
          <w:szCs w:val="24"/>
          <w:highlight w:val="none"/>
        </w:rPr>
        <w:t>4</w:t>
      </w:r>
      <w:r>
        <w:rPr>
          <w:rFonts w:hint="eastAsia" w:ascii="宋体" w:hAnsi="宋体"/>
          <w:color w:val="auto"/>
          <w:sz w:val="24"/>
          <w:szCs w:val="24"/>
          <w:highlight w:val="none"/>
        </w:rPr>
        <w:t>条。</w:t>
      </w:r>
    </w:p>
    <w:p w14:paraId="71BE579A">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9</w:t>
      </w:r>
      <w:r>
        <w:rPr>
          <w:rFonts w:ascii="宋体" w:hAnsi="宋体"/>
          <w:color w:val="auto"/>
          <w:sz w:val="24"/>
          <w:szCs w:val="24"/>
          <w:highlight w:val="none"/>
        </w:rPr>
        <w:t xml:space="preserve"> </w:t>
      </w:r>
      <w:r>
        <w:rPr>
          <w:rFonts w:hint="eastAsia" w:ascii="宋体" w:hAnsi="宋体"/>
          <w:color w:val="auto"/>
          <w:sz w:val="24"/>
          <w:szCs w:val="24"/>
          <w:highlight w:val="none"/>
        </w:rPr>
        <w:t>所供产品有商品包装的应当使用绿色包装。所供产品有其他环保政策要求的，应符合相关环保法律政策要求。</w:t>
      </w:r>
    </w:p>
    <w:p w14:paraId="2061F33F">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2.2.10</w:t>
      </w:r>
      <w:r>
        <w:rPr>
          <w:rFonts w:ascii="宋体" w:hAnsi="宋体"/>
          <w:color w:val="auto"/>
          <w:sz w:val="24"/>
          <w:szCs w:val="24"/>
          <w:highlight w:val="none"/>
        </w:rPr>
        <w:t xml:space="preserve"> </w:t>
      </w:r>
      <w:r>
        <w:rPr>
          <w:rFonts w:hint="eastAsia" w:ascii="宋体" w:hAnsi="宋体"/>
          <w:color w:val="auto"/>
          <w:sz w:val="24"/>
          <w:szCs w:val="24"/>
          <w:highlight w:val="none"/>
        </w:rPr>
        <w:t>支持绿色建筑、绿色建材，支持使用低</w:t>
      </w:r>
      <w:r>
        <w:rPr>
          <w:rFonts w:ascii="Arial" w:hAnsi="Arial" w:cs="Arial"/>
          <w:color w:val="auto"/>
          <w:szCs w:val="21"/>
          <w:highlight w:val="none"/>
          <w:shd w:val="clear" w:color="auto" w:fill="FFFFFF"/>
        </w:rPr>
        <w:t>VOCs</w:t>
      </w:r>
      <w:r>
        <w:rPr>
          <w:rFonts w:hint="eastAsia" w:ascii="宋体" w:hAnsi="宋体"/>
          <w:color w:val="auto"/>
          <w:sz w:val="24"/>
          <w:szCs w:val="24"/>
          <w:highlight w:val="none"/>
        </w:rPr>
        <w:t>含量涂料和胶黏剂，支持不发达、少数民族地区的企业，促进自主创新产业发展，支持脱贫攻坚等；同等条件下，优先采购。</w:t>
      </w:r>
    </w:p>
    <w:p w14:paraId="6A64456B">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2.3</w:t>
      </w:r>
      <w:r>
        <w:rPr>
          <w:rFonts w:hint="eastAsia" w:ascii="黑体" w:hAnsi="黑体" w:eastAsia="黑体"/>
          <w:b/>
          <w:color w:val="auto"/>
          <w:sz w:val="24"/>
          <w:szCs w:val="24"/>
          <w:highlight w:val="none"/>
        </w:rPr>
        <w:t>采购标的需执行的国家相关标准、行业标准、地方标准或者其他标准、规范；</w:t>
      </w:r>
    </w:p>
    <w:p w14:paraId="2ACF200F">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所投服务（及所涉货物材料设施）应符合国家质量标准、部颁标准及行业规范的要求，符合国家各项强制性规范及安全标准，投标服务（及所涉货物材料设施）不应与第三方存在知识产权权属问题；投标人应本着服务客户、为客户着想的宗旨，来完善服务（及所涉货物材料设施）及技术要求未尽事宜，不得以《谈判文件》未列明事项为由，来降低响应服务（及所涉货物材料设施）的质量。</w:t>
      </w:r>
    </w:p>
    <w:p w14:paraId="3B95B9FD">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4具体服务要求及标段（包）内容（范围）</w:t>
      </w:r>
    </w:p>
    <w:p w14:paraId="16B5428D">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一、服务内容及要求</w:t>
      </w:r>
    </w:p>
    <w:p w14:paraId="22F74FF0">
      <w:pPr>
        <w:adjustRightInd w:val="0"/>
        <w:snapToGrid w:val="0"/>
        <w:spacing w:before="156" w:beforeLines="50" w:line="30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服务期：二年</w:t>
      </w:r>
    </w:p>
    <w:p w14:paraId="51A4BEBD">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w:t>
      </w:r>
      <w:r>
        <w:rPr>
          <w:rFonts w:hint="eastAsia" w:ascii="宋体" w:hAnsi="宋体"/>
          <w:color w:val="auto"/>
          <w:sz w:val="24"/>
          <w:szCs w:val="24"/>
          <w:highlight w:val="none"/>
        </w:rPr>
        <w:t>网络技术要求</w:t>
      </w:r>
    </w:p>
    <w:p w14:paraId="560A3388">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1.5G/4G/3G的网络制式，并且优先级使用5G的网络,可提供更高的速率(用户体验速率 DL:100Mbps，UL:50Mbps)。</w:t>
      </w:r>
    </w:p>
    <w:p w14:paraId="6B9DB0B9">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支持内外网</w:t>
      </w:r>
      <w:r>
        <w:rPr>
          <w:rFonts w:hint="eastAsia" w:ascii="宋体" w:hAnsi="宋体"/>
          <w:color w:val="auto"/>
          <w:sz w:val="24"/>
          <w:szCs w:val="24"/>
          <w:highlight w:val="none"/>
        </w:rPr>
        <w:t>加密</w:t>
      </w:r>
      <w:r>
        <w:rPr>
          <w:rFonts w:ascii="宋体" w:hAnsi="宋体"/>
          <w:color w:val="auto"/>
          <w:sz w:val="24"/>
          <w:szCs w:val="24"/>
          <w:highlight w:val="none"/>
        </w:rPr>
        <w:t>通信</w:t>
      </w:r>
      <w:r>
        <w:rPr>
          <w:rFonts w:hint="eastAsia" w:ascii="宋体" w:hAnsi="宋体"/>
          <w:color w:val="auto"/>
          <w:sz w:val="24"/>
          <w:szCs w:val="24"/>
          <w:highlight w:val="none"/>
        </w:rPr>
        <w:t>。</w:t>
      </w:r>
    </w:p>
    <w:p w14:paraId="75F0A9B9">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支持数据传输加密</w:t>
      </w:r>
      <w:r>
        <w:rPr>
          <w:rFonts w:hint="eastAsia" w:ascii="宋体" w:hAnsi="宋体"/>
          <w:color w:val="auto"/>
          <w:sz w:val="24"/>
          <w:szCs w:val="24"/>
          <w:highlight w:val="none"/>
        </w:rPr>
        <w:t>。</w:t>
      </w:r>
    </w:p>
    <w:p w14:paraId="39D8B679">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可以根据</w:t>
      </w:r>
      <w:r>
        <w:rPr>
          <w:rFonts w:hint="eastAsia" w:ascii="宋体" w:hAnsi="宋体"/>
          <w:color w:val="auto"/>
          <w:sz w:val="24"/>
          <w:szCs w:val="24"/>
          <w:highlight w:val="none"/>
        </w:rPr>
        <w:t>采购人</w:t>
      </w:r>
      <w:r>
        <w:rPr>
          <w:rFonts w:ascii="宋体" w:hAnsi="宋体"/>
          <w:color w:val="auto"/>
          <w:sz w:val="24"/>
          <w:szCs w:val="24"/>
          <w:highlight w:val="none"/>
        </w:rPr>
        <w:t>要求定制软件及数据的传输</w:t>
      </w:r>
      <w:r>
        <w:rPr>
          <w:rFonts w:hint="eastAsia" w:ascii="宋体" w:hAnsi="宋体"/>
          <w:color w:val="auto"/>
          <w:sz w:val="24"/>
          <w:szCs w:val="24"/>
          <w:highlight w:val="none"/>
        </w:rPr>
        <w:t>。</w:t>
      </w:r>
    </w:p>
    <w:p w14:paraId="5565EDA5">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满足数据在用户端展示的要求，并可以根据需求进行定制化数据展示</w:t>
      </w:r>
      <w:r>
        <w:rPr>
          <w:rFonts w:hint="eastAsia" w:ascii="宋体" w:hAnsi="宋体"/>
          <w:color w:val="auto"/>
          <w:sz w:val="24"/>
          <w:szCs w:val="24"/>
          <w:highlight w:val="none"/>
        </w:rPr>
        <w:t>。</w:t>
      </w:r>
    </w:p>
    <w:p w14:paraId="3862A7D8">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支持</w:t>
      </w:r>
      <w:r>
        <w:rPr>
          <w:rFonts w:hint="eastAsia" w:ascii="宋体" w:hAnsi="宋体"/>
          <w:color w:val="auto"/>
          <w:sz w:val="24"/>
          <w:szCs w:val="24"/>
          <w:highlight w:val="none"/>
        </w:rPr>
        <w:t>采购人</w:t>
      </w:r>
      <w:r>
        <w:rPr>
          <w:rFonts w:ascii="宋体" w:hAnsi="宋体"/>
          <w:color w:val="auto"/>
          <w:sz w:val="24"/>
          <w:szCs w:val="24"/>
          <w:highlight w:val="none"/>
        </w:rPr>
        <w:t>的已经采购软件的数据采集、对接以及传输要求</w:t>
      </w:r>
      <w:r>
        <w:rPr>
          <w:rFonts w:hint="eastAsia" w:ascii="宋体" w:hAnsi="宋体"/>
          <w:color w:val="auto"/>
          <w:sz w:val="24"/>
          <w:szCs w:val="24"/>
          <w:highlight w:val="none"/>
        </w:rPr>
        <w:t>。</w:t>
      </w:r>
    </w:p>
    <w:p w14:paraId="6D7E06F0">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支持数据在手机端，电脑端的数据展示</w:t>
      </w:r>
      <w:r>
        <w:rPr>
          <w:rFonts w:hint="eastAsia" w:ascii="宋体" w:hAnsi="宋体"/>
          <w:color w:val="auto"/>
          <w:sz w:val="24"/>
          <w:szCs w:val="24"/>
          <w:highlight w:val="none"/>
        </w:rPr>
        <w:t>。</w:t>
      </w:r>
    </w:p>
    <w:p w14:paraId="185F4387">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数据部分数据的回传以及需求</w:t>
      </w:r>
      <w:r>
        <w:rPr>
          <w:rFonts w:hint="eastAsia" w:ascii="宋体" w:hAnsi="宋体"/>
          <w:color w:val="auto"/>
          <w:sz w:val="24"/>
          <w:szCs w:val="24"/>
          <w:highlight w:val="none"/>
        </w:rPr>
        <w:t>。</w:t>
      </w:r>
    </w:p>
    <w:p w14:paraId="3D5C5DE6">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w:t>
      </w:r>
      <w:r>
        <w:rPr>
          <w:rFonts w:hint="eastAsia" w:ascii="宋体" w:hAnsi="宋体"/>
          <w:color w:val="auto"/>
          <w:sz w:val="24"/>
          <w:szCs w:val="24"/>
          <w:highlight w:val="none"/>
        </w:rPr>
        <w:t>网络数据流量服务技术要求</w:t>
      </w:r>
    </w:p>
    <w:p w14:paraId="2CD8F3E0">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投标人需保证入网全程安全并提供数据安全保障措施方案。负责273个办公办案平台端口办公办案平台应用安装、号码注册、安全认证、平台对接等服务，并保证其正常运行。</w:t>
      </w:r>
    </w:p>
    <w:p w14:paraId="6CD9521B">
      <w:pPr>
        <w:adjustRightInd w:val="0"/>
        <w:snapToGrid w:val="0"/>
        <w:spacing w:before="156" w:beforeLines="50" w:line="30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lang w:eastAsia="zh-CN"/>
        </w:rPr>
        <w:t>）</w:t>
      </w:r>
      <w:r>
        <w:rPr>
          <w:rFonts w:hint="eastAsia" w:ascii="宋体" w:hAnsi="宋体"/>
          <w:color w:val="auto"/>
          <w:sz w:val="24"/>
          <w:szCs w:val="24"/>
          <w:highlight w:val="none"/>
        </w:rPr>
        <w:t>移动办公办案平台流量服务包包括但不限于</w:t>
      </w:r>
      <w:r>
        <w:rPr>
          <w:rFonts w:hint="eastAsia" w:ascii="宋体" w:hAnsi="宋体"/>
          <w:color w:val="auto"/>
          <w:sz w:val="24"/>
          <w:szCs w:val="24"/>
          <w:highlight w:val="none"/>
          <w:lang w:eastAsia="zh-CN"/>
        </w:rPr>
        <w:t>：</w:t>
      </w:r>
    </w:p>
    <w:p w14:paraId="1A748231">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1.提供语音</w:t>
      </w:r>
      <w:r>
        <w:rPr>
          <w:rFonts w:ascii="宋体" w:hAnsi="宋体"/>
          <w:color w:val="auto"/>
          <w:sz w:val="24"/>
          <w:szCs w:val="24"/>
          <w:highlight w:val="none"/>
        </w:rPr>
        <w:t>通话主叫</w:t>
      </w:r>
      <w:r>
        <w:rPr>
          <w:rFonts w:hint="eastAsia" w:ascii="宋体" w:hAnsi="宋体"/>
          <w:color w:val="auto"/>
          <w:sz w:val="24"/>
          <w:szCs w:val="24"/>
          <w:highlight w:val="none"/>
        </w:rPr>
        <w:t>时长≥3</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00</w:t>
      </w:r>
      <w:r>
        <w:rPr>
          <w:rFonts w:ascii="宋体" w:hAnsi="宋体"/>
          <w:color w:val="auto"/>
          <w:sz w:val="24"/>
          <w:szCs w:val="24"/>
          <w:highlight w:val="none"/>
        </w:rPr>
        <w:t>分钟/月</w:t>
      </w:r>
      <w:r>
        <w:rPr>
          <w:rFonts w:hint="eastAsia" w:ascii="宋体" w:hAnsi="宋体"/>
          <w:color w:val="auto"/>
          <w:sz w:val="24"/>
          <w:szCs w:val="24"/>
          <w:highlight w:val="none"/>
        </w:rPr>
        <w:t>，其中全国通话≥2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00分钟/月，省内通话≥1000分钟/月，</w:t>
      </w:r>
      <w:r>
        <w:rPr>
          <w:rFonts w:ascii="宋体" w:hAnsi="宋体"/>
          <w:color w:val="auto"/>
          <w:sz w:val="24"/>
          <w:szCs w:val="24"/>
          <w:highlight w:val="none"/>
        </w:rPr>
        <w:t>接听全国电话免费</w:t>
      </w:r>
      <w:r>
        <w:rPr>
          <w:rFonts w:hint="eastAsia" w:ascii="宋体" w:hAnsi="宋体"/>
          <w:color w:val="auto"/>
          <w:sz w:val="24"/>
          <w:szCs w:val="24"/>
          <w:highlight w:val="none"/>
        </w:rPr>
        <w:t>。</w:t>
      </w:r>
    </w:p>
    <w:p w14:paraId="5937B6EE">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2.提供全国</w:t>
      </w:r>
      <w:r>
        <w:rPr>
          <w:rFonts w:ascii="宋体" w:hAnsi="宋体"/>
          <w:color w:val="auto"/>
          <w:sz w:val="24"/>
          <w:szCs w:val="24"/>
          <w:highlight w:val="none"/>
        </w:rPr>
        <w:t>通用流量≥</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0</w:t>
      </w:r>
      <w:r>
        <w:rPr>
          <w:rFonts w:ascii="宋体" w:hAnsi="宋体"/>
          <w:color w:val="auto"/>
          <w:sz w:val="24"/>
          <w:szCs w:val="24"/>
          <w:highlight w:val="none"/>
        </w:rPr>
        <w:t>G/月</w:t>
      </w:r>
      <w:r>
        <w:rPr>
          <w:rFonts w:hint="eastAsia" w:ascii="宋体" w:hAnsi="宋体"/>
          <w:color w:val="auto"/>
          <w:sz w:val="24"/>
          <w:szCs w:val="24"/>
          <w:highlight w:val="none"/>
        </w:rPr>
        <w:t>，不限速。</w:t>
      </w:r>
    </w:p>
    <w:p w14:paraId="7BF52673">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3.提供免费短信</w:t>
      </w:r>
      <w:r>
        <w:rPr>
          <w:rFonts w:ascii="宋体" w:hAnsi="宋体"/>
          <w:color w:val="auto"/>
          <w:sz w:val="24"/>
          <w:szCs w:val="24"/>
          <w:highlight w:val="none"/>
        </w:rPr>
        <w:t>100条/月(限主卡使用)</w:t>
      </w:r>
      <w:r>
        <w:rPr>
          <w:rFonts w:hint="eastAsia" w:ascii="宋体" w:hAnsi="宋体"/>
          <w:color w:val="auto"/>
          <w:sz w:val="24"/>
          <w:szCs w:val="24"/>
          <w:highlight w:val="none"/>
        </w:rPr>
        <w:t>。</w:t>
      </w:r>
    </w:p>
    <w:p w14:paraId="01C58863">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4.免费提供一条1000M宽带。新装宽带免费安装调测。</w:t>
      </w:r>
    </w:p>
    <w:p w14:paraId="5E755429">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5.免费提供一台IPTV电视机顶盒。新装IPTV免费调测。</w:t>
      </w:r>
    </w:p>
    <w:p w14:paraId="06842038">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6.可免费办理四张副卡，副卡可共享主卡通话分钟数和流量。</w:t>
      </w:r>
    </w:p>
    <w:p w14:paraId="27237181">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7.免费提供法院“三个规定”等内容的视频彩铃。</w:t>
      </w:r>
    </w:p>
    <w:p w14:paraId="1225A0E7">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8.免费提供智能摄像头设备1台，存储时间</w:t>
      </w:r>
      <w:r>
        <w:rPr>
          <w:rFonts w:ascii="宋体" w:hAnsi="宋体"/>
          <w:color w:val="auto"/>
          <w:sz w:val="24"/>
          <w:szCs w:val="24"/>
          <w:highlight w:val="none"/>
        </w:rPr>
        <w:t>≥</w:t>
      </w:r>
      <w:r>
        <w:rPr>
          <w:rFonts w:hint="eastAsia" w:ascii="宋体" w:hAnsi="宋体"/>
          <w:color w:val="auto"/>
          <w:sz w:val="24"/>
          <w:szCs w:val="24"/>
          <w:highlight w:val="none"/>
        </w:rPr>
        <w:t>7天。</w:t>
      </w:r>
    </w:p>
    <w:p w14:paraId="01AB8FBD">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lang w:eastAsia="zh-CN"/>
        </w:rPr>
        <w:t>）</w:t>
      </w:r>
      <w:r>
        <w:rPr>
          <w:rFonts w:hint="eastAsia" w:ascii="宋体" w:hAnsi="宋体"/>
          <w:color w:val="auto"/>
          <w:sz w:val="24"/>
          <w:szCs w:val="24"/>
          <w:highlight w:val="none"/>
        </w:rPr>
        <w:t>数据维护服务</w:t>
      </w:r>
    </w:p>
    <w:p w14:paraId="704944CA">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对系统中主体业务数据定期更新，因环境或业务的变化对数据进行定期的调整。</w:t>
      </w:r>
    </w:p>
    <w:p w14:paraId="4B24162C">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lang w:eastAsia="zh-CN"/>
        </w:rPr>
        <w:t>）</w:t>
      </w:r>
      <w:r>
        <w:rPr>
          <w:rFonts w:hint="eastAsia" w:ascii="宋体" w:hAnsi="宋体"/>
          <w:color w:val="auto"/>
          <w:sz w:val="24"/>
          <w:szCs w:val="24"/>
          <w:highlight w:val="none"/>
        </w:rPr>
        <w:t>移动办公办案载体使用服务</w:t>
      </w:r>
    </w:p>
    <w:p w14:paraId="747BBD5F">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为保障移动办公办案信息安全，结合实际业务应用场景，提供满足需求的移动办公载体，并为法院干警提供 24个月使用服务。</w:t>
      </w:r>
    </w:p>
    <w:p w14:paraId="53B04B83">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1.处理器</w:t>
      </w:r>
      <w:r>
        <w:rPr>
          <w:rFonts w:ascii="宋体" w:hAnsi="宋体"/>
          <w:color w:val="auto"/>
          <w:sz w:val="24"/>
          <w:szCs w:val="24"/>
          <w:highlight w:val="none"/>
        </w:rPr>
        <w:t>：自主可控芯片</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486B3BF">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存储</w:t>
      </w:r>
      <w:r>
        <w:rPr>
          <w:rFonts w:hint="eastAsia" w:ascii="宋体" w:hAnsi="宋体"/>
          <w:color w:val="auto"/>
          <w:sz w:val="24"/>
          <w:szCs w:val="24"/>
          <w:highlight w:val="none"/>
        </w:rPr>
        <w:t>空间</w:t>
      </w:r>
      <w:r>
        <w:rPr>
          <w:rFonts w:ascii="宋体" w:hAnsi="宋体"/>
          <w:color w:val="auto"/>
          <w:sz w:val="24"/>
          <w:szCs w:val="24"/>
          <w:highlight w:val="none"/>
        </w:rPr>
        <w:t>：运行内存（RAM）≥16GB，存储（ROM）≥512GB</w:t>
      </w:r>
      <w:r>
        <w:rPr>
          <w:rFonts w:hint="eastAsia" w:ascii="宋体" w:hAnsi="宋体"/>
          <w:color w:val="auto"/>
          <w:sz w:val="24"/>
          <w:szCs w:val="24"/>
          <w:highlight w:val="none"/>
        </w:rPr>
        <w:t>。</w:t>
      </w:r>
    </w:p>
    <w:p w14:paraId="1740569E">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显示系统：屏幕尺寸≥6.8英寸；屏幕材质：OLED；分辨率：≥1260×2800</w:t>
      </w:r>
      <w:r>
        <w:rPr>
          <w:rFonts w:hint="eastAsia" w:ascii="宋体" w:hAnsi="宋体"/>
          <w:color w:val="auto"/>
          <w:sz w:val="24"/>
          <w:szCs w:val="24"/>
          <w:highlight w:val="none"/>
        </w:rPr>
        <w:t>。</w:t>
      </w:r>
    </w:p>
    <w:p w14:paraId="09540E9D">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4.摄像头</w:t>
      </w:r>
      <w:r>
        <w:rPr>
          <w:rFonts w:ascii="宋体" w:hAnsi="宋体"/>
          <w:color w:val="auto"/>
          <w:sz w:val="24"/>
          <w:szCs w:val="24"/>
          <w:highlight w:val="none"/>
        </w:rPr>
        <w:t>：</w:t>
      </w:r>
      <w:r>
        <w:rPr>
          <w:rFonts w:hint="eastAsia" w:ascii="宋体" w:hAnsi="宋体"/>
          <w:color w:val="auto"/>
          <w:sz w:val="24"/>
          <w:szCs w:val="24"/>
          <w:highlight w:val="none"/>
        </w:rPr>
        <w:t>后置摄像头不低于</w:t>
      </w:r>
      <w:r>
        <w:rPr>
          <w:rFonts w:ascii="宋体" w:hAnsi="宋体"/>
          <w:color w:val="auto"/>
          <w:sz w:val="24"/>
          <w:szCs w:val="24"/>
          <w:highlight w:val="none"/>
        </w:rPr>
        <w:t>5000万像素，前置摄像头</w:t>
      </w:r>
      <w:r>
        <w:rPr>
          <w:rFonts w:hint="eastAsia" w:ascii="宋体" w:hAnsi="宋体"/>
          <w:color w:val="auto"/>
          <w:sz w:val="24"/>
          <w:szCs w:val="24"/>
          <w:highlight w:val="none"/>
        </w:rPr>
        <w:t>不低于</w:t>
      </w:r>
      <w:r>
        <w:rPr>
          <w:rFonts w:ascii="宋体" w:hAnsi="宋体"/>
          <w:color w:val="auto"/>
          <w:sz w:val="24"/>
          <w:szCs w:val="24"/>
          <w:highlight w:val="none"/>
        </w:rPr>
        <w:t>1300万像素</w:t>
      </w:r>
      <w:r>
        <w:rPr>
          <w:rFonts w:hint="eastAsia" w:ascii="宋体" w:hAnsi="宋体"/>
          <w:color w:val="auto"/>
          <w:sz w:val="24"/>
          <w:szCs w:val="24"/>
          <w:highlight w:val="none"/>
        </w:rPr>
        <w:t>。</w:t>
      </w:r>
    </w:p>
    <w:p w14:paraId="0B1710D6">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电池：典型值：≥5050mAh，额定值：≥4900mAh</w:t>
      </w:r>
      <w:r>
        <w:rPr>
          <w:rFonts w:hint="eastAsia" w:ascii="宋体" w:hAnsi="宋体"/>
          <w:color w:val="auto"/>
          <w:sz w:val="24"/>
          <w:szCs w:val="24"/>
          <w:highlight w:val="none"/>
        </w:rPr>
        <w:t>。</w:t>
      </w:r>
    </w:p>
    <w:p w14:paraId="0D056CCF">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网络制式：全网通，双卡双待</w:t>
      </w:r>
      <w:r>
        <w:rPr>
          <w:rFonts w:hint="eastAsia" w:ascii="宋体" w:hAnsi="宋体"/>
          <w:color w:val="auto"/>
          <w:sz w:val="24"/>
          <w:szCs w:val="24"/>
          <w:highlight w:val="none"/>
        </w:rPr>
        <w:t>。</w:t>
      </w:r>
    </w:p>
    <w:p w14:paraId="7D2855EB">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电源参数：支持100W有线快充，支持80W无线快充，支持无线反向充电。</w:t>
      </w:r>
    </w:p>
    <w:p w14:paraId="3991D56D">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8.抗水防尘等级为IP68级别。</w:t>
      </w:r>
    </w:p>
    <w:p w14:paraId="08502AF1">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9.支持北斗卫星定位和通话功能。</w:t>
      </w:r>
    </w:p>
    <w:p w14:paraId="55C04104">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10.操作系统为自主可控操作系统。</w:t>
      </w:r>
    </w:p>
    <w:p w14:paraId="43582605">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 移动办公载体：</w:t>
      </w:r>
      <w:r>
        <w:rPr>
          <w:rFonts w:hint="eastAsia" w:ascii="宋体" w:hAnsi="宋体"/>
          <w:color w:val="auto"/>
          <w:sz w:val="24"/>
          <w:szCs w:val="24"/>
          <w:highlight w:val="none"/>
          <w:lang w:val="en-US" w:eastAsia="zh-CN"/>
        </w:rPr>
        <w:t>273</w:t>
      </w:r>
      <w:r>
        <w:rPr>
          <w:rFonts w:hint="eastAsia" w:ascii="宋体" w:hAnsi="宋体"/>
          <w:color w:val="auto"/>
          <w:sz w:val="24"/>
          <w:szCs w:val="24"/>
          <w:highlight w:val="none"/>
        </w:rPr>
        <w:t>户。</w:t>
      </w:r>
    </w:p>
    <w:p w14:paraId="43AD7F79">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 移动办公载体的售后质保，按国家及行业标准执行。</w:t>
      </w:r>
    </w:p>
    <w:p w14:paraId="76175E3A">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二、保密要求</w:t>
      </w:r>
    </w:p>
    <w:p w14:paraId="1F94502D">
      <w:pPr>
        <w:pStyle w:val="56"/>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投标人应做到下列保密义务：</w:t>
      </w:r>
    </w:p>
    <w:p w14:paraId="5C31661B">
      <w:pPr>
        <w:pStyle w:val="56"/>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1、保密内容（包括技术信息）：所有项目相关的技术资料及商务文件。</w:t>
      </w:r>
    </w:p>
    <w:p w14:paraId="4144261A">
      <w:pPr>
        <w:pStyle w:val="56"/>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2、涉密人员范围：投标人所有项目参与成员。</w:t>
      </w:r>
    </w:p>
    <w:p w14:paraId="1858D1D5">
      <w:pPr>
        <w:pStyle w:val="56"/>
        <w:ind w:firstLine="480"/>
        <w:rPr>
          <w:rFonts w:ascii="宋体" w:hAnsi="宋体" w:cs="Arial"/>
          <w:color w:val="auto"/>
          <w:szCs w:val="24"/>
          <w:highlight w:val="none"/>
          <w:shd w:val="clear" w:color="auto" w:fill="FFFFFF"/>
        </w:rPr>
      </w:pPr>
      <w:r>
        <w:rPr>
          <w:rFonts w:hint="eastAsia" w:ascii="宋体" w:hAnsi="宋体" w:cs="Arial"/>
          <w:color w:val="auto"/>
          <w:szCs w:val="24"/>
          <w:highlight w:val="none"/>
          <w:shd w:val="clear" w:color="auto" w:fill="FFFFFF"/>
        </w:rPr>
        <w:t>3、泄密责任：按照国家法律规定执行。</w:t>
      </w:r>
    </w:p>
    <w:p w14:paraId="35DC699E">
      <w:pPr>
        <w:spacing w:line="560" w:lineRule="exact"/>
        <w:ind w:firstLine="482" w:firstLineChars="200"/>
        <w:rPr>
          <w:rFonts w:hint="eastAsia" w:eastAsia="宋体"/>
          <w:b/>
          <w:color w:val="auto"/>
          <w:sz w:val="24"/>
          <w:szCs w:val="24"/>
          <w:highlight w:val="none"/>
          <w:lang w:eastAsia="zh-CN"/>
        </w:rPr>
      </w:pPr>
      <w:r>
        <w:rPr>
          <w:rFonts w:hint="eastAsia" w:ascii="宋体" w:hAnsi="宋体"/>
          <w:b/>
          <w:color w:val="auto"/>
          <w:sz w:val="24"/>
          <w:szCs w:val="24"/>
          <w:highlight w:val="none"/>
        </w:rPr>
        <w:t>注：</w:t>
      </w:r>
      <w:r>
        <w:rPr>
          <w:rFonts w:hint="eastAsia"/>
          <w:b/>
          <w:color w:val="auto"/>
          <w:sz w:val="24"/>
          <w:szCs w:val="24"/>
          <w:highlight w:val="none"/>
        </w:rPr>
        <w:t>河南省安阳市中级人民法院移动办公办案系统升级服务项目的中小企业划分标准所属行业为：信息传输业</w:t>
      </w:r>
      <w:r>
        <w:rPr>
          <w:rFonts w:hint="eastAsia"/>
          <w:b/>
          <w:color w:val="auto"/>
          <w:sz w:val="24"/>
          <w:szCs w:val="24"/>
          <w:highlight w:val="none"/>
          <w:lang w:eastAsia="zh-CN"/>
        </w:rPr>
        <w:t>。</w:t>
      </w:r>
    </w:p>
    <w:p w14:paraId="4D91C99D">
      <w:pPr>
        <w:spacing w:line="300" w:lineRule="auto"/>
        <w:ind w:firstLine="480" w:firstLineChars="200"/>
        <w:rPr>
          <w:color w:val="auto"/>
          <w:sz w:val="24"/>
          <w:szCs w:val="24"/>
          <w:highlight w:val="none"/>
        </w:rPr>
      </w:pPr>
      <w:r>
        <w:rPr>
          <w:rFonts w:hint="eastAsia"/>
          <w:color w:val="auto"/>
          <w:sz w:val="24"/>
          <w:szCs w:val="24"/>
          <w:highlight w:val="none"/>
        </w:rPr>
        <w:t>提醒：投标人按照采购文件中标明的服务项目的所属行业、按该行业所对应的中小企业划分标准，作为服务的承接商（供应商）是否属于小微企业的判断标准。</w:t>
      </w:r>
    </w:p>
    <w:p w14:paraId="6DF3EFF5">
      <w:pPr>
        <w:spacing w:line="300" w:lineRule="auto"/>
        <w:ind w:firstLine="480" w:firstLineChars="200"/>
        <w:rPr>
          <w:color w:val="auto"/>
          <w:sz w:val="24"/>
          <w:szCs w:val="24"/>
          <w:highlight w:val="none"/>
        </w:rPr>
      </w:pPr>
      <w:r>
        <w:rPr>
          <w:rFonts w:hint="eastAsia"/>
          <w:color w:val="auto"/>
          <w:sz w:val="24"/>
          <w:szCs w:val="24"/>
          <w:highlight w:val="none"/>
        </w:rPr>
        <w:t>投标人不应按照自身的行业属性作为小微企业的判断标准（应按采购文件标明的所属行业进行判断）。</w:t>
      </w:r>
    </w:p>
    <w:p w14:paraId="30EB18F1">
      <w:pPr>
        <w:adjustRightInd w:val="0"/>
        <w:snapToGrid w:val="0"/>
        <w:spacing w:before="156" w:beforeLines="50" w:line="300" w:lineRule="auto"/>
        <w:ind w:firstLine="480" w:firstLineChars="200"/>
        <w:rPr>
          <w:rFonts w:hint="eastAsia" w:ascii="宋体" w:hAnsi="宋体"/>
          <w:color w:val="auto"/>
          <w:sz w:val="24"/>
          <w:szCs w:val="24"/>
          <w:highlight w:val="none"/>
        </w:rPr>
      </w:pPr>
    </w:p>
    <w:p w14:paraId="1BD0CDDB">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2.5安全</w:t>
      </w:r>
    </w:p>
    <w:p w14:paraId="49A5488E">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投标服务（及所涉货物材料设施）应符合国家、行业的各</w:t>
      </w:r>
      <w:r>
        <w:rPr>
          <w:color w:val="auto"/>
          <w:sz w:val="24"/>
          <w:szCs w:val="24"/>
          <w:highlight w:val="none"/>
        </w:rPr>
        <w:t>项</w:t>
      </w:r>
      <w:r>
        <w:rPr>
          <w:rFonts w:hint="eastAsia"/>
          <w:color w:val="auto"/>
          <w:sz w:val="24"/>
          <w:szCs w:val="24"/>
          <w:highlight w:val="none"/>
        </w:rPr>
        <w:t>安全标准，投标人</w:t>
      </w:r>
      <w:r>
        <w:rPr>
          <w:color w:val="auto"/>
          <w:sz w:val="24"/>
          <w:szCs w:val="24"/>
          <w:highlight w:val="none"/>
        </w:rPr>
        <w:t>对</w:t>
      </w:r>
      <w:r>
        <w:rPr>
          <w:rFonts w:hint="eastAsia"/>
          <w:color w:val="auto"/>
          <w:sz w:val="24"/>
          <w:szCs w:val="24"/>
          <w:highlight w:val="none"/>
        </w:rPr>
        <w:t>所投服务（及所涉货物材料设施）的</w:t>
      </w:r>
      <w:r>
        <w:rPr>
          <w:color w:val="auto"/>
          <w:sz w:val="24"/>
          <w:szCs w:val="24"/>
          <w:highlight w:val="none"/>
        </w:rPr>
        <w:t>安全性承担全部责任。</w:t>
      </w:r>
      <w:r>
        <w:rPr>
          <w:rFonts w:hint="eastAsia"/>
          <w:color w:val="auto"/>
          <w:sz w:val="24"/>
          <w:szCs w:val="24"/>
          <w:highlight w:val="none"/>
        </w:rPr>
        <w:t>服务期内不符合保障人身、财产安全的国家标准、行业标准的服务（及所涉货物材料设施），将</w:t>
      </w:r>
      <w:r>
        <w:rPr>
          <w:color w:val="auto"/>
          <w:sz w:val="24"/>
          <w:szCs w:val="24"/>
          <w:highlight w:val="none"/>
        </w:rPr>
        <w:t>依法承担民事及相应刑事责任</w:t>
      </w:r>
      <w:r>
        <w:rPr>
          <w:rFonts w:hint="eastAsia"/>
          <w:color w:val="auto"/>
          <w:sz w:val="24"/>
          <w:szCs w:val="24"/>
          <w:highlight w:val="none"/>
        </w:rPr>
        <w:t>。合</w:t>
      </w:r>
      <w:r>
        <w:rPr>
          <w:color w:val="auto"/>
          <w:sz w:val="24"/>
          <w:szCs w:val="24"/>
          <w:highlight w:val="none"/>
        </w:rPr>
        <w:t>同履行中的安全责任由</w:t>
      </w:r>
      <w:r>
        <w:rPr>
          <w:rFonts w:hint="eastAsia"/>
          <w:color w:val="auto"/>
          <w:sz w:val="24"/>
          <w:szCs w:val="24"/>
          <w:highlight w:val="none"/>
        </w:rPr>
        <w:t>成交供应商</w:t>
      </w:r>
      <w:r>
        <w:rPr>
          <w:color w:val="auto"/>
          <w:sz w:val="24"/>
          <w:szCs w:val="24"/>
          <w:highlight w:val="none"/>
        </w:rPr>
        <w:t>承担全部责任。</w:t>
      </w:r>
    </w:p>
    <w:p w14:paraId="094672B3">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6</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投</w:t>
      </w:r>
      <w:r>
        <w:rPr>
          <w:rFonts w:ascii="黑体" w:hAnsi="黑体" w:eastAsia="黑体"/>
          <w:b/>
          <w:color w:val="auto"/>
          <w:sz w:val="24"/>
          <w:szCs w:val="24"/>
          <w:highlight w:val="none"/>
        </w:rPr>
        <w:t>标文件</w:t>
      </w:r>
      <w:r>
        <w:rPr>
          <w:rFonts w:hint="eastAsia" w:ascii="黑体" w:hAnsi="黑体" w:eastAsia="黑体"/>
          <w:b/>
          <w:color w:val="auto"/>
          <w:sz w:val="24"/>
          <w:szCs w:val="24"/>
          <w:highlight w:val="none"/>
        </w:rPr>
        <w:t>对“具体服务要求及标段（包）内容（范围）”的</w:t>
      </w:r>
      <w:r>
        <w:rPr>
          <w:rFonts w:ascii="黑体" w:hAnsi="黑体" w:eastAsia="黑体"/>
          <w:b/>
          <w:color w:val="auto"/>
          <w:sz w:val="24"/>
          <w:szCs w:val="24"/>
          <w:highlight w:val="none"/>
        </w:rPr>
        <w:t>响应</w:t>
      </w:r>
    </w:p>
    <w:p w14:paraId="7C76EF62">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w:t>
      </w:r>
      <w:r>
        <w:rPr>
          <w:rFonts w:ascii="宋体" w:hAnsi="宋体"/>
          <w:color w:val="auto"/>
          <w:sz w:val="24"/>
          <w:szCs w:val="24"/>
          <w:highlight w:val="none"/>
        </w:rPr>
        <w:t>2.4</w:t>
      </w:r>
      <w:r>
        <w:rPr>
          <w:rFonts w:hint="eastAsia" w:ascii="宋体" w:hAnsi="宋体"/>
          <w:color w:val="auto"/>
          <w:sz w:val="24"/>
          <w:szCs w:val="24"/>
          <w:highlight w:val="none"/>
        </w:rPr>
        <w:t>具体服务要求及标段（包）内容（范围）</w:t>
      </w:r>
      <w:r>
        <w:rPr>
          <w:rFonts w:hint="eastAsia"/>
          <w:color w:val="auto"/>
          <w:sz w:val="24"/>
          <w:szCs w:val="24"/>
          <w:highlight w:val="none"/>
        </w:rPr>
        <w:t>”为采购</w:t>
      </w:r>
      <w:r>
        <w:rPr>
          <w:color w:val="auto"/>
          <w:sz w:val="24"/>
          <w:szCs w:val="24"/>
          <w:highlight w:val="none"/>
        </w:rPr>
        <w:t>需求的</w:t>
      </w:r>
      <w:r>
        <w:rPr>
          <w:rFonts w:hint="eastAsia"/>
          <w:color w:val="auto"/>
          <w:sz w:val="24"/>
          <w:szCs w:val="24"/>
          <w:highlight w:val="none"/>
        </w:rPr>
        <w:t>基础</w:t>
      </w:r>
      <w:r>
        <w:rPr>
          <w:color w:val="auto"/>
          <w:sz w:val="24"/>
          <w:szCs w:val="24"/>
          <w:highlight w:val="none"/>
        </w:rPr>
        <w:t>性</w:t>
      </w:r>
      <w:r>
        <w:rPr>
          <w:rFonts w:hint="eastAsia"/>
          <w:color w:val="auto"/>
          <w:sz w:val="24"/>
          <w:szCs w:val="24"/>
          <w:highlight w:val="none"/>
        </w:rPr>
        <w:t>要求，服务内容</w:t>
      </w:r>
      <w:r>
        <w:rPr>
          <w:color w:val="auto"/>
          <w:sz w:val="24"/>
          <w:szCs w:val="24"/>
          <w:highlight w:val="none"/>
        </w:rPr>
        <w:t>应当明确</w:t>
      </w:r>
      <w:r>
        <w:rPr>
          <w:rFonts w:hint="eastAsia"/>
          <w:color w:val="auto"/>
          <w:sz w:val="24"/>
          <w:szCs w:val="24"/>
          <w:highlight w:val="none"/>
        </w:rPr>
        <w:t>，服务所涉产品及技术参数应当明确并最</w:t>
      </w:r>
      <w:r>
        <w:rPr>
          <w:color w:val="auto"/>
          <w:sz w:val="24"/>
          <w:szCs w:val="24"/>
          <w:highlight w:val="none"/>
        </w:rPr>
        <w:t>终指向具体明确的产</w:t>
      </w:r>
      <w:r>
        <w:rPr>
          <w:rFonts w:hint="eastAsia"/>
          <w:color w:val="auto"/>
          <w:sz w:val="24"/>
          <w:szCs w:val="24"/>
          <w:highlight w:val="none"/>
        </w:rPr>
        <w:t>品。投</w:t>
      </w:r>
      <w:r>
        <w:rPr>
          <w:color w:val="auto"/>
          <w:sz w:val="24"/>
          <w:szCs w:val="24"/>
          <w:highlight w:val="none"/>
        </w:rPr>
        <w:t>标</w:t>
      </w:r>
      <w:r>
        <w:rPr>
          <w:rFonts w:hint="eastAsia"/>
          <w:color w:val="auto"/>
          <w:sz w:val="24"/>
          <w:szCs w:val="24"/>
          <w:highlight w:val="none"/>
        </w:rPr>
        <w:t>文</w:t>
      </w:r>
      <w:r>
        <w:rPr>
          <w:color w:val="auto"/>
          <w:sz w:val="24"/>
          <w:szCs w:val="24"/>
          <w:highlight w:val="none"/>
        </w:rPr>
        <w:t>件</w:t>
      </w:r>
      <w:r>
        <w:rPr>
          <w:rFonts w:hint="eastAsia"/>
          <w:color w:val="auto"/>
          <w:sz w:val="24"/>
          <w:szCs w:val="24"/>
          <w:highlight w:val="none"/>
        </w:rPr>
        <w:t>技术参数抄袭谈判文件“</w:t>
      </w:r>
      <w:r>
        <w:rPr>
          <w:rFonts w:hint="eastAsia" w:ascii="宋体" w:hAnsi="宋体"/>
          <w:color w:val="auto"/>
          <w:sz w:val="24"/>
          <w:szCs w:val="24"/>
          <w:highlight w:val="none"/>
        </w:rPr>
        <w:t>具体服务要求及标段（包）内容（范围）</w:t>
      </w:r>
      <w:r>
        <w:rPr>
          <w:rFonts w:hint="eastAsia"/>
          <w:color w:val="auto"/>
          <w:sz w:val="24"/>
          <w:szCs w:val="24"/>
          <w:highlight w:val="none"/>
        </w:rPr>
        <w:t>”，投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明确</w:t>
      </w:r>
      <w:r>
        <w:rPr>
          <w:rFonts w:hint="eastAsia"/>
          <w:color w:val="auto"/>
          <w:sz w:val="24"/>
          <w:szCs w:val="24"/>
          <w:highlight w:val="none"/>
        </w:rPr>
        <w:t>的</w:t>
      </w:r>
      <w:r>
        <w:rPr>
          <w:color w:val="auto"/>
          <w:sz w:val="24"/>
          <w:szCs w:val="24"/>
          <w:highlight w:val="none"/>
        </w:rPr>
        <w:t>、或</w:t>
      </w:r>
      <w:r>
        <w:rPr>
          <w:rFonts w:hint="eastAsia"/>
          <w:color w:val="auto"/>
          <w:sz w:val="24"/>
          <w:szCs w:val="24"/>
          <w:highlight w:val="none"/>
        </w:rPr>
        <w:t>与投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一致</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谈判小组有权按照实质性判断原则评定其为无效投标。</w:t>
      </w:r>
    </w:p>
    <w:p w14:paraId="0E61CE7E">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7技术偏离</w:t>
      </w:r>
    </w:p>
    <w:p w14:paraId="5FA33225">
      <w:pPr>
        <w:widowControl w:val="0"/>
        <w:adjustRightInd w:val="0"/>
        <w:snapToGrid w:val="0"/>
        <w:spacing w:before="156" w:beforeLines="50" w:line="300" w:lineRule="auto"/>
        <w:ind w:firstLine="540"/>
        <w:rPr>
          <w:rFonts w:ascii="宋体" w:hAnsi="宋体"/>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1★</w:t>
      </w:r>
      <w:r>
        <w:rPr>
          <w:rFonts w:hint="eastAsia" w:ascii="宋体" w:hAnsi="宋体"/>
          <w:color w:val="auto"/>
          <w:sz w:val="24"/>
          <w:szCs w:val="24"/>
          <w:highlight w:val="none"/>
        </w:rPr>
        <w:t>服务所涉货物材料设施的</w:t>
      </w:r>
      <w:r>
        <w:rPr>
          <w:rFonts w:hint="eastAsia" w:ascii="黑体" w:hAnsi="黑体" w:eastAsia="黑体"/>
          <w:b/>
          <w:color w:val="auto"/>
          <w:sz w:val="24"/>
          <w:szCs w:val="24"/>
          <w:highlight w:val="none"/>
        </w:rPr>
        <w:t>不接受负偏差，低于“具体服务要求”的、为无效投标。</w:t>
      </w:r>
    </w:p>
    <w:p w14:paraId="61EEB684">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 除服务所涉货物材料设施的</w:t>
      </w:r>
      <w:r>
        <w:rPr>
          <w:rFonts w:hint="eastAsia" w:ascii="黑体" w:hAnsi="黑体" w:eastAsia="黑体"/>
          <w:b/>
          <w:color w:val="auto"/>
          <w:sz w:val="24"/>
          <w:szCs w:val="24"/>
          <w:highlight w:val="none"/>
        </w:rPr>
        <w:t>技术偏离外，其他内容不接受负偏差</w:t>
      </w:r>
    </w:p>
    <w:p w14:paraId="3EDE965A">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3投标文件对技术偏差的描述要求：见第三章投标人须知</w:t>
      </w:r>
      <w:r>
        <w:rPr>
          <w:color w:val="auto"/>
          <w:sz w:val="24"/>
          <w:szCs w:val="24"/>
          <w:highlight w:val="none"/>
        </w:rPr>
        <w:t>3.7.3</w:t>
      </w:r>
      <w:r>
        <w:rPr>
          <w:rFonts w:hint="eastAsia"/>
          <w:color w:val="auto"/>
          <w:sz w:val="24"/>
          <w:szCs w:val="24"/>
          <w:highlight w:val="none"/>
        </w:rPr>
        <w:t>项。</w:t>
      </w:r>
    </w:p>
    <w:p w14:paraId="064F4943">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8</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合同履行期限后、服务项目所涉货物的售后服务</w:t>
      </w:r>
    </w:p>
    <w:p w14:paraId="65922D42">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无特殊要求，服务要求中已作要求的从其要求。</w:t>
      </w:r>
    </w:p>
    <w:p w14:paraId="1C1B038B">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9保险、所涉货物包装</w:t>
      </w:r>
    </w:p>
    <w:p w14:paraId="35BEDDAD">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2.9.1保险（如需）：</w:t>
      </w:r>
    </w:p>
    <w:p w14:paraId="1FC13859">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应遵循国家相关保险的规定，依照法规规定，根据项目属性需要，办理货物设施等的财产保险、危险作业人员的工伤和意外伤害保险、设计和工程保险、第三方责任险，相关保险费用及相应责任由成交人承担。</w:t>
      </w:r>
    </w:p>
    <w:p w14:paraId="78C52022">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2.9.2所涉货物包装：</w:t>
      </w:r>
    </w:p>
    <w:p w14:paraId="2A3F2311">
      <w:pPr>
        <w:adjustRightInd w:val="0"/>
        <w:snapToGrid w:val="0"/>
        <w:spacing w:before="156" w:beforeLines="50"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成交人负责按国家相关标准进行货物包装，设备的包装均应有良好的防湿、防锈、防潮、防雨、防腐及防碰撞的措施，凡由于包装不良造成的损失和由此产生的费用均由成交人承担。</w:t>
      </w:r>
    </w:p>
    <w:p w14:paraId="13B2B477">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10</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采购标的的验收标准</w:t>
      </w:r>
    </w:p>
    <w:p w14:paraId="0BF22ED1">
      <w:pPr>
        <w:adjustRightInd w:val="0"/>
        <w:snapToGrid w:val="0"/>
        <w:spacing w:line="300" w:lineRule="auto"/>
        <w:ind w:firstLine="564" w:firstLineChars="235"/>
        <w:jc w:val="left"/>
        <w:rPr>
          <w:rFonts w:hint="eastAsia"/>
          <w:color w:val="auto"/>
          <w:sz w:val="24"/>
          <w:szCs w:val="24"/>
          <w:highlight w:val="none"/>
        </w:rPr>
      </w:pPr>
      <w:r>
        <w:rPr>
          <w:rFonts w:hint="eastAsia"/>
          <w:color w:val="auto"/>
          <w:sz w:val="24"/>
          <w:szCs w:val="24"/>
          <w:highlight w:val="none"/>
          <w:lang w:val="zh-CN"/>
        </w:rPr>
        <w:t>见“第三章 投标人须知” 第8条“验收”条款。</w:t>
      </w:r>
    </w:p>
    <w:p w14:paraId="1FD58E08">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11采购标的的其他技术、服务等要求</w:t>
      </w:r>
    </w:p>
    <w:p w14:paraId="04885638">
      <w:pPr>
        <w:adjustRightInd w:val="0"/>
        <w:snapToGrid w:val="0"/>
        <w:spacing w:line="300" w:lineRule="auto"/>
        <w:ind w:firstLine="564" w:firstLineChars="235"/>
        <w:jc w:val="left"/>
        <w:rPr>
          <w:rFonts w:hint="eastAsia"/>
          <w:color w:val="auto"/>
          <w:sz w:val="24"/>
          <w:szCs w:val="24"/>
          <w:highlight w:val="none"/>
        </w:rPr>
      </w:pPr>
      <w:r>
        <w:rPr>
          <w:rFonts w:hint="eastAsia"/>
          <w:color w:val="auto"/>
          <w:sz w:val="24"/>
          <w:szCs w:val="24"/>
          <w:highlight w:val="none"/>
        </w:rPr>
        <w:t xml:space="preserve">   无</w:t>
      </w:r>
    </w:p>
    <w:p w14:paraId="41D6932E">
      <w:pPr>
        <w:adjustRightInd w:val="0"/>
        <w:snapToGrid w:val="0"/>
        <w:spacing w:before="156" w:beforeLines="50" w:line="300" w:lineRule="auto"/>
        <w:rPr>
          <w:rFonts w:ascii="黑体" w:hAnsi="黑体" w:eastAsia="黑体"/>
          <w:b/>
          <w:color w:val="auto"/>
          <w:sz w:val="24"/>
          <w:szCs w:val="24"/>
          <w:highlight w:val="none"/>
        </w:rPr>
      </w:pPr>
    </w:p>
    <w:p w14:paraId="7B9AABDD">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12" w:name="_Toc65676676"/>
      <w:r>
        <w:rPr>
          <w:rFonts w:hint="eastAsia" w:ascii="黑体" w:hAnsi="黑体" w:eastAsia="黑体"/>
          <w:b/>
          <w:color w:val="auto"/>
          <w:sz w:val="28"/>
          <w:highlight w:val="none"/>
        </w:rPr>
        <w:t>3</w:t>
      </w:r>
      <w:r>
        <w:rPr>
          <w:rFonts w:ascii="黑体" w:hAnsi="黑体" w:eastAsia="黑体"/>
          <w:b/>
          <w:color w:val="auto"/>
          <w:sz w:val="28"/>
          <w:highlight w:val="none"/>
        </w:rPr>
        <w:t xml:space="preserve">. </w:t>
      </w:r>
      <w:r>
        <w:rPr>
          <w:rFonts w:hint="eastAsia" w:ascii="黑体" w:hAnsi="黑体" w:eastAsia="黑体"/>
          <w:b/>
          <w:color w:val="auto"/>
          <w:sz w:val="28"/>
          <w:highlight w:val="none"/>
        </w:rPr>
        <w:t>项目其他要求</w:t>
      </w:r>
      <w:bookmarkEnd w:id="12"/>
    </w:p>
    <w:p w14:paraId="2F50862C">
      <w:pPr>
        <w:adjustRightInd w:val="0"/>
        <w:snapToGrid w:val="0"/>
        <w:spacing w:line="300" w:lineRule="auto"/>
        <w:ind w:firstLine="564" w:firstLineChars="235"/>
        <w:jc w:val="left"/>
        <w:rPr>
          <w:rFonts w:ascii="黑体" w:hAnsi="黑体" w:eastAsia="黑体"/>
          <w:b/>
          <w:color w:val="auto"/>
          <w:sz w:val="24"/>
          <w:szCs w:val="24"/>
          <w:highlight w:val="none"/>
        </w:rPr>
      </w:pPr>
      <w:r>
        <w:rPr>
          <w:rFonts w:hint="eastAsia"/>
          <w:color w:val="auto"/>
          <w:sz w:val="24"/>
          <w:szCs w:val="24"/>
          <w:highlight w:val="none"/>
        </w:rPr>
        <w:t>无</w:t>
      </w:r>
      <w:r>
        <w:rPr>
          <w:rFonts w:ascii="黑体" w:hAnsi="黑体" w:eastAsia="黑体"/>
          <w:b/>
          <w:color w:val="auto"/>
          <w:sz w:val="24"/>
          <w:szCs w:val="24"/>
          <w:highlight w:val="none"/>
        </w:rPr>
        <w:br w:type="page"/>
      </w:r>
    </w:p>
    <w:p w14:paraId="60A159D1">
      <w:pPr>
        <w:spacing w:line="360" w:lineRule="auto"/>
        <w:ind w:right="238"/>
        <w:jc w:val="center"/>
        <w:outlineLvl w:val="0"/>
        <w:rPr>
          <w:rFonts w:eastAsia="黑体"/>
          <w:b/>
          <w:color w:val="auto"/>
          <w:sz w:val="36"/>
          <w:szCs w:val="36"/>
          <w:highlight w:val="none"/>
        </w:rPr>
      </w:pPr>
      <w:bookmarkStart w:id="13" w:name="_Toc65679378"/>
      <w:r>
        <w:rPr>
          <w:rFonts w:hint="eastAsia" w:eastAsia="黑体"/>
          <w:b/>
          <w:color w:val="auto"/>
          <w:sz w:val="36"/>
          <w:szCs w:val="36"/>
          <w:highlight w:val="none"/>
        </w:rPr>
        <w:t>第三章 投标人须知</w:t>
      </w:r>
      <w:bookmarkEnd w:id="13"/>
    </w:p>
    <w:p w14:paraId="4909DDCF">
      <w:pPr>
        <w:spacing w:line="360" w:lineRule="auto"/>
        <w:ind w:right="238"/>
        <w:jc w:val="left"/>
        <w:outlineLvl w:val="1"/>
        <w:rPr>
          <w:rFonts w:eastAsia="黑体"/>
          <w:b/>
          <w:color w:val="auto"/>
          <w:sz w:val="28"/>
          <w:szCs w:val="28"/>
          <w:highlight w:val="none"/>
        </w:rPr>
      </w:pPr>
      <w:bookmarkStart w:id="14" w:name="_Toc65679379"/>
      <w:r>
        <w:rPr>
          <w:rFonts w:hint="eastAsia" w:eastAsia="黑体"/>
          <w:b/>
          <w:color w:val="auto"/>
          <w:sz w:val="28"/>
          <w:szCs w:val="28"/>
          <w:highlight w:val="none"/>
        </w:rPr>
        <w:t>投标人须知前附表</w:t>
      </w:r>
      <w:bookmarkEnd w:id="14"/>
    </w:p>
    <w:tbl>
      <w:tblPr>
        <w:tblStyle w:val="14"/>
        <w:tblW w:w="9755" w:type="dxa"/>
        <w:jc w:val="center"/>
        <w:tblLayout w:type="fixed"/>
        <w:tblCellMar>
          <w:top w:w="0" w:type="dxa"/>
          <w:left w:w="108" w:type="dxa"/>
          <w:bottom w:w="0" w:type="dxa"/>
          <w:right w:w="108" w:type="dxa"/>
        </w:tblCellMar>
      </w:tblPr>
      <w:tblGrid>
        <w:gridCol w:w="608"/>
        <w:gridCol w:w="694"/>
        <w:gridCol w:w="1874"/>
        <w:gridCol w:w="6579"/>
      </w:tblGrid>
      <w:tr w14:paraId="601E425B">
        <w:tblPrEx>
          <w:tblCellMar>
            <w:top w:w="0" w:type="dxa"/>
            <w:left w:w="108" w:type="dxa"/>
            <w:bottom w:w="0" w:type="dxa"/>
            <w:right w:w="108" w:type="dxa"/>
          </w:tblCellMar>
        </w:tblPrEx>
        <w:trPr>
          <w:trHeight w:val="571" w:hRule="atLeast"/>
          <w:jc w:val="center"/>
        </w:trPr>
        <w:tc>
          <w:tcPr>
            <w:tcW w:w="608" w:type="dxa"/>
            <w:tcBorders>
              <w:top w:val="single" w:color="auto" w:sz="12" w:space="0"/>
              <w:left w:val="single" w:color="auto" w:sz="12" w:space="0"/>
              <w:bottom w:val="single" w:color="auto" w:sz="6" w:space="0"/>
              <w:right w:val="single" w:color="auto" w:sz="6" w:space="0"/>
            </w:tcBorders>
          </w:tcPr>
          <w:p w14:paraId="6B3A2327">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14:paraId="3EE82EDD">
            <w:pPr>
              <w:autoSpaceDE w:val="0"/>
              <w:autoSpaceDN w:val="0"/>
              <w:adjustRightInd w:val="0"/>
              <w:spacing w:line="240" w:lineRule="auto"/>
              <w:ind w:right="-126" w:rightChars="-60"/>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14:paraId="78CC2412">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14:paraId="19DB249F">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编列内容</w:t>
            </w:r>
          </w:p>
        </w:tc>
      </w:tr>
      <w:tr w14:paraId="5F138807">
        <w:tblPrEx>
          <w:tblCellMar>
            <w:top w:w="0" w:type="dxa"/>
            <w:left w:w="108" w:type="dxa"/>
            <w:bottom w:w="0" w:type="dxa"/>
            <w:right w:w="108" w:type="dxa"/>
          </w:tblCellMar>
        </w:tblPrEx>
        <w:trPr>
          <w:trHeight w:val="649" w:hRule="atLeast"/>
          <w:jc w:val="center"/>
        </w:trPr>
        <w:tc>
          <w:tcPr>
            <w:tcW w:w="608" w:type="dxa"/>
            <w:vMerge w:val="restart"/>
            <w:tcBorders>
              <w:top w:val="single" w:color="auto" w:sz="6" w:space="0"/>
              <w:left w:val="single" w:color="auto" w:sz="12" w:space="0"/>
              <w:right w:val="single" w:color="auto" w:sz="6" w:space="0"/>
            </w:tcBorders>
            <w:vAlign w:val="center"/>
          </w:tcPr>
          <w:p w14:paraId="113699FE">
            <w:pPr>
              <w:autoSpaceDE w:val="0"/>
              <w:autoSpaceDN w:val="0"/>
              <w:adjustRightInd w:val="0"/>
              <w:snapToGrid w:val="0"/>
              <w:spacing w:line="240" w:lineRule="auto"/>
              <w:rPr>
                <w:rFonts w:ascii="宋体" w:cs="楷体_GB2312"/>
                <w:b/>
                <w:bCs/>
                <w:color w:val="auto"/>
                <w:sz w:val="24"/>
                <w:highlight w:val="none"/>
              </w:rPr>
            </w:pPr>
            <w:r>
              <w:rPr>
                <w:rFonts w:hint="eastAsia" w:ascii="宋体" w:hAnsi="宋体" w:cs="楷体_GB2312"/>
                <w:b/>
                <w:bCs/>
                <w:color w:val="auto"/>
                <w:sz w:val="24"/>
                <w:highlight w:val="none"/>
              </w:rPr>
              <w:t>第一章</w:t>
            </w:r>
          </w:p>
        </w:tc>
        <w:tc>
          <w:tcPr>
            <w:tcW w:w="694" w:type="dxa"/>
            <w:tcBorders>
              <w:top w:val="single" w:color="auto" w:sz="6" w:space="0"/>
              <w:left w:val="single" w:color="auto" w:sz="12" w:space="0"/>
              <w:bottom w:val="single" w:color="auto" w:sz="6" w:space="0"/>
              <w:right w:val="single" w:color="auto" w:sz="6" w:space="0"/>
            </w:tcBorders>
            <w:vAlign w:val="center"/>
          </w:tcPr>
          <w:p w14:paraId="197B88C9">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2</w:t>
            </w:r>
          </w:p>
        </w:tc>
        <w:tc>
          <w:tcPr>
            <w:tcW w:w="1874" w:type="dxa"/>
            <w:tcBorders>
              <w:top w:val="single" w:color="auto" w:sz="6" w:space="0"/>
              <w:left w:val="single" w:color="auto" w:sz="6" w:space="0"/>
              <w:bottom w:val="single" w:color="auto" w:sz="6" w:space="0"/>
              <w:right w:val="single" w:color="auto" w:sz="6" w:space="0"/>
            </w:tcBorders>
            <w:vAlign w:val="center"/>
          </w:tcPr>
          <w:p w14:paraId="0A9A7968">
            <w:pPr>
              <w:autoSpaceDE w:val="0"/>
              <w:autoSpaceDN w:val="0"/>
              <w:adjustRightInd w:val="0"/>
              <w:snapToGrid w:val="0"/>
              <w:spacing w:line="240" w:lineRule="auto"/>
              <w:jc w:val="center"/>
              <w:rPr>
                <w:rFonts w:ascii="宋体" w:cs="楷体_GB2312"/>
                <w:color w:val="auto"/>
                <w:sz w:val="24"/>
                <w:highlight w:val="none"/>
                <w:lang w:val="zh-CN"/>
              </w:rPr>
            </w:pPr>
            <w:r>
              <w:rPr>
                <w:rFonts w:hint="eastAsia" w:ascii="宋体" w:hAnsi="宋体" w:cs="楷体_GB2312"/>
                <w:b/>
                <w:bCs/>
                <w:color w:val="auto"/>
                <w:sz w:val="24"/>
                <w:highlight w:val="none"/>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14:paraId="3BB12313">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见“第一章谈判公告”相应条款</w:t>
            </w:r>
          </w:p>
        </w:tc>
      </w:tr>
      <w:tr w14:paraId="7DB145C4">
        <w:tblPrEx>
          <w:tblCellMar>
            <w:top w:w="0" w:type="dxa"/>
            <w:left w:w="108" w:type="dxa"/>
            <w:bottom w:w="0" w:type="dxa"/>
            <w:right w:w="108" w:type="dxa"/>
          </w:tblCellMar>
        </w:tblPrEx>
        <w:trPr>
          <w:trHeight w:val="531" w:hRule="atLeast"/>
          <w:jc w:val="center"/>
        </w:trPr>
        <w:tc>
          <w:tcPr>
            <w:tcW w:w="608" w:type="dxa"/>
            <w:vMerge w:val="continue"/>
            <w:tcBorders>
              <w:top w:val="single" w:color="auto" w:sz="6" w:space="0"/>
              <w:left w:val="single" w:color="auto" w:sz="12" w:space="0"/>
              <w:right w:val="single" w:color="auto" w:sz="6" w:space="0"/>
            </w:tcBorders>
            <w:vAlign w:val="center"/>
          </w:tcPr>
          <w:p w14:paraId="6B200059">
            <w:pPr>
              <w:autoSpaceDE w:val="0"/>
              <w:autoSpaceDN w:val="0"/>
              <w:adjustRightInd w:val="0"/>
              <w:snapToGrid w:val="0"/>
              <w:spacing w:line="240" w:lineRule="auto"/>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024FB839">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w:t>
            </w:r>
          </w:p>
        </w:tc>
        <w:tc>
          <w:tcPr>
            <w:tcW w:w="1874" w:type="dxa"/>
            <w:tcBorders>
              <w:top w:val="single" w:color="auto" w:sz="6" w:space="0"/>
              <w:left w:val="single" w:color="auto" w:sz="6" w:space="0"/>
              <w:bottom w:val="single" w:color="auto" w:sz="6" w:space="0"/>
              <w:right w:val="single" w:color="auto" w:sz="6" w:space="0"/>
            </w:tcBorders>
            <w:vAlign w:val="center"/>
          </w:tcPr>
          <w:p w14:paraId="28CA5183">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项目编号</w:t>
            </w:r>
          </w:p>
        </w:tc>
        <w:tc>
          <w:tcPr>
            <w:tcW w:w="6579" w:type="dxa"/>
            <w:tcBorders>
              <w:top w:val="single" w:color="auto" w:sz="6" w:space="0"/>
              <w:left w:val="single" w:color="auto" w:sz="6" w:space="0"/>
              <w:bottom w:val="single" w:color="auto" w:sz="6" w:space="0"/>
              <w:right w:val="single" w:color="auto" w:sz="12" w:space="0"/>
            </w:tcBorders>
            <w:vAlign w:val="center"/>
          </w:tcPr>
          <w:p w14:paraId="52FF3F98">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见“第一章谈判公告”相应条款</w:t>
            </w:r>
          </w:p>
        </w:tc>
      </w:tr>
      <w:tr w14:paraId="49103064">
        <w:tblPrEx>
          <w:tblCellMar>
            <w:top w:w="0" w:type="dxa"/>
            <w:left w:w="108" w:type="dxa"/>
            <w:bottom w:w="0" w:type="dxa"/>
            <w:right w:w="108" w:type="dxa"/>
          </w:tblCellMar>
        </w:tblPrEx>
        <w:trPr>
          <w:trHeight w:val="567" w:hRule="atLeast"/>
          <w:jc w:val="center"/>
        </w:trPr>
        <w:tc>
          <w:tcPr>
            <w:tcW w:w="608" w:type="dxa"/>
            <w:vMerge w:val="continue"/>
            <w:tcBorders>
              <w:top w:val="single" w:color="auto" w:sz="6" w:space="0"/>
              <w:left w:val="single" w:color="auto" w:sz="12" w:space="0"/>
              <w:right w:val="single" w:color="auto" w:sz="6" w:space="0"/>
            </w:tcBorders>
            <w:vAlign w:val="center"/>
          </w:tcPr>
          <w:p w14:paraId="38C9E801">
            <w:pPr>
              <w:autoSpaceDE w:val="0"/>
              <w:autoSpaceDN w:val="0"/>
              <w:adjustRightInd w:val="0"/>
              <w:snapToGrid w:val="0"/>
              <w:spacing w:line="240" w:lineRule="auto"/>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08D67D70">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1.3</w:t>
            </w:r>
          </w:p>
        </w:tc>
        <w:tc>
          <w:tcPr>
            <w:tcW w:w="1874" w:type="dxa"/>
            <w:tcBorders>
              <w:top w:val="single" w:color="auto" w:sz="6" w:space="0"/>
              <w:left w:val="single" w:color="auto" w:sz="6" w:space="0"/>
              <w:bottom w:val="single" w:color="auto" w:sz="6" w:space="0"/>
              <w:right w:val="single" w:color="auto" w:sz="6" w:space="0"/>
            </w:tcBorders>
            <w:vAlign w:val="center"/>
          </w:tcPr>
          <w:p w14:paraId="7FEE311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14:paraId="6C7ACD9E">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见“第一章谈判公告”相应条款</w:t>
            </w:r>
          </w:p>
        </w:tc>
      </w:tr>
      <w:tr w14:paraId="7EEA15C2">
        <w:tblPrEx>
          <w:tblCellMar>
            <w:top w:w="0" w:type="dxa"/>
            <w:left w:w="108" w:type="dxa"/>
            <w:bottom w:w="0" w:type="dxa"/>
            <w:right w:w="108" w:type="dxa"/>
          </w:tblCellMar>
        </w:tblPrEx>
        <w:trPr>
          <w:trHeight w:val="370" w:hRule="atLeast"/>
          <w:jc w:val="center"/>
        </w:trPr>
        <w:tc>
          <w:tcPr>
            <w:tcW w:w="608" w:type="dxa"/>
            <w:vMerge w:val="continue"/>
            <w:tcBorders>
              <w:left w:val="single" w:color="auto" w:sz="12" w:space="0"/>
              <w:right w:val="single" w:color="auto" w:sz="6" w:space="0"/>
            </w:tcBorders>
          </w:tcPr>
          <w:p w14:paraId="26DE5E43">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576F1602">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w:t>
            </w:r>
            <w:r>
              <w:rPr>
                <w:rFonts w:hint="eastAsia" w:ascii="宋体" w:hAnsi="宋体" w:cs="楷体_GB2312"/>
                <w:b/>
                <w:bCs/>
                <w:color w:val="auto"/>
                <w:szCs w:val="21"/>
                <w:highlight w:val="none"/>
                <w:lang w:val="zh-CN"/>
              </w:rPr>
              <w:t>4</w:t>
            </w:r>
          </w:p>
        </w:tc>
        <w:tc>
          <w:tcPr>
            <w:tcW w:w="1874" w:type="dxa"/>
            <w:tcBorders>
              <w:top w:val="single" w:color="auto" w:sz="6" w:space="0"/>
              <w:left w:val="single" w:color="auto" w:sz="6" w:space="0"/>
              <w:bottom w:val="single" w:color="auto" w:sz="6" w:space="0"/>
              <w:right w:val="single" w:color="auto" w:sz="6" w:space="0"/>
            </w:tcBorders>
            <w:vAlign w:val="center"/>
          </w:tcPr>
          <w:p w14:paraId="0A1E12A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预算金额</w:t>
            </w:r>
          </w:p>
        </w:tc>
        <w:tc>
          <w:tcPr>
            <w:tcW w:w="6579" w:type="dxa"/>
            <w:tcBorders>
              <w:top w:val="single" w:color="auto" w:sz="6" w:space="0"/>
              <w:left w:val="single" w:color="auto" w:sz="6" w:space="0"/>
              <w:bottom w:val="single" w:color="auto" w:sz="6" w:space="0"/>
              <w:right w:val="single" w:color="auto" w:sz="12" w:space="0"/>
            </w:tcBorders>
            <w:vAlign w:val="center"/>
          </w:tcPr>
          <w:p w14:paraId="0352DCC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见“第一章谈判公告”相应条款。</w:t>
            </w:r>
            <w:r>
              <w:rPr>
                <w:rFonts w:hint="eastAsia" w:ascii="宋体" w:hAnsi="宋体" w:cs="楷体_GB2312"/>
                <w:b/>
                <w:color w:val="auto"/>
                <w:sz w:val="24"/>
                <w:highlight w:val="none"/>
                <w:lang w:val="zh-CN"/>
              </w:rPr>
              <w:t>注：投标人的投标报价未超过预算金额的不足三家时，该项目（标段&lt;包&gt;）终止。</w:t>
            </w:r>
          </w:p>
        </w:tc>
      </w:tr>
      <w:tr w14:paraId="790CC67C">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5981DB79">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06551F14">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14:paraId="11FC1765">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申请人的资格要求及相关证明材料要求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14:paraId="6ED7739A">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见“第一章谈判公告”相应条款</w:t>
            </w:r>
          </w:p>
        </w:tc>
      </w:tr>
      <w:tr w14:paraId="6FFB53F1">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6598FF56">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235308B4">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8.1</w:t>
            </w:r>
          </w:p>
        </w:tc>
        <w:tc>
          <w:tcPr>
            <w:tcW w:w="1874" w:type="dxa"/>
            <w:tcBorders>
              <w:top w:val="single" w:color="auto" w:sz="6" w:space="0"/>
              <w:left w:val="single" w:color="auto" w:sz="6" w:space="0"/>
              <w:bottom w:val="single" w:color="auto" w:sz="6" w:space="0"/>
              <w:right w:val="single" w:color="auto" w:sz="6" w:space="0"/>
            </w:tcBorders>
            <w:vAlign w:val="center"/>
          </w:tcPr>
          <w:p w14:paraId="66418277">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采购人</w:t>
            </w:r>
          </w:p>
        </w:tc>
        <w:tc>
          <w:tcPr>
            <w:tcW w:w="6579" w:type="dxa"/>
            <w:tcBorders>
              <w:top w:val="single" w:color="auto" w:sz="6" w:space="0"/>
              <w:left w:val="single" w:color="auto" w:sz="6" w:space="0"/>
              <w:bottom w:val="single" w:color="auto" w:sz="6" w:space="0"/>
              <w:right w:val="single" w:color="auto" w:sz="12" w:space="0"/>
            </w:tcBorders>
            <w:vAlign w:val="center"/>
          </w:tcPr>
          <w:p w14:paraId="7A2EB24E">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见“第一章谈判公告”相应条款</w:t>
            </w:r>
          </w:p>
        </w:tc>
      </w:tr>
      <w:tr w14:paraId="1B9E2D40">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bottom w:val="single" w:color="auto" w:sz="6" w:space="0"/>
              <w:right w:val="single" w:color="auto" w:sz="6" w:space="0"/>
            </w:tcBorders>
          </w:tcPr>
          <w:p w14:paraId="3ABFCCA5">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C465B62">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8.2</w:t>
            </w:r>
          </w:p>
        </w:tc>
        <w:tc>
          <w:tcPr>
            <w:tcW w:w="1874" w:type="dxa"/>
            <w:tcBorders>
              <w:top w:val="single" w:color="auto" w:sz="6" w:space="0"/>
              <w:left w:val="single" w:color="auto" w:sz="6" w:space="0"/>
              <w:bottom w:val="single" w:color="auto" w:sz="6" w:space="0"/>
              <w:right w:val="single" w:color="auto" w:sz="6" w:space="0"/>
            </w:tcBorders>
            <w:vAlign w:val="center"/>
          </w:tcPr>
          <w:p w14:paraId="6917635E">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14:paraId="0EB21E53">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见“第一章谈判公告”相应条款</w:t>
            </w:r>
          </w:p>
        </w:tc>
      </w:tr>
      <w:tr w14:paraId="408AC2FF">
        <w:tblPrEx>
          <w:tblCellMar>
            <w:top w:w="0" w:type="dxa"/>
            <w:left w:w="108" w:type="dxa"/>
            <w:bottom w:w="0" w:type="dxa"/>
            <w:right w:w="108" w:type="dxa"/>
          </w:tblCellMar>
        </w:tblPrEx>
        <w:trPr>
          <w:trHeight w:val="90" w:hRule="atLeast"/>
          <w:jc w:val="center"/>
        </w:trPr>
        <w:tc>
          <w:tcPr>
            <w:tcW w:w="608" w:type="dxa"/>
            <w:vMerge w:val="restart"/>
            <w:tcBorders>
              <w:top w:val="single" w:color="auto" w:sz="6" w:space="0"/>
              <w:left w:val="single" w:color="auto" w:sz="12" w:space="0"/>
              <w:right w:val="single" w:color="auto" w:sz="6" w:space="0"/>
            </w:tcBorders>
            <w:vAlign w:val="center"/>
          </w:tcPr>
          <w:p w14:paraId="0072D282">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14:paraId="36FA29FC">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15B17CF5">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标段（包）划分</w:t>
            </w:r>
          </w:p>
        </w:tc>
        <w:tc>
          <w:tcPr>
            <w:tcW w:w="6579" w:type="dxa"/>
            <w:tcBorders>
              <w:top w:val="single" w:color="auto" w:sz="6" w:space="0"/>
              <w:left w:val="single" w:color="auto" w:sz="6" w:space="0"/>
              <w:bottom w:val="single" w:color="auto" w:sz="6" w:space="0"/>
              <w:right w:val="single" w:color="auto" w:sz="12" w:space="0"/>
            </w:tcBorders>
            <w:vAlign w:val="center"/>
          </w:tcPr>
          <w:p w14:paraId="0704E3A5">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见“第二章采购项目及服务要求”相应条款</w:t>
            </w:r>
          </w:p>
        </w:tc>
      </w:tr>
      <w:tr w14:paraId="65A43D22">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2CCE3A37">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45FA8AE0">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4A852C3A">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rPr>
              <w:t>服务期</w:t>
            </w:r>
          </w:p>
        </w:tc>
        <w:tc>
          <w:tcPr>
            <w:tcW w:w="6579" w:type="dxa"/>
            <w:tcBorders>
              <w:top w:val="single" w:color="auto" w:sz="6" w:space="0"/>
              <w:left w:val="single" w:color="auto" w:sz="6" w:space="0"/>
              <w:bottom w:val="single" w:color="auto" w:sz="6" w:space="0"/>
              <w:right w:val="single" w:color="auto" w:sz="12" w:space="0"/>
            </w:tcBorders>
            <w:vAlign w:val="center"/>
          </w:tcPr>
          <w:p w14:paraId="3C3E64A9">
            <w:pPr>
              <w:autoSpaceDE w:val="0"/>
              <w:autoSpaceDN w:val="0"/>
              <w:adjustRightInd w:val="0"/>
              <w:snapToGrid w:val="0"/>
              <w:spacing w:before="156" w:beforeLines="50" w:line="240" w:lineRule="auto"/>
              <w:rPr>
                <w:rFonts w:ascii="宋体" w:cs="楷体_GB2312"/>
                <w:bCs/>
                <w:color w:val="auto"/>
                <w:sz w:val="24"/>
                <w:highlight w:val="none"/>
                <w:lang w:val="zh-CN"/>
              </w:rPr>
            </w:pPr>
            <w:r>
              <w:rPr>
                <w:rFonts w:hint="eastAsia" w:ascii="宋体" w:hAnsi="宋体"/>
                <w:color w:val="auto"/>
                <w:sz w:val="24"/>
                <w:highlight w:val="none"/>
              </w:rPr>
              <w:t>见“第二部分采购项目及服务要求”</w:t>
            </w:r>
            <w:r>
              <w:rPr>
                <w:rFonts w:hint="eastAsia"/>
                <w:color w:val="auto"/>
                <w:sz w:val="24"/>
                <w:szCs w:val="24"/>
                <w:highlight w:val="none"/>
              </w:rPr>
              <w:t>相应条款</w:t>
            </w:r>
          </w:p>
        </w:tc>
      </w:tr>
      <w:tr w14:paraId="7D253F4F">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5372CE1B">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794B9293">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725CE62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服务地</w:t>
            </w:r>
          </w:p>
        </w:tc>
        <w:tc>
          <w:tcPr>
            <w:tcW w:w="6579" w:type="dxa"/>
            <w:tcBorders>
              <w:top w:val="single" w:color="auto" w:sz="6" w:space="0"/>
              <w:left w:val="single" w:color="auto" w:sz="6" w:space="0"/>
              <w:bottom w:val="single" w:color="auto" w:sz="6" w:space="0"/>
              <w:right w:val="single" w:color="auto" w:sz="12" w:space="0"/>
            </w:tcBorders>
            <w:vAlign w:val="center"/>
          </w:tcPr>
          <w:p w14:paraId="1C8BCCF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w:t>
            </w:r>
            <w:r>
              <w:rPr>
                <w:rFonts w:hint="eastAsia"/>
                <w:color w:val="auto"/>
                <w:sz w:val="24"/>
                <w:szCs w:val="24"/>
                <w:highlight w:val="none"/>
              </w:rPr>
              <w:t>章</w:t>
            </w:r>
            <w:r>
              <w:rPr>
                <w:rFonts w:hint="eastAsia" w:ascii="宋体" w:hAnsi="宋体" w:cs="楷体_GB2312"/>
                <w:color w:val="auto"/>
                <w:sz w:val="24"/>
                <w:highlight w:val="none"/>
                <w:lang w:val="zh-CN"/>
              </w:rPr>
              <w:t>采购项目及服务要求”</w:t>
            </w:r>
            <w:r>
              <w:rPr>
                <w:rFonts w:hint="eastAsia"/>
                <w:color w:val="auto"/>
                <w:sz w:val="24"/>
                <w:szCs w:val="24"/>
                <w:highlight w:val="none"/>
              </w:rPr>
              <w:t>相应条款</w:t>
            </w:r>
          </w:p>
        </w:tc>
      </w:tr>
      <w:tr w14:paraId="04DF5D66">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6906216D">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52B12E13">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14:paraId="67859F80">
            <w:pPr>
              <w:autoSpaceDE w:val="0"/>
              <w:autoSpaceDN w:val="0"/>
              <w:adjustRightInd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14:paraId="66F35E20">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见“第二章采购项目及服务要求”相应条款</w:t>
            </w:r>
          </w:p>
        </w:tc>
      </w:tr>
      <w:tr w14:paraId="65021F4B">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14:paraId="4BB721DD">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46C24DB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14:paraId="0E8248B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标段（包）内容（范围）及服务要求</w:t>
            </w:r>
          </w:p>
        </w:tc>
        <w:tc>
          <w:tcPr>
            <w:tcW w:w="6579" w:type="dxa"/>
            <w:tcBorders>
              <w:top w:val="single" w:color="auto" w:sz="6" w:space="0"/>
              <w:left w:val="single" w:color="auto" w:sz="6" w:space="0"/>
              <w:bottom w:val="single" w:color="auto" w:sz="6" w:space="0"/>
              <w:right w:val="single" w:color="auto" w:sz="12" w:space="0"/>
            </w:tcBorders>
            <w:vAlign w:val="center"/>
          </w:tcPr>
          <w:p w14:paraId="4337D45A">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w:t>
            </w:r>
            <w:r>
              <w:rPr>
                <w:rFonts w:hint="eastAsia"/>
                <w:color w:val="auto"/>
                <w:sz w:val="24"/>
                <w:szCs w:val="24"/>
                <w:highlight w:val="none"/>
              </w:rPr>
              <w:t>章</w:t>
            </w:r>
            <w:r>
              <w:rPr>
                <w:rFonts w:hint="eastAsia" w:ascii="宋体" w:hAnsi="宋体" w:cs="楷体_GB2312"/>
                <w:color w:val="auto"/>
                <w:sz w:val="24"/>
                <w:highlight w:val="none"/>
                <w:lang w:val="zh-CN"/>
              </w:rPr>
              <w:t>采购项目及服务要求”</w:t>
            </w:r>
            <w:r>
              <w:rPr>
                <w:rFonts w:hint="eastAsia"/>
                <w:color w:val="auto"/>
                <w:sz w:val="24"/>
                <w:szCs w:val="24"/>
                <w:highlight w:val="none"/>
              </w:rPr>
              <w:t>相应条款</w:t>
            </w:r>
          </w:p>
        </w:tc>
      </w:tr>
      <w:tr w14:paraId="29A66033">
        <w:tblPrEx>
          <w:tblCellMar>
            <w:top w:w="0" w:type="dxa"/>
            <w:left w:w="108" w:type="dxa"/>
            <w:bottom w:w="0" w:type="dxa"/>
            <w:right w:w="108" w:type="dxa"/>
          </w:tblCellMar>
        </w:tblPrEx>
        <w:trPr>
          <w:trHeight w:val="366" w:hRule="atLeast"/>
          <w:jc w:val="center"/>
        </w:trPr>
        <w:tc>
          <w:tcPr>
            <w:tcW w:w="608" w:type="dxa"/>
            <w:vMerge w:val="restart"/>
            <w:tcBorders>
              <w:top w:val="single" w:color="auto" w:sz="6" w:space="0"/>
              <w:left w:val="single" w:color="auto" w:sz="12" w:space="0"/>
              <w:right w:val="single" w:color="auto" w:sz="6" w:space="0"/>
            </w:tcBorders>
          </w:tcPr>
          <w:p w14:paraId="1039A573">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4ADF6421">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14:paraId="2DF6CB77">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14:paraId="645C740E">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 xml:space="preserve">不接受   </w:t>
            </w:r>
          </w:p>
        </w:tc>
      </w:tr>
      <w:tr w14:paraId="529AC6A6">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469A5BC6">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27FCA9BB">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10</w:t>
            </w:r>
          </w:p>
        </w:tc>
        <w:tc>
          <w:tcPr>
            <w:tcW w:w="1874" w:type="dxa"/>
            <w:tcBorders>
              <w:top w:val="single" w:color="auto" w:sz="6" w:space="0"/>
              <w:left w:val="single" w:color="auto" w:sz="6" w:space="0"/>
              <w:bottom w:val="single" w:color="auto" w:sz="6" w:space="0"/>
              <w:right w:val="single" w:color="auto" w:sz="6" w:space="0"/>
            </w:tcBorders>
            <w:vAlign w:val="center"/>
          </w:tcPr>
          <w:p w14:paraId="15F3F9E0">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14:paraId="47CCF6BE">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不组织</w:t>
            </w:r>
          </w:p>
        </w:tc>
      </w:tr>
      <w:tr w14:paraId="0BEB3D51">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5A5A4B89">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1154E3D2">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1</w:t>
            </w:r>
          </w:p>
        </w:tc>
        <w:tc>
          <w:tcPr>
            <w:tcW w:w="1874" w:type="dxa"/>
            <w:tcBorders>
              <w:top w:val="single" w:color="auto" w:sz="6" w:space="0"/>
              <w:left w:val="single" w:color="auto" w:sz="6" w:space="0"/>
              <w:bottom w:val="single" w:color="auto" w:sz="6" w:space="0"/>
              <w:right w:val="single" w:color="auto" w:sz="6" w:space="0"/>
            </w:tcBorders>
            <w:vAlign w:val="center"/>
          </w:tcPr>
          <w:p w14:paraId="0058D33D">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14:paraId="72DDADAB">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不召开</w:t>
            </w:r>
          </w:p>
        </w:tc>
      </w:tr>
      <w:tr w14:paraId="7608B552">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358E97A3">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3BE2EE7C">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2</w:t>
            </w:r>
          </w:p>
        </w:tc>
        <w:tc>
          <w:tcPr>
            <w:tcW w:w="1874" w:type="dxa"/>
            <w:tcBorders>
              <w:top w:val="single" w:color="auto" w:sz="6" w:space="0"/>
              <w:left w:val="single" w:color="auto" w:sz="6" w:space="0"/>
              <w:bottom w:val="single" w:color="auto" w:sz="6" w:space="0"/>
              <w:right w:val="single" w:color="auto" w:sz="6" w:space="0"/>
            </w:tcBorders>
            <w:vAlign w:val="center"/>
          </w:tcPr>
          <w:p w14:paraId="2A5C208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14:paraId="2A376375">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 xml:space="preserve">不允许    </w:t>
            </w:r>
          </w:p>
        </w:tc>
      </w:tr>
      <w:tr w14:paraId="4DB6E867">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1A81951B">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6EDBEE08">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2.1</w:t>
            </w:r>
          </w:p>
        </w:tc>
        <w:tc>
          <w:tcPr>
            <w:tcW w:w="1874" w:type="dxa"/>
            <w:tcBorders>
              <w:top w:val="single" w:color="auto" w:sz="6" w:space="0"/>
              <w:left w:val="single" w:color="auto" w:sz="6" w:space="0"/>
              <w:bottom w:val="single" w:color="auto" w:sz="6" w:space="0"/>
              <w:right w:val="single" w:color="auto" w:sz="6" w:space="0"/>
            </w:tcBorders>
            <w:vAlign w:val="center"/>
          </w:tcPr>
          <w:p w14:paraId="43A1146C">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构成谈判文件的其他材料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14:paraId="194321A0">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0FD1C581">
        <w:tblPrEx>
          <w:tblCellMar>
            <w:top w:w="0" w:type="dxa"/>
            <w:left w:w="108" w:type="dxa"/>
            <w:bottom w:w="0" w:type="dxa"/>
            <w:right w:w="108" w:type="dxa"/>
          </w:tblCellMar>
        </w:tblPrEx>
        <w:trPr>
          <w:trHeight w:val="604" w:hRule="atLeast"/>
          <w:jc w:val="center"/>
        </w:trPr>
        <w:tc>
          <w:tcPr>
            <w:tcW w:w="608" w:type="dxa"/>
            <w:vMerge w:val="continue"/>
            <w:tcBorders>
              <w:left w:val="single" w:color="auto" w:sz="12" w:space="0"/>
              <w:right w:val="single" w:color="auto" w:sz="6" w:space="0"/>
            </w:tcBorders>
          </w:tcPr>
          <w:p w14:paraId="6AE3BAB9">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44EB8663">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2.2.1</w:t>
            </w:r>
          </w:p>
        </w:tc>
        <w:tc>
          <w:tcPr>
            <w:tcW w:w="1874" w:type="dxa"/>
            <w:tcBorders>
              <w:top w:val="single" w:color="auto" w:sz="6" w:space="0"/>
              <w:left w:val="single" w:color="auto" w:sz="6" w:space="0"/>
              <w:bottom w:val="single" w:color="auto" w:sz="6" w:space="0"/>
              <w:right w:val="single" w:color="auto" w:sz="6" w:space="0"/>
            </w:tcBorders>
            <w:vAlign w:val="center"/>
          </w:tcPr>
          <w:p w14:paraId="59AE3874">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14:paraId="0E7AFAEE">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投标截止时间</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日前</w:t>
            </w:r>
          </w:p>
        </w:tc>
      </w:tr>
      <w:tr w14:paraId="24288DC1">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14:paraId="7CEE263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3B5C09D">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14:paraId="16316BE6">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谈判文件澄清修改补充时间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14:paraId="43AEC265">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投标截止时间</w:t>
            </w:r>
            <w:r>
              <w:rPr>
                <w:rFonts w:ascii="宋体" w:hAnsi="宋体" w:cs="楷体_GB2312"/>
                <w:color w:val="auto"/>
                <w:sz w:val="24"/>
                <w:highlight w:val="none"/>
              </w:rPr>
              <w:t>3</w:t>
            </w:r>
            <w:r>
              <w:rPr>
                <w:rFonts w:hint="eastAsia" w:ascii="宋体" w:hAnsi="宋体" w:cs="楷体_GB2312"/>
                <w:color w:val="auto"/>
                <w:sz w:val="24"/>
                <w:highlight w:val="none"/>
              </w:rPr>
              <w:t>个工作</w:t>
            </w:r>
            <w:r>
              <w:rPr>
                <w:rFonts w:hint="eastAsia" w:ascii="宋体" w:hAnsi="宋体" w:cs="楷体_GB2312"/>
                <w:color w:val="auto"/>
                <w:sz w:val="24"/>
                <w:highlight w:val="none"/>
                <w:lang w:val="zh-CN"/>
              </w:rPr>
              <w:t>日前。</w:t>
            </w:r>
          </w:p>
        </w:tc>
      </w:tr>
      <w:tr w14:paraId="313B0595">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14:paraId="309BFDC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E3BE3C1">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2.4</w:t>
            </w:r>
          </w:p>
        </w:tc>
        <w:tc>
          <w:tcPr>
            <w:tcW w:w="1874" w:type="dxa"/>
            <w:tcBorders>
              <w:top w:val="single" w:color="auto" w:sz="6" w:space="0"/>
              <w:left w:val="single" w:color="auto" w:sz="6" w:space="0"/>
              <w:bottom w:val="single" w:color="auto" w:sz="6" w:space="0"/>
              <w:right w:val="single" w:color="auto" w:sz="6" w:space="0"/>
            </w:tcBorders>
            <w:vAlign w:val="center"/>
          </w:tcPr>
          <w:p w14:paraId="3ECF085E">
            <w:pPr>
              <w:autoSpaceDE w:val="0"/>
              <w:autoSpaceDN w:val="0"/>
              <w:adjustRightInd w:val="0"/>
              <w:snapToGrid w:val="0"/>
              <w:spacing w:line="240" w:lineRule="auto"/>
              <w:ind w:left="-126" w:leftChars="-60" w:right="-36" w:rightChars="-17"/>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谈判文件的澄清修改补充告知方式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14:paraId="616B91EC">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CEAB8F3">
        <w:tblPrEx>
          <w:tblCellMar>
            <w:top w:w="0" w:type="dxa"/>
            <w:left w:w="108" w:type="dxa"/>
            <w:bottom w:w="0" w:type="dxa"/>
            <w:right w:w="108" w:type="dxa"/>
          </w:tblCellMar>
        </w:tblPrEx>
        <w:trPr>
          <w:trHeight w:val="535" w:hRule="atLeast"/>
          <w:jc w:val="center"/>
        </w:trPr>
        <w:tc>
          <w:tcPr>
            <w:tcW w:w="608" w:type="dxa"/>
            <w:vMerge w:val="continue"/>
            <w:tcBorders>
              <w:left w:val="single" w:color="auto" w:sz="12" w:space="0"/>
              <w:bottom w:val="single" w:color="auto" w:sz="6" w:space="0"/>
              <w:right w:val="single" w:color="auto" w:sz="6" w:space="0"/>
            </w:tcBorders>
          </w:tcPr>
          <w:p w14:paraId="256AAF9A">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5E275633">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14:paraId="785887D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14:paraId="50BFD7C9">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127EB59F">
        <w:tblPrEx>
          <w:tblCellMar>
            <w:top w:w="0" w:type="dxa"/>
            <w:left w:w="108" w:type="dxa"/>
            <w:bottom w:w="0" w:type="dxa"/>
            <w:right w:w="108" w:type="dxa"/>
          </w:tblCellMar>
        </w:tblPrEx>
        <w:trPr>
          <w:trHeight w:val="564" w:hRule="atLeast"/>
          <w:jc w:val="center"/>
        </w:trPr>
        <w:tc>
          <w:tcPr>
            <w:tcW w:w="608" w:type="dxa"/>
            <w:vMerge w:val="restart"/>
            <w:tcBorders>
              <w:top w:val="single" w:color="auto" w:sz="6" w:space="0"/>
              <w:left w:val="single" w:color="auto" w:sz="12" w:space="0"/>
              <w:right w:val="single" w:color="auto" w:sz="6" w:space="0"/>
            </w:tcBorders>
          </w:tcPr>
          <w:p w14:paraId="642ED937">
            <w:pPr>
              <w:autoSpaceDE w:val="0"/>
              <w:autoSpaceDN w:val="0"/>
              <w:adjustRightInd w:val="0"/>
              <w:snapToGrid w:val="0"/>
              <w:spacing w:line="240" w:lineRule="auto"/>
              <w:jc w:val="center"/>
              <w:rPr>
                <w:rFonts w:ascii="宋体" w:hAnsi="宋体" w:cs="楷体_GB2312"/>
                <w:b/>
                <w:bCs/>
                <w:color w:val="auto"/>
                <w:sz w:val="24"/>
                <w:highlight w:val="none"/>
                <w:lang w:val="zh-CN"/>
              </w:rPr>
            </w:pPr>
            <w:r>
              <w:rPr>
                <w:rFonts w:hint="eastAsia" w:ascii="宋体" w:hAnsi="宋体" w:cs="楷体_GB2312"/>
                <w:b/>
                <w:bCs/>
                <w:color w:val="auto"/>
                <w:sz w:val="24"/>
                <w:highlight w:val="none"/>
                <w:lang w:val="zh-CN"/>
              </w:rPr>
              <w:t>第三章</w:t>
            </w:r>
          </w:p>
          <w:p w14:paraId="1628D4C5">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4894AD31">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14:paraId="5E1476E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14:paraId="687ADEF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从开标之日起，投标有效期为</w:t>
            </w:r>
            <w:r>
              <w:rPr>
                <w:rFonts w:ascii="宋体" w:hAnsi="宋体" w:cs="楷体_GB2312"/>
                <w:color w:val="auto"/>
                <w:sz w:val="24"/>
                <w:highlight w:val="none"/>
                <w:lang w:val="zh-CN"/>
              </w:rPr>
              <w:t>90</w:t>
            </w:r>
            <w:r>
              <w:rPr>
                <w:rFonts w:hint="eastAsia" w:ascii="宋体" w:hAnsi="宋体" w:cs="楷体_GB2312"/>
                <w:color w:val="auto"/>
                <w:sz w:val="24"/>
                <w:highlight w:val="none"/>
                <w:lang w:val="zh-CN"/>
              </w:rPr>
              <w:t>日历天</w:t>
            </w:r>
          </w:p>
        </w:tc>
      </w:tr>
      <w:tr w14:paraId="6B7DAB84">
        <w:tblPrEx>
          <w:tblCellMar>
            <w:top w:w="0" w:type="dxa"/>
            <w:left w:w="108" w:type="dxa"/>
            <w:bottom w:w="0" w:type="dxa"/>
            <w:right w:w="108" w:type="dxa"/>
          </w:tblCellMar>
        </w:tblPrEx>
        <w:trPr>
          <w:trHeight w:val="694" w:hRule="atLeast"/>
          <w:jc w:val="center"/>
        </w:trPr>
        <w:tc>
          <w:tcPr>
            <w:tcW w:w="608" w:type="dxa"/>
            <w:vMerge w:val="continue"/>
            <w:tcBorders>
              <w:left w:val="single" w:color="auto" w:sz="12" w:space="0"/>
              <w:right w:val="single" w:color="auto" w:sz="6" w:space="0"/>
            </w:tcBorders>
          </w:tcPr>
          <w:p w14:paraId="348540A1">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right w:val="single" w:color="auto" w:sz="6" w:space="0"/>
            </w:tcBorders>
            <w:vAlign w:val="center"/>
          </w:tcPr>
          <w:p w14:paraId="4D62BABA">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3.5</w:t>
            </w:r>
          </w:p>
        </w:tc>
        <w:tc>
          <w:tcPr>
            <w:tcW w:w="1874" w:type="dxa"/>
            <w:tcBorders>
              <w:top w:val="single" w:color="auto" w:sz="6" w:space="0"/>
              <w:left w:val="single" w:color="auto" w:sz="6" w:space="0"/>
              <w:right w:val="single" w:color="auto" w:sz="6" w:space="0"/>
            </w:tcBorders>
            <w:vAlign w:val="center"/>
          </w:tcPr>
          <w:p w14:paraId="0C3062A4">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投标承诺函</w:t>
            </w:r>
          </w:p>
          <w:p w14:paraId="153E8FDD">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（替代投标保证金）</w:t>
            </w:r>
          </w:p>
        </w:tc>
        <w:tc>
          <w:tcPr>
            <w:tcW w:w="6579" w:type="dxa"/>
            <w:tcBorders>
              <w:top w:val="single" w:color="auto" w:sz="6" w:space="0"/>
              <w:left w:val="single" w:color="auto" w:sz="6" w:space="0"/>
              <w:right w:val="single" w:color="auto" w:sz="12" w:space="0"/>
            </w:tcBorders>
            <w:vAlign w:val="center"/>
          </w:tcPr>
          <w:p w14:paraId="539ED798">
            <w:pPr>
              <w:widowControl w:val="0"/>
              <w:snapToGrid w:val="0"/>
              <w:spacing w:before="156" w:beforeLines="50" w:line="240" w:lineRule="auto"/>
              <w:rPr>
                <w:color w:val="auto"/>
                <w:sz w:val="24"/>
                <w:szCs w:val="24"/>
                <w:highlight w:val="none"/>
              </w:rPr>
            </w:pPr>
            <w:r>
              <w:rPr>
                <w:rFonts w:hint="eastAsia"/>
                <w:color w:val="auto"/>
                <w:sz w:val="24"/>
                <w:szCs w:val="24"/>
                <w:highlight w:val="none"/>
              </w:rPr>
              <w:t>以投标承诺函形式替代投标保证金。</w:t>
            </w:r>
          </w:p>
          <w:p w14:paraId="2E30701B">
            <w:pPr>
              <w:widowControl w:val="0"/>
              <w:snapToGrid w:val="0"/>
              <w:spacing w:before="156" w:beforeLines="50" w:line="240" w:lineRule="auto"/>
              <w:rPr>
                <w:color w:val="auto"/>
                <w:sz w:val="24"/>
                <w:szCs w:val="24"/>
                <w:highlight w:val="none"/>
              </w:rPr>
            </w:pPr>
            <w:r>
              <w:rPr>
                <w:rFonts w:hint="eastAsia"/>
                <w:color w:val="auto"/>
                <w:sz w:val="24"/>
                <w:szCs w:val="24"/>
                <w:highlight w:val="none"/>
              </w:rPr>
              <w:t>供应商应按附件格式进行投标承诺、违背承诺的责任追究。</w:t>
            </w:r>
          </w:p>
        </w:tc>
      </w:tr>
      <w:tr w14:paraId="5E4EDF26">
        <w:tblPrEx>
          <w:tblCellMar>
            <w:top w:w="0" w:type="dxa"/>
            <w:left w:w="108" w:type="dxa"/>
            <w:bottom w:w="0" w:type="dxa"/>
            <w:right w:w="108" w:type="dxa"/>
          </w:tblCellMar>
        </w:tblPrEx>
        <w:trPr>
          <w:trHeight w:val="577" w:hRule="atLeast"/>
          <w:jc w:val="center"/>
        </w:trPr>
        <w:tc>
          <w:tcPr>
            <w:tcW w:w="608" w:type="dxa"/>
            <w:vMerge w:val="continue"/>
            <w:tcBorders>
              <w:left w:val="single" w:color="auto" w:sz="12" w:space="0"/>
              <w:right w:val="single" w:color="auto" w:sz="6" w:space="0"/>
            </w:tcBorders>
          </w:tcPr>
          <w:p w14:paraId="72A33D7F">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14:paraId="1E09C733">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14:paraId="52FA5367">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14:paraId="7DCA45FE">
            <w:pPr>
              <w:widowControl w:val="0"/>
              <w:snapToGrid w:val="0"/>
              <w:spacing w:before="156" w:beforeLines="50" w:line="240" w:lineRule="auto"/>
              <w:rPr>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FCF1CA9">
        <w:tblPrEx>
          <w:tblCellMar>
            <w:top w:w="0" w:type="dxa"/>
            <w:left w:w="108" w:type="dxa"/>
            <w:bottom w:w="0" w:type="dxa"/>
            <w:right w:w="108" w:type="dxa"/>
          </w:tblCellMar>
        </w:tblPrEx>
        <w:trPr>
          <w:trHeight w:val="65" w:hRule="atLeast"/>
          <w:jc w:val="center"/>
        </w:trPr>
        <w:tc>
          <w:tcPr>
            <w:tcW w:w="608" w:type="dxa"/>
            <w:vMerge w:val="continue"/>
            <w:tcBorders>
              <w:left w:val="single" w:color="auto" w:sz="12" w:space="0"/>
              <w:right w:val="single" w:color="auto" w:sz="6" w:space="0"/>
            </w:tcBorders>
          </w:tcPr>
          <w:p w14:paraId="11F56663">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279AB6F3">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3.7.4</w:t>
            </w:r>
          </w:p>
        </w:tc>
        <w:tc>
          <w:tcPr>
            <w:tcW w:w="1874" w:type="dxa"/>
            <w:tcBorders>
              <w:top w:val="single" w:color="auto" w:sz="6" w:space="0"/>
              <w:left w:val="single" w:color="auto" w:sz="6" w:space="0"/>
              <w:bottom w:val="single" w:color="auto" w:sz="6" w:space="0"/>
              <w:right w:val="single" w:color="auto" w:sz="6" w:space="0"/>
            </w:tcBorders>
            <w:vAlign w:val="center"/>
          </w:tcPr>
          <w:p w14:paraId="021E027D">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14:paraId="7AC4A343">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794C3E8A">
        <w:tblPrEx>
          <w:tblCellMar>
            <w:top w:w="0" w:type="dxa"/>
            <w:left w:w="108" w:type="dxa"/>
            <w:bottom w:w="0" w:type="dxa"/>
            <w:right w:w="108" w:type="dxa"/>
          </w:tblCellMar>
        </w:tblPrEx>
        <w:trPr>
          <w:trHeight w:val="343" w:hRule="atLeast"/>
          <w:jc w:val="center"/>
        </w:trPr>
        <w:tc>
          <w:tcPr>
            <w:tcW w:w="608" w:type="dxa"/>
            <w:vMerge w:val="continue"/>
            <w:tcBorders>
              <w:left w:val="single" w:color="auto" w:sz="12" w:space="0"/>
              <w:right w:val="single" w:color="auto" w:sz="6" w:space="0"/>
            </w:tcBorders>
          </w:tcPr>
          <w:p w14:paraId="34E5EEA5">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6DDE0887">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4.2.4</w:t>
            </w:r>
          </w:p>
        </w:tc>
        <w:tc>
          <w:tcPr>
            <w:tcW w:w="1874" w:type="dxa"/>
            <w:tcBorders>
              <w:top w:val="single" w:color="auto" w:sz="6" w:space="0"/>
              <w:left w:val="single" w:color="auto" w:sz="6" w:space="0"/>
              <w:bottom w:val="single" w:color="auto" w:sz="6" w:space="0"/>
              <w:right w:val="single" w:color="auto" w:sz="6" w:space="0"/>
            </w:tcBorders>
            <w:vAlign w:val="center"/>
          </w:tcPr>
          <w:p w14:paraId="0BC1E3B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14:paraId="551B105E">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否</w:t>
            </w:r>
          </w:p>
        </w:tc>
      </w:tr>
      <w:tr w14:paraId="79CB1EF9">
        <w:tblPrEx>
          <w:tblCellMar>
            <w:top w:w="0" w:type="dxa"/>
            <w:left w:w="108" w:type="dxa"/>
            <w:bottom w:w="0" w:type="dxa"/>
            <w:right w:w="108" w:type="dxa"/>
          </w:tblCellMar>
        </w:tblPrEx>
        <w:trPr>
          <w:trHeight w:val="507" w:hRule="atLeast"/>
          <w:jc w:val="center"/>
        </w:trPr>
        <w:tc>
          <w:tcPr>
            <w:tcW w:w="608" w:type="dxa"/>
            <w:vMerge w:val="continue"/>
            <w:tcBorders>
              <w:left w:val="single" w:color="auto" w:sz="12" w:space="0"/>
              <w:bottom w:val="single" w:color="auto" w:sz="6" w:space="0"/>
              <w:right w:val="single" w:color="auto" w:sz="6" w:space="0"/>
            </w:tcBorders>
          </w:tcPr>
          <w:p w14:paraId="0B6F4034">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0154C5AA">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6.1</w:t>
            </w:r>
          </w:p>
        </w:tc>
        <w:tc>
          <w:tcPr>
            <w:tcW w:w="1874" w:type="dxa"/>
            <w:tcBorders>
              <w:top w:val="single" w:color="auto" w:sz="6" w:space="0"/>
              <w:left w:val="single" w:color="auto" w:sz="6" w:space="0"/>
              <w:bottom w:val="single" w:color="auto" w:sz="6" w:space="0"/>
              <w:right w:val="single" w:color="auto" w:sz="6" w:space="0"/>
            </w:tcBorders>
            <w:vAlign w:val="center"/>
          </w:tcPr>
          <w:p w14:paraId="5885AC2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谈判小组的组建</w:t>
            </w:r>
          </w:p>
        </w:tc>
        <w:tc>
          <w:tcPr>
            <w:tcW w:w="6579" w:type="dxa"/>
            <w:tcBorders>
              <w:top w:val="single" w:color="auto" w:sz="6" w:space="0"/>
              <w:left w:val="single" w:color="auto" w:sz="6" w:space="0"/>
              <w:bottom w:val="single" w:color="auto" w:sz="6" w:space="0"/>
              <w:right w:val="single" w:color="auto" w:sz="12" w:space="0"/>
            </w:tcBorders>
            <w:vAlign w:val="center"/>
          </w:tcPr>
          <w:p w14:paraId="31BC0EDC">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0A6D6AFA">
        <w:tblPrEx>
          <w:tblCellMar>
            <w:top w:w="0" w:type="dxa"/>
            <w:left w:w="108" w:type="dxa"/>
            <w:bottom w:w="0" w:type="dxa"/>
            <w:right w:w="108" w:type="dxa"/>
          </w:tblCellMar>
        </w:tblPrEx>
        <w:trPr>
          <w:trHeight w:val="543" w:hRule="atLeast"/>
          <w:jc w:val="center"/>
        </w:trPr>
        <w:tc>
          <w:tcPr>
            <w:tcW w:w="608" w:type="dxa"/>
            <w:vMerge w:val="restart"/>
            <w:tcBorders>
              <w:left w:val="single" w:color="auto" w:sz="12" w:space="0"/>
              <w:right w:val="single" w:color="auto" w:sz="6" w:space="0"/>
            </w:tcBorders>
          </w:tcPr>
          <w:p w14:paraId="432470BA">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42C1CCDC">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rPr>
            </w:pPr>
            <w:r>
              <w:rPr>
                <w:rFonts w:ascii="宋体" w:hAnsi="宋体" w:cs="楷体_GB2312"/>
                <w:b/>
                <w:bCs/>
                <w:color w:val="auto"/>
                <w:szCs w:val="21"/>
                <w:highlight w:val="none"/>
              </w:rPr>
              <w:t>7.1</w:t>
            </w:r>
          </w:p>
        </w:tc>
        <w:tc>
          <w:tcPr>
            <w:tcW w:w="1874" w:type="dxa"/>
            <w:tcBorders>
              <w:top w:val="single" w:color="auto" w:sz="6" w:space="0"/>
              <w:left w:val="single" w:color="auto" w:sz="6" w:space="0"/>
              <w:bottom w:val="single" w:color="auto" w:sz="6" w:space="0"/>
              <w:right w:val="single" w:color="auto" w:sz="6" w:space="0"/>
            </w:tcBorders>
            <w:vAlign w:val="center"/>
          </w:tcPr>
          <w:p w14:paraId="12A4C70B">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是否授权谈判小组确定成交供应商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14:paraId="462CDA5B">
            <w:pPr>
              <w:adjustRightInd w:val="0"/>
              <w:snapToGrid w:val="0"/>
              <w:spacing w:before="156" w:beforeLines="50" w:line="240" w:lineRule="auto"/>
              <w:rPr>
                <w:rFonts w:ascii="宋体"/>
                <w:color w:val="auto"/>
                <w:sz w:val="24"/>
                <w:highlight w:val="none"/>
              </w:rPr>
            </w:pPr>
            <w:r>
              <w:rPr>
                <w:rFonts w:hint="eastAsia" w:ascii="宋体" w:hAnsi="宋体"/>
                <w:color w:val="auto"/>
                <w:sz w:val="24"/>
                <w:highlight w:val="none"/>
              </w:rPr>
              <w:t>是。谈判小组按照最后报价由低到高的顺序提出</w:t>
            </w:r>
            <w:r>
              <w:rPr>
                <w:rFonts w:ascii="宋体" w:hAnsi="宋体"/>
                <w:color w:val="auto"/>
                <w:sz w:val="24"/>
                <w:highlight w:val="none"/>
              </w:rPr>
              <w:t>3</w:t>
            </w:r>
            <w:r>
              <w:rPr>
                <w:rFonts w:hint="eastAsia" w:ascii="宋体" w:hAnsi="宋体"/>
                <w:color w:val="auto"/>
                <w:sz w:val="24"/>
                <w:highlight w:val="none"/>
              </w:rPr>
              <w:t>名成交候选人，并确定排名第一的成交候选人为成交供应商。</w:t>
            </w:r>
          </w:p>
        </w:tc>
      </w:tr>
      <w:tr w14:paraId="7411502E">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07EC76AB">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72F9BF29">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7.2</w:t>
            </w:r>
          </w:p>
        </w:tc>
        <w:tc>
          <w:tcPr>
            <w:tcW w:w="1874" w:type="dxa"/>
            <w:tcBorders>
              <w:top w:val="single" w:color="auto" w:sz="6" w:space="0"/>
              <w:left w:val="single" w:color="auto" w:sz="6" w:space="0"/>
              <w:bottom w:val="single" w:color="auto" w:sz="6" w:space="0"/>
              <w:right w:val="single" w:color="auto" w:sz="6" w:space="0"/>
            </w:tcBorders>
            <w:vAlign w:val="center"/>
          </w:tcPr>
          <w:p w14:paraId="52B8D97F">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14:paraId="0B03071A">
            <w:pPr>
              <w:adjustRightInd w:val="0"/>
              <w:snapToGrid w:val="0"/>
              <w:spacing w:before="156" w:beforeLines="50" w:line="240" w:lineRule="auto"/>
              <w:rPr>
                <w:rFonts w:ascii="宋体" w:hAnsi="宋体"/>
                <w:color w:val="auto"/>
                <w:sz w:val="24"/>
                <w:highlight w:val="none"/>
              </w:rPr>
            </w:pPr>
            <w:r>
              <w:rPr>
                <w:rFonts w:hint="eastAsia" w:ascii="宋体" w:hAnsi="宋体"/>
                <w:color w:val="auto"/>
                <w:sz w:val="24"/>
                <w:highlight w:val="none"/>
              </w:rPr>
              <w:t>本次竞争性谈判的成交结果将在成交供应商确定之日起2个工作日内，在谈判公告所述媒介公告</w:t>
            </w:r>
            <w:r>
              <w:rPr>
                <w:rFonts w:ascii="宋体" w:hAnsi="宋体"/>
                <w:color w:val="auto"/>
                <w:sz w:val="24"/>
                <w:highlight w:val="none"/>
              </w:rPr>
              <w:t>1</w:t>
            </w:r>
            <w:r>
              <w:rPr>
                <w:rFonts w:hint="eastAsia" w:ascii="宋体" w:hAnsi="宋体"/>
                <w:color w:val="auto"/>
                <w:sz w:val="24"/>
                <w:highlight w:val="none"/>
              </w:rPr>
              <w:t>个工作日。</w:t>
            </w:r>
          </w:p>
        </w:tc>
      </w:tr>
      <w:tr w14:paraId="19257BB0">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703A5577">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3AA03825">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7.3</w:t>
            </w:r>
          </w:p>
        </w:tc>
        <w:tc>
          <w:tcPr>
            <w:tcW w:w="1874" w:type="dxa"/>
            <w:tcBorders>
              <w:top w:val="single" w:color="auto" w:sz="6" w:space="0"/>
              <w:left w:val="single" w:color="auto" w:sz="6" w:space="0"/>
              <w:bottom w:val="single" w:color="auto" w:sz="6" w:space="0"/>
              <w:right w:val="single" w:color="auto" w:sz="6" w:space="0"/>
            </w:tcBorders>
            <w:vAlign w:val="center"/>
          </w:tcPr>
          <w:p w14:paraId="2010FD73">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14:paraId="79F9095A">
            <w:pPr>
              <w:adjustRightInd w:val="0"/>
              <w:snapToGrid w:val="0"/>
              <w:spacing w:before="156" w:beforeLines="50" w:line="240" w:lineRule="auto"/>
              <w:rPr>
                <w:rFonts w:ascii="宋体"/>
                <w:color w:val="auto"/>
                <w:sz w:val="24"/>
                <w:highlight w:val="none"/>
              </w:rPr>
            </w:pPr>
            <w:r>
              <w:rPr>
                <w:rFonts w:hint="eastAsia" w:ascii="宋体" w:hAnsi="宋体"/>
                <w:color w:val="auto"/>
                <w:sz w:val="24"/>
                <w:highlight w:val="none"/>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31ECF564">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4FDBD07B">
            <w:pPr>
              <w:autoSpaceDE w:val="0"/>
              <w:autoSpaceDN w:val="0"/>
              <w:adjustRightInd w:val="0"/>
              <w:snapToGrid w:val="0"/>
              <w:spacing w:line="240" w:lineRule="auto"/>
              <w:jc w:val="center"/>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681195A0">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7.4</w:t>
            </w:r>
          </w:p>
        </w:tc>
        <w:tc>
          <w:tcPr>
            <w:tcW w:w="1874" w:type="dxa"/>
            <w:tcBorders>
              <w:top w:val="single" w:color="auto" w:sz="6" w:space="0"/>
              <w:left w:val="single" w:color="auto" w:sz="6" w:space="0"/>
              <w:bottom w:val="single" w:color="auto" w:sz="6" w:space="0"/>
              <w:right w:val="single" w:color="auto" w:sz="6" w:space="0"/>
            </w:tcBorders>
            <w:vAlign w:val="center"/>
          </w:tcPr>
          <w:p w14:paraId="6069BECB">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14:paraId="1753FF9E">
            <w:pPr>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采购代理机构在成交供应商确定后2个工作日内，向成交供应商发出成交通知书。成交供应商应凭缴费凭证及时领取成交通知书。</w:t>
            </w:r>
          </w:p>
        </w:tc>
      </w:tr>
      <w:tr w14:paraId="2E2BF938">
        <w:tblPrEx>
          <w:tblCellMar>
            <w:top w:w="0" w:type="dxa"/>
            <w:left w:w="108" w:type="dxa"/>
            <w:bottom w:w="0" w:type="dxa"/>
            <w:right w:w="108" w:type="dxa"/>
          </w:tblCellMar>
        </w:tblPrEx>
        <w:trPr>
          <w:trHeight w:val="453" w:hRule="atLeast"/>
          <w:jc w:val="center"/>
        </w:trPr>
        <w:tc>
          <w:tcPr>
            <w:tcW w:w="608" w:type="dxa"/>
            <w:vMerge w:val="restart"/>
            <w:tcBorders>
              <w:left w:val="single" w:color="auto" w:sz="12" w:space="0"/>
              <w:right w:val="single" w:color="auto" w:sz="6" w:space="0"/>
            </w:tcBorders>
          </w:tcPr>
          <w:p w14:paraId="769268F6">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047DE393">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14:paraId="24B6B8DC">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14:paraId="4635B8A5">
            <w:pPr>
              <w:widowControl w:val="0"/>
              <w:snapToGrid w:val="0"/>
              <w:spacing w:before="156" w:beforeLines="50" w:line="240" w:lineRule="auto"/>
              <w:rPr>
                <w:color w:val="auto"/>
                <w:sz w:val="24"/>
                <w:szCs w:val="24"/>
                <w:highlight w:val="none"/>
              </w:rPr>
            </w:pPr>
            <w:r>
              <w:rPr>
                <w:rFonts w:hint="eastAsia"/>
                <w:color w:val="auto"/>
                <w:sz w:val="24"/>
                <w:szCs w:val="24"/>
                <w:highlight w:val="none"/>
              </w:rPr>
              <w:t>不需缴纳</w:t>
            </w:r>
          </w:p>
        </w:tc>
      </w:tr>
      <w:tr w14:paraId="2979C15D">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149D13A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4784F970">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14:paraId="2D04E41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14:paraId="513912CA">
            <w:pPr>
              <w:widowControl w:val="0"/>
              <w:snapToGrid w:val="0"/>
              <w:spacing w:before="156" w:beforeLines="50" w:line="240" w:lineRule="auto"/>
              <w:rPr>
                <w:color w:val="auto"/>
                <w:sz w:val="24"/>
                <w:szCs w:val="24"/>
                <w:highlight w:val="none"/>
              </w:rPr>
            </w:pPr>
            <w:r>
              <w:rPr>
                <w:rFonts w:hint="eastAsia"/>
                <w:color w:val="auto"/>
                <w:sz w:val="24"/>
                <w:szCs w:val="24"/>
                <w:highlight w:val="none"/>
              </w:rPr>
              <w:t>见“第三章投标人须知”相应条款</w:t>
            </w:r>
          </w:p>
        </w:tc>
      </w:tr>
      <w:tr w14:paraId="1834E002">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19ECDE10">
            <w:pPr>
              <w:autoSpaceDE w:val="0"/>
              <w:autoSpaceDN w:val="0"/>
              <w:adjustRightInd w:val="0"/>
              <w:spacing w:line="360" w:lineRule="auto"/>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2358FC45">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9</w:t>
            </w:r>
          </w:p>
        </w:tc>
        <w:tc>
          <w:tcPr>
            <w:tcW w:w="1874" w:type="dxa"/>
            <w:tcBorders>
              <w:top w:val="single" w:color="auto" w:sz="6" w:space="0"/>
              <w:left w:val="single" w:color="auto" w:sz="6" w:space="0"/>
              <w:bottom w:val="single" w:color="auto" w:sz="6" w:space="0"/>
              <w:right w:val="single" w:color="auto" w:sz="6" w:space="0"/>
            </w:tcBorders>
            <w:vAlign w:val="center"/>
          </w:tcPr>
          <w:p w14:paraId="546FB947">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14:paraId="2A833ECA">
            <w:pPr>
              <w:keepNext w:val="0"/>
              <w:keepLines w:val="0"/>
              <w:pageBreakBefore w:val="0"/>
              <w:widowControl/>
              <w:kinsoku/>
              <w:wordWrap/>
              <w:overflowPunct/>
              <w:topLinePunct w:val="0"/>
              <w:bidi w:val="0"/>
              <w:snapToGrid w:val="0"/>
              <w:spacing w:line="240" w:lineRule="auto"/>
              <w:ind w:firstLine="480" w:firstLineChars="200"/>
              <w:textAlignment w:val="baseline"/>
              <w:rPr>
                <w:color w:val="auto"/>
                <w:sz w:val="24"/>
                <w:szCs w:val="24"/>
                <w:highlight w:val="none"/>
              </w:rPr>
            </w:pPr>
            <w:bookmarkStart w:id="15" w:name="OLE_LINK11"/>
            <w:r>
              <w:rPr>
                <w:rFonts w:hint="eastAsia"/>
                <w:color w:val="auto"/>
                <w:sz w:val="24"/>
                <w:szCs w:val="24"/>
                <w:highlight w:val="none"/>
              </w:rPr>
              <w:t>为优化政府采购营商环境，根据豫财购〔2022〕5号文件落实政府采购预付款的规定，采购人可在政府采购合同履约前向成交供应商预付</w:t>
            </w:r>
            <w:r>
              <w:rPr>
                <w:rFonts w:hint="eastAsia"/>
                <w:color w:val="auto"/>
                <w:sz w:val="24"/>
                <w:szCs w:val="24"/>
                <w:highlight w:val="none"/>
                <w:u w:val="single"/>
              </w:rPr>
              <w:t>30%</w:t>
            </w:r>
            <w:r>
              <w:rPr>
                <w:rFonts w:hint="eastAsia"/>
                <w:color w:val="auto"/>
                <w:sz w:val="24"/>
                <w:szCs w:val="24"/>
                <w:highlight w:val="none"/>
              </w:rPr>
              <w:t>的合同资金，成交供应商应向采购人提交预付款保函，未提供保函的，视同其放弃项目预付款的支付。</w:t>
            </w:r>
          </w:p>
          <w:bookmarkEnd w:id="15"/>
          <w:p w14:paraId="317A33C7">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ascii="宋体" w:cs="楷体_GB2312"/>
                <w:color w:val="auto"/>
                <w:sz w:val="24"/>
                <w:highlight w:val="none"/>
              </w:rPr>
            </w:pPr>
            <w:r>
              <w:rPr>
                <w:rFonts w:hint="eastAsia" w:ascii="宋体" w:cs="楷体_GB2312"/>
                <w:color w:val="auto"/>
                <w:sz w:val="24"/>
                <w:highlight w:val="none"/>
              </w:rPr>
              <w:t>合同签订后，</w:t>
            </w:r>
            <w:r>
              <w:rPr>
                <w:rFonts w:hint="eastAsia" w:ascii="宋体" w:cs="楷体_GB2312"/>
                <w:color w:val="auto"/>
                <w:sz w:val="24"/>
                <w:highlight w:val="none"/>
                <w:lang w:val="en-US" w:eastAsia="zh-CN"/>
              </w:rPr>
              <w:t>提供的</w:t>
            </w:r>
            <w:r>
              <w:rPr>
                <w:rFonts w:hint="eastAsia" w:ascii="宋体" w:cs="楷体_GB2312"/>
                <w:color w:val="auto"/>
                <w:sz w:val="24"/>
                <w:highlight w:val="none"/>
              </w:rPr>
              <w:t>服务载体</w:t>
            </w:r>
            <w:r>
              <w:rPr>
                <w:rFonts w:hint="eastAsia" w:ascii="宋体" w:cs="楷体_GB2312"/>
                <w:color w:val="auto"/>
                <w:sz w:val="24"/>
                <w:highlight w:val="none"/>
                <w:lang w:val="en-US" w:eastAsia="zh-CN"/>
              </w:rPr>
              <w:t>交付并</w:t>
            </w:r>
            <w:r>
              <w:rPr>
                <w:rFonts w:hint="eastAsia" w:ascii="宋体" w:cs="楷体_GB2312"/>
                <w:color w:val="auto"/>
                <w:sz w:val="24"/>
                <w:highlight w:val="none"/>
              </w:rPr>
              <w:t>验收</w:t>
            </w:r>
            <w:r>
              <w:rPr>
                <w:rFonts w:hint="eastAsia" w:ascii="宋体" w:cs="楷体_GB2312"/>
                <w:color w:val="auto"/>
                <w:sz w:val="24"/>
                <w:highlight w:val="none"/>
                <w:lang w:val="en-US" w:eastAsia="zh-CN"/>
              </w:rPr>
              <w:t>合格</w:t>
            </w:r>
            <w:r>
              <w:rPr>
                <w:rFonts w:hint="eastAsia" w:ascii="宋体" w:cs="楷体_GB2312"/>
                <w:color w:val="auto"/>
                <w:sz w:val="24"/>
                <w:highlight w:val="none"/>
              </w:rPr>
              <w:t>后支付50%</w:t>
            </w:r>
            <w:r>
              <w:rPr>
                <w:rFonts w:hint="eastAsia" w:ascii="宋体" w:cs="楷体_GB2312"/>
                <w:color w:val="auto"/>
                <w:sz w:val="24"/>
                <w:highlight w:val="none"/>
                <w:lang w:val="en-US" w:eastAsia="zh-CN"/>
              </w:rPr>
              <w:t>项目款</w:t>
            </w:r>
            <w:r>
              <w:rPr>
                <w:rFonts w:hint="eastAsia" w:ascii="宋体" w:cs="楷体_GB2312"/>
                <w:color w:val="auto"/>
                <w:sz w:val="24"/>
                <w:highlight w:val="none"/>
                <w:lang w:eastAsia="zh-CN"/>
              </w:rPr>
              <w:t>，</w:t>
            </w:r>
            <w:r>
              <w:rPr>
                <w:rFonts w:hint="eastAsia" w:ascii="宋体" w:cs="楷体_GB2312"/>
                <w:color w:val="auto"/>
                <w:sz w:val="24"/>
                <w:highlight w:val="none"/>
                <w:lang w:val="en-US" w:eastAsia="zh-CN"/>
              </w:rPr>
              <w:t>剩余部分</w:t>
            </w:r>
            <w:r>
              <w:rPr>
                <w:rFonts w:hint="eastAsia" w:ascii="宋体" w:cs="楷体_GB2312"/>
                <w:color w:val="auto"/>
                <w:sz w:val="24"/>
                <w:highlight w:val="none"/>
              </w:rPr>
              <w:t>一年后付</w:t>
            </w:r>
            <w:r>
              <w:rPr>
                <w:rFonts w:hint="eastAsia" w:ascii="宋体" w:cs="楷体_GB2312"/>
                <w:color w:val="auto"/>
                <w:sz w:val="24"/>
                <w:highlight w:val="none"/>
                <w:lang w:val="en-US" w:eastAsia="zh-CN"/>
              </w:rPr>
              <w:t>清</w:t>
            </w:r>
            <w:r>
              <w:rPr>
                <w:rFonts w:hint="eastAsia" w:ascii="宋体" w:cs="楷体_GB2312"/>
                <w:color w:val="auto"/>
                <w:sz w:val="24"/>
                <w:highlight w:val="none"/>
              </w:rPr>
              <w:t>。</w:t>
            </w:r>
            <w:r>
              <w:rPr>
                <w:rFonts w:hint="eastAsia"/>
                <w:color w:val="auto"/>
                <w:sz w:val="24"/>
                <w:szCs w:val="24"/>
                <w:highlight w:val="none"/>
              </w:rPr>
              <w:t>采购人需持《验收报告》和发票等，作为付款依据。</w:t>
            </w:r>
          </w:p>
        </w:tc>
      </w:tr>
      <w:tr w14:paraId="14D3FDA9">
        <w:tblPrEx>
          <w:tblCellMar>
            <w:top w:w="0" w:type="dxa"/>
            <w:left w:w="108" w:type="dxa"/>
            <w:bottom w:w="0" w:type="dxa"/>
            <w:right w:w="108" w:type="dxa"/>
          </w:tblCellMar>
        </w:tblPrEx>
        <w:trPr>
          <w:trHeight w:val="453" w:hRule="atLeast"/>
          <w:jc w:val="center"/>
        </w:trPr>
        <w:tc>
          <w:tcPr>
            <w:tcW w:w="608" w:type="dxa"/>
            <w:tcBorders>
              <w:left w:val="single" w:color="auto" w:sz="12" w:space="0"/>
              <w:bottom w:val="single" w:color="auto" w:sz="6" w:space="0"/>
              <w:right w:val="single" w:color="auto" w:sz="6" w:space="0"/>
            </w:tcBorders>
          </w:tcPr>
          <w:p w14:paraId="18F638DC">
            <w:pPr>
              <w:autoSpaceDE w:val="0"/>
              <w:autoSpaceDN w:val="0"/>
              <w:adjustRightInd w:val="0"/>
              <w:spacing w:line="360" w:lineRule="auto"/>
              <w:rPr>
                <w:rFonts w:ascii="宋体" w:cs="楷体_GB2312"/>
                <w:b/>
                <w:bCs/>
                <w:color w:val="auto"/>
                <w:sz w:val="24"/>
                <w:highlight w:val="none"/>
              </w:rPr>
            </w:pPr>
          </w:p>
        </w:tc>
        <w:tc>
          <w:tcPr>
            <w:tcW w:w="694" w:type="dxa"/>
            <w:tcBorders>
              <w:top w:val="single" w:color="auto" w:sz="6" w:space="0"/>
              <w:left w:val="single" w:color="auto" w:sz="12" w:space="0"/>
              <w:bottom w:val="single" w:color="auto" w:sz="6" w:space="0"/>
              <w:right w:val="single" w:color="auto" w:sz="6" w:space="0"/>
            </w:tcBorders>
            <w:vAlign w:val="center"/>
          </w:tcPr>
          <w:p w14:paraId="18F1DFDC">
            <w:pPr>
              <w:autoSpaceDE w:val="0"/>
              <w:autoSpaceDN w:val="0"/>
              <w:adjustRightInd w:val="0"/>
              <w:snapToGrid w:val="0"/>
              <w:spacing w:line="240" w:lineRule="auto"/>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10.1</w:t>
            </w:r>
          </w:p>
        </w:tc>
        <w:tc>
          <w:tcPr>
            <w:tcW w:w="1874" w:type="dxa"/>
            <w:tcBorders>
              <w:top w:val="single" w:color="auto" w:sz="6" w:space="0"/>
              <w:left w:val="single" w:color="auto" w:sz="6" w:space="0"/>
              <w:bottom w:val="single" w:color="auto" w:sz="6" w:space="0"/>
              <w:right w:val="single" w:color="auto" w:sz="6" w:space="0"/>
            </w:tcBorders>
            <w:vAlign w:val="center"/>
          </w:tcPr>
          <w:p w14:paraId="22A612FD">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14:paraId="6D97CEED">
            <w:pPr>
              <w:adjustRightInd w:val="0"/>
              <w:snapToGrid w:val="0"/>
              <w:spacing w:before="156" w:beforeLines="50" w:line="240" w:lineRule="auto"/>
              <w:rPr>
                <w:rFonts w:ascii="宋体" w:hAnsi="宋体"/>
                <w:color w:val="auto"/>
                <w:sz w:val="24"/>
                <w:highlight w:val="none"/>
              </w:rPr>
            </w:pPr>
            <w:r>
              <w:rPr>
                <w:rFonts w:hint="eastAsia" w:ascii="宋体" w:hAnsi="宋体"/>
                <w:color w:val="auto"/>
                <w:sz w:val="24"/>
                <w:highlight w:val="none"/>
              </w:rPr>
              <w:t>参照国家计委《招标代理服务收费管理暂行办法》（计价格【</w:t>
            </w:r>
            <w:r>
              <w:rPr>
                <w:rFonts w:ascii="宋体" w:hAnsi="宋体"/>
                <w:color w:val="auto"/>
                <w:sz w:val="24"/>
                <w:highlight w:val="none"/>
              </w:rPr>
              <w:t>2002</w:t>
            </w:r>
            <w:r>
              <w:rPr>
                <w:rFonts w:hint="eastAsia" w:ascii="宋体" w:hAnsi="宋体"/>
                <w:color w:val="auto"/>
                <w:sz w:val="24"/>
                <w:highlight w:val="none"/>
              </w:rPr>
              <w:t>】</w:t>
            </w:r>
            <w:r>
              <w:rPr>
                <w:rFonts w:ascii="宋体" w:hAnsi="宋体"/>
                <w:color w:val="auto"/>
                <w:sz w:val="24"/>
                <w:highlight w:val="none"/>
              </w:rPr>
              <w:t>1980</w:t>
            </w:r>
            <w:r>
              <w:rPr>
                <w:rFonts w:hint="eastAsia" w:ascii="宋体" w:hAnsi="宋体"/>
                <w:color w:val="auto"/>
                <w:sz w:val="24"/>
                <w:highlight w:val="none"/>
              </w:rPr>
              <w:t>号）、《国家发展和改革委员会办公厅关于招标代理服务费有关问题的通知》（发改办价格【</w:t>
            </w:r>
            <w:r>
              <w:rPr>
                <w:rFonts w:ascii="宋体" w:hAnsi="宋体"/>
                <w:color w:val="auto"/>
                <w:sz w:val="24"/>
                <w:highlight w:val="none"/>
              </w:rPr>
              <w:t>2003</w:t>
            </w:r>
            <w:r>
              <w:rPr>
                <w:rFonts w:hint="eastAsia" w:ascii="宋体" w:hAnsi="宋体"/>
                <w:color w:val="auto"/>
                <w:sz w:val="24"/>
                <w:highlight w:val="none"/>
              </w:rPr>
              <w:t>】</w:t>
            </w:r>
            <w:r>
              <w:rPr>
                <w:rFonts w:ascii="宋体" w:hAnsi="宋体"/>
                <w:color w:val="auto"/>
                <w:sz w:val="24"/>
                <w:highlight w:val="none"/>
              </w:rPr>
              <w:t>857</w:t>
            </w:r>
            <w:r>
              <w:rPr>
                <w:rFonts w:hint="eastAsia" w:ascii="宋体" w:hAnsi="宋体"/>
                <w:color w:val="auto"/>
                <w:sz w:val="24"/>
                <w:highlight w:val="none"/>
              </w:rPr>
              <w:t>号）及发改价格【</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534</w:t>
            </w:r>
            <w:r>
              <w:rPr>
                <w:rFonts w:hint="eastAsia" w:ascii="宋体" w:hAnsi="宋体"/>
                <w:color w:val="auto"/>
                <w:sz w:val="24"/>
                <w:highlight w:val="none"/>
              </w:rPr>
              <w:t>号文件的规定，招标代理服务费由中标（成交）供应商支付。</w:t>
            </w:r>
          </w:p>
        </w:tc>
      </w:tr>
    </w:tbl>
    <w:p w14:paraId="71886EF1">
      <w:pPr>
        <w:autoSpaceDE w:val="0"/>
        <w:autoSpaceDN w:val="0"/>
        <w:adjustRightInd w:val="0"/>
        <w:spacing w:line="360" w:lineRule="auto"/>
        <w:ind w:firstLine="539"/>
        <w:rPr>
          <w:color w:val="auto"/>
          <w:highlight w:val="none"/>
        </w:rPr>
      </w:pPr>
      <w:r>
        <w:rPr>
          <w:color w:val="auto"/>
          <w:highlight w:val="none"/>
        </w:rPr>
        <w:br w:type="page"/>
      </w:r>
    </w:p>
    <w:p w14:paraId="0787352B">
      <w:pPr>
        <w:autoSpaceDE w:val="0"/>
        <w:autoSpaceDN w:val="0"/>
        <w:adjustRightInd w:val="0"/>
        <w:snapToGrid w:val="0"/>
        <w:spacing w:before="156" w:beforeLines="50" w:line="300" w:lineRule="auto"/>
        <w:ind w:firstLine="539"/>
        <w:outlineLvl w:val="1"/>
        <w:rPr>
          <w:rFonts w:ascii="黑体" w:hAnsi="黑体" w:eastAsia="黑体"/>
          <w:color w:val="auto"/>
          <w:sz w:val="28"/>
          <w:szCs w:val="28"/>
          <w:highlight w:val="none"/>
          <w:lang w:val="zh-CN"/>
        </w:rPr>
      </w:pPr>
      <w:bookmarkStart w:id="16" w:name="_Toc65679380"/>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总则</w:t>
      </w:r>
      <w:bookmarkEnd w:id="16"/>
    </w:p>
    <w:p w14:paraId="20E9157A">
      <w:pPr>
        <w:autoSpaceDE w:val="0"/>
        <w:autoSpaceDN w:val="0"/>
        <w:adjustRightInd w:val="0"/>
        <w:snapToGrid w:val="0"/>
        <w:spacing w:before="156" w:beforeLines="50" w:line="300" w:lineRule="auto"/>
        <w:ind w:firstLine="539"/>
        <w:rPr>
          <w:rFonts w:ascii="宋体"/>
          <w:color w:val="auto"/>
          <w:sz w:val="24"/>
          <w:szCs w:val="24"/>
          <w:highlight w:val="none"/>
        </w:rPr>
      </w:pPr>
      <w:r>
        <w:rPr>
          <w:rFonts w:ascii="黑体" w:hAnsi="黑体" w:eastAsia="黑体" w:cs="楷体_GB2312"/>
          <w:b/>
          <w:color w:val="auto"/>
          <w:sz w:val="24"/>
          <w:highlight w:val="none"/>
          <w:lang w:val="zh-CN"/>
        </w:rPr>
        <w:t xml:space="preserve">1.1 </w:t>
      </w:r>
      <w:r>
        <w:rPr>
          <w:rFonts w:hint="eastAsia" w:ascii="宋体" w:hAnsi="宋体"/>
          <w:color w:val="auto"/>
          <w:sz w:val="24"/>
          <w:szCs w:val="24"/>
          <w:highlight w:val="none"/>
        </w:rPr>
        <w:t>根据《中华人民共和国政府采购法》、《中华人民共和国政府采购法实施条例》、《政府采购非招标采购方式管理办法》及相关政府采购法律法规等制定本文件。</w:t>
      </w:r>
    </w:p>
    <w:p w14:paraId="242310A8">
      <w:pPr>
        <w:adjustRightInd w:val="0"/>
        <w:snapToGrid w:val="0"/>
        <w:spacing w:before="156" w:beforeLines="50" w:line="300" w:lineRule="auto"/>
        <w:ind w:right="240" w:firstLine="482" w:firstLineChars="200"/>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1.2 </w:t>
      </w:r>
      <w:r>
        <w:rPr>
          <w:rFonts w:hint="eastAsia" w:ascii="黑体" w:hAnsi="黑体" w:eastAsia="黑体" w:cs="楷体_GB2312"/>
          <w:b/>
          <w:color w:val="auto"/>
          <w:sz w:val="24"/>
          <w:highlight w:val="none"/>
          <w:lang w:val="zh-CN"/>
        </w:rPr>
        <w:t>谈判文件的法律适用及法律效力</w:t>
      </w:r>
    </w:p>
    <w:p w14:paraId="6A9730B1">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本</w:t>
      </w:r>
      <w:r>
        <w:rPr>
          <w:rFonts w:hint="eastAsia" w:ascii="宋体" w:hAnsi="宋体" w:cs="宋体"/>
          <w:color w:val="auto"/>
          <w:sz w:val="24"/>
          <w:szCs w:val="24"/>
          <w:highlight w:val="none"/>
        </w:rPr>
        <w:t>谈判文件</w:t>
      </w:r>
      <w:r>
        <w:rPr>
          <w:rFonts w:hint="eastAsia" w:ascii="宋体" w:hAnsi="宋体"/>
          <w:color w:val="auto"/>
          <w:sz w:val="24"/>
          <w:szCs w:val="24"/>
          <w:highlight w:val="none"/>
        </w:rPr>
        <w:t>所述内容，仅适用于本次项目采购。</w:t>
      </w:r>
    </w:p>
    <w:p w14:paraId="15F2B608">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1.2.2 </w:t>
      </w:r>
      <w:r>
        <w:rPr>
          <w:rFonts w:hint="eastAsia" w:ascii="宋体" w:hAnsi="宋体" w:cs="宋体"/>
          <w:color w:val="auto"/>
          <w:sz w:val="24"/>
          <w:szCs w:val="24"/>
          <w:highlight w:val="none"/>
        </w:rPr>
        <w:t>谈判文件</w:t>
      </w:r>
      <w:r>
        <w:rPr>
          <w:rFonts w:hint="eastAsia" w:ascii="宋体" w:hAnsi="宋体"/>
          <w:color w:val="auto"/>
          <w:sz w:val="24"/>
          <w:szCs w:val="24"/>
          <w:highlight w:val="none"/>
        </w:rPr>
        <w:t>的修改性文件、补充文件、澄清文件或说明具有同等法律效力。</w:t>
      </w:r>
    </w:p>
    <w:p w14:paraId="624D1415">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1.2.3 </w:t>
      </w:r>
      <w:r>
        <w:rPr>
          <w:rFonts w:hint="eastAsia" w:ascii="宋体" w:hAnsi="宋体"/>
          <w:color w:val="auto"/>
          <w:sz w:val="24"/>
          <w:szCs w:val="24"/>
          <w:highlight w:val="none"/>
        </w:rPr>
        <w:t>本</w:t>
      </w:r>
      <w:r>
        <w:rPr>
          <w:rFonts w:hint="eastAsia" w:ascii="宋体" w:hAnsi="宋体" w:cs="宋体"/>
          <w:color w:val="auto"/>
          <w:sz w:val="24"/>
          <w:szCs w:val="24"/>
          <w:highlight w:val="none"/>
        </w:rPr>
        <w:t>谈判文件</w:t>
      </w:r>
      <w:r>
        <w:rPr>
          <w:rFonts w:hint="eastAsia" w:ascii="宋体" w:hAnsi="宋体"/>
          <w:color w:val="auto"/>
          <w:sz w:val="24"/>
          <w:szCs w:val="24"/>
          <w:highlight w:val="none"/>
        </w:rPr>
        <w:t>适用于并执行《政府采购法》和其它相关的法律、法规。</w:t>
      </w:r>
    </w:p>
    <w:p w14:paraId="5CE504C0">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1.2.4 </w:t>
      </w:r>
      <w:r>
        <w:rPr>
          <w:rFonts w:hint="eastAsia" w:ascii="宋体" w:hAnsi="宋体"/>
          <w:color w:val="auto"/>
          <w:sz w:val="24"/>
          <w:szCs w:val="24"/>
          <w:highlight w:val="none"/>
        </w:rPr>
        <w:t>本</w:t>
      </w:r>
      <w:r>
        <w:rPr>
          <w:rFonts w:hint="eastAsia" w:ascii="宋体" w:hAnsi="宋体" w:cs="宋体"/>
          <w:color w:val="auto"/>
          <w:sz w:val="24"/>
          <w:szCs w:val="24"/>
          <w:highlight w:val="none"/>
        </w:rPr>
        <w:t>谈判文件</w:t>
      </w:r>
      <w:r>
        <w:rPr>
          <w:rFonts w:hint="eastAsia" w:ascii="宋体" w:hAnsi="宋体"/>
          <w:color w:val="auto"/>
          <w:sz w:val="24"/>
          <w:szCs w:val="24"/>
          <w:highlight w:val="none"/>
        </w:rPr>
        <w:t>的解释权属采购人及代理机构。</w:t>
      </w:r>
    </w:p>
    <w:p w14:paraId="7D5D7C0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1.3 </w:t>
      </w:r>
      <w:r>
        <w:rPr>
          <w:rFonts w:hint="eastAsia" w:ascii="黑体" w:hAnsi="黑体" w:eastAsia="黑体" w:cs="楷体_GB2312"/>
          <w:b/>
          <w:color w:val="auto"/>
          <w:sz w:val="24"/>
          <w:highlight w:val="none"/>
          <w:lang w:val="zh-CN"/>
        </w:rPr>
        <w:t>合格的投标人</w:t>
      </w:r>
    </w:p>
    <w:p w14:paraId="6B0727F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1.3.1 </w:t>
      </w:r>
      <w:r>
        <w:rPr>
          <w:rFonts w:hint="eastAsia" w:ascii="宋体" w:hAnsi="宋体" w:cs="楷体_GB2312"/>
          <w:color w:val="auto"/>
          <w:sz w:val="24"/>
          <w:highlight w:val="none"/>
          <w:lang w:val="zh-CN"/>
        </w:rPr>
        <w:t>凡符合谈判文件规定，承认本谈判文件所有内容的投标人为合格的投标人。</w:t>
      </w:r>
    </w:p>
    <w:p w14:paraId="30CC25B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1.3.2 </w:t>
      </w:r>
      <w:r>
        <w:rPr>
          <w:rFonts w:hint="eastAsia" w:ascii="宋体" w:hAnsi="宋体" w:cs="楷体_GB2312"/>
          <w:color w:val="auto"/>
          <w:sz w:val="24"/>
          <w:highlight w:val="none"/>
          <w:lang w:val="zh-CN"/>
        </w:rPr>
        <w:t>单位负责人为同一人或者存在直接控股、管理关系的不同供应商，不得参加同一合同项下的政府采购活动。</w:t>
      </w:r>
    </w:p>
    <w:p w14:paraId="06A10C8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1.3.3 </w:t>
      </w:r>
      <w:r>
        <w:rPr>
          <w:rFonts w:hint="eastAsia" w:ascii="宋体" w:hAnsi="宋体" w:cs="楷体_GB2312"/>
          <w:color w:val="auto"/>
          <w:sz w:val="24"/>
          <w:highlight w:val="none"/>
          <w:lang w:val="zh-CN"/>
        </w:rPr>
        <w:t>为采购项目提供整体设计、规范编制或者项目管理、监理、检测等服务的供应商，不得再参加该采购项目的其他采购活动。</w:t>
      </w:r>
    </w:p>
    <w:p w14:paraId="1049598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1.3.4 </w:t>
      </w:r>
      <w:r>
        <w:rPr>
          <w:rFonts w:hint="eastAsia" w:ascii="宋体" w:hAnsi="宋体" w:cs="楷体_GB2312"/>
          <w:color w:val="auto"/>
          <w:sz w:val="24"/>
          <w:highlight w:val="none"/>
          <w:lang w:val="zh-CN"/>
        </w:rPr>
        <w:t>投标人应遵守国家法律、法规和谈判文件的规定。</w:t>
      </w:r>
    </w:p>
    <w:p w14:paraId="23BD243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1.4</w:t>
      </w:r>
      <w:r>
        <w:rPr>
          <w:rFonts w:hint="eastAsia" w:ascii="黑体" w:hAnsi="黑体" w:eastAsia="黑体" w:cs="楷体_GB2312"/>
          <w:b/>
          <w:color w:val="auto"/>
          <w:sz w:val="24"/>
          <w:highlight w:val="none"/>
          <w:lang w:val="zh-CN"/>
        </w:rPr>
        <w:t>　联合体</w:t>
      </w:r>
    </w:p>
    <w:p w14:paraId="1650EEB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如投标人须知前附表规定接受联合体投标的，应遵守以下规定：</w:t>
      </w:r>
    </w:p>
    <w:p w14:paraId="0B259A4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1</w:t>
      </w:r>
      <w:r>
        <w:rPr>
          <w:rFonts w:hint="eastAsia" w:ascii="宋体" w:cs="楷体_GB2312"/>
          <w:color w:val="auto"/>
          <w:sz w:val="24"/>
          <w:highlight w:val="none"/>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08DA18E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）两个以上供应商可以组成一个投标联合体，以一个投标人的身份投标，但必须确定其中一个单位为投标的全权代表参加投标活动，并承担投标及履约中应承担的全部责任和义务。</w:t>
      </w:r>
    </w:p>
    <w:p w14:paraId="4241DF2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以联合体形式参加投标的，应符投标人须知前附表的要求，联合体各方均应当符合政府采购法第二十二条第一款规定的条件，联合体各方均应当具备承担采购项目（标段&lt;包&gt;）的相应能力、具备规定的相应资格条件。</w:t>
      </w:r>
    </w:p>
    <w:p w14:paraId="4B0C81E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）联合体中有同类资质的供应商按照联合体分工承担相同工作的，应当按照资质等级较低的供应商确定资质等级。</w:t>
      </w:r>
    </w:p>
    <w:p w14:paraId="42A41B3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）联合体各方之间应当签订联合投标协议，明确约定联合体各方承担的工作和相应的责任，并将联合投标协议连同投标文件一并提交采购代理机构。</w:t>
      </w:r>
    </w:p>
    <w:p w14:paraId="6148DF5B">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）联合体各方签订联合投标协议后，不得再以自己名义单独在同一项目中投标，也不得组成新的联合体参加同一项目投标。</w:t>
      </w:r>
    </w:p>
    <w:p w14:paraId="327F7197">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）联合体中标（成交）的，联合体各方应当共同与采购人签订合同，就中标（成交）项目（标段&lt;包&gt;）向采购人承担连带责任。</w:t>
      </w:r>
    </w:p>
    <w:p w14:paraId="6E8492D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（8）预留中小企业份额项目中，</w:t>
      </w:r>
      <w:r>
        <w:rPr>
          <w:rFonts w:hint="eastAsia" w:ascii="宋体" w:hAnsi="宋体"/>
          <w:color w:val="auto"/>
          <w:sz w:val="24"/>
          <w:szCs w:val="24"/>
          <w:highlight w:val="none"/>
        </w:rPr>
        <w:t>组成联合体的中小企业与联合体内其他企业不得存在直接控股、管理关系。</w:t>
      </w:r>
    </w:p>
    <w:p w14:paraId="19B6925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1.5  知识产权</w:t>
      </w:r>
    </w:p>
    <w:p w14:paraId="4A2C39DB">
      <w:pPr>
        <w:ind w:firstLine="480" w:firstLineChars="200"/>
        <w:rPr>
          <w:rFonts w:ascii="宋体" w:hAnsi="宋体"/>
          <w:color w:val="auto"/>
          <w:sz w:val="24"/>
          <w:highlight w:val="none"/>
        </w:rPr>
      </w:pPr>
      <w:r>
        <w:rPr>
          <w:rFonts w:hint="eastAsia" w:ascii="宋体" w:hAnsi="宋体" w:cs="楷体_GB2312"/>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highlight w:val="none"/>
        </w:rPr>
        <w:t>如因专利权、商标权或其它知识产权而引起法律和经济纠纷，由供应商承担所有相关责任。</w:t>
      </w:r>
    </w:p>
    <w:p w14:paraId="790D4188">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如供应商不拥有相应的知识产权，则在投标报价中必须包括合法获取该知识产权的一切相关费用。如因此导致采购人损失的，供应商须承担全部赔偿责任。</w:t>
      </w:r>
    </w:p>
    <w:p w14:paraId="7AD7AEA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0897656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除非谈判文件特别规定，采购人享有本项目实施过程中产生的知识成果及知识产权。</w:t>
      </w:r>
    </w:p>
    <w:p w14:paraId="4B7BA517">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6</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投标费用</w:t>
      </w:r>
    </w:p>
    <w:p w14:paraId="64A4C6D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14:paraId="2BCAB813">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7</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保密</w:t>
      </w:r>
    </w:p>
    <w:p w14:paraId="56C94B8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参与竞争性谈判活动的各方应对谈判文件和投标文件中的商业和技术等秘密保密，投标人应在投标文件中对需保密事项予以书面声明，否则视为非保密事项。</w:t>
      </w:r>
    </w:p>
    <w:p w14:paraId="3BFB958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依据政府采购成交结果及合同公告规定，成交（合同）标的名称、规格型号、单价及成交（合同）金额等内容不得作为商业秘密。</w:t>
      </w:r>
    </w:p>
    <w:p w14:paraId="74E84C83">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8</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语言文字</w:t>
      </w:r>
    </w:p>
    <w:p w14:paraId="04E4B98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专用术语外，与竞争性谈判有关的语言均使用中文。必要时专用术语应附有中文注释。如果投标文件或与投标有关的其它文件、信件及来往函电以其它语言书写，投标人应将其译成中文，并对中文译稿的真实、准确、完整承担责任。</w:t>
      </w:r>
    </w:p>
    <w:p w14:paraId="0EC1133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9</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计量单位</w:t>
      </w:r>
    </w:p>
    <w:p w14:paraId="71D08BE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所有计量均采用中华人民共和国法定计量单位。</w:t>
      </w:r>
    </w:p>
    <w:p w14:paraId="77DA731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10</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踏勘现场</w:t>
      </w:r>
    </w:p>
    <w:p w14:paraId="19DC4DE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投标人踏勘现场发生的费用自理，投标人自行负责在踏勘现场中所发生的人员伤亡和财产损失。</w:t>
      </w:r>
    </w:p>
    <w:p w14:paraId="041B46D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14:paraId="2A7549F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投标人须知前附表规定不组织踏勘现场的，谈判文件不单独提供交验地自然环境、气候条件、交验安装条件等情况说明，投标人被视为熟悉前述与履行合同有关的一切情况，投标人可自行踏勘现场并自行了解相关情况。</w:t>
      </w:r>
    </w:p>
    <w:p w14:paraId="014E6C95">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1</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投标预备会</w:t>
      </w:r>
    </w:p>
    <w:p w14:paraId="782D9BC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投标人须知前附表规定召开投标预备会的，采购人及代理机构按投标人须知前附表规定的时间和地点召开投标预备会，澄清投标人提出的问题。</w:t>
      </w:r>
    </w:p>
    <w:p w14:paraId="2815E0C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投标人应在投标人须知前附表规定的时间前，以书面形式将提出的问题送达采购人及代理机构，以便采购人及代理机构在会议期间澄清。</w:t>
      </w:r>
    </w:p>
    <w:p w14:paraId="0509043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投标预备会后，采购人及代理机构在投标人须知前附表规定的时间内，将对投标人所提问题的澄清，以本章</w:t>
      </w:r>
      <w:r>
        <w:rPr>
          <w:rFonts w:ascii="宋体" w:hAnsi="宋体" w:cs="楷体_GB2312"/>
          <w:color w:val="auto"/>
          <w:sz w:val="24"/>
          <w:highlight w:val="none"/>
          <w:lang w:val="zh-CN"/>
        </w:rPr>
        <w:t>2.3.2</w:t>
      </w:r>
      <w:r>
        <w:rPr>
          <w:rFonts w:hint="eastAsia" w:ascii="宋体" w:hAnsi="宋体" w:cs="楷体_GB2312"/>
          <w:color w:val="auto"/>
          <w:sz w:val="24"/>
          <w:highlight w:val="none"/>
          <w:lang w:val="zh-CN"/>
        </w:rPr>
        <w:t>项方式通告潜在投标人。该澄清内容为谈判文件的组成部分。</w:t>
      </w:r>
    </w:p>
    <w:p w14:paraId="412E1030">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2 分包</w:t>
      </w:r>
    </w:p>
    <w:p w14:paraId="42E6E99C">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投标人拟在成交后将成交项目</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标段&lt;包&gt;</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的部分非主体、非关键性工作进行分包的，应符合投标人须知前附表规定的分包内容、分包金额和接受分包的第三人资质要求等限制性条件。</w:t>
      </w:r>
    </w:p>
    <w:p w14:paraId="6F5B365B">
      <w:pPr>
        <w:autoSpaceDE w:val="0"/>
        <w:autoSpaceDN w:val="0"/>
        <w:adjustRightInd w:val="0"/>
        <w:snapToGrid w:val="0"/>
        <w:spacing w:before="156" w:beforeLines="50" w:line="300" w:lineRule="auto"/>
        <w:ind w:firstLine="539"/>
        <w:rPr>
          <w:rFonts w:ascii="宋体" w:hAnsi="宋体"/>
          <w:color w:val="auto"/>
          <w:sz w:val="24"/>
          <w:szCs w:val="24"/>
          <w:highlight w:val="none"/>
        </w:rPr>
      </w:pPr>
      <w:r>
        <w:rPr>
          <w:rFonts w:hint="eastAsia" w:ascii="宋体" w:hAnsi="宋体" w:cs="楷体_GB2312"/>
          <w:color w:val="auto"/>
          <w:sz w:val="24"/>
          <w:highlight w:val="none"/>
          <w:lang w:val="zh-CN"/>
        </w:rPr>
        <w:t>预留中小企业份额项目中，</w:t>
      </w:r>
      <w:r>
        <w:rPr>
          <w:rFonts w:hint="eastAsia" w:ascii="宋体" w:hAnsi="宋体"/>
          <w:color w:val="auto"/>
          <w:sz w:val="24"/>
          <w:szCs w:val="24"/>
          <w:highlight w:val="none"/>
        </w:rPr>
        <w:t>接受分包合同的中小企业与分包企业之间不得存在直接控股、管理关系</w:t>
      </w:r>
    </w:p>
    <w:p w14:paraId="1DF948E6">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cs="楷体_GB2312"/>
          <w:color w:val="auto"/>
          <w:sz w:val="24"/>
          <w:highlight w:val="none"/>
        </w:rPr>
        <w:t>依法享受扶持政策获得政府采购合同的，小微企业不得将合同分包给大中型企业，中型企业不得将合同分包给大型企业。</w:t>
      </w:r>
    </w:p>
    <w:p w14:paraId="4B0DD6D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 偏离</w:t>
      </w:r>
    </w:p>
    <w:p w14:paraId="12B5459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谈判文件允许投标文件偏离谈判文件某些要求的，偏离应当符合谈判文件规定的偏离范围和幅度。</w:t>
      </w:r>
    </w:p>
    <w:p w14:paraId="5F73A6D4">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p>
    <w:p w14:paraId="101132BC">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7" w:name="_Toc65679381"/>
      <w:r>
        <w:rPr>
          <w:rFonts w:ascii="黑体" w:hAnsi="黑体" w:eastAsia="黑体" w:cs="楷体_GB2312"/>
          <w:b/>
          <w:bCs/>
          <w:color w:val="auto"/>
          <w:sz w:val="28"/>
          <w:szCs w:val="28"/>
          <w:highlight w:val="none"/>
          <w:lang w:val="zh-CN"/>
        </w:rPr>
        <w:t xml:space="preserve">2. </w:t>
      </w:r>
      <w:r>
        <w:rPr>
          <w:rFonts w:hint="eastAsia" w:ascii="黑体" w:hAnsi="黑体" w:eastAsia="黑体" w:cs="楷体_GB2312"/>
          <w:b/>
          <w:bCs/>
          <w:color w:val="auto"/>
          <w:sz w:val="28"/>
          <w:szCs w:val="28"/>
          <w:highlight w:val="none"/>
          <w:lang w:val="zh-CN"/>
        </w:rPr>
        <w:t>谈判文件</w:t>
      </w:r>
      <w:bookmarkEnd w:id="17"/>
    </w:p>
    <w:p w14:paraId="0F1047C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2.1</w:t>
      </w:r>
      <w:r>
        <w:rPr>
          <w:rFonts w:hint="eastAsia" w:ascii="黑体" w:hAnsi="黑体" w:eastAsia="黑体" w:cs="楷体_GB2312"/>
          <w:b/>
          <w:color w:val="auto"/>
          <w:sz w:val="24"/>
          <w:highlight w:val="none"/>
          <w:lang w:val="zh-CN"/>
        </w:rPr>
        <w:t>谈判文件的组成</w:t>
      </w:r>
      <w:r>
        <w:rPr>
          <w:rFonts w:hint="eastAsia" w:ascii="宋体" w:hAnsi="宋体" w:cs="楷体_GB2312"/>
          <w:color w:val="auto"/>
          <w:sz w:val="24"/>
          <w:highlight w:val="none"/>
          <w:lang w:val="zh-CN"/>
        </w:rPr>
        <w:t>：</w:t>
      </w:r>
    </w:p>
    <w:p w14:paraId="2689670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2.1.1 </w:t>
      </w:r>
      <w:r>
        <w:rPr>
          <w:rFonts w:hint="eastAsia" w:ascii="宋体" w:hAnsi="宋体" w:cs="楷体_GB2312"/>
          <w:color w:val="auto"/>
          <w:sz w:val="24"/>
          <w:highlight w:val="none"/>
          <w:lang w:val="zh-CN"/>
        </w:rPr>
        <w:t>谈判文件用以阐明采购项目的内容、程序和合同主要条款。谈判文件由下述部分组成：</w:t>
      </w:r>
    </w:p>
    <w:p w14:paraId="087313B3">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）谈判公告</w:t>
      </w:r>
    </w:p>
    <w:p w14:paraId="6467A51D">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）采购项目及技术、服务要求</w:t>
      </w:r>
    </w:p>
    <w:p w14:paraId="7DA37641">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）投标人须知</w:t>
      </w:r>
    </w:p>
    <w:p w14:paraId="76088014">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）评审办法</w:t>
      </w:r>
    </w:p>
    <w:p w14:paraId="233CB7DB">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）合同主要条款</w:t>
      </w:r>
    </w:p>
    <w:p w14:paraId="15AA8D72">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）投标文件格式</w:t>
      </w:r>
    </w:p>
    <w:p w14:paraId="6EE5AF5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2.1.2 </w:t>
      </w:r>
      <w:r>
        <w:rPr>
          <w:rFonts w:hint="eastAsia" w:ascii="宋体" w:hAnsi="宋体" w:cs="楷体_GB2312"/>
          <w:color w:val="auto"/>
          <w:sz w:val="24"/>
          <w:highlight w:val="none"/>
          <w:lang w:val="zh-CN"/>
        </w:rPr>
        <w:t>根据本章第</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1款、第</w:t>
      </w:r>
      <w:r>
        <w:rPr>
          <w:rFonts w:ascii="宋体" w:hAnsi="宋体" w:cs="楷体_GB2312"/>
          <w:color w:val="auto"/>
          <w:sz w:val="24"/>
          <w:highlight w:val="none"/>
          <w:lang w:val="zh-CN"/>
        </w:rPr>
        <w:t>2.2</w:t>
      </w:r>
      <w:r>
        <w:rPr>
          <w:rFonts w:hint="eastAsia" w:ascii="宋体" w:hAnsi="宋体" w:cs="楷体_GB2312"/>
          <w:color w:val="auto"/>
          <w:sz w:val="24"/>
          <w:highlight w:val="none"/>
          <w:lang w:val="zh-CN"/>
        </w:rPr>
        <w:t>款和第</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款、对谈判文件的澄清、修改、补充书构成谈判文件的组成部分，并取代谈判文件中被澄清、修改处，对所有投标人均有约束力。</w:t>
      </w:r>
    </w:p>
    <w:p w14:paraId="06FAEBD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2.1.3 </w:t>
      </w:r>
      <w:r>
        <w:rPr>
          <w:rFonts w:hint="eastAsia" w:ascii="宋体" w:hAnsi="宋体" w:cs="楷体_GB2312"/>
          <w:color w:val="auto"/>
          <w:sz w:val="24"/>
          <w:highlight w:val="none"/>
          <w:lang w:val="zh-CN"/>
        </w:rPr>
        <w:t>当谈判文件、谈判文件的澄清、修改、补充等在同一内容的表述上不一致时，以最后发出（发布）的文件为准。</w:t>
      </w:r>
    </w:p>
    <w:p w14:paraId="17ADF25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2.1.4 </w:t>
      </w:r>
      <w:r>
        <w:rPr>
          <w:rFonts w:hint="eastAsia" w:ascii="宋体" w:hAnsi="宋体" w:cs="楷体_GB2312"/>
          <w:color w:val="auto"/>
          <w:sz w:val="24"/>
          <w:highlight w:val="none"/>
          <w:lang w:val="zh-CN"/>
        </w:rPr>
        <w:t>投标人与任何人的口头协议不影响《谈判文件》的任何条款和内容。</w:t>
      </w:r>
    </w:p>
    <w:p w14:paraId="4F60E0A4">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rPr>
        <w:t xml:space="preserve">2.1.5 </w:t>
      </w:r>
      <w:r>
        <w:rPr>
          <w:rFonts w:hint="eastAsia" w:ascii="宋体" w:hAnsi="宋体" w:cs="楷体_GB2312"/>
          <w:color w:val="auto"/>
          <w:sz w:val="24"/>
          <w:highlight w:val="none"/>
        </w:rPr>
        <w:t>投标人应仔细阅读和检查谈判文件的全部内容是否齐全，如发现缺页或附件不全等遗漏，应及时向采购代理机构提出并索取补齐，否则责任及风险自负。</w:t>
      </w:r>
    </w:p>
    <w:p w14:paraId="6169137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2.2 </w:t>
      </w:r>
      <w:r>
        <w:rPr>
          <w:rFonts w:hint="eastAsia" w:ascii="黑体" w:hAnsi="黑体" w:eastAsia="黑体" w:cs="楷体_GB2312"/>
          <w:b/>
          <w:color w:val="auto"/>
          <w:sz w:val="24"/>
          <w:highlight w:val="none"/>
          <w:lang w:val="zh-CN"/>
        </w:rPr>
        <w:t>谈判文件的澄清</w:t>
      </w:r>
    </w:p>
    <w:p w14:paraId="036A1EE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2.2.1 </w:t>
      </w:r>
      <w:r>
        <w:rPr>
          <w:rFonts w:hint="eastAsia" w:ascii="宋体" w:hAnsi="宋体" w:cs="楷体_GB2312"/>
          <w:color w:val="auto"/>
          <w:sz w:val="24"/>
          <w:highlight w:val="none"/>
          <w:lang w:val="zh-CN"/>
        </w:rPr>
        <w:t>合规获取谈判文件的所有潜在投标人对谈判文件如有需澄清的疑问，应在投标人须知前附表规定的时间内按谈判公告中载明的地址以纸质书面形式通知到采购代理机构。在规定的时间内未提出疑问的，将视为对谈判文件的完全认可。</w:t>
      </w:r>
    </w:p>
    <w:p w14:paraId="7291F77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2.2.2 </w:t>
      </w:r>
      <w:r>
        <w:rPr>
          <w:rFonts w:hint="eastAsia" w:ascii="宋体" w:hAnsi="宋体" w:cs="楷体_GB2312"/>
          <w:color w:val="auto"/>
          <w:sz w:val="24"/>
          <w:highlight w:val="none"/>
          <w:lang w:val="zh-CN"/>
        </w:rPr>
        <w:t>采购代理机构对潜在投标人在规定的时间内提出的疑问，将视情况以书面形式予以答复，并在其认为必要时，将不标明查询来源的书面答复，在“谈判公告”所述媒体通告所有潜在投标人。</w:t>
      </w:r>
    </w:p>
    <w:p w14:paraId="64E0868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2.2.3 </w:t>
      </w:r>
      <w:r>
        <w:rPr>
          <w:rFonts w:hint="eastAsia" w:ascii="宋体" w:hAnsi="宋体" w:cs="楷体_GB2312"/>
          <w:color w:val="auto"/>
          <w:sz w:val="24"/>
          <w:highlight w:val="none"/>
          <w:lang w:val="zh-CN"/>
        </w:rPr>
        <w:t>谈判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14:paraId="50CBF9F7">
      <w:pPr>
        <w:adjustRightInd w:val="0"/>
        <w:snapToGrid w:val="0"/>
        <w:spacing w:before="156" w:beforeLines="50" w:line="300" w:lineRule="auto"/>
        <w:ind w:firstLine="480" w:firstLineChars="200"/>
        <w:jc w:val="left"/>
        <w:rPr>
          <w:rFonts w:ascii="宋体" w:hAnsi="宋体" w:cs="楷体_GB2312"/>
          <w:color w:val="auto"/>
          <w:sz w:val="24"/>
          <w:highlight w:val="none"/>
          <w:lang w:val="zh-CN"/>
        </w:rPr>
      </w:pPr>
      <w:r>
        <w:rPr>
          <w:rFonts w:ascii="宋体" w:hAnsi="宋体" w:cs="楷体_GB2312"/>
          <w:color w:val="auto"/>
          <w:sz w:val="24"/>
          <w:highlight w:val="none"/>
          <w:lang w:val="zh-CN"/>
        </w:rPr>
        <w:t>2.2.4</w:t>
      </w:r>
      <w:r>
        <w:rPr>
          <w:rFonts w:hint="eastAsia" w:ascii="宋体" w:hAnsi="宋体" w:cs="楷体_GB2312"/>
          <w:color w:val="auto"/>
          <w:sz w:val="24"/>
          <w:highlight w:val="none"/>
          <w:lang w:val="zh-CN"/>
        </w:rPr>
        <w:t>采购代理机构可视情况在投标截止前答疑。</w:t>
      </w:r>
    </w:p>
    <w:p w14:paraId="7F93EF6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2.3 </w:t>
      </w:r>
      <w:r>
        <w:rPr>
          <w:rFonts w:hint="eastAsia" w:ascii="黑体" w:hAnsi="黑体" w:eastAsia="黑体" w:cs="楷体_GB2312"/>
          <w:b/>
          <w:color w:val="auto"/>
          <w:sz w:val="24"/>
          <w:highlight w:val="none"/>
          <w:lang w:val="zh-CN"/>
        </w:rPr>
        <w:t>谈判文件的澄清、修改、补充</w:t>
      </w:r>
    </w:p>
    <w:p w14:paraId="0446AFD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2.3.1 </w:t>
      </w:r>
      <w:r>
        <w:rPr>
          <w:rFonts w:hint="eastAsia" w:ascii="宋体" w:hAnsi="宋体" w:cs="楷体_GB2312"/>
          <w:color w:val="auto"/>
          <w:sz w:val="24"/>
          <w:highlight w:val="none"/>
          <w:lang w:val="zh-CN"/>
        </w:rPr>
        <w:t>采购人、代理机构在投标截止时间前有权澄清修改、补充已发售的谈判文件。</w:t>
      </w:r>
    </w:p>
    <w:p w14:paraId="2F24F5FF">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s="楷体_GB2312"/>
          <w:color w:val="auto"/>
          <w:sz w:val="24"/>
          <w:highlight w:val="none"/>
          <w:lang w:val="zh-CN"/>
        </w:rPr>
        <w:t>2.3.</w:t>
      </w:r>
      <w:r>
        <w:rPr>
          <w:rFonts w:ascii="宋体" w:hAnsi="宋体"/>
          <w:color w:val="auto"/>
          <w:sz w:val="24"/>
          <w:highlight w:val="none"/>
        </w:rPr>
        <w:t xml:space="preserve">2 </w:t>
      </w:r>
      <w:r>
        <w:rPr>
          <w:rFonts w:hint="eastAsia" w:ascii="宋体" w:hAnsi="宋体"/>
          <w:color w:val="auto"/>
          <w:sz w:val="24"/>
          <w:highlight w:val="none"/>
        </w:rPr>
        <w:t>谈判过程中对谈判文件的变动见第四章评审办法</w:t>
      </w:r>
      <w:r>
        <w:rPr>
          <w:rFonts w:ascii="宋体" w:hAnsi="宋体"/>
          <w:color w:val="auto"/>
          <w:sz w:val="24"/>
          <w:highlight w:val="none"/>
        </w:rPr>
        <w:t>3.5</w:t>
      </w:r>
      <w:r>
        <w:rPr>
          <w:rFonts w:hint="eastAsia" w:ascii="宋体" w:hAnsi="宋体"/>
          <w:color w:val="auto"/>
          <w:sz w:val="24"/>
          <w:highlight w:val="none"/>
        </w:rPr>
        <w:t>款谈判规则。</w:t>
      </w:r>
    </w:p>
    <w:p w14:paraId="4D9CB9A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2.4 </w:t>
      </w:r>
      <w:r>
        <w:rPr>
          <w:rFonts w:hint="eastAsia" w:ascii="黑体" w:hAnsi="黑体" w:eastAsia="黑体" w:cs="楷体_GB2312"/>
          <w:b/>
          <w:color w:val="auto"/>
          <w:sz w:val="24"/>
          <w:highlight w:val="none"/>
          <w:lang w:val="zh-CN"/>
        </w:rPr>
        <w:t>谈判文件的澄清、修改、补充的</w:t>
      </w:r>
      <w:r>
        <w:rPr>
          <w:rFonts w:ascii="黑体" w:hAnsi="黑体" w:eastAsia="黑体" w:cs="楷体_GB2312"/>
          <w:b/>
          <w:color w:val="auto"/>
          <w:sz w:val="24"/>
          <w:highlight w:val="none"/>
          <w:lang w:val="zh-CN"/>
        </w:rPr>
        <w:t>通知</w:t>
      </w:r>
      <w:r>
        <w:rPr>
          <w:rFonts w:hint="eastAsia" w:ascii="黑体" w:hAnsi="黑体" w:eastAsia="黑体" w:cs="楷体_GB2312"/>
          <w:b/>
          <w:color w:val="auto"/>
          <w:sz w:val="24"/>
          <w:highlight w:val="none"/>
          <w:lang w:val="zh-CN"/>
        </w:rPr>
        <w:t>，及</w:t>
      </w:r>
      <w:r>
        <w:rPr>
          <w:rFonts w:ascii="黑体" w:hAnsi="黑体" w:eastAsia="黑体" w:cs="楷体_GB2312"/>
          <w:b/>
          <w:color w:val="auto"/>
          <w:sz w:val="24"/>
          <w:highlight w:val="none"/>
          <w:lang w:val="zh-CN"/>
        </w:rPr>
        <w:t>相应</w:t>
      </w:r>
      <w:r>
        <w:rPr>
          <w:rFonts w:hint="eastAsia" w:ascii="黑体" w:hAnsi="黑体" w:eastAsia="黑体" w:cs="楷体_GB2312"/>
          <w:b/>
          <w:color w:val="auto"/>
          <w:sz w:val="24"/>
          <w:highlight w:val="none"/>
          <w:lang w:val="zh-CN"/>
        </w:rPr>
        <w:t>时间变更</w:t>
      </w:r>
    </w:p>
    <w:p w14:paraId="32E3876D">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 xml:space="preserve">2.4.1 </w:t>
      </w:r>
      <w:r>
        <w:rPr>
          <w:rFonts w:hint="eastAsia" w:ascii="宋体" w:hAnsi="宋体" w:cs="楷体_GB2312"/>
          <w:color w:val="auto"/>
          <w:sz w:val="24"/>
          <w:highlight w:val="none"/>
          <w:lang w:val="zh-CN"/>
        </w:rPr>
        <w:t>谈判文件在投标截止时间前的所有澄清、修改（包括时间变更等）、补充事项，均在“谈判公告”所述媒体予以公告。</w:t>
      </w:r>
      <w:r>
        <w:rPr>
          <w:rFonts w:hint="eastAsia" w:ascii="宋体" w:hAnsi="宋体" w:cs="楷体_GB2312"/>
          <w:b/>
          <w:color w:val="auto"/>
          <w:sz w:val="24"/>
          <w:highlight w:val="none"/>
          <w:lang w:val="zh-CN"/>
        </w:rPr>
        <w:t>澄清或修改公告一经在</w:t>
      </w:r>
      <w:r>
        <w:rPr>
          <w:rFonts w:ascii="宋体" w:hAnsi="宋体" w:cs="楷体_GB2312"/>
          <w:b/>
          <w:color w:val="auto"/>
          <w:sz w:val="24"/>
          <w:highlight w:val="none"/>
          <w:lang w:val="zh-CN"/>
        </w:rPr>
        <w:t>法定网</w:t>
      </w:r>
      <w:r>
        <w:rPr>
          <w:rFonts w:hint="eastAsia" w:ascii="宋体" w:hAnsi="宋体" w:cs="楷体_GB2312"/>
          <w:b/>
          <w:color w:val="auto"/>
          <w:sz w:val="24"/>
          <w:highlight w:val="none"/>
          <w:lang w:val="zh-CN"/>
        </w:rPr>
        <w:t>站以</w:t>
      </w:r>
      <w:r>
        <w:rPr>
          <w:rFonts w:ascii="宋体" w:hAnsi="宋体" w:cs="楷体_GB2312"/>
          <w:b/>
          <w:color w:val="auto"/>
          <w:sz w:val="24"/>
          <w:highlight w:val="none"/>
          <w:lang w:val="zh-CN"/>
        </w:rPr>
        <w:t>公</w:t>
      </w:r>
      <w:r>
        <w:rPr>
          <w:rFonts w:hint="eastAsia" w:ascii="宋体" w:hAnsi="宋体" w:cs="楷体_GB2312"/>
          <w:b/>
          <w:color w:val="auto"/>
          <w:sz w:val="24"/>
          <w:highlight w:val="none"/>
          <w:lang w:val="zh-CN"/>
        </w:rPr>
        <w:t>告</w:t>
      </w:r>
      <w:r>
        <w:rPr>
          <w:rFonts w:ascii="宋体" w:hAnsi="宋体" w:cs="楷体_GB2312"/>
          <w:b/>
          <w:color w:val="auto"/>
          <w:sz w:val="24"/>
          <w:highlight w:val="none"/>
          <w:lang w:val="zh-CN"/>
        </w:rPr>
        <w:t>形式</w:t>
      </w:r>
      <w:r>
        <w:rPr>
          <w:rFonts w:hint="eastAsia" w:ascii="宋体" w:hAnsi="宋体" w:cs="楷体_GB2312"/>
          <w:b/>
          <w:color w:val="auto"/>
          <w:sz w:val="24"/>
          <w:highlight w:val="none"/>
          <w:lang w:val="zh-CN"/>
        </w:rPr>
        <w:t>发布，依法视为书面通知，不再另行通知。</w:t>
      </w:r>
    </w:p>
    <w:p w14:paraId="082727CA">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基于网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w:t>
      </w:r>
      <w:r>
        <w:rPr>
          <w:rFonts w:ascii="宋体" w:hAnsi="宋体" w:cs="楷体_GB2312"/>
          <w:b/>
          <w:color w:val="auto"/>
          <w:sz w:val="24"/>
          <w:highlight w:val="none"/>
          <w:lang w:val="zh-CN"/>
        </w:rPr>
        <w:t>子</w:t>
      </w:r>
      <w:r>
        <w:rPr>
          <w:rFonts w:hint="eastAsia" w:ascii="宋体" w:hAnsi="宋体" w:cs="楷体_GB2312"/>
          <w:b/>
          <w:color w:val="auto"/>
          <w:sz w:val="24"/>
          <w:highlight w:val="none"/>
          <w:lang w:val="zh-CN"/>
        </w:rPr>
        <w:t>交易</w:t>
      </w:r>
      <w:r>
        <w:rPr>
          <w:rFonts w:ascii="宋体" w:hAnsi="宋体" w:cs="楷体_GB2312"/>
          <w:b/>
          <w:color w:val="auto"/>
          <w:sz w:val="24"/>
          <w:highlight w:val="none"/>
          <w:lang w:val="zh-CN"/>
        </w:rPr>
        <w:t>的特点—</w:t>
      </w:r>
      <w:r>
        <w:rPr>
          <w:rFonts w:ascii="宋体" w:cs="楷体_GB2312"/>
          <w:b/>
          <w:color w:val="auto"/>
          <w:sz w:val="24"/>
          <w:highlight w:val="none"/>
          <w:lang w:val="zh-CN"/>
        </w:rPr>
        <w:t>-</w:t>
      </w:r>
      <w:r>
        <w:rPr>
          <w:rFonts w:hint="eastAsia" w:ascii="宋体" w:hAnsi="宋体" w:cs="楷体_GB2312"/>
          <w:b/>
          <w:color w:val="auto"/>
          <w:sz w:val="24"/>
          <w:highlight w:val="none"/>
          <w:lang w:val="zh-CN"/>
        </w:rPr>
        <w:t>无权限获知或通知潜在投标人，潜在投标人应随时关注“谈判公告”所</w:t>
      </w:r>
      <w:r>
        <w:rPr>
          <w:rFonts w:ascii="宋体" w:hAnsi="宋体" w:cs="楷体_GB2312"/>
          <w:b/>
          <w:color w:val="auto"/>
          <w:sz w:val="24"/>
          <w:highlight w:val="none"/>
          <w:lang w:val="zh-CN"/>
        </w:rPr>
        <w:t>述媒体</w:t>
      </w:r>
      <w:r>
        <w:rPr>
          <w:rFonts w:hint="eastAsia" w:ascii="宋体" w:hAnsi="宋体" w:cs="楷体_GB2312"/>
          <w:b/>
          <w:color w:val="auto"/>
          <w:sz w:val="24"/>
          <w:highlight w:val="none"/>
          <w:lang w:val="zh-CN"/>
        </w:rPr>
        <w:t>相关项目信息（为免各部门网站出现维护等情况，潜在投标人应对“谈判公告”所述媒体逐一查阅），如有遗漏，后果自负。</w:t>
      </w:r>
    </w:p>
    <w:p w14:paraId="560CA96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2.</w:t>
      </w:r>
      <w:r>
        <w:rPr>
          <w:rFonts w:ascii="宋体" w:cs="楷体_GB2312"/>
          <w:color w:val="auto"/>
          <w:sz w:val="24"/>
          <w:highlight w:val="none"/>
          <w:lang w:val="zh-CN"/>
        </w:rPr>
        <w:t>4</w:t>
      </w:r>
      <w:r>
        <w:rPr>
          <w:rFonts w:hint="eastAsia" w:ascii="宋体" w:cs="楷体_GB2312"/>
          <w:color w:val="auto"/>
          <w:sz w:val="24"/>
          <w:highlight w:val="none"/>
          <w:lang w:val="zh-CN"/>
        </w:rPr>
        <w:t>.2</w:t>
      </w:r>
      <w:r>
        <w:rPr>
          <w:rFonts w:ascii="宋体" w:cs="楷体_GB2312"/>
          <w:color w:val="auto"/>
          <w:sz w:val="24"/>
          <w:highlight w:val="none"/>
          <w:lang w:val="zh-CN"/>
        </w:rPr>
        <w:t xml:space="preserve"> </w:t>
      </w:r>
      <w:r>
        <w:rPr>
          <w:rFonts w:hint="eastAsia" w:ascii="宋体" w:cs="楷体_GB2312"/>
          <w:color w:val="auto"/>
          <w:sz w:val="24"/>
          <w:highlight w:val="none"/>
          <w:lang w:val="zh-CN"/>
        </w:rPr>
        <w:t>谈判文件的澄清、修改、补充书构成谈判文件的组成部分，并取代谈判文件中被澄清、修改处，对所有投标人均有约束力。</w:t>
      </w:r>
    </w:p>
    <w:p w14:paraId="37974CD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2.4.3 </w:t>
      </w:r>
      <w:r>
        <w:rPr>
          <w:rFonts w:hint="eastAsia" w:ascii="宋体" w:hAnsi="宋体" w:cs="楷体_GB2312"/>
          <w:color w:val="auto"/>
          <w:sz w:val="24"/>
          <w:highlight w:val="none"/>
          <w:lang w:val="zh-CN"/>
        </w:rPr>
        <w:t>如果投标截止时间前的澄清修改补充发出的时间不满足投标人须知前附表规定时间，并且澄清修改补充内容影响投标文件编制的，代理机构可视采购具体情况延长投标截止时间和开标时间，并将在“谈判公告”所述媒体予以公告。</w:t>
      </w:r>
    </w:p>
    <w:p w14:paraId="558581F1">
      <w:pPr>
        <w:autoSpaceDE w:val="0"/>
        <w:autoSpaceDN w:val="0"/>
        <w:adjustRightInd w:val="0"/>
        <w:snapToGrid w:val="0"/>
        <w:spacing w:before="156" w:beforeLines="50" w:line="300" w:lineRule="auto"/>
        <w:ind w:firstLine="539"/>
        <w:rPr>
          <w:rFonts w:ascii="宋体" w:cs="楷体_GB2312"/>
          <w:color w:val="auto"/>
          <w:sz w:val="24"/>
          <w:highlight w:val="none"/>
        </w:rPr>
      </w:pPr>
    </w:p>
    <w:p w14:paraId="65DBCCB4">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8" w:name="_Toc65679382"/>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投标文件（响应文件）</w:t>
      </w:r>
      <w:bookmarkEnd w:id="18"/>
    </w:p>
    <w:p w14:paraId="114D97D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3.1</w:t>
      </w:r>
      <w:r>
        <w:rPr>
          <w:rFonts w:hint="eastAsia" w:ascii="宋体" w:hAnsi="宋体" w:cs="楷体_GB2312"/>
          <w:color w:val="auto"/>
          <w:sz w:val="24"/>
          <w:highlight w:val="none"/>
          <w:lang w:val="zh-CN"/>
        </w:rPr>
        <w:t xml:space="preserve"> 投标人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w:t>
      </w:r>
    </w:p>
    <w:p w14:paraId="6E6AEDE5">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3.2 </w:t>
      </w:r>
      <w:r>
        <w:rPr>
          <w:rFonts w:hint="eastAsia" w:ascii="黑体" w:hAnsi="黑体" w:eastAsia="黑体" w:cs="楷体_GB2312"/>
          <w:b/>
          <w:color w:val="auto"/>
          <w:sz w:val="24"/>
          <w:highlight w:val="none"/>
          <w:lang w:val="zh-CN"/>
        </w:rPr>
        <w:t>投标文件（响应文件）的组成</w:t>
      </w:r>
    </w:p>
    <w:p w14:paraId="3C41FC0C">
      <w:pPr>
        <w:adjustRightInd w:val="0"/>
        <w:snapToGrid w:val="0"/>
        <w:spacing w:before="156" w:beforeLines="50" w:line="300" w:lineRule="auto"/>
        <w:ind w:firstLine="539"/>
        <w:textAlignment w:val="top"/>
        <w:rPr>
          <w:rFonts w:ascii="宋体" w:cs="楷体_GB2312"/>
          <w:color w:val="auto"/>
          <w:sz w:val="24"/>
          <w:highlight w:val="none"/>
          <w:lang w:val="zh-CN"/>
        </w:rPr>
      </w:pPr>
      <w:r>
        <w:rPr>
          <w:rFonts w:ascii="宋体" w:hAnsi="宋体" w:cs="楷体_GB2312"/>
          <w:color w:val="auto"/>
          <w:sz w:val="24"/>
          <w:highlight w:val="none"/>
          <w:lang w:val="zh-CN"/>
        </w:rPr>
        <w:t xml:space="preserve">3.2.1 </w:t>
      </w:r>
      <w:r>
        <w:rPr>
          <w:rFonts w:hint="eastAsia" w:ascii="宋体" w:hAnsi="宋体" w:cs="楷体_GB2312"/>
          <w:color w:val="auto"/>
          <w:sz w:val="24"/>
          <w:highlight w:val="none"/>
          <w:lang w:val="zh-CN"/>
        </w:rPr>
        <w:t>投标文件（响应文件）组成如有缺项，谈判小组按照实质性判断原则（实质性要求和实质性响应两因素）、有权视情况将其作无效投标处理，投标人自负此项风险；投标文件组成内容未对谈判文件实质性要求作出实质性响应，谈判小组按照实质性判断原则、视情况将其作无效投标处理，投标人自负此项风险</w:t>
      </w:r>
    </w:p>
    <w:p w14:paraId="4ECCA86C">
      <w:pPr>
        <w:adjustRightInd w:val="0"/>
        <w:snapToGrid w:val="0"/>
        <w:spacing w:before="156" w:beforeLines="50" w:line="300" w:lineRule="auto"/>
        <w:ind w:firstLine="539"/>
        <w:textAlignment w:val="top"/>
        <w:rPr>
          <w:color w:val="auto"/>
          <w:highlight w:val="none"/>
        </w:rPr>
      </w:pPr>
      <w:r>
        <w:rPr>
          <w:rFonts w:ascii="宋体" w:hAnsi="宋体" w:cs="楷体_GB2312"/>
          <w:color w:val="auto"/>
          <w:sz w:val="24"/>
          <w:highlight w:val="none"/>
          <w:lang w:val="zh-CN"/>
        </w:rPr>
        <w:t xml:space="preserve">3.2.2 </w:t>
      </w:r>
      <w:r>
        <w:rPr>
          <w:rFonts w:hint="eastAsia" w:ascii="宋体" w:hAnsi="宋体" w:cs="楷体_GB2312"/>
          <w:color w:val="auto"/>
          <w:sz w:val="24"/>
          <w:highlight w:val="none"/>
          <w:lang w:val="zh-CN"/>
        </w:rPr>
        <w:t>投标文件（响应文件）应包括下列内容：</w:t>
      </w:r>
    </w:p>
    <w:p w14:paraId="2DEA6B52">
      <w:pPr>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）投标书。</w:t>
      </w:r>
    </w:p>
    <w:p w14:paraId="22EF560A">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color w:val="auto"/>
          <w:sz w:val="24"/>
          <w:highlight w:val="none"/>
        </w:rPr>
        <w:t>开标一览表（即交易系统中报价一览表）</w:t>
      </w:r>
    </w:p>
    <w:p w14:paraId="477A03BC">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ascii="宋体" w:hAnsi="宋体"/>
          <w:color w:val="auto"/>
          <w:sz w:val="24"/>
          <w:highlight w:val="none"/>
        </w:rPr>
        <w:t>投标报价明细表</w:t>
      </w:r>
    </w:p>
    <w:p w14:paraId="48EF673D">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）服务方案及服务质量承诺</w:t>
      </w:r>
    </w:p>
    <w:p w14:paraId="241DF164">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）服务拟投入设备清单及其技术参数</w:t>
      </w:r>
    </w:p>
    <w:p w14:paraId="5F72C8EA">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）服务拟投入的人员情况表</w:t>
      </w:r>
    </w:p>
    <w:p w14:paraId="163AB7C2">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）偏差表</w:t>
      </w:r>
    </w:p>
    <w:p w14:paraId="3EB610D7">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ascii="宋体" w:hAnsi="宋体"/>
          <w:color w:val="auto"/>
          <w:sz w:val="24"/>
          <w:highlight w:val="none"/>
        </w:rPr>
        <w:t>关于资格的声明函</w:t>
      </w:r>
    </w:p>
    <w:p w14:paraId="03BCC247">
      <w:pPr>
        <w:adjustRightInd w:val="0"/>
        <w:snapToGrid w:val="0"/>
        <w:spacing w:line="300" w:lineRule="auto"/>
        <w:ind w:firstLine="539"/>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ascii="宋体" w:hAnsi="宋体"/>
          <w:color w:val="auto"/>
          <w:sz w:val="24"/>
          <w:highlight w:val="none"/>
        </w:rPr>
        <w:t>反商业贿赂承诺书。</w:t>
      </w:r>
    </w:p>
    <w:p w14:paraId="0ADDDDC3">
      <w:pPr>
        <w:adjustRightInd w:val="0"/>
        <w:snapToGrid w:val="0"/>
        <w:spacing w:line="300" w:lineRule="auto"/>
        <w:ind w:firstLine="539"/>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10</w:t>
      </w:r>
      <w:r>
        <w:rPr>
          <w:rFonts w:hint="eastAsia" w:ascii="宋体" w:hAnsi="宋体" w:cs="楷体_GB2312"/>
          <w:color w:val="auto"/>
          <w:sz w:val="24"/>
          <w:highlight w:val="none"/>
          <w:lang w:val="zh-CN"/>
        </w:rPr>
        <w:t>）</w:t>
      </w:r>
      <w:r>
        <w:rPr>
          <w:rFonts w:hint="eastAsia" w:ascii="宋体" w:hAnsi="宋体"/>
          <w:color w:val="auto"/>
          <w:sz w:val="24"/>
          <w:highlight w:val="none"/>
        </w:rPr>
        <w:t>履约承诺书。</w:t>
      </w:r>
    </w:p>
    <w:p w14:paraId="65EF1D8F">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）资格要求相关证明材料（文件）</w:t>
      </w:r>
    </w:p>
    <w:p w14:paraId="58EACB45">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）采购项目及服务要求所需的其他材料（按条款需要）</w:t>
      </w:r>
    </w:p>
    <w:p w14:paraId="4ACAC692">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13</w:t>
      </w:r>
      <w:r>
        <w:rPr>
          <w:rFonts w:hint="eastAsia" w:ascii="宋体" w:hAnsi="宋体"/>
          <w:color w:val="auto"/>
          <w:sz w:val="24"/>
          <w:highlight w:val="none"/>
        </w:rPr>
        <w:t>）投标人须知所需的其他材料（按条款需要）</w:t>
      </w:r>
    </w:p>
    <w:p w14:paraId="12EEB295">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14</w:t>
      </w:r>
      <w:r>
        <w:rPr>
          <w:rFonts w:hint="eastAsia" w:ascii="宋体" w:hAnsi="宋体"/>
          <w:color w:val="auto"/>
          <w:sz w:val="24"/>
          <w:highlight w:val="none"/>
        </w:rPr>
        <w:t>）评审办法所需的其他材料（按条款需要）</w:t>
      </w:r>
    </w:p>
    <w:p w14:paraId="0638B1C3">
      <w:pPr>
        <w:autoSpaceDE w:val="0"/>
        <w:autoSpaceDN w:val="0"/>
        <w:adjustRightInd w:val="0"/>
        <w:snapToGrid w:val="0"/>
        <w:spacing w:line="300" w:lineRule="auto"/>
        <w:ind w:firstLine="520" w:firstLineChars="217"/>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15</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14:paraId="0622EFFA">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3.2.3</w:t>
      </w:r>
      <w:r>
        <w:rPr>
          <w:rFonts w:hint="eastAsia" w:ascii="宋体" w:hAnsi="宋体" w:cs="楷体_GB2312"/>
          <w:color w:val="auto"/>
          <w:sz w:val="24"/>
          <w:highlight w:val="none"/>
          <w:lang w:val="zh-CN"/>
        </w:rPr>
        <w:t>按照本章第</w:t>
      </w:r>
      <w:r>
        <w:rPr>
          <w:rFonts w:ascii="宋体" w:hAnsi="宋体" w:cs="楷体_GB2312"/>
          <w:color w:val="auto"/>
          <w:sz w:val="24"/>
          <w:highlight w:val="none"/>
          <w:lang w:val="zh-CN"/>
        </w:rPr>
        <w:t>4.3</w:t>
      </w:r>
      <w:r>
        <w:rPr>
          <w:rFonts w:hint="eastAsia" w:ascii="宋体" w:hAnsi="宋体" w:cs="楷体_GB2312"/>
          <w:color w:val="auto"/>
          <w:sz w:val="24"/>
          <w:highlight w:val="none"/>
          <w:lang w:val="zh-CN"/>
        </w:rPr>
        <w:t>款、第四章第</w:t>
      </w:r>
      <w:r>
        <w:rPr>
          <w:rFonts w:ascii="宋体" w:hAnsi="宋体" w:cs="楷体_GB2312"/>
          <w:color w:val="auto"/>
          <w:sz w:val="24"/>
          <w:highlight w:val="none"/>
          <w:lang w:val="zh-CN"/>
        </w:rPr>
        <w:t>3.4</w:t>
      </w:r>
      <w:r>
        <w:rPr>
          <w:rFonts w:hint="eastAsia" w:ascii="宋体" w:hAnsi="宋体" w:cs="楷体_GB2312"/>
          <w:color w:val="auto"/>
          <w:sz w:val="24"/>
          <w:highlight w:val="none"/>
          <w:lang w:val="zh-CN"/>
        </w:rPr>
        <w:t>款规定，对投标文件（响应文件）的补充、修改、澄清、说明或者更正构成投标文件（响应文件）的组成部分，</w:t>
      </w:r>
    </w:p>
    <w:p w14:paraId="6B1690C5">
      <w:pPr>
        <w:topLinePunct/>
        <w:adjustRightInd w:val="0"/>
        <w:snapToGrid w:val="0"/>
        <w:spacing w:before="156" w:beforeLines="50" w:line="300" w:lineRule="auto"/>
        <w:ind w:firstLine="566" w:firstLineChars="235"/>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3.3 </w:t>
      </w:r>
      <w:r>
        <w:rPr>
          <w:rFonts w:hint="eastAsia" w:ascii="黑体" w:hAnsi="黑体" w:eastAsia="黑体" w:cs="楷体_GB2312"/>
          <w:b/>
          <w:color w:val="auto"/>
          <w:sz w:val="24"/>
          <w:highlight w:val="none"/>
          <w:lang w:val="zh-CN"/>
        </w:rPr>
        <w:t>投标报价</w:t>
      </w:r>
      <w:r>
        <w:rPr>
          <w:rFonts w:hint="eastAsia" w:ascii="宋体" w:hAnsi="宋体" w:cs="楷体_GB2312"/>
          <w:color w:val="auto"/>
          <w:sz w:val="24"/>
          <w:highlight w:val="none"/>
          <w:lang w:val="zh-CN"/>
        </w:rPr>
        <w:t>（价格构成）：见第二章</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款。</w:t>
      </w:r>
    </w:p>
    <w:p w14:paraId="34BDADB5">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3.4 </w:t>
      </w:r>
      <w:r>
        <w:rPr>
          <w:rFonts w:hint="eastAsia" w:ascii="黑体" w:hAnsi="黑体" w:eastAsia="黑体" w:cs="楷体_GB2312"/>
          <w:b/>
          <w:color w:val="auto"/>
          <w:sz w:val="24"/>
          <w:highlight w:val="none"/>
          <w:lang w:val="zh-CN"/>
        </w:rPr>
        <w:t>投标有效期</w:t>
      </w:r>
    </w:p>
    <w:p w14:paraId="33A3C951">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3.4.1</w:t>
      </w:r>
      <w:r>
        <w:rPr>
          <w:rFonts w:hint="eastAsia" w:ascii="宋体" w:hAnsi="宋体" w:cs="楷体_GB2312"/>
          <w:color w:val="auto"/>
          <w:sz w:val="24"/>
          <w:highlight w:val="none"/>
          <w:lang w:val="zh-CN"/>
        </w:rPr>
        <w:t>投标有效期见投标人须知前附表。投标文件（响应文件）在投标有效期内保持不变（包括价格等投标文件各项条款）。</w:t>
      </w:r>
    </w:p>
    <w:p w14:paraId="06B96B74">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3.4.2</w:t>
      </w:r>
      <w:r>
        <w:rPr>
          <w:rFonts w:hint="eastAsia" w:ascii="宋体" w:hAnsi="宋体" w:cs="楷体_GB2312"/>
          <w:color w:val="auto"/>
          <w:sz w:val="24"/>
          <w:highlight w:val="none"/>
          <w:lang w:val="zh-CN"/>
        </w:rPr>
        <w:t>在投标有效期内，投标人撤销或修改其投标文件（响应文件）的，应承担谈判文件和法律规定的责任。</w:t>
      </w:r>
    </w:p>
    <w:p w14:paraId="03A3A26E">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3.5 </w:t>
      </w:r>
      <w:r>
        <w:rPr>
          <w:rFonts w:hint="eastAsia" w:ascii="黑体" w:hAnsi="黑体" w:eastAsia="黑体" w:cs="楷体_GB2312"/>
          <w:b/>
          <w:color w:val="auto"/>
          <w:sz w:val="24"/>
          <w:highlight w:val="none"/>
        </w:rPr>
        <w:t>投标承诺函</w:t>
      </w:r>
      <w:r>
        <w:rPr>
          <w:rFonts w:hint="eastAsia" w:ascii="黑体" w:hAnsi="黑体" w:eastAsia="黑体" w:cs="楷体_GB2312"/>
          <w:b/>
          <w:color w:val="auto"/>
          <w:sz w:val="24"/>
          <w:highlight w:val="none"/>
          <w:lang w:val="zh-CN"/>
        </w:rPr>
        <w:t>（</w:t>
      </w:r>
      <w:r>
        <w:rPr>
          <w:rFonts w:hint="eastAsia" w:ascii="黑体" w:hAnsi="黑体" w:eastAsia="黑体" w:cs="楷体_GB2312"/>
          <w:b/>
          <w:color w:val="auto"/>
          <w:sz w:val="24"/>
          <w:highlight w:val="none"/>
        </w:rPr>
        <w:t>替代</w:t>
      </w:r>
      <w:r>
        <w:rPr>
          <w:rFonts w:hint="eastAsia" w:ascii="黑体" w:hAnsi="黑体" w:eastAsia="黑体" w:cs="楷体_GB2312"/>
          <w:b/>
          <w:color w:val="auto"/>
          <w:sz w:val="24"/>
          <w:highlight w:val="none"/>
          <w:lang w:val="zh-CN"/>
        </w:rPr>
        <w:t>投标保证金）：</w:t>
      </w:r>
    </w:p>
    <w:p w14:paraId="7A06DBC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 xml:space="preserve">3.5.1 </w:t>
      </w:r>
      <w:r>
        <w:rPr>
          <w:rFonts w:hint="eastAsia" w:ascii="宋体" w:hAnsi="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14:paraId="17DD9BD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3.5.2 未提供投标承诺函的为</w:t>
      </w:r>
      <w:r>
        <w:rPr>
          <w:rFonts w:hint="eastAsia" w:ascii="宋体" w:hAnsi="宋体"/>
          <w:b/>
          <w:bCs/>
          <w:color w:val="auto"/>
          <w:sz w:val="24"/>
          <w:szCs w:val="24"/>
          <w:highlight w:val="none"/>
        </w:rPr>
        <w:t>无效投标</w:t>
      </w:r>
      <w:r>
        <w:rPr>
          <w:rFonts w:hint="eastAsia" w:ascii="宋体" w:hAnsi="宋体"/>
          <w:color w:val="auto"/>
          <w:sz w:val="24"/>
          <w:szCs w:val="24"/>
          <w:highlight w:val="none"/>
        </w:rPr>
        <w:t>。</w:t>
      </w:r>
    </w:p>
    <w:p w14:paraId="0EBB036D">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3.5.3 投标人的投标承诺函包含投标人承诺的事项及违背承诺的责任追究措施。</w:t>
      </w:r>
    </w:p>
    <w:p w14:paraId="0828F07A">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 承诺事项：</w:t>
      </w:r>
    </w:p>
    <w:p w14:paraId="5E471ACB">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3.5.4.1、投标人应遵循公开、公平、公正和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的原则自愿参加项目的投标；</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3.5.4.2、投标人在政府采购活动中应提供真实、准确、有效、合法的材料，不</w:t>
      </w:r>
      <w:r>
        <w:rPr>
          <w:rFonts w:hint="eastAsia" w:ascii="宋体" w:hAnsi="宋体"/>
          <w:color w:val="auto"/>
          <w:sz w:val="24"/>
          <w:szCs w:val="24"/>
          <w:highlight w:val="none"/>
          <w:lang w:val="zh-CN"/>
        </w:rPr>
        <w:t>提供虚假材料；</w:t>
      </w:r>
    </w:p>
    <w:p w14:paraId="22AF41C4">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3.5.4.3、投标人</w:t>
      </w:r>
      <w:r>
        <w:rPr>
          <w:rFonts w:hint="eastAsia" w:ascii="宋体" w:hAnsi="宋体"/>
          <w:color w:val="auto"/>
          <w:sz w:val="24"/>
          <w:szCs w:val="24"/>
          <w:highlight w:val="none"/>
          <w:lang w:val="zh-CN"/>
        </w:rPr>
        <w:t>按照</w:t>
      </w:r>
      <w:r>
        <w:rPr>
          <w:rFonts w:hint="eastAsia" w:ascii="宋体" w:hAnsi="宋体"/>
          <w:color w:val="auto"/>
          <w:sz w:val="24"/>
          <w:szCs w:val="24"/>
          <w:highlight w:val="none"/>
        </w:rPr>
        <w:t>谈判</w:t>
      </w:r>
      <w:r>
        <w:rPr>
          <w:rFonts w:hint="eastAsia" w:ascii="宋体" w:hAnsi="宋体"/>
          <w:color w:val="auto"/>
          <w:sz w:val="24"/>
          <w:szCs w:val="24"/>
          <w:highlight w:val="none"/>
          <w:lang w:val="zh-CN"/>
        </w:rPr>
        <w:t>文件规定，在提交投标文件截止时间后，在</w:t>
      </w:r>
      <w:r>
        <w:rPr>
          <w:rFonts w:hint="eastAsia" w:ascii="宋体" w:hAnsi="宋体"/>
          <w:color w:val="auto"/>
          <w:sz w:val="24"/>
          <w:szCs w:val="24"/>
          <w:highlight w:val="none"/>
        </w:rPr>
        <w:t>谈判</w:t>
      </w:r>
      <w:r>
        <w:rPr>
          <w:rFonts w:hint="eastAsia" w:ascii="宋体" w:hAnsi="宋体"/>
          <w:color w:val="auto"/>
          <w:sz w:val="24"/>
          <w:szCs w:val="24"/>
          <w:highlight w:val="none"/>
          <w:lang w:val="zh-CN"/>
        </w:rPr>
        <w:t>文件规定的投标有效期限内不</w:t>
      </w:r>
      <w:r>
        <w:rPr>
          <w:rFonts w:hint="eastAsia" w:ascii="宋体" w:hAnsi="宋体"/>
          <w:color w:val="auto"/>
          <w:sz w:val="24"/>
          <w:szCs w:val="24"/>
          <w:highlight w:val="none"/>
        </w:rPr>
        <w:t>应</w:t>
      </w:r>
      <w:r>
        <w:rPr>
          <w:rFonts w:hint="eastAsia" w:ascii="宋体" w:hAnsi="宋体"/>
          <w:color w:val="auto"/>
          <w:sz w:val="24"/>
          <w:szCs w:val="24"/>
          <w:highlight w:val="none"/>
          <w:lang w:val="zh-CN"/>
        </w:rPr>
        <w:t>撤回投标文件；</w:t>
      </w:r>
    </w:p>
    <w:p w14:paraId="027B0FAE">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3.5.4.4、不应</w:t>
      </w:r>
      <w:r>
        <w:rPr>
          <w:rFonts w:hint="eastAsia" w:ascii="宋体" w:hAnsi="宋体"/>
          <w:color w:val="auto"/>
          <w:sz w:val="24"/>
          <w:szCs w:val="24"/>
          <w:highlight w:val="none"/>
          <w:lang w:val="zh-CN"/>
        </w:rPr>
        <w:t>与其他投标人、采购人或采购代理机构串通或恶意串通。</w:t>
      </w:r>
    </w:p>
    <w:p w14:paraId="34310FEB">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3.5.4.5、中标后</w:t>
      </w:r>
      <w:r>
        <w:rPr>
          <w:rFonts w:hint="eastAsia" w:ascii="宋体" w:hAnsi="宋体"/>
          <w:color w:val="auto"/>
          <w:sz w:val="24"/>
          <w:szCs w:val="24"/>
          <w:highlight w:val="none"/>
          <w:lang w:val="zh-CN"/>
        </w:rPr>
        <w:t>除不可抗拒力或谈判文件认可的情形外</w:t>
      </w:r>
      <w:r>
        <w:rPr>
          <w:rFonts w:hint="eastAsia" w:ascii="宋体" w:hAnsi="宋体"/>
          <w:color w:val="auto"/>
          <w:sz w:val="24"/>
          <w:szCs w:val="24"/>
          <w:highlight w:val="none"/>
        </w:rPr>
        <w:t>，投标人应及时领取中标通知书，</w:t>
      </w:r>
      <w:r>
        <w:rPr>
          <w:rFonts w:hint="eastAsia" w:ascii="宋体" w:hAnsi="宋体"/>
          <w:color w:val="auto"/>
          <w:sz w:val="24"/>
          <w:szCs w:val="24"/>
          <w:highlight w:val="none"/>
          <w:lang w:val="zh-CN"/>
        </w:rPr>
        <w:t>在成交通知书规定时间、地点与采购人签订合同；</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3.5.4.6、投标人应</w:t>
      </w:r>
      <w:r>
        <w:rPr>
          <w:rFonts w:hint="eastAsia" w:ascii="宋体" w:hAnsi="宋体"/>
          <w:color w:val="auto"/>
          <w:sz w:val="24"/>
          <w:szCs w:val="24"/>
          <w:highlight w:val="none"/>
          <w:lang w:val="zh-CN"/>
        </w:rPr>
        <w:t>遵守法律法规及</w:t>
      </w:r>
      <w:r>
        <w:rPr>
          <w:rFonts w:hint="eastAsia" w:ascii="宋体" w:hAnsi="宋体"/>
          <w:color w:val="auto"/>
          <w:sz w:val="24"/>
          <w:szCs w:val="24"/>
          <w:highlight w:val="none"/>
        </w:rPr>
        <w:t>谈判</w:t>
      </w:r>
      <w:r>
        <w:rPr>
          <w:rFonts w:hint="eastAsia" w:ascii="宋体" w:hAnsi="宋体"/>
          <w:color w:val="auto"/>
          <w:sz w:val="24"/>
          <w:szCs w:val="24"/>
          <w:highlight w:val="none"/>
          <w:lang w:val="zh-CN"/>
        </w:rPr>
        <w:t>文件规定的其他情况；</w:t>
      </w:r>
    </w:p>
    <w:p w14:paraId="39DAACC8">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3.5.4.7、投标人应按谈判文件规定及时缴纳中标服务费。</w:t>
      </w:r>
    </w:p>
    <w:p w14:paraId="67A2730E">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 违背承诺的责任追究措施</w:t>
      </w:r>
    </w:p>
    <w:p w14:paraId="3ADAFB50">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投标人如违背上述承诺事项，应无条件接受以下责任追究：</w:t>
      </w:r>
    </w:p>
    <w:p w14:paraId="5DE721C0">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3.5.5.1</w:t>
      </w:r>
      <w:r>
        <w:rPr>
          <w:rFonts w:hint="eastAsia" w:ascii="宋体" w:hAnsi="宋体"/>
          <w:color w:val="auto"/>
          <w:sz w:val="24"/>
          <w:szCs w:val="24"/>
          <w:highlight w:val="none"/>
          <w:lang w:val="zh-CN"/>
        </w:rPr>
        <w:t>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20AFB5C5">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给采购人及他人造成损失的，应承担相应的赔偿责任。</w:t>
      </w:r>
    </w:p>
    <w:p w14:paraId="0A045C59">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w:t>
      </w:r>
      <w:r>
        <w:rPr>
          <w:rFonts w:hint="eastAsia" w:ascii="宋体" w:hAnsi="宋体"/>
          <w:color w:val="auto"/>
          <w:sz w:val="24"/>
          <w:szCs w:val="24"/>
          <w:highlight w:val="none"/>
          <w:lang w:val="zh-CN"/>
        </w:rPr>
        <w:t>违约责任：</w:t>
      </w:r>
      <w:r>
        <w:rPr>
          <w:rFonts w:hint="eastAsia" w:ascii="宋体" w:hAnsi="宋体"/>
          <w:color w:val="auto"/>
          <w:sz w:val="24"/>
          <w:szCs w:val="24"/>
          <w:highlight w:val="none"/>
        </w:rPr>
        <w:t xml:space="preserve"> </w:t>
      </w:r>
    </w:p>
    <w:p w14:paraId="534B072A">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3.5.5.2.1 已中标的，中标（成交）无效；</w:t>
      </w:r>
    </w:p>
    <w:p w14:paraId="1C5A88DA">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3.5.5.2.2 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14:paraId="0B63EE77">
      <w:pPr>
        <w:widowControl w:val="0"/>
        <w:tabs>
          <w:tab w:val="left" w:pos="65"/>
        </w:tabs>
        <w:spacing w:line="460" w:lineRule="atLeast"/>
        <w:ind w:firstLine="480" w:firstLineChars="200"/>
        <w:textAlignment w:val="auto"/>
        <w:rPr>
          <w:rFonts w:ascii="宋体" w:cs="楷体_GB2312"/>
          <w:color w:val="auto"/>
          <w:sz w:val="24"/>
          <w:highlight w:val="none"/>
          <w:lang w:val="zh-CN"/>
        </w:rPr>
      </w:pPr>
      <w:r>
        <w:rPr>
          <w:rFonts w:hint="eastAsia" w:ascii="宋体" w:hAnsi="宋体"/>
          <w:color w:val="auto"/>
          <w:sz w:val="24"/>
          <w:szCs w:val="24"/>
          <w:highlight w:val="none"/>
        </w:rPr>
        <w:t>3.5.5.2.3中标后未缴中标服</w:t>
      </w:r>
      <w:r>
        <w:rPr>
          <w:rFonts w:hint="eastAsia"/>
          <w:color w:val="auto"/>
          <w:sz w:val="24"/>
          <w:highlight w:val="none"/>
        </w:rPr>
        <w:t>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原则，在履行承诺前，代理机构将视该单位为失信企业、不予办理其后相关业务。</w:t>
      </w:r>
    </w:p>
    <w:p w14:paraId="0546F7BA">
      <w:pPr>
        <w:autoSpaceDE w:val="0"/>
        <w:autoSpaceDN w:val="0"/>
        <w:adjustRightInd w:val="0"/>
        <w:spacing w:before="156" w:beforeLines="50" w:line="360" w:lineRule="auto"/>
        <w:ind w:firstLine="539"/>
        <w:rPr>
          <w:rFonts w:ascii="黑体" w:hAnsi="黑体" w:eastAsia="黑体" w:cs="楷体_GB2312"/>
          <w:b/>
          <w:bCs/>
          <w:color w:val="auto"/>
          <w:sz w:val="28"/>
          <w:szCs w:val="28"/>
          <w:highlight w:val="none"/>
          <w:lang w:val="zh-CN"/>
        </w:rPr>
      </w:pPr>
      <w:r>
        <w:rPr>
          <w:rFonts w:ascii="黑体" w:hAnsi="黑体" w:eastAsia="黑体" w:cs="楷体_GB2312"/>
          <w:b/>
          <w:color w:val="auto"/>
          <w:sz w:val="24"/>
          <w:highlight w:val="none"/>
          <w:lang w:val="zh-CN"/>
        </w:rPr>
        <w:t xml:space="preserve">3.6 </w:t>
      </w:r>
      <w:r>
        <w:rPr>
          <w:rFonts w:hint="eastAsia" w:ascii="黑体" w:hAnsi="黑体" w:eastAsia="黑体" w:cs="楷体_GB2312"/>
          <w:b/>
          <w:color w:val="auto"/>
          <w:sz w:val="24"/>
          <w:highlight w:val="none"/>
          <w:lang w:val="zh-CN"/>
        </w:rPr>
        <w:t>投标资格文件：</w:t>
      </w:r>
      <w:r>
        <w:rPr>
          <w:rFonts w:hint="eastAsia" w:ascii="宋体" w:hAnsi="宋体" w:cs="楷体_GB2312"/>
          <w:color w:val="auto"/>
          <w:sz w:val="24"/>
          <w:highlight w:val="none"/>
          <w:lang w:val="zh-CN"/>
        </w:rPr>
        <w:t>要求见谈判公告</w:t>
      </w:r>
    </w:p>
    <w:p w14:paraId="264282C1">
      <w:pPr>
        <w:topLinePunct/>
        <w:adjustRightInd w:val="0"/>
        <w:snapToGrid w:val="0"/>
        <w:spacing w:before="156" w:beforeLines="50" w:line="300" w:lineRule="auto"/>
        <w:ind w:left="561" w:leftChars="267" w:firstLine="5" w:firstLineChars="2"/>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3.7</w:t>
      </w:r>
      <w:r>
        <w:rPr>
          <w:rFonts w:hint="eastAsia" w:ascii="黑体" w:hAnsi="黑体" w:eastAsia="黑体" w:cs="楷体_GB2312"/>
          <w:b/>
          <w:color w:val="auto"/>
          <w:sz w:val="24"/>
          <w:highlight w:val="none"/>
          <w:lang w:val="zh-CN"/>
        </w:rPr>
        <w:t>投标文件的编制</w:t>
      </w:r>
    </w:p>
    <w:p w14:paraId="0B2562EE">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3.7.1</w:t>
      </w:r>
      <w:r>
        <w:rPr>
          <w:rFonts w:hint="eastAsia" w:ascii="宋体" w:hAnsi="宋体" w:cs="楷体_GB2312"/>
          <w:color w:val="auto"/>
          <w:sz w:val="24"/>
          <w:highlight w:val="none"/>
          <w:lang w:val="zh-CN"/>
        </w:rPr>
        <w:t>投标文件（响应文件）应按第六章“投标文件格式”进行编写，如有必要，可以增加附页，作为投标文件（响应文件）的组成部分。谈判文件中未列明格式的，由投标人按一般通用格式自行设计编写。</w:t>
      </w:r>
    </w:p>
    <w:p w14:paraId="771E6745">
      <w:pPr>
        <w:widowControl w:val="0"/>
        <w:adjustRightInd w:val="0"/>
        <w:spacing w:before="156" w:beforeLines="50" w:line="30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投标文件编制后，</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4E1B5317">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 xml:space="preserve">3.7.2 </w:t>
      </w:r>
      <w:r>
        <w:rPr>
          <w:rFonts w:hint="eastAsia" w:ascii="宋体" w:hAnsi="宋体" w:cs="楷体_GB2312"/>
          <w:color w:val="auto"/>
          <w:sz w:val="24"/>
          <w:highlight w:val="none"/>
          <w:lang w:val="zh-CN"/>
        </w:rPr>
        <w:t>“投标文件格式”仅为对投标文件（响应文件）部分内容的格式化规范，并非投标文件所应具备的全部内容。投标人应按本章“</w:t>
      </w:r>
      <w:r>
        <w:rPr>
          <w:rFonts w:ascii="宋体" w:hAnsi="宋体" w:cs="楷体_GB2312"/>
          <w:color w:val="auto"/>
          <w:sz w:val="24"/>
          <w:highlight w:val="none"/>
          <w:lang w:val="zh-CN"/>
        </w:rPr>
        <w:t>3.2</w:t>
      </w:r>
      <w:r>
        <w:rPr>
          <w:rFonts w:hint="eastAsia" w:ascii="宋体" w:hAnsi="宋体" w:cs="楷体_GB2312"/>
          <w:color w:val="auto"/>
          <w:sz w:val="24"/>
          <w:highlight w:val="none"/>
          <w:lang w:val="zh-CN"/>
        </w:rPr>
        <w:t>投标文件的组成”列示内容编制投标文件（响应文件）。</w:t>
      </w:r>
    </w:p>
    <w:p w14:paraId="0EB7D90B">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w:t>
      </w:r>
      <w:r>
        <w:rPr>
          <w:rFonts w:asci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文件（响应文件）应当对谈判文件有关标段（包）内容（范围）、技术要求、售后服务、服务期、投标有效期等实质性内容作出响应。在满足谈判文件实质性要求的基础上，可以提出比谈判文件要求更有利于采购人的承诺。并符合谈判文件偏差规定。</w:t>
      </w:r>
    </w:p>
    <w:p w14:paraId="27E6201C">
      <w:pPr>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ascii="宋体" w:hAnsi="宋体" w:cs="楷体_GB2312"/>
          <w:color w:val="auto"/>
          <w:sz w:val="24"/>
          <w:highlight w:val="none"/>
          <w:lang w:val="zh-CN"/>
        </w:rPr>
        <w:t>投标文件（响应文件）的所有条款与谈判文件要求有任何不同之处，应按《偏差表》格式逐一填列。投标文件（响应文件）与谈判文件所有要求存在偏差而未填列的，谈判小组有权按照实质性判断原则（实质性要求和实质性响应两因素）评定其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。投标人应认真编制投标文件（响应文件）并自负此项风险。</w:t>
      </w:r>
    </w:p>
    <w:p w14:paraId="18214859">
      <w:pPr>
        <w:autoSpaceDE w:val="0"/>
        <w:autoSpaceDN w:val="0"/>
        <w:adjustRightInd w:val="0"/>
        <w:snapToGrid w:val="0"/>
        <w:spacing w:before="156" w:beforeLines="50" w:line="300" w:lineRule="auto"/>
        <w:ind w:firstLine="539"/>
        <w:rPr>
          <w:rFonts w:ascii="宋体" w:cs="楷体_GB2312"/>
          <w:b/>
          <w:color w:val="auto"/>
          <w:sz w:val="24"/>
          <w:highlight w:val="none"/>
        </w:rPr>
      </w:pPr>
      <w:r>
        <w:rPr>
          <w:rFonts w:ascii="宋体" w:hAnsi="宋体" w:cs="楷体_GB2312"/>
          <w:b/>
          <w:color w:val="auto"/>
          <w:sz w:val="24"/>
          <w:highlight w:val="none"/>
          <w:lang w:val="zh-CN"/>
        </w:rPr>
        <w:t>3.7.</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投标文件（响应文件）</w:t>
      </w:r>
      <w:r>
        <w:rPr>
          <w:rFonts w:hint="eastAsia" w:ascii="宋体" w:hAnsi="宋体" w:cs="楷体_GB2312"/>
          <w:b/>
          <w:color w:val="auto"/>
          <w:sz w:val="24"/>
          <w:highlight w:val="none"/>
        </w:rPr>
        <w:t>应</w:t>
      </w:r>
      <w:r>
        <w:rPr>
          <w:rFonts w:hint="eastAsia" w:ascii="宋体" w:hAnsi="宋体" w:cs="楷体_GB2312"/>
          <w:b/>
          <w:color w:val="auto"/>
          <w:sz w:val="24"/>
          <w:highlight w:val="none"/>
          <w:lang w:val="zh-CN"/>
        </w:rPr>
        <w:t>按谈判文件相关要求（含格式上标注的要求）、</w:t>
      </w:r>
      <w:r>
        <w:rPr>
          <w:rFonts w:hint="eastAsia" w:ascii="宋体" w:hAnsi="宋体" w:cs="楷体_GB2312"/>
          <w:b/>
          <w:color w:val="auto"/>
          <w:sz w:val="24"/>
          <w:highlight w:val="none"/>
        </w:rPr>
        <w:t>使用供应商企业数字证书进行电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签章和供应商法定代表人数字证书进行电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签名（签章）、并加密，没有使用供应商企业数字证书和供应商法定代表人数字证书进行电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签名（签章）并加密的响应文件，属于未按照谈判文件要求进行签署。</w:t>
      </w:r>
    </w:p>
    <w:p w14:paraId="5EC9332D">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hAnsi="宋体" w:cs="楷体_GB2312"/>
          <w:b/>
          <w:color w:val="auto"/>
          <w:sz w:val="24"/>
          <w:highlight w:val="none"/>
        </w:rPr>
        <w:t>根据《中华人民共和国电子签名法》规定，可靠的电子签名与手写签名或者盖章具有同等的法律效力。本次采购活动中，供应商使用有效的企业数字证书对响应文件进行电子签章与加盖投标</w:t>
      </w:r>
      <w:r>
        <w:rPr>
          <w:rFonts w:ascii="宋体" w:hAnsi="宋体" w:cs="楷体_GB2312"/>
          <w:b/>
          <w:color w:val="auto"/>
          <w:sz w:val="24"/>
          <w:highlight w:val="none"/>
        </w:rPr>
        <w:t>人公</w:t>
      </w:r>
      <w:r>
        <w:rPr>
          <w:rFonts w:hint="eastAsia" w:ascii="宋体" w:hAnsi="宋体" w:cs="楷体_GB2312"/>
          <w:b/>
          <w:color w:val="auto"/>
          <w:sz w:val="24"/>
          <w:highlight w:val="none"/>
        </w:rPr>
        <w:t>章具有同等法律效力；供应商法定代表人使用有效的个人数字证书对响应文件进行签名（签章）与法人签章具有同等法律效力。</w:t>
      </w:r>
    </w:p>
    <w:p w14:paraId="32F73B0C">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3.7.5</w:t>
      </w:r>
      <w:r>
        <w:rPr>
          <w:rFonts w:hint="eastAsia" w:ascii="宋体" w:hAnsi="宋体" w:cs="楷体_GB2312"/>
          <w:color w:val="auto"/>
          <w:sz w:val="24"/>
          <w:highlight w:val="none"/>
          <w:lang w:val="zh-CN"/>
        </w:rPr>
        <w:t>投标人可对本谈判文件“标段（包）一览表”中所列的所有标段（包）进行分别投标，也可选择其中一个标段（包）或几个标段（包）投标，但不得将谈判文件规定的同一标段（包）的内容拆开投标，否则将按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处理。</w:t>
      </w:r>
    </w:p>
    <w:p w14:paraId="11375E3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3.7.6 </w:t>
      </w:r>
      <w:r>
        <w:rPr>
          <w:rFonts w:hint="eastAsia" w:ascii="宋体" w:hAnsi="宋体" w:cs="楷体_GB2312"/>
          <w:color w:val="auto"/>
          <w:sz w:val="24"/>
          <w:highlight w:val="none"/>
          <w:lang w:val="zh-CN"/>
        </w:rPr>
        <w:t>投标文件（响应文件）因字迹或表述不清所引起的后果由投标人自行负责。</w:t>
      </w:r>
    </w:p>
    <w:p w14:paraId="28428C2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3.7.7 </w:t>
      </w:r>
      <w:r>
        <w:rPr>
          <w:rFonts w:hint="eastAsia" w:ascii="宋体" w:hAnsi="宋体" w:cs="楷体_GB2312"/>
          <w:color w:val="auto"/>
          <w:sz w:val="24"/>
          <w:highlight w:val="none"/>
          <w:lang w:val="zh-CN"/>
        </w:rPr>
        <w:t>未按上述要求提供的投标文件（响应文件）将视为</w:t>
      </w:r>
      <w:r>
        <w:rPr>
          <w:rFonts w:hint="eastAsia" w:ascii="宋体" w:hAnsi="宋体" w:cs="楷体_GB2312"/>
          <w:b/>
          <w:color w:val="auto"/>
          <w:sz w:val="24"/>
          <w:highlight w:val="none"/>
          <w:lang w:val="zh-CN"/>
        </w:rPr>
        <w:t>无效投标。</w:t>
      </w:r>
    </w:p>
    <w:p w14:paraId="0F6363BD">
      <w:pPr>
        <w:autoSpaceDE w:val="0"/>
        <w:autoSpaceDN w:val="0"/>
        <w:adjustRightInd w:val="0"/>
        <w:spacing w:line="360" w:lineRule="auto"/>
        <w:ind w:firstLine="539"/>
        <w:rPr>
          <w:rFonts w:ascii="黑体" w:hAnsi="黑体" w:eastAsia="黑体" w:cs="楷体_GB2312"/>
          <w:b/>
          <w:bCs/>
          <w:color w:val="auto"/>
          <w:sz w:val="28"/>
          <w:szCs w:val="28"/>
          <w:highlight w:val="none"/>
          <w:lang w:val="zh-CN"/>
        </w:rPr>
      </w:pPr>
    </w:p>
    <w:p w14:paraId="42ADD73B">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9" w:name="_Toc65679383"/>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投标（响应文件的递交）</w:t>
      </w:r>
      <w:bookmarkEnd w:id="19"/>
    </w:p>
    <w:p w14:paraId="4E9F3FC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4.1 </w:t>
      </w:r>
      <w:r>
        <w:rPr>
          <w:rFonts w:hint="eastAsia" w:ascii="黑体" w:hAnsi="黑体" w:eastAsia="黑体" w:cs="楷体_GB2312"/>
          <w:b/>
          <w:color w:val="auto"/>
          <w:sz w:val="24"/>
          <w:highlight w:val="none"/>
          <w:lang w:val="zh-CN"/>
        </w:rPr>
        <w:t>投标文件（响应文件）的加</w:t>
      </w:r>
      <w:r>
        <w:rPr>
          <w:rFonts w:ascii="黑体" w:hAnsi="黑体" w:eastAsia="黑体" w:cs="楷体_GB2312"/>
          <w:b/>
          <w:color w:val="auto"/>
          <w:sz w:val="24"/>
          <w:highlight w:val="none"/>
          <w:lang w:val="zh-CN"/>
        </w:rPr>
        <w:t>密</w:t>
      </w:r>
      <w:r>
        <w:rPr>
          <w:rFonts w:hint="eastAsia" w:ascii="黑体" w:hAnsi="黑体" w:eastAsia="黑体" w:cs="楷体_GB2312"/>
          <w:b/>
          <w:color w:val="auto"/>
          <w:sz w:val="24"/>
          <w:highlight w:val="none"/>
          <w:lang w:val="zh-CN"/>
        </w:rPr>
        <w:t>和标记：</w:t>
      </w:r>
    </w:p>
    <w:p w14:paraId="5DA4F24B">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0" w:name="OLE_LINK2"/>
      <w:r>
        <w:rPr>
          <w:rFonts w:ascii="宋体" w:hAnsi="宋体" w:cs="楷体_GB2312"/>
          <w:b/>
          <w:color w:val="auto"/>
          <w:sz w:val="24"/>
          <w:highlight w:val="none"/>
          <w:lang w:val="zh-CN"/>
        </w:rPr>
        <w:t xml:space="preserve">4.1.1 </w:t>
      </w:r>
      <w:r>
        <w:rPr>
          <w:rFonts w:hint="eastAsia" w:ascii="宋体" w:hAnsi="宋体" w:cs="楷体_GB2312"/>
          <w:b/>
          <w:color w:val="auto"/>
          <w:sz w:val="24"/>
          <w:highlight w:val="none"/>
          <w:lang w:val="zh-CN"/>
        </w:rPr>
        <w:t>投标文件（响应文件）应</w:t>
      </w:r>
      <w:r>
        <w:rPr>
          <w:rFonts w:ascii="宋体" w:hAnsi="宋体" w:cs="楷体_GB2312"/>
          <w:b/>
          <w:color w:val="auto"/>
          <w:sz w:val="24"/>
          <w:highlight w:val="none"/>
          <w:lang w:val="zh-CN"/>
        </w:rPr>
        <w:t>当</w:t>
      </w:r>
      <w:r>
        <w:rPr>
          <w:rFonts w:hint="eastAsia" w:ascii="宋体" w:hAnsi="宋体" w:cs="楷体_GB2312"/>
          <w:b/>
          <w:color w:val="auto"/>
          <w:sz w:val="24"/>
          <w:highlight w:val="none"/>
          <w:lang w:val="zh-CN"/>
        </w:rPr>
        <w:t>按网上电子交易系统要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进行</w:t>
      </w:r>
      <w:r>
        <w:rPr>
          <w:rFonts w:ascii="宋体" w:hAnsi="宋体" w:cs="楷体_GB2312"/>
          <w:b/>
          <w:color w:val="auto"/>
          <w:sz w:val="24"/>
          <w:highlight w:val="none"/>
          <w:lang w:val="zh-CN"/>
        </w:rPr>
        <w:t>加密</w:t>
      </w:r>
      <w:r>
        <w:rPr>
          <w:rFonts w:hint="eastAsia" w:ascii="宋体" w:hAnsi="宋体" w:cs="楷体_GB2312"/>
          <w:b/>
          <w:color w:val="auto"/>
          <w:sz w:val="24"/>
          <w:highlight w:val="none"/>
          <w:lang w:val="zh-CN"/>
        </w:rPr>
        <w:t>和标记，</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投标文件（响应文件）提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w:t>
      </w:r>
      <w:r>
        <w:rPr>
          <w:rFonts w:ascii="宋体" w:hAnsi="宋体" w:cs="楷体_GB2312"/>
          <w:b/>
          <w:color w:val="auto"/>
          <w:sz w:val="24"/>
          <w:highlight w:val="none"/>
          <w:lang w:val="zh-CN"/>
        </w:rPr>
        <w:t>加密的</w:t>
      </w:r>
      <w:r>
        <w:rPr>
          <w:rFonts w:hint="eastAsia" w:ascii="宋体" w:hAnsi="宋体" w:cs="楷体_GB2312"/>
          <w:b/>
          <w:color w:val="auto"/>
          <w:sz w:val="24"/>
          <w:highlight w:val="none"/>
          <w:lang w:val="zh-CN"/>
        </w:rPr>
        <w:t>投标文件（响应文件）</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传至谈判公告所述网上电子交易系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14:paraId="55C98431">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1" w:name="OLE_LINK1"/>
      <w:r>
        <w:rPr>
          <w:rFonts w:ascii="宋体" w:hAnsi="宋体" w:cs="楷体_GB2312"/>
          <w:b/>
          <w:color w:val="auto"/>
          <w:sz w:val="24"/>
          <w:highlight w:val="none"/>
          <w:lang w:val="zh-CN"/>
        </w:rPr>
        <w:t xml:space="preserve">4.1.2 </w:t>
      </w:r>
      <w:r>
        <w:rPr>
          <w:rFonts w:hint="eastAsia" w:ascii="宋体" w:hAnsi="宋体" w:cs="楷体_GB2312"/>
          <w:b/>
          <w:color w:val="auto"/>
          <w:sz w:val="24"/>
          <w:highlight w:val="none"/>
          <w:lang w:val="zh-CN"/>
        </w:rPr>
        <w:t>投标文件（响应文件）没有按照上述要求进行</w:t>
      </w:r>
      <w:r>
        <w:rPr>
          <w:rFonts w:ascii="宋体" w:hAnsi="宋体" w:cs="楷体_GB2312"/>
          <w:b/>
          <w:color w:val="auto"/>
          <w:sz w:val="24"/>
          <w:highlight w:val="none"/>
          <w:lang w:val="zh-CN"/>
        </w:rPr>
        <w:t>加密</w:t>
      </w:r>
      <w:r>
        <w:rPr>
          <w:rFonts w:hint="eastAsia" w:ascii="黑体" w:hAnsi="黑体" w:eastAsia="黑体" w:cs="楷体_GB2312"/>
          <w:b/>
          <w:color w:val="auto"/>
          <w:sz w:val="24"/>
          <w:highlight w:val="none"/>
          <w:lang w:val="zh-CN"/>
        </w:rPr>
        <w:t>和标记</w:t>
      </w:r>
      <w:r>
        <w:rPr>
          <w:rFonts w:hint="eastAsia" w:ascii="宋体" w:hAnsi="宋体" w:cs="楷体_GB2312"/>
          <w:b/>
          <w:color w:val="auto"/>
          <w:sz w:val="24"/>
          <w:highlight w:val="none"/>
          <w:lang w:val="zh-CN"/>
        </w:rPr>
        <w:t>的、网上电子交易系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将</w:t>
      </w:r>
      <w:r>
        <w:rPr>
          <w:rFonts w:ascii="宋体" w:hAnsi="宋体" w:cs="楷体_GB2312"/>
          <w:b/>
          <w:color w:val="auto"/>
          <w:sz w:val="24"/>
          <w:highlight w:val="none"/>
          <w:lang w:val="zh-CN"/>
        </w:rPr>
        <w:t>据系统设定</w:t>
      </w:r>
      <w:r>
        <w:rPr>
          <w:rFonts w:hint="eastAsia" w:ascii="宋体" w:hAnsi="宋体" w:cs="楷体_GB2312"/>
          <w:b/>
          <w:color w:val="auto"/>
          <w:sz w:val="24"/>
          <w:highlight w:val="none"/>
          <w:lang w:val="zh-CN"/>
        </w:rPr>
        <w:t>拒收其投标文件（响应文件），投标人应自负该项风险，采购代理机构对可能产</w:t>
      </w:r>
      <w:r>
        <w:rPr>
          <w:rFonts w:ascii="宋体" w:hAnsi="宋体" w:cs="楷体_GB2312"/>
          <w:b/>
          <w:color w:val="auto"/>
          <w:sz w:val="24"/>
          <w:highlight w:val="none"/>
          <w:lang w:val="zh-CN"/>
        </w:rPr>
        <w:t>生的</w:t>
      </w:r>
      <w:r>
        <w:rPr>
          <w:rFonts w:hint="eastAsia" w:ascii="宋体" w:hAnsi="宋体" w:cs="楷体_GB2312"/>
          <w:b/>
          <w:color w:val="auto"/>
          <w:sz w:val="24"/>
          <w:highlight w:val="none"/>
          <w:lang w:val="zh-CN"/>
        </w:rPr>
        <w:t>误投或提前启封概不负责。</w:t>
      </w:r>
      <w:bookmarkEnd w:id="20"/>
      <w:bookmarkEnd w:id="21"/>
      <w:bookmarkStart w:id="22" w:name="_Toc296602445"/>
    </w:p>
    <w:p w14:paraId="54A7420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4.2 </w:t>
      </w:r>
      <w:r>
        <w:rPr>
          <w:rFonts w:hint="eastAsia" w:ascii="黑体" w:hAnsi="黑体" w:eastAsia="黑体" w:cs="楷体_GB2312"/>
          <w:b/>
          <w:color w:val="auto"/>
          <w:sz w:val="24"/>
          <w:highlight w:val="none"/>
          <w:lang w:val="zh-CN"/>
        </w:rPr>
        <w:t>投标文件的递交</w:t>
      </w:r>
      <w:bookmarkEnd w:id="22"/>
    </w:p>
    <w:p w14:paraId="663E517B">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4.2.1</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098E8B11">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4.2.2 </w:t>
      </w:r>
      <w:r>
        <w:rPr>
          <w:rFonts w:hint="eastAsia" w:ascii="宋体" w:hAnsi="宋体" w:cs="楷体_GB2312"/>
          <w:b/>
          <w:color w:val="auto"/>
          <w:sz w:val="24"/>
          <w:highlight w:val="none"/>
          <w:lang w:val="zh-CN"/>
        </w:rPr>
        <w:t>据网上电子交易系统设</w:t>
      </w:r>
      <w:r>
        <w:rPr>
          <w:rFonts w:ascii="宋体" w:hAnsi="宋体" w:cs="楷体_GB2312"/>
          <w:b/>
          <w:color w:val="auto"/>
          <w:sz w:val="24"/>
          <w:highlight w:val="none"/>
          <w:lang w:val="zh-CN"/>
        </w:rPr>
        <w:t>定，</w:t>
      </w:r>
      <w:r>
        <w:rPr>
          <w:rFonts w:hint="eastAsia" w:ascii="宋体" w:hAnsi="宋体" w:cs="楷体_GB2312"/>
          <w:b/>
          <w:color w:val="auto"/>
          <w:sz w:val="24"/>
          <w:highlight w:val="none"/>
          <w:lang w:val="zh-CN"/>
        </w:rPr>
        <w:t>投标文件（响应文件）提交截止时间后，系统将自动锁定已经提交的电子投标文件（响应文件），拒绝再次提交。投</w:t>
      </w:r>
      <w:r>
        <w:rPr>
          <w:rFonts w:ascii="宋体" w:hAnsi="宋体" w:cs="楷体_GB2312"/>
          <w:b/>
          <w:color w:val="auto"/>
          <w:sz w:val="24"/>
          <w:highlight w:val="none"/>
          <w:lang w:val="zh-CN"/>
        </w:rPr>
        <w:t>标人</w:t>
      </w:r>
      <w:r>
        <w:rPr>
          <w:rFonts w:hint="eastAsia" w:ascii="宋体" w:hAnsi="宋体" w:cs="楷体_GB2312"/>
          <w:b/>
          <w:color w:val="auto"/>
          <w:sz w:val="24"/>
          <w:highlight w:val="none"/>
          <w:lang w:val="zh-CN"/>
        </w:rPr>
        <w:t>将无法通过网上电子交易系统进行上传，采购代理机构将无法接受并拒绝接受投标截止时间以后提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的投标文件（响应文件）</w:t>
      </w:r>
    </w:p>
    <w:p w14:paraId="747DA347">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4.2.3 </w:t>
      </w:r>
      <w:r>
        <w:rPr>
          <w:rFonts w:hint="eastAsia" w:ascii="宋体" w:hAnsi="宋体" w:cs="楷体_GB2312"/>
          <w:color w:val="auto"/>
          <w:sz w:val="24"/>
          <w:highlight w:val="none"/>
          <w:lang w:val="zh-CN"/>
        </w:rPr>
        <w:t>由于不可抗拒的原因，代理机构对投标文件（响应文件）的遗失和损坏不负任何责任。</w:t>
      </w:r>
    </w:p>
    <w:p w14:paraId="717B9E9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4.2.4 </w:t>
      </w:r>
      <w:r>
        <w:rPr>
          <w:rFonts w:hint="eastAsia" w:ascii="宋体" w:hAnsi="宋体" w:cs="楷体_GB2312"/>
          <w:color w:val="auto"/>
          <w:sz w:val="24"/>
          <w:highlight w:val="none"/>
          <w:lang w:val="zh-CN"/>
        </w:rPr>
        <w:t>除投标人须知前附表另有规定外，投标人所递交的投标文件（响应文件）不予退还。</w:t>
      </w:r>
    </w:p>
    <w:p w14:paraId="14852C9A">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4.2.5 </w:t>
      </w:r>
      <w:r>
        <w:rPr>
          <w:rFonts w:hint="eastAsia" w:ascii="宋体" w:hAnsi="宋体" w:cs="楷体_GB2312"/>
          <w:b/>
          <w:color w:val="auto"/>
          <w:sz w:val="24"/>
          <w:highlight w:val="none"/>
          <w:lang w:val="zh-CN"/>
        </w:rPr>
        <w:t>基于</w:t>
      </w:r>
      <w:r>
        <w:rPr>
          <w:rFonts w:ascii="宋体" w:hAnsi="宋体" w:cs="楷体_GB2312"/>
          <w:b/>
          <w:color w:val="auto"/>
          <w:sz w:val="24"/>
          <w:highlight w:val="none"/>
          <w:lang w:val="zh-CN"/>
        </w:rPr>
        <w:t>网上电子交易的</w:t>
      </w:r>
      <w:r>
        <w:rPr>
          <w:rFonts w:hint="eastAsia" w:ascii="宋体" w:hAnsi="宋体" w:cs="楷体_GB2312"/>
          <w:b/>
          <w:color w:val="auto"/>
          <w:sz w:val="24"/>
          <w:highlight w:val="none"/>
          <w:lang w:val="zh-CN"/>
        </w:rPr>
        <w:t>系统</w:t>
      </w:r>
      <w:r>
        <w:rPr>
          <w:rFonts w:ascii="宋体" w:hAnsi="宋体" w:cs="楷体_GB2312"/>
          <w:b/>
          <w:color w:val="auto"/>
          <w:sz w:val="24"/>
          <w:highlight w:val="none"/>
          <w:lang w:val="zh-CN"/>
        </w:rPr>
        <w:t>要求及</w:t>
      </w:r>
      <w:r>
        <w:rPr>
          <w:rFonts w:hint="eastAsia" w:ascii="宋体" w:hAnsi="宋体" w:cs="楷体_GB2312"/>
          <w:b/>
          <w:color w:val="auto"/>
          <w:sz w:val="24"/>
          <w:highlight w:val="none"/>
          <w:lang w:val="zh-CN"/>
        </w:rPr>
        <w:t>特点</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只</w:t>
      </w:r>
      <w:r>
        <w:rPr>
          <w:rFonts w:ascii="宋体" w:hAnsi="宋体" w:cs="楷体_GB2312"/>
          <w:b/>
          <w:color w:val="auto"/>
          <w:sz w:val="24"/>
          <w:highlight w:val="none"/>
          <w:lang w:val="zh-CN"/>
        </w:rPr>
        <w:t>接受基于</w:t>
      </w:r>
      <w:r>
        <w:rPr>
          <w:rFonts w:hint="eastAsia" w:ascii="宋体" w:hAnsi="宋体" w:cs="楷体_GB2312"/>
          <w:b/>
          <w:color w:val="auto"/>
          <w:sz w:val="24"/>
          <w:highlight w:val="none"/>
          <w:lang w:val="zh-CN"/>
        </w:rPr>
        <w:t>符</w:t>
      </w:r>
      <w:r>
        <w:rPr>
          <w:rFonts w:ascii="宋体" w:hAnsi="宋体" w:cs="楷体_GB2312"/>
          <w:b/>
          <w:color w:val="auto"/>
          <w:sz w:val="24"/>
          <w:highlight w:val="none"/>
          <w:lang w:val="zh-CN"/>
        </w:rPr>
        <w:t>合</w:t>
      </w:r>
      <w:r>
        <w:rPr>
          <w:rFonts w:hint="eastAsia" w:ascii="宋体" w:hAnsi="宋体" w:cs="楷体_GB2312"/>
          <w:b/>
          <w:color w:val="auto"/>
          <w:sz w:val="24"/>
          <w:highlight w:val="none"/>
          <w:lang w:val="zh-CN"/>
        </w:rPr>
        <w:t>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的</w:t>
      </w:r>
      <w:r>
        <w:rPr>
          <w:rFonts w:ascii="宋体" w:hAnsi="宋体" w:cs="楷体_GB2312"/>
          <w:b/>
          <w:color w:val="auto"/>
          <w:sz w:val="24"/>
          <w:highlight w:val="none"/>
          <w:lang w:val="zh-CN"/>
        </w:rPr>
        <w:t>投标</w:t>
      </w:r>
      <w:r>
        <w:rPr>
          <w:rFonts w:hint="eastAsia" w:ascii="宋体" w:hAnsi="宋体" w:cs="楷体_GB2312"/>
          <w:b/>
          <w:color w:val="auto"/>
          <w:sz w:val="24"/>
          <w:highlight w:val="none"/>
          <w:lang w:val="zh-CN"/>
        </w:rPr>
        <w:t>，</w:t>
      </w:r>
      <w:r>
        <w:rPr>
          <w:rFonts w:ascii="宋体" w:hAnsi="宋体" w:cs="楷体_GB2312"/>
          <w:b/>
          <w:color w:val="auto"/>
          <w:sz w:val="24"/>
          <w:highlight w:val="none"/>
          <w:lang w:val="zh-CN"/>
        </w:rPr>
        <w:t>其他如纸制、送达、</w:t>
      </w:r>
      <w:r>
        <w:rPr>
          <w:rFonts w:hint="eastAsia" w:ascii="宋体" w:hAnsi="宋体" w:cs="楷体_GB2312"/>
          <w:b/>
          <w:color w:val="auto"/>
          <w:sz w:val="24"/>
          <w:highlight w:val="none"/>
          <w:lang w:val="zh-CN"/>
        </w:rPr>
        <w:t>电报、电话、电子邮件等形式的投标概不接受。</w:t>
      </w:r>
    </w:p>
    <w:p w14:paraId="748F0CC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4.3 </w:t>
      </w:r>
      <w:r>
        <w:rPr>
          <w:rFonts w:hint="eastAsia" w:ascii="黑体" w:hAnsi="黑体" w:eastAsia="黑体" w:cs="楷体_GB2312"/>
          <w:b/>
          <w:color w:val="auto"/>
          <w:sz w:val="24"/>
          <w:highlight w:val="none"/>
          <w:lang w:val="zh-CN"/>
        </w:rPr>
        <w:t>投标文件（响应文件）的修改与撤回</w:t>
      </w:r>
      <w:r>
        <w:rPr>
          <w:rFonts w:hint="eastAsia" w:ascii="宋体" w:hAnsi="宋体" w:cs="楷体_GB2312"/>
          <w:color w:val="auto"/>
          <w:sz w:val="24"/>
          <w:highlight w:val="none"/>
          <w:lang w:val="zh-CN"/>
        </w:rPr>
        <w:t>：</w:t>
      </w:r>
    </w:p>
    <w:p w14:paraId="5E97ED27">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4.3.1</w:t>
      </w:r>
      <w:r>
        <w:rPr>
          <w:rFonts w:hint="eastAsia" w:ascii="宋体" w:hAnsi="宋体" w:cs="楷体_GB2312"/>
          <w:b/>
          <w:color w:val="auto"/>
          <w:sz w:val="24"/>
          <w:highlight w:val="none"/>
          <w:lang w:val="zh-CN"/>
        </w:rPr>
        <w:t xml:space="preserve"> 投标人于提交投标文件（响应文件）截止时间前如对投标文件进行补充、修改，可以上传新的投标文件进行覆盖。投标人如撤回投标文件，应及时书面通知采购代理机构进行办理。</w:t>
      </w:r>
    </w:p>
    <w:p w14:paraId="605F2BB7">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w:t>
      </w:r>
      <w:r>
        <w:rPr>
          <w:rFonts w:hint="eastAsia" w:ascii="宋体" w:hAnsi="宋体" w:cs="楷体_GB2312"/>
          <w:b/>
          <w:color w:val="auto"/>
          <w:sz w:val="24"/>
          <w:highlight w:val="none"/>
          <w:lang w:val="zh-CN"/>
        </w:rPr>
        <w:t>2 投标人在投标文件（响应文件）提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截止时间后不得自行修改或撤回其投标，否则</w:t>
      </w:r>
      <w:r>
        <w:rPr>
          <w:rFonts w:hint="eastAsia" w:ascii="宋体" w:hAnsi="宋体"/>
          <w:color w:val="auto"/>
          <w:sz w:val="24"/>
          <w:szCs w:val="24"/>
          <w:highlight w:val="none"/>
        </w:rPr>
        <w:t>依据谈判文件“第三章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p>
    <w:p w14:paraId="1010BCB0">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1BD9903A">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23" w:name="_Toc65679384"/>
      <w:r>
        <w:rPr>
          <w:rFonts w:ascii="黑体" w:hAnsi="黑体" w:eastAsia="黑体" w:cs="楷体_GB2312"/>
          <w:b/>
          <w:bCs/>
          <w:color w:val="auto"/>
          <w:sz w:val="28"/>
          <w:szCs w:val="28"/>
          <w:highlight w:val="none"/>
          <w:lang w:val="zh-CN"/>
        </w:rPr>
        <w:t xml:space="preserve">5. </w:t>
      </w:r>
      <w:r>
        <w:rPr>
          <w:rFonts w:hint="eastAsia" w:ascii="黑体" w:hAnsi="黑体" w:eastAsia="黑体" w:cs="楷体_GB2312"/>
          <w:b/>
          <w:bCs/>
          <w:color w:val="auto"/>
          <w:sz w:val="28"/>
          <w:szCs w:val="28"/>
          <w:highlight w:val="none"/>
          <w:lang w:val="zh-CN"/>
        </w:rPr>
        <w:t>开标（响应文件的开启）</w:t>
      </w:r>
      <w:bookmarkEnd w:id="23"/>
    </w:p>
    <w:p w14:paraId="3E11998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5.1 </w:t>
      </w:r>
      <w:r>
        <w:rPr>
          <w:rFonts w:hint="eastAsia" w:ascii="黑体" w:hAnsi="黑体" w:eastAsia="黑体" w:cs="楷体_GB2312"/>
          <w:b/>
          <w:color w:val="auto"/>
          <w:sz w:val="24"/>
          <w:highlight w:val="none"/>
          <w:lang w:val="zh-CN"/>
        </w:rPr>
        <w:t>开标时间和地点</w:t>
      </w:r>
    </w:p>
    <w:p w14:paraId="21CDD778">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5.1.1 </w:t>
      </w:r>
      <w:r>
        <w:rPr>
          <w:rFonts w:hint="eastAsia" w:ascii="宋体" w:hAnsi="宋体" w:cs="楷体_GB2312"/>
          <w:b/>
          <w:color w:val="auto"/>
          <w:sz w:val="24"/>
          <w:highlight w:val="none"/>
          <w:lang w:val="zh-CN"/>
        </w:rPr>
        <w:t>采购人和采购代理机构按谈判公告规定的时间和地点于</w:t>
      </w:r>
      <w:r>
        <w:rPr>
          <w:rFonts w:ascii="宋体" w:hAnsi="宋体" w:cs="楷体_GB2312"/>
          <w:b/>
          <w:color w:val="auto"/>
          <w:sz w:val="24"/>
          <w:highlight w:val="none"/>
          <w:lang w:val="zh-CN"/>
        </w:rPr>
        <w:t>网上</w:t>
      </w:r>
      <w:r>
        <w:rPr>
          <w:rFonts w:hint="eastAsia" w:ascii="宋体" w:hAnsi="宋体" w:cs="楷体_GB2312"/>
          <w:b/>
          <w:color w:val="auto"/>
          <w:sz w:val="24"/>
          <w:highlight w:val="none"/>
          <w:lang w:val="zh-CN"/>
        </w:rPr>
        <w:t>（谈判公告所述网上电子交易系统</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公开开标。</w:t>
      </w:r>
    </w:p>
    <w:p w14:paraId="7DC6E1E5">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5.1.2</w:t>
      </w:r>
      <w:r>
        <w:rPr>
          <w:rFonts w:hint="eastAsia" w:ascii="宋体" w:hAnsi="宋体" w:cs="楷体_GB2312"/>
          <w:b/>
          <w:color w:val="auto"/>
          <w:sz w:val="24"/>
          <w:highlight w:val="none"/>
          <w:lang w:val="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14:paraId="67B59B9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5.2 </w:t>
      </w:r>
      <w:r>
        <w:rPr>
          <w:rFonts w:hint="eastAsia" w:ascii="黑体" w:hAnsi="黑体" w:eastAsia="黑体" w:cs="楷体_GB2312"/>
          <w:b/>
          <w:color w:val="auto"/>
          <w:sz w:val="24"/>
          <w:highlight w:val="none"/>
          <w:lang w:val="zh-CN"/>
        </w:rPr>
        <w:t>开标程序</w:t>
      </w:r>
    </w:p>
    <w:p w14:paraId="439A6A72">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5.2.1</w:t>
      </w:r>
      <w:r>
        <w:rPr>
          <w:rFonts w:hint="eastAsia" w:ascii="宋体" w:hAnsi="宋体" w:cs="楷体_GB2312"/>
          <w:b/>
          <w:color w:val="auto"/>
          <w:sz w:val="24"/>
          <w:highlight w:val="none"/>
          <w:lang w:val="zh-CN"/>
        </w:rPr>
        <w:t xml:space="preserve"> 本项目为网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电子交易方</w:t>
      </w:r>
      <w:r>
        <w:rPr>
          <w:rFonts w:ascii="宋体" w:hAnsi="宋体" w:cs="楷体_GB2312"/>
          <w:b/>
          <w:color w:val="auto"/>
          <w:sz w:val="24"/>
          <w:highlight w:val="none"/>
          <w:lang w:val="zh-CN"/>
        </w:rPr>
        <w:t>式，</w:t>
      </w:r>
      <w:r>
        <w:rPr>
          <w:rFonts w:hint="eastAsia" w:ascii="宋体" w:hAnsi="宋体" w:cs="楷体_GB2312"/>
          <w:b/>
          <w:color w:val="auto"/>
          <w:sz w:val="24"/>
          <w:highlight w:val="none"/>
          <w:lang w:val="zh-CN"/>
        </w:rPr>
        <w:t>投标文件（响应文件）的开启方式为远程解密，为保证开标工作顺利进行，投标人需在开标阶段</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管理员下达解密指令后的指定时限内，完成对本单位的加密投标文件（响应文件）的远程解密。如投标人因自身原因、在指定时限内没</w:t>
      </w:r>
      <w:r>
        <w:rPr>
          <w:rFonts w:ascii="宋体" w:hAnsi="宋体" w:cs="楷体_GB2312"/>
          <w:b/>
          <w:color w:val="auto"/>
          <w:sz w:val="24"/>
          <w:highlight w:val="none"/>
          <w:lang w:val="zh-CN"/>
        </w:rPr>
        <w:t>有</w:t>
      </w:r>
      <w:r>
        <w:rPr>
          <w:rFonts w:hint="eastAsia" w:ascii="宋体" w:hAnsi="宋体" w:cs="楷体_GB2312"/>
          <w:b/>
          <w:color w:val="auto"/>
          <w:sz w:val="24"/>
          <w:highlight w:val="none"/>
          <w:lang w:val="zh-CN"/>
        </w:rPr>
        <w:t>解密成功的，其投标将不能被接受，投标人自行承担相应后果。</w:t>
      </w:r>
    </w:p>
    <w:p w14:paraId="0C566BEF">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鉴于网上电子交易方式的特点，管理员将根据系统情况下达解密指令。</w:t>
      </w:r>
    </w:p>
    <w:p w14:paraId="3BA358C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b/>
          <w:color w:val="auto"/>
          <w:sz w:val="24"/>
          <w:highlight w:val="none"/>
          <w:lang w:val="zh-CN"/>
        </w:rPr>
        <w:t>5.2.2</w:t>
      </w:r>
      <w:r>
        <w:rPr>
          <w:rFonts w:hint="eastAsia" w:ascii="宋体" w:hAnsi="宋体" w:cs="楷体_GB2312"/>
          <w:b/>
          <w:color w:val="auto"/>
          <w:sz w:val="24"/>
          <w:highlight w:val="none"/>
          <w:lang w:val="zh-CN"/>
        </w:rPr>
        <w:t xml:space="preserve"> 投标人对开标过程和开标记录有疑义，以及认为采购人、采购代理机构相关工作人员有需要回避的情形的，应在系统中提出询问或者回避申请，否则，视为对开标无异议。</w:t>
      </w:r>
    </w:p>
    <w:p w14:paraId="33DFB6C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5.2.3 </w:t>
      </w:r>
      <w:r>
        <w:rPr>
          <w:rFonts w:hint="eastAsia" w:ascii="宋体" w:hAnsi="宋体" w:cs="楷体_GB2312"/>
          <w:color w:val="auto"/>
          <w:sz w:val="24"/>
          <w:highlight w:val="none"/>
          <w:lang w:val="zh-CN"/>
        </w:rPr>
        <w:t>在开标或评审过程中，有效投标应在三家以上（包括三家）；有效投标不足三家的应予终止（废标）。</w:t>
      </w:r>
    </w:p>
    <w:p w14:paraId="6FDD0F8B">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58EFBC6E">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24" w:name="_Toc65679385"/>
      <w:r>
        <w:rPr>
          <w:rFonts w:ascii="黑体" w:hAnsi="黑体" w:eastAsia="黑体" w:cs="楷体_GB2312"/>
          <w:b/>
          <w:bCs/>
          <w:color w:val="auto"/>
          <w:sz w:val="28"/>
          <w:szCs w:val="28"/>
          <w:highlight w:val="none"/>
          <w:lang w:val="zh-CN"/>
        </w:rPr>
        <w:t xml:space="preserve">6. </w:t>
      </w:r>
      <w:r>
        <w:rPr>
          <w:rFonts w:hint="eastAsia" w:ascii="黑体" w:hAnsi="黑体" w:eastAsia="黑体" w:cs="楷体_GB2312"/>
          <w:b/>
          <w:bCs/>
          <w:color w:val="auto"/>
          <w:sz w:val="28"/>
          <w:szCs w:val="28"/>
          <w:highlight w:val="none"/>
          <w:lang w:val="zh-CN"/>
        </w:rPr>
        <w:t>评审</w:t>
      </w:r>
      <w:bookmarkEnd w:id="24"/>
    </w:p>
    <w:p w14:paraId="3CDE271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6.1 </w:t>
      </w:r>
      <w:r>
        <w:rPr>
          <w:rFonts w:hint="eastAsia" w:ascii="黑体" w:hAnsi="黑体" w:eastAsia="黑体" w:cs="楷体_GB2312"/>
          <w:b/>
          <w:color w:val="auto"/>
          <w:sz w:val="24"/>
          <w:highlight w:val="none"/>
          <w:lang w:val="zh-CN"/>
        </w:rPr>
        <w:t>谈判小组</w:t>
      </w:r>
    </w:p>
    <w:p w14:paraId="039BA1DD">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评审工作由依法组建的谈判小组负责。谈判小组由采购人代表和评审专家共</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人及以上单数组成，其中评审专家人数不少于谈判小组成员总数的</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，评审专家是在监督部门监督下从政府采购专家库中随机抽取产生。</w:t>
      </w:r>
    </w:p>
    <w:p w14:paraId="6B9A891A">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6.2 </w:t>
      </w:r>
      <w:r>
        <w:rPr>
          <w:rFonts w:hint="eastAsia" w:ascii="黑体" w:hAnsi="黑体" w:eastAsia="黑体" w:cs="楷体_GB2312"/>
          <w:b/>
          <w:color w:val="auto"/>
          <w:sz w:val="24"/>
          <w:highlight w:val="none"/>
          <w:lang w:val="zh-CN"/>
        </w:rPr>
        <w:t>评审原则</w:t>
      </w:r>
    </w:p>
    <w:p w14:paraId="51DD1F8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6.2.1 </w:t>
      </w:r>
      <w:r>
        <w:rPr>
          <w:rFonts w:hint="eastAsia" w:ascii="宋体" w:hAnsi="宋体" w:cs="楷体_GB2312"/>
          <w:color w:val="auto"/>
          <w:sz w:val="24"/>
          <w:highlight w:val="none"/>
          <w:lang w:val="zh-CN"/>
        </w:rPr>
        <w:t>坚持公开、公平、公正地对待所有投标人。</w:t>
      </w:r>
    </w:p>
    <w:p w14:paraId="7EE3343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6.2.2 </w:t>
      </w:r>
      <w:r>
        <w:rPr>
          <w:rFonts w:hint="eastAsia" w:ascii="宋体" w:hAnsi="宋体" w:cs="楷体_GB2312"/>
          <w:color w:val="auto"/>
          <w:sz w:val="24"/>
          <w:highlight w:val="none"/>
          <w:lang w:val="zh-CN"/>
        </w:rPr>
        <w:t>按照同一评审程序及方法审查所有投标人的投标文件。</w:t>
      </w:r>
    </w:p>
    <w:p w14:paraId="2952A68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6.2.3 </w:t>
      </w:r>
      <w:r>
        <w:rPr>
          <w:rFonts w:hint="eastAsia" w:ascii="宋体" w:hAnsi="宋体" w:cs="楷体_GB2312"/>
          <w:color w:val="auto"/>
          <w:sz w:val="24"/>
          <w:highlight w:val="none"/>
          <w:lang w:val="zh-CN"/>
        </w:rPr>
        <w:t>反对不正当竞争</w:t>
      </w:r>
    </w:p>
    <w:p w14:paraId="013D9EC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6.3 </w:t>
      </w:r>
      <w:r>
        <w:rPr>
          <w:rFonts w:hint="eastAsia" w:ascii="黑体" w:hAnsi="黑体" w:eastAsia="黑体" w:cs="楷体_GB2312"/>
          <w:b/>
          <w:color w:val="auto"/>
          <w:sz w:val="24"/>
          <w:highlight w:val="none"/>
          <w:lang w:val="zh-CN"/>
        </w:rPr>
        <w:t>评审</w:t>
      </w:r>
    </w:p>
    <w:p w14:paraId="7FDF753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6.3.1</w:t>
      </w:r>
      <w:r>
        <w:rPr>
          <w:rFonts w:hint="eastAsia" w:ascii="宋体" w:hAnsi="宋体" w:cs="楷体_GB2312"/>
          <w:color w:val="auto"/>
          <w:sz w:val="24"/>
          <w:highlight w:val="none"/>
          <w:lang w:val="zh-CN"/>
        </w:rPr>
        <w:t xml:space="preserve"> 评审工作在谈判小组内独立进行。谈判小组按照第四章“评审办法”规定的方法、评审因素、标准和程序对投标文件进行评审。第四章“评审办法”没有规定的方法、评审因素和标准，不作为评审依据。</w:t>
      </w:r>
    </w:p>
    <w:p w14:paraId="0748787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6.3.2</w:t>
      </w:r>
      <w:r>
        <w:rPr>
          <w:rFonts w:hint="eastAsia" w:ascii="宋体" w:hAnsi="宋体" w:cs="楷体_GB2312"/>
          <w:color w:val="auto"/>
          <w:sz w:val="24"/>
          <w:highlight w:val="none"/>
          <w:lang w:val="zh-CN"/>
        </w:rPr>
        <w:t xml:space="preserve"> 在开标、评审期间，投标人不得向谈判小组成员询问情况，不得进行旨在影响评审结果的活动。</w:t>
      </w:r>
    </w:p>
    <w:p w14:paraId="0938B38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6.4 </w:t>
      </w:r>
      <w:r>
        <w:rPr>
          <w:rFonts w:hint="eastAsia" w:ascii="黑体" w:hAnsi="黑体" w:eastAsia="黑体" w:cs="楷体_GB2312"/>
          <w:b/>
          <w:color w:val="auto"/>
          <w:sz w:val="24"/>
          <w:highlight w:val="none"/>
          <w:lang w:val="zh-CN"/>
        </w:rPr>
        <w:t xml:space="preserve"> 谈判：</w:t>
      </w:r>
      <w:r>
        <w:rPr>
          <w:rFonts w:hint="eastAsia" w:ascii="宋体" w:hAnsi="宋体" w:cs="楷体_GB2312"/>
          <w:color w:val="auto"/>
          <w:sz w:val="24"/>
          <w:highlight w:val="none"/>
          <w:lang w:val="zh-CN"/>
        </w:rPr>
        <w:t>见第四章评审办法</w:t>
      </w:r>
      <w:r>
        <w:rPr>
          <w:rFonts w:ascii="宋体" w:hAnsi="宋体" w:cs="楷体_GB2312"/>
          <w:color w:val="auto"/>
          <w:sz w:val="24"/>
          <w:highlight w:val="none"/>
          <w:lang w:val="zh-CN"/>
        </w:rPr>
        <w:t>3.5</w:t>
      </w:r>
      <w:r>
        <w:rPr>
          <w:rFonts w:hint="eastAsia" w:ascii="宋体" w:hAnsi="宋体" w:cs="楷体_GB2312"/>
          <w:color w:val="auto"/>
          <w:sz w:val="24"/>
          <w:highlight w:val="none"/>
          <w:lang w:val="zh-CN"/>
        </w:rPr>
        <w:t>款谈判规则。</w:t>
      </w:r>
    </w:p>
    <w:p w14:paraId="1A07BCE4">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2CA2C229">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5" w:name="_Toc65679386"/>
      <w:r>
        <w:rPr>
          <w:rFonts w:ascii="黑体" w:hAnsi="黑体" w:eastAsia="黑体" w:cs="楷体_GB2312"/>
          <w:b/>
          <w:bCs/>
          <w:color w:val="auto"/>
          <w:sz w:val="28"/>
          <w:szCs w:val="28"/>
          <w:highlight w:val="none"/>
          <w:lang w:val="zh-CN"/>
        </w:rPr>
        <w:t xml:space="preserve">7. </w:t>
      </w:r>
      <w:r>
        <w:rPr>
          <w:rFonts w:hint="eastAsia" w:ascii="黑体" w:hAnsi="黑体" w:eastAsia="黑体" w:cs="楷体_GB2312"/>
          <w:b/>
          <w:bCs/>
          <w:color w:val="auto"/>
          <w:sz w:val="28"/>
          <w:szCs w:val="28"/>
          <w:highlight w:val="none"/>
          <w:lang w:val="zh-CN"/>
        </w:rPr>
        <w:t>授予合同</w:t>
      </w:r>
      <w:bookmarkEnd w:id="25"/>
    </w:p>
    <w:p w14:paraId="181CFFC5">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7.1 </w:t>
      </w:r>
      <w:r>
        <w:rPr>
          <w:rFonts w:hint="eastAsia" w:ascii="黑体" w:hAnsi="黑体" w:eastAsia="黑体" w:cs="楷体_GB2312"/>
          <w:b/>
          <w:color w:val="auto"/>
          <w:sz w:val="24"/>
          <w:highlight w:val="none"/>
          <w:lang w:val="zh-CN"/>
        </w:rPr>
        <w:t>确定成交供应商方式</w:t>
      </w:r>
    </w:p>
    <w:p w14:paraId="3C23BDD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除投标人须知前附表规定授权谈判小组直接确定成交供应商外，采购人应当自收到评审报告之日起</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14:paraId="16B9FC63">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7.2 </w:t>
      </w:r>
      <w:r>
        <w:rPr>
          <w:rFonts w:hint="eastAsia" w:ascii="黑体" w:hAnsi="黑体" w:eastAsia="黑体" w:cs="楷体_GB2312"/>
          <w:b/>
          <w:color w:val="auto"/>
          <w:sz w:val="24"/>
          <w:highlight w:val="none"/>
          <w:lang w:val="zh-CN"/>
        </w:rPr>
        <w:t>成交结果公告</w:t>
      </w:r>
    </w:p>
    <w:p w14:paraId="08923982">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采购代理机构在成交供应商确定后2个工作日内，在谈判公告所述媒体公告成交结果。同时向成交供应商发出成交通知书。成交结果公告期限为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w:t>
      </w:r>
    </w:p>
    <w:p w14:paraId="0F7C9BB5">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7.3 </w:t>
      </w:r>
      <w:r>
        <w:rPr>
          <w:rFonts w:hint="eastAsia" w:ascii="黑体" w:hAnsi="黑体" w:eastAsia="黑体" w:cs="楷体_GB2312"/>
          <w:b/>
          <w:color w:val="auto"/>
          <w:sz w:val="24"/>
          <w:highlight w:val="none"/>
          <w:lang w:val="zh-CN"/>
        </w:rPr>
        <w:t>质疑、投诉：</w:t>
      </w:r>
    </w:p>
    <w:p w14:paraId="1B8B3011">
      <w:pPr>
        <w:autoSpaceDE w:val="0"/>
        <w:autoSpaceDN w:val="0"/>
        <w:adjustRightInd w:val="0"/>
        <w:snapToGrid w:val="0"/>
        <w:spacing w:before="156" w:beforeLines="50" w:line="300" w:lineRule="auto"/>
        <w:ind w:firstLine="537" w:firstLineChars="224"/>
        <w:rPr>
          <w:rFonts w:ascii="宋体" w:cs="楷体_GB2312"/>
          <w:color w:val="auto"/>
          <w:sz w:val="24"/>
          <w:highlight w:val="none"/>
          <w:lang w:val="zh-CN"/>
        </w:rPr>
      </w:pPr>
      <w:r>
        <w:rPr>
          <w:rFonts w:ascii="宋体" w:hAnsi="宋体"/>
          <w:color w:val="auto"/>
          <w:sz w:val="24"/>
          <w:highlight w:val="none"/>
        </w:rPr>
        <w:t>7.3.1</w:t>
      </w:r>
      <w:r>
        <w:rPr>
          <w:rFonts w:hint="eastAsia" w:ascii="宋体" w:hAnsi="宋体" w:cs="楷体_GB2312"/>
          <w:color w:val="auto"/>
          <w:sz w:val="24"/>
          <w:highlight w:val="none"/>
          <w:lang w:val="zh-CN"/>
        </w:rPr>
        <w:t>见投标人须知前附表</w:t>
      </w:r>
    </w:p>
    <w:p w14:paraId="69DAC471">
      <w:pPr>
        <w:adjustRightInd w:val="0"/>
        <w:snapToGrid w:val="0"/>
        <w:spacing w:before="156" w:beforeLines="50" w:line="240" w:lineRule="auto"/>
        <w:ind w:firstLine="600" w:firstLineChars="250"/>
        <w:rPr>
          <w:rFonts w:ascii="宋体"/>
          <w:color w:val="auto"/>
          <w:sz w:val="24"/>
          <w:highlight w:val="none"/>
        </w:rPr>
      </w:pPr>
      <w:r>
        <w:rPr>
          <w:rFonts w:ascii="宋体" w:hAnsi="宋体"/>
          <w:color w:val="auto"/>
          <w:sz w:val="24"/>
          <w:highlight w:val="none"/>
        </w:rPr>
        <w:t>7.3.2</w:t>
      </w:r>
      <w:r>
        <w:rPr>
          <w:rFonts w:hint="eastAsia" w:ascii="宋体" w:hAnsi="宋体"/>
          <w:color w:val="auto"/>
          <w:sz w:val="24"/>
          <w:highlight w:val="none"/>
        </w:rPr>
        <w:t>询问或者质疑事项可能影响成交结果的，采购人应当暂停签订合同，已经签订合同的，应当中止履行合同。</w:t>
      </w:r>
    </w:p>
    <w:p w14:paraId="2D6B1478">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7.4 </w:t>
      </w:r>
      <w:r>
        <w:rPr>
          <w:rFonts w:hint="eastAsia" w:ascii="黑体" w:hAnsi="黑体" w:eastAsia="黑体" w:cs="楷体_GB2312"/>
          <w:b/>
          <w:color w:val="auto"/>
          <w:sz w:val="24"/>
          <w:highlight w:val="none"/>
          <w:lang w:val="zh-CN"/>
        </w:rPr>
        <w:t>成交通知：</w:t>
      </w:r>
      <w:r>
        <w:rPr>
          <w:rFonts w:hint="eastAsia" w:ascii="宋体" w:hAnsi="宋体" w:cs="楷体_GB2312"/>
          <w:color w:val="auto"/>
          <w:sz w:val="24"/>
          <w:highlight w:val="none"/>
          <w:lang w:val="zh-CN"/>
        </w:rPr>
        <w:t>见投标人须知前附表</w:t>
      </w:r>
    </w:p>
    <w:p w14:paraId="60F1048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7.5 </w:t>
      </w:r>
      <w:r>
        <w:rPr>
          <w:rFonts w:hint="eastAsia" w:ascii="黑体" w:hAnsi="黑体" w:eastAsia="黑体" w:cs="楷体_GB2312"/>
          <w:b/>
          <w:color w:val="auto"/>
          <w:sz w:val="24"/>
          <w:highlight w:val="none"/>
          <w:lang w:val="zh-CN"/>
        </w:rPr>
        <w:t>履约保证金</w:t>
      </w:r>
    </w:p>
    <w:p w14:paraId="5356967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7.5.1</w:t>
      </w:r>
      <w:r>
        <w:rPr>
          <w:rFonts w:hint="eastAsia" w:ascii="宋体" w:hAnsi="宋体" w:cs="楷体_GB2312"/>
          <w:color w:val="auto"/>
          <w:sz w:val="24"/>
          <w:highlight w:val="none"/>
          <w:lang w:val="zh-CN"/>
        </w:rPr>
        <w:t xml:space="preserve"> 在签订合同时，成交供应商应按投标人须知前附表规定向采购人提交履约保证金。</w:t>
      </w:r>
    </w:p>
    <w:p w14:paraId="0F42199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7.5.2 </w:t>
      </w:r>
      <w:r>
        <w:rPr>
          <w:rFonts w:hint="eastAsia" w:ascii="宋体" w:hAnsi="宋体" w:cs="楷体_GB2312"/>
          <w:color w:val="auto"/>
          <w:sz w:val="24"/>
          <w:highlight w:val="none"/>
          <w:lang w:val="zh-CN"/>
        </w:rPr>
        <w:t>成交供应商不能按本章第</w:t>
      </w:r>
      <w:r>
        <w:rPr>
          <w:rFonts w:ascii="宋体" w:hAnsi="宋体" w:cs="楷体_GB2312"/>
          <w:color w:val="auto"/>
          <w:sz w:val="24"/>
          <w:highlight w:val="none"/>
          <w:lang w:val="zh-CN"/>
        </w:rPr>
        <w:t>7.5.1</w:t>
      </w:r>
      <w:r>
        <w:rPr>
          <w:rFonts w:hint="eastAsia" w:ascii="宋体" w:hAnsi="宋体" w:cs="楷体_GB2312"/>
          <w:color w:val="auto"/>
          <w:sz w:val="24"/>
          <w:highlight w:val="none"/>
          <w:lang w:val="zh-CN"/>
        </w:rPr>
        <w:t>项要求提交履约保证金的，视为放弃成交资格，</w:t>
      </w:r>
      <w:r>
        <w:rPr>
          <w:rFonts w:hint="eastAsia" w:ascii="宋体" w:hAnsi="宋体"/>
          <w:color w:val="auto"/>
          <w:sz w:val="24"/>
          <w:szCs w:val="24"/>
          <w:highlight w:val="none"/>
        </w:rPr>
        <w:t>依据谈判文件“第三章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给采购人及采购代理机构造成损失的，成交供应商应当予以赔偿。</w:t>
      </w:r>
    </w:p>
    <w:p w14:paraId="15B8718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7.6 </w:t>
      </w:r>
      <w:r>
        <w:rPr>
          <w:rFonts w:hint="eastAsia" w:ascii="黑体" w:hAnsi="黑体" w:eastAsia="黑体" w:cs="楷体_GB2312"/>
          <w:b/>
          <w:color w:val="auto"/>
          <w:sz w:val="24"/>
          <w:highlight w:val="none"/>
          <w:lang w:val="zh-CN"/>
        </w:rPr>
        <w:t>签订合同</w:t>
      </w:r>
    </w:p>
    <w:p w14:paraId="0BE4C822">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olor w:val="auto"/>
          <w:sz w:val="24"/>
          <w:highlight w:val="none"/>
        </w:rPr>
        <w:t>7.6.1</w:t>
      </w:r>
      <w:r>
        <w:rPr>
          <w:rFonts w:hint="eastAsia" w:ascii="宋体" w:hAnsi="宋体"/>
          <w:color w:val="auto"/>
          <w:sz w:val="24"/>
          <w:highlight w:val="none"/>
        </w:rPr>
        <w:t>成交供应商应在《成交通知书》发出后15日内，按照谈判文件确定的合同文本以及成交标的、技术和服务等事项与采购人签订</w:t>
      </w:r>
      <w:r>
        <w:rPr>
          <w:rFonts w:hint="eastAsia" w:ascii="宋体" w:hAnsi="宋体" w:cs="楷体_GB2312"/>
          <w:color w:val="auto"/>
          <w:sz w:val="24"/>
          <w:highlight w:val="none"/>
          <w:lang w:val="zh-CN"/>
        </w:rPr>
        <w:t>书面</w:t>
      </w:r>
      <w:r>
        <w:rPr>
          <w:rFonts w:hint="eastAsia" w:ascii="宋体" w:hAnsi="宋体"/>
          <w:color w:val="auto"/>
          <w:sz w:val="24"/>
          <w:highlight w:val="none"/>
        </w:rPr>
        <w:t>政府采购合同。</w:t>
      </w:r>
    </w:p>
    <w:p w14:paraId="540003F1">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olor w:val="auto"/>
          <w:sz w:val="24"/>
          <w:highlight w:val="none"/>
        </w:rPr>
        <w:t xml:space="preserve">7.6.2 </w:t>
      </w:r>
      <w:r>
        <w:rPr>
          <w:rFonts w:hint="eastAsia" w:ascii="宋体" w:hAnsi="宋体"/>
          <w:color w:val="auto"/>
          <w:sz w:val="24"/>
          <w:highlight w:val="none"/>
        </w:rPr>
        <w:t>如成交供应商不按时签订合同、</w:t>
      </w:r>
      <w:r>
        <w:rPr>
          <w:rFonts w:hint="eastAsia" w:ascii="宋体" w:hAnsi="宋体" w:cs="楷体_GB2312"/>
          <w:color w:val="auto"/>
          <w:sz w:val="24"/>
          <w:highlight w:val="none"/>
          <w:lang w:val="zh-CN"/>
        </w:rPr>
        <w:t>拒签合同的，取消其成交资格，</w:t>
      </w:r>
      <w:r>
        <w:rPr>
          <w:rFonts w:hint="eastAsia" w:ascii="宋体" w:hAnsi="宋体"/>
          <w:color w:val="auto"/>
          <w:sz w:val="24"/>
          <w:szCs w:val="24"/>
          <w:highlight w:val="none"/>
        </w:rPr>
        <w:t>依据谈判文件“第三章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给采购人造成损失的，成交供应商应当予以赔偿。</w:t>
      </w:r>
    </w:p>
    <w:p w14:paraId="7CC62098">
      <w:pPr>
        <w:widowControl w:val="0"/>
        <w:adjustRightInd w:val="0"/>
        <w:snapToGrid w:val="0"/>
        <w:spacing w:before="156" w:beforeLines="50" w:line="300" w:lineRule="auto"/>
        <w:ind w:firstLine="566"/>
        <w:rPr>
          <w:rFonts w:hint="eastAsia" w:ascii="宋体" w:hAnsi="宋体"/>
          <w:color w:val="auto"/>
          <w:sz w:val="24"/>
          <w:szCs w:val="24"/>
          <w:highlight w:val="none"/>
        </w:rPr>
      </w:pPr>
      <w:r>
        <w:rPr>
          <w:rFonts w:ascii="宋体" w:hAnsi="宋体"/>
          <w:color w:val="auto"/>
          <w:sz w:val="24"/>
          <w:szCs w:val="24"/>
          <w:highlight w:val="none"/>
        </w:rPr>
        <w:t>7.6.3</w:t>
      </w:r>
      <w:r>
        <w:rPr>
          <w:rFonts w:hint="eastAsia"/>
          <w:color w:val="auto"/>
          <w:sz w:val="24"/>
          <w:szCs w:val="24"/>
          <w:highlight w:val="none"/>
        </w:rPr>
        <w:t>合同生效：成交供应商与采购人签订的合同，双方签字后盖章生效。</w:t>
      </w:r>
      <w:r>
        <w:rPr>
          <w:rFonts w:hint="eastAsia" w:ascii="宋体" w:hAnsi="宋体"/>
          <w:color w:val="auto"/>
          <w:sz w:val="24"/>
          <w:szCs w:val="24"/>
          <w:highlight w:val="none"/>
        </w:rPr>
        <w:t>采购人要在合同签订2个工作日内进行公告，合同签订3 个工作日内备案。</w:t>
      </w:r>
    </w:p>
    <w:p w14:paraId="0157FEE2">
      <w:pPr>
        <w:widowControl w:val="0"/>
        <w:adjustRightInd w:val="0"/>
        <w:snapToGrid w:val="0"/>
        <w:spacing w:before="156" w:beforeLines="50" w:line="300" w:lineRule="auto"/>
        <w:ind w:firstLine="566"/>
        <w:rPr>
          <w:rFonts w:ascii="宋体" w:hAnsi="宋体"/>
          <w:color w:val="auto"/>
          <w:sz w:val="24"/>
          <w:szCs w:val="24"/>
          <w:highlight w:val="none"/>
        </w:rPr>
      </w:pPr>
      <w:r>
        <w:rPr>
          <w:rFonts w:ascii="宋体" w:hAnsi="宋体"/>
          <w:color w:val="auto"/>
          <w:sz w:val="24"/>
          <w:szCs w:val="24"/>
          <w:highlight w:val="none"/>
        </w:rPr>
        <w:t>7.6.4</w:t>
      </w:r>
      <w:r>
        <w:rPr>
          <w:rFonts w:hint="eastAsia" w:ascii="宋体" w:hAnsi="宋体"/>
          <w:color w:val="auto"/>
          <w:sz w:val="24"/>
          <w:szCs w:val="24"/>
          <w:highlight w:val="none"/>
        </w:rPr>
        <w:t>《成交通知书》、谈判文件</w:t>
      </w:r>
      <w:r>
        <w:rPr>
          <w:rFonts w:hint="eastAsia" w:ascii="宋体" w:hAnsi="宋体"/>
          <w:color w:val="auto"/>
          <w:spacing w:val="20"/>
          <w:sz w:val="24"/>
          <w:szCs w:val="24"/>
          <w:highlight w:val="none"/>
        </w:rPr>
        <w:t>及其修改补充澄清</w:t>
      </w:r>
      <w:r>
        <w:rPr>
          <w:rFonts w:hint="eastAsia" w:ascii="宋体" w:hAnsi="宋体"/>
          <w:color w:val="auto"/>
          <w:sz w:val="24"/>
          <w:szCs w:val="24"/>
          <w:highlight w:val="none"/>
        </w:rPr>
        <w:t>、成交供应商的投标文件</w:t>
      </w:r>
      <w:r>
        <w:rPr>
          <w:rFonts w:hint="eastAsia" w:ascii="宋体" w:hAnsi="宋体"/>
          <w:color w:val="auto"/>
          <w:spacing w:val="20"/>
          <w:sz w:val="24"/>
          <w:szCs w:val="24"/>
          <w:highlight w:val="none"/>
        </w:rPr>
        <w:t>及其修改补充澄清</w:t>
      </w:r>
      <w:r>
        <w:rPr>
          <w:rFonts w:hint="eastAsia" w:ascii="宋体" w:hAnsi="宋体"/>
          <w:color w:val="auto"/>
          <w:sz w:val="24"/>
          <w:szCs w:val="24"/>
          <w:highlight w:val="none"/>
        </w:rPr>
        <w:t>等，均为签订合同的依据。所定合同不得对谈判文件和成交供应商的投标文件作实质性修改，采购人和成交供应商不得私下订立背离合同实质性内容的协议。</w:t>
      </w:r>
    </w:p>
    <w:p w14:paraId="794CFFC3">
      <w:pPr>
        <w:widowControl w:val="0"/>
        <w:adjustRightInd w:val="0"/>
        <w:snapToGrid w:val="0"/>
        <w:spacing w:before="156" w:beforeLines="50" w:line="300" w:lineRule="auto"/>
        <w:ind w:firstLine="549"/>
        <w:rPr>
          <w:rFonts w:ascii="宋体" w:hAnsi="宋体"/>
          <w:color w:val="auto"/>
          <w:sz w:val="24"/>
          <w:szCs w:val="24"/>
          <w:highlight w:val="none"/>
        </w:rPr>
      </w:pPr>
      <w:r>
        <w:rPr>
          <w:rFonts w:ascii="宋体" w:hAnsi="宋体"/>
          <w:color w:val="auto"/>
          <w:sz w:val="24"/>
          <w:szCs w:val="24"/>
          <w:highlight w:val="none"/>
        </w:rPr>
        <w:t xml:space="preserve">7.6.5 </w:t>
      </w:r>
      <w:r>
        <w:rPr>
          <w:rFonts w:hint="eastAsia" w:ascii="宋体" w:hAnsi="宋体"/>
          <w:color w:val="auto"/>
          <w:sz w:val="24"/>
          <w:szCs w:val="24"/>
          <w:highlight w:val="none"/>
        </w:rPr>
        <w:t>评审会后，成交供应商、采购人之间擅自私下谈判、变更中标（成交）标的、价格及</w:t>
      </w:r>
      <w:r>
        <w:rPr>
          <w:rFonts w:hint="eastAsia" w:ascii="宋体" w:hAnsi="宋体"/>
          <w:color w:val="auto"/>
          <w:sz w:val="24"/>
          <w:highlight w:val="none"/>
        </w:rPr>
        <w:t>招投</w:t>
      </w:r>
      <w:r>
        <w:rPr>
          <w:rFonts w:hint="eastAsia" w:ascii="宋体" w:hAnsi="宋体"/>
          <w:color w:val="auto"/>
          <w:sz w:val="24"/>
          <w:szCs w:val="24"/>
          <w:highlight w:val="none"/>
        </w:rPr>
        <w:t>文件实质性内容的，有关部门将按《中华人民共和国政府采购法》及相关法规的规定处理。</w:t>
      </w:r>
    </w:p>
    <w:p w14:paraId="244C89CA">
      <w:pPr>
        <w:widowControl w:val="0"/>
        <w:adjustRightInd w:val="0"/>
        <w:snapToGrid w:val="0"/>
        <w:spacing w:before="156" w:beforeLines="50" w:line="300" w:lineRule="auto"/>
        <w:ind w:firstLine="549"/>
        <w:rPr>
          <w:color w:val="auto"/>
          <w:sz w:val="24"/>
          <w:szCs w:val="24"/>
          <w:highlight w:val="none"/>
        </w:rPr>
      </w:pPr>
      <w:r>
        <w:rPr>
          <w:rFonts w:ascii="宋体" w:hAnsi="宋体"/>
          <w:color w:val="auto"/>
          <w:sz w:val="24"/>
          <w:szCs w:val="24"/>
          <w:highlight w:val="none"/>
        </w:rPr>
        <w:t>7.6.</w:t>
      </w:r>
      <w:r>
        <w:rPr>
          <w:rFonts w:hint="eastAsia" w:ascii="宋体" w:hAnsi="宋体"/>
          <w:color w:val="auto"/>
          <w:sz w:val="24"/>
          <w:szCs w:val="24"/>
          <w:highlight w:val="none"/>
        </w:rPr>
        <w:t>6</w:t>
      </w:r>
      <w:r>
        <w:rPr>
          <w:rFonts w:ascii="宋体" w:hAnsi="宋体"/>
          <w:color w:val="auto"/>
          <w:sz w:val="24"/>
          <w:szCs w:val="24"/>
          <w:highlight w:val="none"/>
        </w:rPr>
        <w:t xml:space="preserve"> </w:t>
      </w:r>
      <w:r>
        <w:rPr>
          <w:rFonts w:hint="eastAsia" w:ascii="宋体" w:hAnsi="宋体"/>
          <w:color w:val="auto"/>
          <w:sz w:val="24"/>
          <w:szCs w:val="24"/>
          <w:highlight w:val="none"/>
        </w:rPr>
        <w:t>采购人与成交供应商签订《政府采购合同》后，合同履行中产生的纠纷、争议，由采购人与成交供应</w:t>
      </w:r>
      <w:r>
        <w:rPr>
          <w:rFonts w:hint="eastAsia"/>
          <w:color w:val="auto"/>
          <w:sz w:val="24"/>
          <w:szCs w:val="24"/>
          <w:highlight w:val="none"/>
        </w:rPr>
        <w:t>商按合同条款及《中华人民共和国民法典》处理。</w:t>
      </w:r>
    </w:p>
    <w:p w14:paraId="09C5B2E5">
      <w:pPr>
        <w:widowControl w:val="0"/>
        <w:adjustRightInd w:val="0"/>
        <w:snapToGrid w:val="0"/>
        <w:spacing w:before="156" w:beforeLines="50" w:line="300" w:lineRule="auto"/>
        <w:ind w:firstLine="55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7.7 </w:t>
      </w:r>
      <w:r>
        <w:rPr>
          <w:rFonts w:hint="eastAsia" w:ascii="黑体" w:hAnsi="黑体" w:eastAsia="黑体" w:cs="楷体_GB2312"/>
          <w:b/>
          <w:color w:val="auto"/>
          <w:sz w:val="24"/>
          <w:highlight w:val="none"/>
          <w:lang w:val="zh-CN"/>
        </w:rPr>
        <w:t>合同补充变更</w:t>
      </w:r>
    </w:p>
    <w:p w14:paraId="71F8A3BA">
      <w:pPr>
        <w:widowControl w:val="0"/>
        <w:adjustRightInd w:val="0"/>
        <w:snapToGrid w:val="0"/>
        <w:spacing w:before="156" w:beforeLines="50" w:line="300" w:lineRule="auto"/>
        <w:ind w:firstLine="555"/>
        <w:rPr>
          <w:rFonts w:ascii="宋体" w:hAnsi="宋体"/>
          <w:color w:val="auto"/>
          <w:sz w:val="24"/>
          <w:szCs w:val="24"/>
          <w:highlight w:val="none"/>
        </w:rPr>
      </w:pPr>
      <w:r>
        <w:rPr>
          <w:rFonts w:ascii="宋体" w:hAnsi="宋体"/>
          <w:color w:val="auto"/>
          <w:sz w:val="24"/>
          <w:szCs w:val="24"/>
          <w:highlight w:val="none"/>
        </w:rPr>
        <w:t xml:space="preserve">7.7.1 </w:t>
      </w:r>
      <w:r>
        <w:rPr>
          <w:rFonts w:hint="eastAsia" w:ascii="宋体" w:hAnsi="宋体"/>
          <w:color w:val="auto"/>
          <w:sz w:val="24"/>
          <w:szCs w:val="24"/>
          <w:highlight w:val="none"/>
        </w:rPr>
        <w:t>政府采购合同履行中，采购人需追加或减少与合同标的相同的货物、工程和服务的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highlight w:val="none"/>
        </w:rPr>
        <w:t>10%</w:t>
      </w:r>
      <w:r>
        <w:rPr>
          <w:rFonts w:hint="eastAsia" w:ascii="宋体" w:hAnsi="宋体"/>
          <w:color w:val="auto"/>
          <w:sz w:val="24"/>
          <w:szCs w:val="24"/>
          <w:highlight w:val="none"/>
        </w:rPr>
        <w:t>，不得调增原合同单价，不得超出项目预算，超过原合同采购金额的</w:t>
      </w:r>
      <w:r>
        <w:rPr>
          <w:rFonts w:ascii="宋体" w:hAnsi="宋体"/>
          <w:color w:val="auto"/>
          <w:sz w:val="24"/>
          <w:szCs w:val="24"/>
          <w:highlight w:val="none"/>
        </w:rPr>
        <w:t>10%</w:t>
      </w:r>
      <w:r>
        <w:rPr>
          <w:rFonts w:hint="eastAsia" w:ascii="宋体" w:hAnsi="宋体"/>
          <w:color w:val="auto"/>
          <w:sz w:val="24"/>
          <w:szCs w:val="24"/>
          <w:highlight w:val="none"/>
        </w:rPr>
        <w:t>，应重新组织采购活动。</w:t>
      </w:r>
    </w:p>
    <w:p w14:paraId="12367D50">
      <w:pPr>
        <w:widowControl w:val="0"/>
        <w:adjustRightInd w:val="0"/>
        <w:snapToGrid w:val="0"/>
        <w:spacing w:before="156" w:beforeLines="50" w:line="300" w:lineRule="auto"/>
        <w:ind w:firstLine="555"/>
        <w:rPr>
          <w:color w:val="auto"/>
          <w:sz w:val="24"/>
          <w:szCs w:val="24"/>
          <w:highlight w:val="none"/>
        </w:rPr>
      </w:pPr>
    </w:p>
    <w:p w14:paraId="3E491E00">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6" w:name="_Toc65679387"/>
      <w:r>
        <w:rPr>
          <w:rFonts w:ascii="黑体" w:hAnsi="黑体" w:eastAsia="黑体" w:cs="楷体_GB2312"/>
          <w:b/>
          <w:bCs/>
          <w:color w:val="auto"/>
          <w:sz w:val="28"/>
          <w:szCs w:val="28"/>
          <w:highlight w:val="none"/>
          <w:lang w:val="zh-CN"/>
        </w:rPr>
        <w:t xml:space="preserve">8. </w:t>
      </w:r>
      <w:r>
        <w:rPr>
          <w:rFonts w:hint="eastAsia" w:ascii="黑体" w:hAnsi="黑体" w:eastAsia="黑体" w:cs="楷体_GB2312"/>
          <w:b/>
          <w:bCs/>
          <w:color w:val="auto"/>
          <w:sz w:val="28"/>
          <w:szCs w:val="28"/>
          <w:highlight w:val="none"/>
          <w:lang w:val="zh-CN"/>
        </w:rPr>
        <w:t>验收</w:t>
      </w:r>
      <w:bookmarkEnd w:id="26"/>
    </w:p>
    <w:p w14:paraId="016DBA2B">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8.1</w:t>
      </w:r>
      <w:r>
        <w:rPr>
          <w:rFonts w:hint="eastAsia" w:ascii="宋体" w:hAnsi="宋体" w:cs="楷体_GB2312"/>
          <w:color w:val="auto"/>
          <w:sz w:val="24"/>
          <w:highlight w:val="none"/>
          <w:lang w:val="zh-CN"/>
        </w:rPr>
        <w:t>验收时间：项目具备验收条件时，由采购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成立验收工作组负责验收。</w:t>
      </w:r>
      <w:r>
        <w:rPr>
          <w:rFonts w:hint="eastAsia" w:ascii="宋体" w:hAnsi="宋体" w:cs="楷体_GB2312"/>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68E704E4">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ascii="宋体" w:hAnsi="宋体" w:cs="楷体_GB2312"/>
          <w:color w:val="auto"/>
          <w:sz w:val="24"/>
          <w:highlight w:val="none"/>
          <w:lang w:val="zh-CN"/>
        </w:rPr>
        <w:t>8.2</w:t>
      </w:r>
      <w:r>
        <w:rPr>
          <w:rFonts w:hint="eastAsia" w:ascii="宋体" w:hAnsi="宋体" w:cs="楷体_GB2312"/>
          <w:color w:val="auto"/>
          <w:sz w:val="24"/>
          <w:highlight w:val="none"/>
          <w:lang w:val="zh-CN"/>
        </w:rPr>
        <w:t>验收工作组：合同履约验收工作应成立验收工作组专门负责。</w:t>
      </w:r>
    </w:p>
    <w:p w14:paraId="19644D6C">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14:paraId="5C924B19">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14:paraId="288FEC52">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w:t>
      </w:r>
    </w:p>
    <w:p w14:paraId="14ECEBF7">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14:paraId="17C2A102">
      <w:pPr>
        <w:widowControl w:val="0"/>
        <w:adjustRightInd w:val="0"/>
        <w:snapToGrid w:val="0"/>
        <w:spacing w:before="156" w:beforeLines="50" w:line="300" w:lineRule="auto"/>
        <w:ind w:firstLine="561"/>
        <w:rPr>
          <w:rFonts w:ascii="宋体" w:hAnsi="宋体" w:cs="楷体_GB2312"/>
          <w:color w:val="auto"/>
          <w:sz w:val="24"/>
          <w:highlight w:val="none"/>
        </w:rPr>
      </w:pPr>
      <w:r>
        <w:rPr>
          <w:rFonts w:ascii="宋体" w:hAnsi="宋体" w:cs="楷体_GB2312"/>
          <w:color w:val="auto"/>
          <w:sz w:val="24"/>
          <w:highlight w:val="none"/>
          <w:lang w:val="zh-CN"/>
        </w:rPr>
        <w:t>8.</w:t>
      </w:r>
      <w:r>
        <w:rPr>
          <w:rFonts w:hint="eastAsia" w:ascii="宋体" w:hAnsi="宋体" w:cs="楷体_GB2312"/>
          <w:color w:val="auto"/>
          <w:sz w:val="24"/>
          <w:highlight w:val="none"/>
        </w:rPr>
        <w:t>4</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14:paraId="7EC69422">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8.</w:t>
      </w: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1C2A4F4C">
      <w:pPr>
        <w:widowControl w:val="0"/>
        <w:adjustRightInd w:val="0"/>
        <w:snapToGrid w:val="0"/>
        <w:spacing w:before="156" w:beforeLines="50" w:line="300" w:lineRule="auto"/>
        <w:ind w:firstLine="561"/>
        <w:rPr>
          <w:rFonts w:ascii="宋体" w:cs="楷体_GB2312"/>
          <w:color w:val="auto"/>
          <w:sz w:val="24"/>
          <w:highlight w:val="none"/>
          <w:lang w:val="zh-CN"/>
        </w:rPr>
      </w:pPr>
    </w:p>
    <w:p w14:paraId="7B0EB757">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7" w:name="_Toc65679388"/>
      <w:r>
        <w:rPr>
          <w:rFonts w:ascii="黑体" w:hAnsi="黑体" w:eastAsia="黑体" w:cs="楷体_GB2312"/>
          <w:b/>
          <w:bCs/>
          <w:color w:val="auto"/>
          <w:sz w:val="28"/>
          <w:szCs w:val="28"/>
          <w:highlight w:val="none"/>
          <w:lang w:val="zh-CN"/>
        </w:rPr>
        <w:t>9.</w:t>
      </w:r>
      <w:r>
        <w:rPr>
          <w:rFonts w:hint="eastAsia" w:ascii="黑体" w:hAnsi="黑体" w:eastAsia="黑体" w:cs="楷体_GB2312"/>
          <w:b/>
          <w:bCs/>
          <w:color w:val="auto"/>
          <w:sz w:val="28"/>
          <w:szCs w:val="28"/>
          <w:highlight w:val="none"/>
          <w:lang w:val="zh-CN"/>
        </w:rPr>
        <w:t>付款</w:t>
      </w:r>
      <w:bookmarkEnd w:id="27"/>
    </w:p>
    <w:p w14:paraId="0267AD78">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见投标人须知前附表</w:t>
      </w:r>
    </w:p>
    <w:p w14:paraId="14A6E9DA">
      <w:pPr>
        <w:widowControl w:val="0"/>
        <w:adjustRightInd w:val="0"/>
        <w:snapToGrid w:val="0"/>
        <w:spacing w:before="156" w:beforeLines="50" w:line="300" w:lineRule="auto"/>
        <w:ind w:firstLine="561"/>
        <w:rPr>
          <w:rFonts w:ascii="黑体" w:hAnsi="黑体" w:eastAsia="黑体" w:cs="楷体_GB2312"/>
          <w:b/>
          <w:bCs/>
          <w:color w:val="auto"/>
          <w:sz w:val="28"/>
          <w:szCs w:val="28"/>
          <w:highlight w:val="none"/>
          <w:lang w:val="zh-CN"/>
        </w:rPr>
      </w:pPr>
    </w:p>
    <w:p w14:paraId="589B29F7">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8" w:name="_Toc65679389"/>
      <w:r>
        <w:rPr>
          <w:rFonts w:ascii="黑体" w:hAnsi="黑体" w:eastAsia="黑体" w:cs="楷体_GB2312"/>
          <w:b/>
          <w:bCs/>
          <w:color w:val="auto"/>
          <w:sz w:val="28"/>
          <w:szCs w:val="28"/>
          <w:highlight w:val="none"/>
          <w:lang w:val="zh-CN"/>
        </w:rPr>
        <w:t xml:space="preserve">10. </w:t>
      </w:r>
      <w:r>
        <w:rPr>
          <w:rFonts w:hint="eastAsia" w:ascii="黑体" w:hAnsi="黑体" w:eastAsia="黑体" w:cs="楷体_GB2312"/>
          <w:b/>
          <w:bCs/>
          <w:color w:val="auto"/>
          <w:sz w:val="28"/>
          <w:szCs w:val="28"/>
          <w:highlight w:val="none"/>
          <w:lang w:val="zh-CN"/>
        </w:rPr>
        <w:t>其他</w:t>
      </w:r>
      <w:bookmarkEnd w:id="28"/>
    </w:p>
    <w:p w14:paraId="2805D6D6">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 xml:space="preserve">10.1 </w:t>
      </w:r>
      <w:r>
        <w:rPr>
          <w:rFonts w:hint="eastAsia" w:ascii="宋体" w:hAnsi="宋体" w:cs="楷体_GB2312"/>
          <w:color w:val="auto"/>
          <w:sz w:val="24"/>
          <w:highlight w:val="none"/>
          <w:lang w:val="zh-CN"/>
        </w:rPr>
        <w:t>中标服务费等：见投标人须知前附表</w:t>
      </w:r>
    </w:p>
    <w:p w14:paraId="4462AE61">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ascii="宋体" w:hAnsi="宋体" w:cs="楷体_GB2312"/>
          <w:color w:val="auto"/>
          <w:sz w:val="24"/>
          <w:highlight w:val="none"/>
          <w:lang w:val="zh-CN"/>
        </w:rPr>
        <w:t xml:space="preserve">10.2 </w:t>
      </w:r>
      <w:r>
        <w:rPr>
          <w:rFonts w:hint="eastAsia" w:ascii="宋体" w:hAnsi="宋体" w:cs="楷体_GB2312"/>
          <w:color w:val="auto"/>
          <w:sz w:val="24"/>
          <w:highlight w:val="none"/>
          <w:lang w:val="zh-CN"/>
        </w:rPr>
        <w:t>同义解释。谈判文件中：“投标”同义“提交响应文件”，“投标人”同义“提交响应文件的供应商”，“投标文件”同义“响应文件”，</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开标”同义“响应文件的开启</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，“中标”同义“成交”，“中标供应商”同义“成交供应商</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w:t>
      </w:r>
    </w:p>
    <w:p w14:paraId="13FB0894">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 xml:space="preserve">10.3 </w:t>
      </w:r>
      <w:r>
        <w:rPr>
          <w:rFonts w:hint="eastAsia" w:ascii="宋体" w:hAnsi="宋体" w:cs="楷体_GB2312"/>
          <w:color w:val="auto"/>
          <w:sz w:val="24"/>
          <w:highlight w:val="none"/>
          <w:lang w:val="zh-CN"/>
        </w:rPr>
        <w:t>投标人资格条件中包含非法人单位的，谈判文件中法定代表人一词相应包含表示证照标示的负责人；</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投标人资格条件中包含自然人的，谈判文件中法定代表人一词相应包含表示自然人，自然人应由其本人签署投标文件、参加投标，不应再授权他人。</w:t>
      </w:r>
    </w:p>
    <w:p w14:paraId="3F8F8614">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r>
        <w:rPr>
          <w:rFonts w:ascii="宋体" w:hAnsi="宋体" w:cs="楷体_GB2312"/>
          <w:color w:val="auto"/>
          <w:sz w:val="24"/>
          <w:highlight w:val="none"/>
          <w:lang w:val="zh-CN"/>
        </w:rPr>
        <w:t xml:space="preserve">10.4  </w:t>
      </w:r>
      <w:r>
        <w:rPr>
          <w:rFonts w:hint="eastAsia" w:ascii="宋体" w:hAnsi="宋体" w:cs="楷体_GB2312"/>
          <w:color w:val="auto"/>
          <w:sz w:val="24"/>
          <w:highlight w:val="none"/>
          <w:lang w:val="zh-CN"/>
        </w:rPr>
        <w:t>谈判文件第一章至第四章各章中，用序号标示条、款、项、目，例如：</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条，</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款（简称</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款），</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项（简称</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项）。“条”包含款、项、目；“款”包含项、目；“项”包含目。</w:t>
      </w:r>
    </w:p>
    <w:p w14:paraId="772A7608">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p>
    <w:p w14:paraId="14790E04">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9" w:name="_Toc65679390"/>
      <w:bookmarkStart w:id="30" w:name="_Toc58858635"/>
      <w:r>
        <w:rPr>
          <w:rFonts w:hint="eastAsia" w:ascii="黑体" w:hAnsi="黑体" w:eastAsia="黑体" w:cs="楷体_GB2312"/>
          <w:b/>
          <w:bCs/>
          <w:color w:val="auto"/>
          <w:sz w:val="28"/>
          <w:szCs w:val="28"/>
          <w:highlight w:val="none"/>
          <w:lang w:val="zh-CN"/>
        </w:rPr>
        <w:t>11. 河南省政府采购合同融资政策告知函</w:t>
      </w:r>
      <w:bookmarkEnd w:id="29"/>
      <w:bookmarkEnd w:id="30"/>
    </w:p>
    <w:p w14:paraId="5D239B3C">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各供应商：</w:t>
      </w:r>
    </w:p>
    <w:p w14:paraId="370C43E7">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欢迎贵公司参与河南省政府采购活动！</w:t>
      </w:r>
    </w:p>
    <w:p w14:paraId="60681440">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2D52FF9">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贷款渠道和提供贷款的金融机构，可在河南省政府采购网“河南省政府采购合同融资平台”查询联系。</w:t>
      </w:r>
    </w:p>
    <w:p w14:paraId="193E5E0C">
      <w:pPr>
        <w:widowControl w:val="0"/>
        <w:autoSpaceDE w:val="0"/>
        <w:autoSpaceDN w:val="0"/>
        <w:adjustRightInd w:val="0"/>
        <w:spacing w:before="156" w:beforeLines="50" w:line="300" w:lineRule="auto"/>
        <w:ind w:firstLine="883" w:firstLineChars="200"/>
        <w:jc w:val="left"/>
        <w:textAlignment w:val="auto"/>
        <w:rPr>
          <w:rFonts w:eastAsia="黑体"/>
          <w:b/>
          <w:color w:val="auto"/>
          <w:sz w:val="44"/>
          <w:highlight w:val="none"/>
        </w:rPr>
      </w:pPr>
      <w:r>
        <w:rPr>
          <w:rFonts w:eastAsia="黑体"/>
          <w:b/>
          <w:color w:val="auto"/>
          <w:sz w:val="44"/>
          <w:highlight w:val="none"/>
        </w:rPr>
        <w:br w:type="page"/>
      </w:r>
      <w:r>
        <w:rPr>
          <w:rFonts w:eastAsia="黑体"/>
          <w:b/>
          <w:color w:val="auto"/>
          <w:sz w:val="44"/>
          <w:highlight w:val="none"/>
        </w:rPr>
        <w:t xml:space="preserve"> </w:t>
      </w:r>
    </w:p>
    <w:p w14:paraId="2C80996A">
      <w:pPr>
        <w:widowControl w:val="0"/>
        <w:snapToGrid w:val="0"/>
        <w:spacing w:line="360" w:lineRule="auto"/>
        <w:ind w:firstLine="567"/>
        <w:jc w:val="center"/>
        <w:outlineLvl w:val="0"/>
        <w:rPr>
          <w:rFonts w:ascii="黑体" w:hAnsi="黑体" w:eastAsia="黑体"/>
          <w:b/>
          <w:color w:val="auto"/>
          <w:sz w:val="36"/>
          <w:szCs w:val="36"/>
          <w:highlight w:val="none"/>
          <w:lang w:val="zh-CN"/>
        </w:rPr>
      </w:pPr>
      <w:bookmarkStart w:id="31" w:name="_Toc65679391"/>
      <w:r>
        <w:rPr>
          <w:rFonts w:hint="eastAsia" w:ascii="黑体" w:hAnsi="黑体" w:eastAsia="黑体"/>
          <w:b/>
          <w:color w:val="auto"/>
          <w:sz w:val="36"/>
          <w:szCs w:val="36"/>
          <w:highlight w:val="none"/>
          <w:lang w:val="zh-CN"/>
        </w:rPr>
        <w:t>第四章 评审办法</w:t>
      </w:r>
      <w:bookmarkEnd w:id="31"/>
    </w:p>
    <w:p w14:paraId="48171F1F">
      <w:pPr>
        <w:widowControl w:val="0"/>
        <w:snapToGrid w:val="0"/>
        <w:spacing w:line="360" w:lineRule="auto"/>
        <w:ind w:firstLine="567"/>
        <w:jc w:val="center"/>
        <w:outlineLvl w:val="0"/>
        <w:rPr>
          <w:b/>
          <w:color w:val="auto"/>
          <w:sz w:val="24"/>
          <w:szCs w:val="24"/>
          <w:highlight w:val="none"/>
        </w:rPr>
      </w:pPr>
    </w:p>
    <w:p w14:paraId="316DF2A9">
      <w:pPr>
        <w:spacing w:line="500" w:lineRule="exact"/>
        <w:jc w:val="left"/>
        <w:outlineLvl w:val="1"/>
        <w:rPr>
          <w:rFonts w:ascii="黑体" w:hAnsi="黑体" w:eastAsia="黑体"/>
          <w:b/>
          <w:color w:val="auto"/>
          <w:sz w:val="28"/>
          <w:szCs w:val="28"/>
          <w:highlight w:val="none"/>
          <w:lang w:val="zh-CN"/>
        </w:rPr>
      </w:pPr>
      <w:bookmarkStart w:id="32" w:name="_Toc65679392"/>
      <w:r>
        <w:rPr>
          <w:rFonts w:hint="eastAsia" w:ascii="黑体" w:hAnsi="黑体" w:eastAsia="黑体"/>
          <w:b/>
          <w:color w:val="auto"/>
          <w:sz w:val="28"/>
          <w:szCs w:val="28"/>
          <w:highlight w:val="none"/>
        </w:rPr>
        <w:t>评审办法前附表</w:t>
      </w:r>
      <w:bookmarkEnd w:id="32"/>
    </w:p>
    <w:tbl>
      <w:tblPr>
        <w:tblStyle w:val="14"/>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14:paraId="0913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14:paraId="151C5154">
            <w:pPr>
              <w:pStyle w:val="46"/>
              <w:jc w:val="center"/>
              <w:rPr>
                <w:rFonts w:hAnsi="宋体"/>
                <w:b/>
                <w:color w:val="auto"/>
                <w:szCs w:val="24"/>
                <w:highlight w:val="none"/>
              </w:rPr>
            </w:pPr>
            <w:r>
              <w:rPr>
                <w:rFonts w:hint="eastAsia" w:hAnsi="宋体"/>
                <w:b/>
                <w:color w:val="auto"/>
                <w:szCs w:val="24"/>
                <w:highlight w:val="none"/>
              </w:rPr>
              <w:t>条款号</w:t>
            </w:r>
          </w:p>
        </w:tc>
        <w:tc>
          <w:tcPr>
            <w:tcW w:w="3177" w:type="dxa"/>
            <w:gridSpan w:val="2"/>
            <w:vAlign w:val="center"/>
          </w:tcPr>
          <w:p w14:paraId="41F1544E">
            <w:pPr>
              <w:pStyle w:val="46"/>
              <w:jc w:val="center"/>
              <w:rPr>
                <w:rFonts w:hAnsi="宋体"/>
                <w:b/>
                <w:color w:val="auto"/>
                <w:szCs w:val="24"/>
                <w:highlight w:val="none"/>
              </w:rPr>
            </w:pPr>
            <w:r>
              <w:rPr>
                <w:rFonts w:hint="eastAsia" w:hAnsi="宋体"/>
                <w:b/>
                <w:color w:val="auto"/>
                <w:szCs w:val="24"/>
                <w:highlight w:val="none"/>
              </w:rPr>
              <w:t>评审因素</w:t>
            </w:r>
          </w:p>
        </w:tc>
        <w:tc>
          <w:tcPr>
            <w:tcW w:w="5736" w:type="dxa"/>
            <w:vAlign w:val="center"/>
          </w:tcPr>
          <w:p w14:paraId="079D5908">
            <w:pPr>
              <w:pStyle w:val="46"/>
              <w:jc w:val="center"/>
              <w:rPr>
                <w:rFonts w:hAnsi="宋体"/>
                <w:b/>
                <w:color w:val="auto"/>
                <w:szCs w:val="24"/>
                <w:highlight w:val="none"/>
              </w:rPr>
            </w:pPr>
            <w:r>
              <w:rPr>
                <w:rFonts w:hint="eastAsia" w:hAnsi="宋体"/>
                <w:b/>
                <w:color w:val="auto"/>
                <w:szCs w:val="24"/>
                <w:highlight w:val="none"/>
              </w:rPr>
              <w:t>评审标准</w:t>
            </w:r>
          </w:p>
        </w:tc>
      </w:tr>
      <w:tr w14:paraId="19CA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14:paraId="78160E9A">
            <w:pPr>
              <w:pStyle w:val="46"/>
              <w:spacing w:line="360" w:lineRule="auto"/>
              <w:ind w:right="-101" w:rightChars="-48"/>
              <w:jc w:val="center"/>
              <w:rPr>
                <w:rFonts w:hAnsi="宋体"/>
                <w:color w:val="auto"/>
                <w:szCs w:val="24"/>
                <w:highlight w:val="none"/>
              </w:rPr>
            </w:pPr>
            <w:r>
              <w:rPr>
                <w:rFonts w:hAnsi="宋体"/>
                <w:color w:val="auto"/>
                <w:szCs w:val="24"/>
                <w:highlight w:val="none"/>
              </w:rPr>
              <w:t>2.1.1</w:t>
            </w:r>
          </w:p>
        </w:tc>
        <w:tc>
          <w:tcPr>
            <w:tcW w:w="560" w:type="dxa"/>
            <w:vMerge w:val="restart"/>
            <w:vAlign w:val="center"/>
          </w:tcPr>
          <w:p w14:paraId="56A381AA">
            <w:pPr>
              <w:pStyle w:val="46"/>
              <w:jc w:val="center"/>
              <w:rPr>
                <w:rFonts w:hAnsi="宋体"/>
                <w:color w:val="auto"/>
                <w:szCs w:val="24"/>
                <w:highlight w:val="none"/>
              </w:rPr>
            </w:pPr>
            <w:r>
              <w:rPr>
                <w:rFonts w:hint="eastAsia" w:hAnsi="宋体"/>
                <w:color w:val="auto"/>
                <w:szCs w:val="24"/>
                <w:highlight w:val="none"/>
              </w:rPr>
              <w:t>资</w:t>
            </w:r>
          </w:p>
          <w:p w14:paraId="30FE1680">
            <w:pPr>
              <w:pStyle w:val="46"/>
              <w:jc w:val="center"/>
              <w:rPr>
                <w:rFonts w:hAnsi="宋体"/>
                <w:color w:val="auto"/>
                <w:szCs w:val="24"/>
                <w:highlight w:val="none"/>
              </w:rPr>
            </w:pPr>
            <w:r>
              <w:rPr>
                <w:rFonts w:hint="eastAsia" w:hAnsi="宋体"/>
                <w:color w:val="auto"/>
                <w:szCs w:val="24"/>
                <w:highlight w:val="none"/>
              </w:rPr>
              <w:t>格</w:t>
            </w:r>
          </w:p>
          <w:p w14:paraId="501FF1D2">
            <w:pPr>
              <w:pStyle w:val="46"/>
              <w:jc w:val="center"/>
              <w:rPr>
                <w:rFonts w:hAnsi="宋体"/>
                <w:color w:val="auto"/>
                <w:szCs w:val="24"/>
                <w:highlight w:val="none"/>
              </w:rPr>
            </w:pPr>
            <w:r>
              <w:rPr>
                <w:rFonts w:hint="eastAsia" w:hAnsi="宋体"/>
                <w:color w:val="auto"/>
                <w:szCs w:val="24"/>
                <w:highlight w:val="none"/>
              </w:rPr>
              <w:t>性</w:t>
            </w:r>
          </w:p>
          <w:p w14:paraId="5FE4C60F">
            <w:pPr>
              <w:pStyle w:val="46"/>
              <w:jc w:val="center"/>
              <w:rPr>
                <w:rFonts w:hAnsi="宋体"/>
                <w:color w:val="auto"/>
                <w:szCs w:val="24"/>
                <w:highlight w:val="none"/>
              </w:rPr>
            </w:pPr>
            <w:r>
              <w:rPr>
                <w:rFonts w:hint="eastAsia" w:hAnsi="宋体"/>
                <w:color w:val="auto"/>
                <w:szCs w:val="24"/>
                <w:highlight w:val="none"/>
              </w:rPr>
              <w:t>审</w:t>
            </w:r>
          </w:p>
          <w:p w14:paraId="5A90A954">
            <w:pPr>
              <w:pStyle w:val="46"/>
              <w:jc w:val="center"/>
              <w:rPr>
                <w:rFonts w:hAnsi="宋体"/>
                <w:color w:val="auto"/>
                <w:szCs w:val="24"/>
                <w:highlight w:val="none"/>
              </w:rPr>
            </w:pPr>
            <w:r>
              <w:rPr>
                <w:rFonts w:hint="eastAsia" w:hAnsi="宋体"/>
                <w:color w:val="auto"/>
                <w:szCs w:val="24"/>
                <w:highlight w:val="none"/>
              </w:rPr>
              <w:t>查</w:t>
            </w:r>
          </w:p>
        </w:tc>
        <w:tc>
          <w:tcPr>
            <w:tcW w:w="3177" w:type="dxa"/>
            <w:gridSpan w:val="2"/>
            <w:vAlign w:val="center"/>
          </w:tcPr>
          <w:p w14:paraId="2B42C8B2">
            <w:pPr>
              <w:widowControl w:val="0"/>
              <w:snapToGrid w:val="0"/>
              <w:spacing w:line="240" w:lineRule="auto"/>
              <w:rPr>
                <w:rFonts w:ascii="宋体"/>
                <w:color w:val="auto"/>
                <w:sz w:val="24"/>
                <w:szCs w:val="24"/>
                <w:highlight w:val="none"/>
              </w:rPr>
            </w:pPr>
            <w:r>
              <w:rPr>
                <w:rFonts w:hint="eastAsia"/>
                <w:color w:val="auto"/>
                <w:sz w:val="24"/>
                <w:szCs w:val="24"/>
                <w:highlight w:val="none"/>
              </w:rPr>
              <w:t>第一章“谈判公告”第</w:t>
            </w:r>
            <w:r>
              <w:rPr>
                <w:color w:val="auto"/>
                <w:sz w:val="24"/>
                <w:szCs w:val="24"/>
                <w:highlight w:val="none"/>
              </w:rPr>
              <w:t>2</w:t>
            </w:r>
            <w:r>
              <w:rPr>
                <w:rFonts w:hint="eastAsia"/>
                <w:color w:val="auto"/>
                <w:sz w:val="24"/>
                <w:szCs w:val="24"/>
                <w:highlight w:val="none"/>
              </w:rPr>
              <w:t>条各项资格要求</w:t>
            </w:r>
          </w:p>
        </w:tc>
        <w:tc>
          <w:tcPr>
            <w:tcW w:w="5736" w:type="dxa"/>
            <w:vAlign w:val="center"/>
          </w:tcPr>
          <w:p w14:paraId="6F0358FA">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符合第一章“谈判公告”第</w:t>
            </w:r>
            <w:r>
              <w:rPr>
                <w:rFonts w:ascii="宋体" w:hAnsi="宋体"/>
                <w:color w:val="auto"/>
                <w:sz w:val="24"/>
                <w:szCs w:val="24"/>
                <w:highlight w:val="none"/>
              </w:rPr>
              <w:t>2</w:t>
            </w:r>
            <w:r>
              <w:rPr>
                <w:rFonts w:hint="eastAsia" w:ascii="宋体" w:hAnsi="宋体"/>
                <w:color w:val="auto"/>
                <w:sz w:val="24"/>
                <w:szCs w:val="24"/>
                <w:highlight w:val="none"/>
              </w:rPr>
              <w:t>条各项</w:t>
            </w:r>
            <w:r>
              <w:rPr>
                <w:rFonts w:hint="eastAsia"/>
                <w:color w:val="auto"/>
                <w:sz w:val="24"/>
                <w:szCs w:val="24"/>
                <w:highlight w:val="none"/>
              </w:rPr>
              <w:t>资格要求所需证件材料及证明材料</w:t>
            </w:r>
          </w:p>
        </w:tc>
      </w:tr>
      <w:tr w14:paraId="0E9B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14:paraId="34AA193E">
            <w:pPr>
              <w:pStyle w:val="46"/>
              <w:spacing w:line="360" w:lineRule="auto"/>
              <w:jc w:val="center"/>
              <w:rPr>
                <w:rFonts w:hAnsi="宋体"/>
                <w:color w:val="auto"/>
                <w:szCs w:val="24"/>
                <w:highlight w:val="none"/>
              </w:rPr>
            </w:pPr>
          </w:p>
        </w:tc>
        <w:tc>
          <w:tcPr>
            <w:tcW w:w="560" w:type="dxa"/>
            <w:vMerge w:val="continue"/>
            <w:vAlign w:val="center"/>
          </w:tcPr>
          <w:p w14:paraId="7B20E391">
            <w:pPr>
              <w:pStyle w:val="46"/>
              <w:spacing w:line="360" w:lineRule="auto"/>
              <w:jc w:val="center"/>
              <w:rPr>
                <w:rFonts w:hAnsi="宋体"/>
                <w:color w:val="auto"/>
                <w:szCs w:val="24"/>
                <w:highlight w:val="none"/>
              </w:rPr>
            </w:pPr>
          </w:p>
        </w:tc>
        <w:tc>
          <w:tcPr>
            <w:tcW w:w="3177" w:type="dxa"/>
            <w:gridSpan w:val="2"/>
            <w:vAlign w:val="center"/>
          </w:tcPr>
          <w:p w14:paraId="4CBC7CA3">
            <w:pPr>
              <w:widowControl w:val="0"/>
              <w:snapToGrid w:val="0"/>
              <w:spacing w:line="240" w:lineRule="auto"/>
              <w:rPr>
                <w:color w:val="auto"/>
                <w:sz w:val="24"/>
                <w:szCs w:val="24"/>
                <w:highlight w:val="none"/>
              </w:rPr>
            </w:pPr>
            <w:r>
              <w:rPr>
                <w:rFonts w:hint="eastAsia"/>
                <w:color w:val="auto"/>
                <w:sz w:val="24"/>
                <w:szCs w:val="24"/>
                <w:highlight w:val="none"/>
              </w:rPr>
              <w:t>投标承诺函</w:t>
            </w:r>
          </w:p>
          <w:p w14:paraId="1F133356">
            <w:pPr>
              <w:widowControl w:val="0"/>
              <w:snapToGrid w:val="0"/>
              <w:spacing w:line="240" w:lineRule="auto"/>
              <w:rPr>
                <w:color w:val="auto"/>
                <w:sz w:val="24"/>
                <w:szCs w:val="24"/>
                <w:highlight w:val="none"/>
              </w:rPr>
            </w:pPr>
            <w:r>
              <w:rPr>
                <w:rFonts w:hint="eastAsia"/>
                <w:color w:val="auto"/>
                <w:sz w:val="24"/>
                <w:szCs w:val="24"/>
                <w:highlight w:val="none"/>
              </w:rPr>
              <w:t>(替代投标保证金)</w:t>
            </w:r>
          </w:p>
        </w:tc>
        <w:tc>
          <w:tcPr>
            <w:tcW w:w="5736" w:type="dxa"/>
            <w:vAlign w:val="center"/>
          </w:tcPr>
          <w:p w14:paraId="7AEAF322">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3.5</w:t>
            </w:r>
            <w:r>
              <w:rPr>
                <w:rFonts w:hint="eastAsia" w:ascii="宋体" w:hAnsi="宋体"/>
                <w:color w:val="auto"/>
                <w:sz w:val="24"/>
                <w:szCs w:val="24"/>
                <w:highlight w:val="none"/>
              </w:rPr>
              <w:t>款规定</w:t>
            </w:r>
          </w:p>
        </w:tc>
      </w:tr>
      <w:tr w14:paraId="389D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14:paraId="3E7B844F">
            <w:pPr>
              <w:pStyle w:val="46"/>
              <w:spacing w:line="360" w:lineRule="auto"/>
              <w:jc w:val="center"/>
              <w:rPr>
                <w:rFonts w:hAnsi="宋体"/>
                <w:color w:val="auto"/>
                <w:szCs w:val="24"/>
                <w:highlight w:val="none"/>
              </w:rPr>
            </w:pPr>
          </w:p>
        </w:tc>
        <w:tc>
          <w:tcPr>
            <w:tcW w:w="560" w:type="dxa"/>
            <w:vMerge w:val="continue"/>
            <w:vAlign w:val="center"/>
          </w:tcPr>
          <w:p w14:paraId="54A21094">
            <w:pPr>
              <w:pStyle w:val="46"/>
              <w:spacing w:line="360" w:lineRule="auto"/>
              <w:jc w:val="center"/>
              <w:rPr>
                <w:rFonts w:hAnsi="宋体"/>
                <w:color w:val="auto"/>
                <w:szCs w:val="24"/>
                <w:highlight w:val="none"/>
              </w:rPr>
            </w:pPr>
          </w:p>
        </w:tc>
        <w:tc>
          <w:tcPr>
            <w:tcW w:w="3177" w:type="dxa"/>
            <w:gridSpan w:val="2"/>
            <w:vAlign w:val="center"/>
          </w:tcPr>
          <w:p w14:paraId="676CD1CF">
            <w:pPr>
              <w:widowControl w:val="0"/>
              <w:snapToGrid w:val="0"/>
              <w:spacing w:line="240" w:lineRule="auto"/>
              <w:rPr>
                <w:color w:val="auto"/>
                <w:sz w:val="24"/>
                <w:szCs w:val="24"/>
                <w:highlight w:val="none"/>
              </w:rPr>
            </w:pPr>
            <w:r>
              <w:rPr>
                <w:rFonts w:hint="eastAsia"/>
                <w:color w:val="auto"/>
                <w:sz w:val="24"/>
                <w:szCs w:val="24"/>
                <w:highlight w:val="none"/>
              </w:rPr>
              <w:t>联合体（如有）</w:t>
            </w:r>
          </w:p>
        </w:tc>
        <w:tc>
          <w:tcPr>
            <w:tcW w:w="5736" w:type="dxa"/>
            <w:vAlign w:val="center"/>
          </w:tcPr>
          <w:p w14:paraId="0DF13F7D">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1.4</w:t>
            </w:r>
            <w:r>
              <w:rPr>
                <w:rFonts w:hint="eastAsia" w:ascii="宋体" w:hAnsi="宋体"/>
                <w:color w:val="auto"/>
                <w:sz w:val="24"/>
                <w:szCs w:val="24"/>
                <w:highlight w:val="none"/>
              </w:rPr>
              <w:t>款规定</w:t>
            </w:r>
          </w:p>
        </w:tc>
      </w:tr>
      <w:tr w14:paraId="2DB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14:paraId="6B90C84B">
            <w:pPr>
              <w:pStyle w:val="46"/>
              <w:spacing w:line="360" w:lineRule="auto"/>
              <w:ind w:right="-160" w:rightChars="-76"/>
              <w:jc w:val="center"/>
              <w:rPr>
                <w:rFonts w:hAnsi="宋体"/>
                <w:color w:val="auto"/>
                <w:szCs w:val="24"/>
                <w:highlight w:val="none"/>
              </w:rPr>
            </w:pPr>
            <w:r>
              <w:rPr>
                <w:rFonts w:hAnsi="宋体"/>
                <w:color w:val="auto"/>
                <w:szCs w:val="24"/>
                <w:highlight w:val="none"/>
              </w:rPr>
              <w:t>2.1.2</w:t>
            </w:r>
          </w:p>
        </w:tc>
        <w:tc>
          <w:tcPr>
            <w:tcW w:w="560" w:type="dxa"/>
            <w:vMerge w:val="restart"/>
            <w:vAlign w:val="center"/>
          </w:tcPr>
          <w:p w14:paraId="6094BDB7">
            <w:pPr>
              <w:pStyle w:val="46"/>
              <w:spacing w:line="360" w:lineRule="auto"/>
              <w:jc w:val="center"/>
              <w:rPr>
                <w:rFonts w:hAnsi="宋体"/>
                <w:color w:val="auto"/>
                <w:szCs w:val="24"/>
                <w:highlight w:val="none"/>
              </w:rPr>
            </w:pPr>
            <w:r>
              <w:rPr>
                <w:rFonts w:hint="eastAsia" w:hAnsi="宋体"/>
                <w:color w:val="auto"/>
                <w:szCs w:val="24"/>
                <w:highlight w:val="none"/>
              </w:rPr>
              <w:t>符</w:t>
            </w:r>
          </w:p>
          <w:p w14:paraId="43AAE014">
            <w:pPr>
              <w:pStyle w:val="46"/>
              <w:spacing w:line="360" w:lineRule="auto"/>
              <w:jc w:val="center"/>
              <w:rPr>
                <w:rFonts w:hAnsi="宋体"/>
                <w:color w:val="auto"/>
                <w:szCs w:val="24"/>
                <w:highlight w:val="none"/>
              </w:rPr>
            </w:pPr>
            <w:r>
              <w:rPr>
                <w:rFonts w:hint="eastAsia" w:hAnsi="宋体"/>
                <w:color w:val="auto"/>
                <w:szCs w:val="24"/>
                <w:highlight w:val="none"/>
              </w:rPr>
              <w:t>合</w:t>
            </w:r>
          </w:p>
          <w:p w14:paraId="780AEDD6">
            <w:pPr>
              <w:pStyle w:val="46"/>
              <w:spacing w:line="360" w:lineRule="auto"/>
              <w:jc w:val="center"/>
              <w:rPr>
                <w:rFonts w:hAnsi="宋体"/>
                <w:color w:val="auto"/>
                <w:szCs w:val="24"/>
                <w:highlight w:val="none"/>
              </w:rPr>
            </w:pPr>
            <w:r>
              <w:rPr>
                <w:rFonts w:hint="eastAsia" w:hAnsi="宋体"/>
                <w:color w:val="auto"/>
                <w:szCs w:val="24"/>
                <w:highlight w:val="none"/>
              </w:rPr>
              <w:t>性</w:t>
            </w:r>
          </w:p>
          <w:p w14:paraId="615E678E">
            <w:pPr>
              <w:pStyle w:val="46"/>
              <w:spacing w:line="360" w:lineRule="auto"/>
              <w:jc w:val="center"/>
              <w:rPr>
                <w:rFonts w:hAnsi="宋体"/>
                <w:color w:val="auto"/>
                <w:szCs w:val="24"/>
                <w:highlight w:val="none"/>
              </w:rPr>
            </w:pPr>
            <w:r>
              <w:rPr>
                <w:rFonts w:hint="eastAsia" w:hAnsi="宋体"/>
                <w:color w:val="auto"/>
                <w:szCs w:val="24"/>
                <w:highlight w:val="none"/>
              </w:rPr>
              <w:t>审</w:t>
            </w:r>
          </w:p>
          <w:p w14:paraId="1D25A01B">
            <w:pPr>
              <w:pStyle w:val="46"/>
              <w:spacing w:line="360" w:lineRule="auto"/>
              <w:jc w:val="center"/>
              <w:rPr>
                <w:rFonts w:hAnsi="宋体"/>
                <w:color w:val="auto"/>
                <w:szCs w:val="24"/>
                <w:highlight w:val="none"/>
              </w:rPr>
            </w:pPr>
            <w:r>
              <w:rPr>
                <w:rFonts w:hint="eastAsia" w:hAnsi="宋体"/>
                <w:color w:val="auto"/>
                <w:szCs w:val="24"/>
                <w:highlight w:val="none"/>
              </w:rPr>
              <w:t>查</w:t>
            </w:r>
          </w:p>
        </w:tc>
        <w:tc>
          <w:tcPr>
            <w:tcW w:w="960" w:type="dxa"/>
            <w:vMerge w:val="restart"/>
            <w:vAlign w:val="center"/>
          </w:tcPr>
          <w:p w14:paraId="50011ABE">
            <w:pPr>
              <w:pStyle w:val="46"/>
              <w:adjustRightInd/>
              <w:snapToGrid w:val="0"/>
              <w:jc w:val="center"/>
              <w:rPr>
                <w:rFonts w:hAnsi="宋体"/>
                <w:color w:val="auto"/>
                <w:szCs w:val="24"/>
                <w:highlight w:val="none"/>
              </w:rPr>
            </w:pPr>
            <w:r>
              <w:rPr>
                <w:rFonts w:hint="eastAsia" w:hAnsi="宋体"/>
                <w:color w:val="auto"/>
                <w:szCs w:val="24"/>
                <w:highlight w:val="none"/>
              </w:rPr>
              <w:t>有效性</w:t>
            </w:r>
          </w:p>
        </w:tc>
        <w:tc>
          <w:tcPr>
            <w:tcW w:w="2217" w:type="dxa"/>
            <w:vAlign w:val="center"/>
          </w:tcPr>
          <w:p w14:paraId="35BF2A48">
            <w:pPr>
              <w:pStyle w:val="46"/>
              <w:adjustRightInd/>
              <w:snapToGrid w:val="0"/>
              <w:jc w:val="center"/>
              <w:rPr>
                <w:rFonts w:hAnsi="宋体"/>
                <w:color w:val="auto"/>
                <w:szCs w:val="24"/>
                <w:highlight w:val="none"/>
              </w:rPr>
            </w:pPr>
            <w:r>
              <w:rPr>
                <w:rFonts w:hint="eastAsia" w:hAnsi="宋体"/>
                <w:color w:val="auto"/>
                <w:szCs w:val="24"/>
                <w:highlight w:val="none"/>
              </w:rPr>
              <w:t>投标人名称</w:t>
            </w:r>
          </w:p>
        </w:tc>
        <w:tc>
          <w:tcPr>
            <w:tcW w:w="5736" w:type="dxa"/>
            <w:vAlign w:val="center"/>
          </w:tcPr>
          <w:p w14:paraId="14E3F5BF">
            <w:pPr>
              <w:pStyle w:val="46"/>
              <w:adjustRightInd/>
              <w:snapToGrid w:val="0"/>
              <w:rPr>
                <w:rFonts w:hAnsi="宋体"/>
                <w:color w:val="auto"/>
                <w:szCs w:val="24"/>
                <w:highlight w:val="none"/>
              </w:rPr>
            </w:pPr>
            <w:r>
              <w:rPr>
                <w:rFonts w:hint="eastAsia" w:hAnsi="宋体"/>
                <w:color w:val="auto"/>
                <w:szCs w:val="24"/>
                <w:highlight w:val="none"/>
              </w:rPr>
              <w:t>与营业执照证等证照及签章一致</w:t>
            </w:r>
          </w:p>
        </w:tc>
      </w:tr>
      <w:tr w14:paraId="3438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14:paraId="2A2B4BEE">
            <w:pPr>
              <w:pStyle w:val="46"/>
              <w:spacing w:line="360" w:lineRule="auto"/>
              <w:jc w:val="center"/>
              <w:rPr>
                <w:rFonts w:hAnsi="宋体"/>
                <w:color w:val="auto"/>
                <w:szCs w:val="24"/>
                <w:highlight w:val="none"/>
              </w:rPr>
            </w:pPr>
          </w:p>
        </w:tc>
        <w:tc>
          <w:tcPr>
            <w:tcW w:w="560" w:type="dxa"/>
            <w:vMerge w:val="continue"/>
            <w:vAlign w:val="center"/>
          </w:tcPr>
          <w:p w14:paraId="76E3D049">
            <w:pPr>
              <w:pStyle w:val="46"/>
              <w:spacing w:line="360" w:lineRule="auto"/>
              <w:jc w:val="center"/>
              <w:rPr>
                <w:rFonts w:hAnsi="宋体"/>
                <w:color w:val="auto"/>
                <w:szCs w:val="24"/>
                <w:highlight w:val="none"/>
              </w:rPr>
            </w:pPr>
          </w:p>
        </w:tc>
        <w:tc>
          <w:tcPr>
            <w:tcW w:w="960" w:type="dxa"/>
            <w:vMerge w:val="continue"/>
            <w:vAlign w:val="center"/>
          </w:tcPr>
          <w:p w14:paraId="697D8EEB">
            <w:pPr>
              <w:pStyle w:val="46"/>
              <w:adjustRightInd/>
              <w:snapToGrid w:val="0"/>
              <w:jc w:val="center"/>
              <w:rPr>
                <w:rFonts w:hAnsi="宋体"/>
                <w:color w:val="auto"/>
                <w:szCs w:val="24"/>
                <w:highlight w:val="none"/>
              </w:rPr>
            </w:pPr>
          </w:p>
        </w:tc>
        <w:tc>
          <w:tcPr>
            <w:tcW w:w="2217" w:type="dxa"/>
            <w:vAlign w:val="center"/>
          </w:tcPr>
          <w:p w14:paraId="47F5822E">
            <w:pPr>
              <w:pStyle w:val="46"/>
              <w:adjustRightInd/>
              <w:snapToGrid w:val="0"/>
              <w:jc w:val="center"/>
              <w:rPr>
                <w:rFonts w:hAnsi="宋体"/>
                <w:color w:val="auto"/>
                <w:szCs w:val="24"/>
                <w:highlight w:val="none"/>
              </w:rPr>
            </w:pPr>
            <w:r>
              <w:rPr>
                <w:rFonts w:hint="eastAsia" w:hAnsi="宋体"/>
                <w:color w:val="auto"/>
                <w:szCs w:val="24"/>
                <w:highlight w:val="none"/>
              </w:rPr>
              <w:t>签字或盖章</w:t>
            </w:r>
          </w:p>
        </w:tc>
        <w:tc>
          <w:tcPr>
            <w:tcW w:w="5736" w:type="dxa"/>
            <w:vAlign w:val="center"/>
          </w:tcPr>
          <w:p w14:paraId="712C200A">
            <w:pPr>
              <w:pStyle w:val="46"/>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3.7.4</w:t>
            </w:r>
            <w:r>
              <w:rPr>
                <w:rFonts w:hint="eastAsia" w:hAnsi="宋体"/>
                <w:color w:val="auto"/>
                <w:szCs w:val="24"/>
                <w:highlight w:val="none"/>
              </w:rPr>
              <w:t>项规定</w:t>
            </w:r>
          </w:p>
        </w:tc>
      </w:tr>
      <w:tr w14:paraId="6E87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64" w:type="dxa"/>
            <w:vMerge w:val="continue"/>
            <w:vAlign w:val="center"/>
          </w:tcPr>
          <w:p w14:paraId="03AC0C87">
            <w:pPr>
              <w:pStyle w:val="46"/>
              <w:spacing w:line="360" w:lineRule="auto"/>
              <w:jc w:val="center"/>
              <w:rPr>
                <w:rFonts w:hAnsi="宋体"/>
                <w:color w:val="auto"/>
                <w:szCs w:val="24"/>
                <w:highlight w:val="none"/>
              </w:rPr>
            </w:pPr>
          </w:p>
        </w:tc>
        <w:tc>
          <w:tcPr>
            <w:tcW w:w="560" w:type="dxa"/>
            <w:vMerge w:val="continue"/>
            <w:vAlign w:val="center"/>
          </w:tcPr>
          <w:p w14:paraId="3D1C10A9">
            <w:pPr>
              <w:pStyle w:val="46"/>
              <w:spacing w:line="360" w:lineRule="auto"/>
              <w:jc w:val="center"/>
              <w:rPr>
                <w:rFonts w:hAnsi="宋体"/>
                <w:color w:val="auto"/>
                <w:szCs w:val="24"/>
                <w:highlight w:val="none"/>
              </w:rPr>
            </w:pPr>
          </w:p>
        </w:tc>
        <w:tc>
          <w:tcPr>
            <w:tcW w:w="960" w:type="dxa"/>
            <w:vAlign w:val="center"/>
          </w:tcPr>
          <w:p w14:paraId="24D9C281">
            <w:pPr>
              <w:pStyle w:val="46"/>
              <w:adjustRightInd/>
              <w:snapToGrid w:val="0"/>
              <w:jc w:val="center"/>
              <w:rPr>
                <w:rFonts w:hAnsi="宋体"/>
                <w:color w:val="auto"/>
                <w:szCs w:val="24"/>
                <w:highlight w:val="none"/>
              </w:rPr>
            </w:pPr>
            <w:r>
              <w:rPr>
                <w:rFonts w:hint="eastAsia" w:hAnsi="宋体"/>
                <w:color w:val="auto"/>
                <w:szCs w:val="24"/>
                <w:highlight w:val="none"/>
              </w:rPr>
              <w:t>完整性</w:t>
            </w:r>
          </w:p>
        </w:tc>
        <w:tc>
          <w:tcPr>
            <w:tcW w:w="2217" w:type="dxa"/>
            <w:vAlign w:val="center"/>
          </w:tcPr>
          <w:p w14:paraId="7C31B301">
            <w:pPr>
              <w:pStyle w:val="46"/>
              <w:adjustRightInd/>
              <w:snapToGrid w:val="0"/>
              <w:jc w:val="center"/>
              <w:rPr>
                <w:rFonts w:hAnsi="宋体"/>
                <w:color w:val="auto"/>
                <w:szCs w:val="24"/>
                <w:highlight w:val="none"/>
              </w:rPr>
            </w:pPr>
            <w:r>
              <w:rPr>
                <w:rFonts w:hint="eastAsia" w:hAnsi="宋体"/>
                <w:color w:val="auto"/>
                <w:szCs w:val="24"/>
                <w:highlight w:val="none"/>
              </w:rPr>
              <w:t>投标文件组成</w:t>
            </w:r>
          </w:p>
        </w:tc>
        <w:tc>
          <w:tcPr>
            <w:tcW w:w="5736" w:type="dxa"/>
            <w:vAlign w:val="center"/>
          </w:tcPr>
          <w:p w14:paraId="3392DD2C">
            <w:pPr>
              <w:pStyle w:val="46"/>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3.2</w:t>
            </w:r>
            <w:r>
              <w:rPr>
                <w:rFonts w:hint="eastAsia" w:hAnsi="宋体"/>
                <w:color w:val="auto"/>
                <w:szCs w:val="24"/>
                <w:highlight w:val="none"/>
              </w:rPr>
              <w:t>款规定</w:t>
            </w:r>
          </w:p>
        </w:tc>
      </w:tr>
      <w:tr w14:paraId="5F75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64" w:type="dxa"/>
            <w:vMerge w:val="continue"/>
            <w:vAlign w:val="center"/>
          </w:tcPr>
          <w:p w14:paraId="3B066F27">
            <w:pPr>
              <w:pStyle w:val="46"/>
              <w:spacing w:line="360" w:lineRule="auto"/>
              <w:jc w:val="center"/>
              <w:rPr>
                <w:rFonts w:hAnsi="宋体"/>
                <w:color w:val="auto"/>
                <w:szCs w:val="24"/>
                <w:highlight w:val="none"/>
              </w:rPr>
            </w:pPr>
          </w:p>
        </w:tc>
        <w:tc>
          <w:tcPr>
            <w:tcW w:w="560" w:type="dxa"/>
            <w:vMerge w:val="continue"/>
            <w:vAlign w:val="center"/>
          </w:tcPr>
          <w:p w14:paraId="33B45893">
            <w:pPr>
              <w:pStyle w:val="46"/>
              <w:spacing w:line="360" w:lineRule="auto"/>
              <w:jc w:val="center"/>
              <w:rPr>
                <w:rFonts w:hAnsi="宋体"/>
                <w:color w:val="auto"/>
                <w:szCs w:val="24"/>
                <w:highlight w:val="none"/>
              </w:rPr>
            </w:pPr>
          </w:p>
        </w:tc>
        <w:tc>
          <w:tcPr>
            <w:tcW w:w="960" w:type="dxa"/>
            <w:vMerge w:val="restart"/>
            <w:vAlign w:val="center"/>
          </w:tcPr>
          <w:p w14:paraId="79842A8F">
            <w:pPr>
              <w:pStyle w:val="46"/>
              <w:snapToGrid w:val="0"/>
              <w:jc w:val="center"/>
              <w:rPr>
                <w:rFonts w:hAnsi="宋体"/>
                <w:color w:val="auto"/>
                <w:szCs w:val="24"/>
                <w:highlight w:val="none"/>
              </w:rPr>
            </w:pPr>
            <w:r>
              <w:rPr>
                <w:rFonts w:hint="eastAsia" w:hAnsi="宋体"/>
                <w:color w:val="auto"/>
                <w:szCs w:val="24"/>
                <w:highlight w:val="none"/>
              </w:rPr>
              <w:t>响应程度</w:t>
            </w:r>
          </w:p>
        </w:tc>
        <w:tc>
          <w:tcPr>
            <w:tcW w:w="2217" w:type="dxa"/>
            <w:vAlign w:val="center"/>
          </w:tcPr>
          <w:p w14:paraId="2971E57E">
            <w:pPr>
              <w:pStyle w:val="46"/>
              <w:adjustRightInd/>
              <w:snapToGrid w:val="0"/>
              <w:jc w:val="center"/>
              <w:rPr>
                <w:rFonts w:hAnsi="宋体"/>
                <w:color w:val="auto"/>
                <w:szCs w:val="24"/>
                <w:highlight w:val="none"/>
              </w:rPr>
            </w:pPr>
            <w:r>
              <w:rPr>
                <w:rFonts w:hint="eastAsia" w:hAnsi="宋体"/>
                <w:color w:val="auto"/>
                <w:szCs w:val="24"/>
                <w:highlight w:val="none"/>
              </w:rPr>
              <w:t>投标报价</w:t>
            </w:r>
          </w:p>
        </w:tc>
        <w:tc>
          <w:tcPr>
            <w:tcW w:w="5736" w:type="dxa"/>
            <w:vAlign w:val="center"/>
          </w:tcPr>
          <w:p w14:paraId="07254EB2">
            <w:pPr>
              <w:pStyle w:val="46"/>
              <w:adjustRightInd/>
              <w:snapToGrid w:val="0"/>
              <w:rPr>
                <w:rFonts w:hAnsi="宋体"/>
                <w:color w:val="auto"/>
                <w:szCs w:val="24"/>
                <w:highlight w:val="none"/>
              </w:rPr>
            </w:pPr>
            <w:r>
              <w:rPr>
                <w:rFonts w:hint="eastAsia" w:hAnsi="宋体"/>
                <w:color w:val="auto"/>
                <w:szCs w:val="24"/>
                <w:highlight w:val="none"/>
              </w:rPr>
              <w:t>符合第二章“采购项目及服务要求”</w:t>
            </w:r>
            <w:r>
              <w:rPr>
                <w:rFonts w:hAnsi="宋体"/>
                <w:color w:val="auto"/>
                <w:szCs w:val="24"/>
                <w:highlight w:val="none"/>
              </w:rPr>
              <w:t>1.3</w:t>
            </w:r>
            <w:r>
              <w:rPr>
                <w:rFonts w:hint="eastAsia" w:hAnsi="宋体"/>
                <w:color w:val="auto"/>
                <w:szCs w:val="24"/>
                <w:highlight w:val="none"/>
              </w:rPr>
              <w:t>款规定</w:t>
            </w:r>
          </w:p>
        </w:tc>
      </w:tr>
      <w:tr w14:paraId="617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64" w:type="dxa"/>
            <w:vMerge w:val="continue"/>
            <w:vAlign w:val="center"/>
          </w:tcPr>
          <w:p w14:paraId="4F42D85A">
            <w:pPr>
              <w:pStyle w:val="46"/>
              <w:spacing w:line="360" w:lineRule="auto"/>
              <w:jc w:val="center"/>
              <w:rPr>
                <w:rFonts w:hAnsi="宋体"/>
                <w:color w:val="auto"/>
                <w:szCs w:val="24"/>
                <w:highlight w:val="none"/>
              </w:rPr>
            </w:pPr>
          </w:p>
        </w:tc>
        <w:tc>
          <w:tcPr>
            <w:tcW w:w="560" w:type="dxa"/>
            <w:vMerge w:val="continue"/>
            <w:vAlign w:val="center"/>
          </w:tcPr>
          <w:p w14:paraId="4CEC9BF7">
            <w:pPr>
              <w:pStyle w:val="46"/>
              <w:spacing w:line="360" w:lineRule="auto"/>
              <w:jc w:val="center"/>
              <w:rPr>
                <w:rFonts w:hAnsi="宋体"/>
                <w:color w:val="auto"/>
                <w:szCs w:val="24"/>
                <w:highlight w:val="none"/>
              </w:rPr>
            </w:pPr>
          </w:p>
        </w:tc>
        <w:tc>
          <w:tcPr>
            <w:tcW w:w="960" w:type="dxa"/>
            <w:vMerge w:val="continue"/>
            <w:vAlign w:val="center"/>
          </w:tcPr>
          <w:p w14:paraId="5F4BB1D9">
            <w:pPr>
              <w:pStyle w:val="46"/>
              <w:snapToGrid w:val="0"/>
              <w:jc w:val="center"/>
              <w:rPr>
                <w:rFonts w:hAnsi="宋体"/>
                <w:color w:val="auto"/>
                <w:szCs w:val="24"/>
                <w:highlight w:val="none"/>
              </w:rPr>
            </w:pPr>
          </w:p>
        </w:tc>
        <w:tc>
          <w:tcPr>
            <w:tcW w:w="2217" w:type="dxa"/>
            <w:vAlign w:val="center"/>
          </w:tcPr>
          <w:p w14:paraId="036F90F3">
            <w:pPr>
              <w:pStyle w:val="46"/>
              <w:adjustRightInd/>
              <w:snapToGrid w:val="0"/>
              <w:jc w:val="center"/>
              <w:rPr>
                <w:rFonts w:hAnsi="宋体"/>
                <w:color w:val="auto"/>
                <w:szCs w:val="24"/>
                <w:highlight w:val="none"/>
              </w:rPr>
            </w:pPr>
            <w:r>
              <w:rPr>
                <w:rFonts w:hint="eastAsia" w:hAnsi="宋体"/>
                <w:color w:val="auto"/>
                <w:szCs w:val="24"/>
                <w:highlight w:val="none"/>
              </w:rPr>
              <w:t>投标内容、</w:t>
            </w:r>
          </w:p>
          <w:p w14:paraId="75CE479D">
            <w:pPr>
              <w:pStyle w:val="46"/>
              <w:adjustRightInd/>
              <w:snapToGrid w:val="0"/>
              <w:jc w:val="center"/>
              <w:rPr>
                <w:rFonts w:hAnsi="宋体"/>
                <w:color w:val="auto"/>
                <w:szCs w:val="24"/>
                <w:highlight w:val="none"/>
              </w:rPr>
            </w:pPr>
            <w:r>
              <w:rPr>
                <w:rFonts w:hint="eastAsia" w:hAnsi="宋体"/>
                <w:color w:val="auto"/>
                <w:szCs w:val="24"/>
                <w:highlight w:val="none"/>
              </w:rPr>
              <w:t>服务要求</w:t>
            </w:r>
          </w:p>
        </w:tc>
        <w:tc>
          <w:tcPr>
            <w:tcW w:w="5736" w:type="dxa"/>
            <w:vAlign w:val="center"/>
          </w:tcPr>
          <w:p w14:paraId="12996C26">
            <w:pPr>
              <w:pStyle w:val="46"/>
              <w:adjustRightInd/>
              <w:snapToGrid w:val="0"/>
              <w:rPr>
                <w:rFonts w:hAnsi="宋体"/>
                <w:color w:val="auto"/>
                <w:szCs w:val="24"/>
                <w:highlight w:val="none"/>
              </w:rPr>
            </w:pPr>
            <w:r>
              <w:rPr>
                <w:rFonts w:hint="eastAsia" w:hAnsi="宋体"/>
                <w:color w:val="auto"/>
                <w:szCs w:val="24"/>
                <w:highlight w:val="none"/>
              </w:rPr>
              <w:t>符合第二章“采购项目及服务要求”第</w:t>
            </w:r>
            <w:r>
              <w:rPr>
                <w:rFonts w:hAnsi="宋体"/>
                <w:color w:val="auto"/>
                <w:szCs w:val="24"/>
                <w:highlight w:val="none"/>
              </w:rPr>
              <w:t>2</w:t>
            </w:r>
            <w:r>
              <w:rPr>
                <w:rFonts w:hint="eastAsia" w:hAnsi="宋体"/>
                <w:color w:val="auto"/>
                <w:szCs w:val="24"/>
                <w:highlight w:val="none"/>
              </w:rPr>
              <w:t>条规定</w:t>
            </w:r>
          </w:p>
        </w:tc>
      </w:tr>
      <w:tr w14:paraId="69F6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14:paraId="6DAF9722">
            <w:pPr>
              <w:pStyle w:val="46"/>
              <w:spacing w:line="360" w:lineRule="auto"/>
              <w:jc w:val="center"/>
              <w:rPr>
                <w:rFonts w:hAnsi="宋体"/>
                <w:color w:val="auto"/>
                <w:szCs w:val="24"/>
                <w:highlight w:val="none"/>
              </w:rPr>
            </w:pPr>
          </w:p>
        </w:tc>
        <w:tc>
          <w:tcPr>
            <w:tcW w:w="560" w:type="dxa"/>
            <w:vMerge w:val="continue"/>
            <w:vAlign w:val="center"/>
          </w:tcPr>
          <w:p w14:paraId="50CF5865">
            <w:pPr>
              <w:pStyle w:val="46"/>
              <w:spacing w:line="360" w:lineRule="auto"/>
              <w:jc w:val="center"/>
              <w:rPr>
                <w:rFonts w:hAnsi="宋体"/>
                <w:color w:val="auto"/>
                <w:szCs w:val="24"/>
                <w:highlight w:val="none"/>
              </w:rPr>
            </w:pPr>
          </w:p>
        </w:tc>
        <w:tc>
          <w:tcPr>
            <w:tcW w:w="960" w:type="dxa"/>
            <w:vMerge w:val="continue"/>
            <w:vAlign w:val="center"/>
          </w:tcPr>
          <w:p w14:paraId="72BA2F99">
            <w:pPr>
              <w:pStyle w:val="46"/>
              <w:snapToGrid w:val="0"/>
              <w:jc w:val="center"/>
              <w:rPr>
                <w:rFonts w:hAnsi="宋体"/>
                <w:color w:val="auto"/>
                <w:szCs w:val="24"/>
                <w:highlight w:val="none"/>
              </w:rPr>
            </w:pPr>
          </w:p>
        </w:tc>
        <w:tc>
          <w:tcPr>
            <w:tcW w:w="2217" w:type="dxa"/>
            <w:vAlign w:val="center"/>
          </w:tcPr>
          <w:p w14:paraId="2D7D5AFB">
            <w:pPr>
              <w:pStyle w:val="46"/>
              <w:adjustRightInd/>
              <w:snapToGrid w:val="0"/>
              <w:jc w:val="center"/>
              <w:rPr>
                <w:rFonts w:hAnsi="宋体"/>
                <w:color w:val="auto"/>
                <w:szCs w:val="24"/>
                <w:highlight w:val="none"/>
              </w:rPr>
            </w:pPr>
            <w:r>
              <w:rPr>
                <w:rFonts w:hint="eastAsia" w:hAnsi="宋体"/>
                <w:color w:val="auto"/>
                <w:szCs w:val="24"/>
                <w:highlight w:val="none"/>
              </w:rPr>
              <w:t>服务期、服务地</w:t>
            </w:r>
          </w:p>
        </w:tc>
        <w:tc>
          <w:tcPr>
            <w:tcW w:w="5736" w:type="dxa"/>
            <w:vAlign w:val="center"/>
          </w:tcPr>
          <w:p w14:paraId="5445E43E">
            <w:pPr>
              <w:pStyle w:val="46"/>
              <w:adjustRightInd/>
              <w:snapToGrid w:val="0"/>
              <w:jc w:val="both"/>
              <w:rPr>
                <w:rFonts w:hAnsi="宋体"/>
                <w:color w:val="auto"/>
                <w:szCs w:val="24"/>
                <w:highlight w:val="none"/>
              </w:rPr>
            </w:pPr>
            <w:r>
              <w:rPr>
                <w:rFonts w:hint="eastAsia" w:hAnsi="宋体"/>
                <w:color w:val="auto"/>
                <w:szCs w:val="24"/>
                <w:highlight w:val="none"/>
              </w:rPr>
              <w:t>符合第二章“采购项目及服务要求”</w:t>
            </w:r>
            <w:r>
              <w:rPr>
                <w:rFonts w:hAnsi="宋体"/>
                <w:color w:val="auto"/>
                <w:szCs w:val="24"/>
                <w:highlight w:val="none"/>
              </w:rPr>
              <w:t>1.2</w:t>
            </w:r>
            <w:r>
              <w:rPr>
                <w:rFonts w:hint="eastAsia" w:hAnsi="宋体"/>
                <w:color w:val="auto"/>
                <w:szCs w:val="24"/>
                <w:highlight w:val="none"/>
              </w:rPr>
              <w:t>款规定</w:t>
            </w:r>
          </w:p>
        </w:tc>
      </w:tr>
      <w:tr w14:paraId="7D19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14:paraId="400F30D0">
            <w:pPr>
              <w:pStyle w:val="46"/>
              <w:spacing w:line="360" w:lineRule="auto"/>
              <w:jc w:val="center"/>
              <w:rPr>
                <w:rFonts w:hAnsi="宋体"/>
                <w:color w:val="auto"/>
                <w:szCs w:val="24"/>
                <w:highlight w:val="none"/>
              </w:rPr>
            </w:pPr>
          </w:p>
        </w:tc>
        <w:tc>
          <w:tcPr>
            <w:tcW w:w="560" w:type="dxa"/>
            <w:vMerge w:val="continue"/>
            <w:vAlign w:val="center"/>
          </w:tcPr>
          <w:p w14:paraId="34BAA292">
            <w:pPr>
              <w:pStyle w:val="46"/>
              <w:spacing w:line="360" w:lineRule="auto"/>
              <w:jc w:val="center"/>
              <w:rPr>
                <w:rFonts w:hAnsi="宋体"/>
                <w:color w:val="auto"/>
                <w:szCs w:val="24"/>
                <w:highlight w:val="none"/>
              </w:rPr>
            </w:pPr>
          </w:p>
        </w:tc>
        <w:tc>
          <w:tcPr>
            <w:tcW w:w="960" w:type="dxa"/>
            <w:vMerge w:val="continue"/>
            <w:vAlign w:val="center"/>
          </w:tcPr>
          <w:p w14:paraId="624B1865">
            <w:pPr>
              <w:pStyle w:val="46"/>
              <w:adjustRightInd/>
              <w:snapToGrid w:val="0"/>
              <w:jc w:val="center"/>
              <w:rPr>
                <w:rFonts w:hAnsi="宋体"/>
                <w:color w:val="auto"/>
                <w:szCs w:val="24"/>
                <w:highlight w:val="none"/>
              </w:rPr>
            </w:pPr>
          </w:p>
        </w:tc>
        <w:tc>
          <w:tcPr>
            <w:tcW w:w="2217" w:type="dxa"/>
            <w:vAlign w:val="center"/>
          </w:tcPr>
          <w:p w14:paraId="6A8C653B">
            <w:pPr>
              <w:pStyle w:val="46"/>
              <w:adjustRightInd/>
              <w:snapToGrid w:val="0"/>
              <w:jc w:val="center"/>
              <w:rPr>
                <w:rFonts w:hAnsi="宋体"/>
                <w:color w:val="auto"/>
                <w:szCs w:val="24"/>
                <w:highlight w:val="none"/>
              </w:rPr>
            </w:pPr>
            <w:r>
              <w:rPr>
                <w:rFonts w:hint="eastAsia" w:hAnsi="宋体"/>
                <w:color w:val="auto"/>
                <w:szCs w:val="24"/>
                <w:highlight w:val="none"/>
              </w:rPr>
              <w:t>投标有效期</w:t>
            </w:r>
          </w:p>
        </w:tc>
        <w:tc>
          <w:tcPr>
            <w:tcW w:w="5736" w:type="dxa"/>
            <w:vAlign w:val="center"/>
          </w:tcPr>
          <w:p w14:paraId="762FACB3">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3.4</w:t>
            </w:r>
            <w:r>
              <w:rPr>
                <w:rFonts w:hint="eastAsia" w:ascii="宋体" w:hAnsi="宋体"/>
                <w:color w:val="auto"/>
                <w:sz w:val="24"/>
                <w:highlight w:val="none"/>
              </w:rPr>
              <w:t>款规定</w:t>
            </w:r>
          </w:p>
        </w:tc>
      </w:tr>
      <w:tr w14:paraId="149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14:paraId="3114FDD9">
            <w:pPr>
              <w:pStyle w:val="46"/>
              <w:spacing w:line="360" w:lineRule="auto"/>
              <w:jc w:val="center"/>
              <w:rPr>
                <w:rFonts w:hAnsi="宋体"/>
                <w:color w:val="auto"/>
                <w:szCs w:val="24"/>
                <w:highlight w:val="none"/>
              </w:rPr>
            </w:pPr>
          </w:p>
        </w:tc>
        <w:tc>
          <w:tcPr>
            <w:tcW w:w="560" w:type="dxa"/>
            <w:vMerge w:val="continue"/>
            <w:vAlign w:val="center"/>
          </w:tcPr>
          <w:p w14:paraId="1466934A">
            <w:pPr>
              <w:pStyle w:val="46"/>
              <w:spacing w:line="360" w:lineRule="auto"/>
              <w:jc w:val="center"/>
              <w:rPr>
                <w:rFonts w:hAnsi="宋体"/>
                <w:color w:val="auto"/>
                <w:szCs w:val="24"/>
                <w:highlight w:val="none"/>
              </w:rPr>
            </w:pPr>
          </w:p>
        </w:tc>
        <w:tc>
          <w:tcPr>
            <w:tcW w:w="960" w:type="dxa"/>
            <w:vMerge w:val="continue"/>
            <w:vAlign w:val="center"/>
          </w:tcPr>
          <w:p w14:paraId="2CCCC37E">
            <w:pPr>
              <w:pStyle w:val="46"/>
              <w:adjustRightInd/>
              <w:snapToGrid w:val="0"/>
              <w:jc w:val="center"/>
              <w:rPr>
                <w:rFonts w:hAnsi="宋体"/>
                <w:color w:val="auto"/>
                <w:szCs w:val="24"/>
                <w:highlight w:val="none"/>
              </w:rPr>
            </w:pPr>
          </w:p>
        </w:tc>
        <w:tc>
          <w:tcPr>
            <w:tcW w:w="2217" w:type="dxa"/>
            <w:vAlign w:val="center"/>
          </w:tcPr>
          <w:p w14:paraId="4FD23A10">
            <w:pPr>
              <w:pStyle w:val="46"/>
              <w:adjustRightInd/>
              <w:snapToGrid w:val="0"/>
              <w:jc w:val="center"/>
              <w:rPr>
                <w:rFonts w:hAnsi="宋体"/>
                <w:color w:val="auto"/>
                <w:szCs w:val="24"/>
                <w:highlight w:val="none"/>
              </w:rPr>
            </w:pPr>
            <w:r>
              <w:rPr>
                <w:rFonts w:hint="eastAsia" w:hAnsi="宋体"/>
                <w:color w:val="auto"/>
                <w:szCs w:val="24"/>
                <w:highlight w:val="none"/>
              </w:rPr>
              <w:t>投标文件格式</w:t>
            </w:r>
          </w:p>
        </w:tc>
        <w:tc>
          <w:tcPr>
            <w:tcW w:w="5736" w:type="dxa"/>
            <w:vAlign w:val="center"/>
          </w:tcPr>
          <w:p w14:paraId="2CAC886B">
            <w:pPr>
              <w:pStyle w:val="46"/>
              <w:adjustRightInd/>
              <w:snapToGrid w:val="0"/>
              <w:rPr>
                <w:rFonts w:hAnsi="宋体"/>
                <w:color w:val="auto"/>
                <w:szCs w:val="24"/>
                <w:highlight w:val="none"/>
              </w:rPr>
            </w:pPr>
            <w:r>
              <w:rPr>
                <w:rFonts w:hint="eastAsia" w:hAnsi="宋体"/>
                <w:color w:val="auto"/>
                <w:szCs w:val="24"/>
                <w:highlight w:val="none"/>
              </w:rPr>
              <w:t>符合第六章“投标文件格式”规定</w:t>
            </w:r>
          </w:p>
        </w:tc>
      </w:tr>
      <w:tr w14:paraId="0777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4A32B84B">
            <w:pPr>
              <w:pStyle w:val="46"/>
              <w:spacing w:line="360" w:lineRule="auto"/>
              <w:jc w:val="center"/>
              <w:rPr>
                <w:rFonts w:hAnsi="宋体"/>
                <w:color w:val="auto"/>
                <w:szCs w:val="24"/>
                <w:highlight w:val="none"/>
              </w:rPr>
            </w:pPr>
          </w:p>
        </w:tc>
        <w:tc>
          <w:tcPr>
            <w:tcW w:w="560" w:type="dxa"/>
            <w:vMerge w:val="continue"/>
            <w:vAlign w:val="center"/>
          </w:tcPr>
          <w:p w14:paraId="46E0DD0B">
            <w:pPr>
              <w:pStyle w:val="46"/>
              <w:spacing w:line="360" w:lineRule="auto"/>
              <w:jc w:val="center"/>
              <w:rPr>
                <w:rFonts w:hAnsi="宋体"/>
                <w:color w:val="auto"/>
                <w:szCs w:val="24"/>
                <w:highlight w:val="none"/>
              </w:rPr>
            </w:pPr>
          </w:p>
        </w:tc>
        <w:tc>
          <w:tcPr>
            <w:tcW w:w="960" w:type="dxa"/>
            <w:vMerge w:val="continue"/>
            <w:vAlign w:val="center"/>
          </w:tcPr>
          <w:p w14:paraId="3BC16972">
            <w:pPr>
              <w:pStyle w:val="46"/>
              <w:adjustRightInd/>
              <w:snapToGrid w:val="0"/>
              <w:jc w:val="center"/>
              <w:rPr>
                <w:rFonts w:hAnsi="宋体"/>
                <w:color w:val="auto"/>
                <w:szCs w:val="24"/>
                <w:highlight w:val="none"/>
              </w:rPr>
            </w:pPr>
          </w:p>
        </w:tc>
        <w:tc>
          <w:tcPr>
            <w:tcW w:w="2217" w:type="dxa"/>
            <w:vAlign w:val="center"/>
          </w:tcPr>
          <w:p w14:paraId="3A61C26A">
            <w:pPr>
              <w:pStyle w:val="46"/>
              <w:adjustRightInd/>
              <w:snapToGrid w:val="0"/>
              <w:jc w:val="center"/>
              <w:rPr>
                <w:rFonts w:hAnsi="宋体"/>
                <w:color w:val="auto"/>
                <w:szCs w:val="24"/>
                <w:highlight w:val="none"/>
              </w:rPr>
            </w:pPr>
            <w:r>
              <w:rPr>
                <w:rFonts w:hint="eastAsia" w:hAnsi="宋体"/>
                <w:color w:val="auto"/>
                <w:highlight w:val="none"/>
              </w:rPr>
              <w:t>付款</w:t>
            </w:r>
          </w:p>
        </w:tc>
        <w:tc>
          <w:tcPr>
            <w:tcW w:w="5736" w:type="dxa"/>
            <w:vAlign w:val="center"/>
          </w:tcPr>
          <w:p w14:paraId="7DCD921B">
            <w:pPr>
              <w:snapToGrid w:val="0"/>
              <w:spacing w:line="240" w:lineRule="auto"/>
              <w:rPr>
                <w:rFonts w:ascii="宋体"/>
                <w:color w:val="auto"/>
                <w:sz w:val="24"/>
                <w:highlight w:val="none"/>
              </w:rPr>
            </w:pPr>
            <w:r>
              <w:rPr>
                <w:rFonts w:hint="eastAsia" w:ascii="宋体" w:hAnsi="宋体"/>
                <w:color w:val="auto"/>
                <w:sz w:val="24"/>
                <w:highlight w:val="none"/>
              </w:rPr>
              <w:t>符合第三章“投标人须知”第</w:t>
            </w:r>
            <w:r>
              <w:rPr>
                <w:rFonts w:ascii="宋体" w:hAnsi="宋体"/>
                <w:color w:val="auto"/>
                <w:sz w:val="24"/>
                <w:highlight w:val="none"/>
              </w:rPr>
              <w:t>9</w:t>
            </w:r>
            <w:r>
              <w:rPr>
                <w:rFonts w:hint="eastAsia" w:ascii="宋体" w:hAnsi="宋体"/>
                <w:color w:val="auto"/>
                <w:sz w:val="24"/>
                <w:highlight w:val="none"/>
              </w:rPr>
              <w:t>条规定</w:t>
            </w:r>
          </w:p>
        </w:tc>
      </w:tr>
      <w:tr w14:paraId="24D6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520C4AD6">
            <w:pPr>
              <w:pStyle w:val="46"/>
              <w:spacing w:line="360" w:lineRule="auto"/>
              <w:jc w:val="center"/>
              <w:rPr>
                <w:rFonts w:hAnsi="宋体"/>
                <w:color w:val="auto"/>
                <w:szCs w:val="24"/>
                <w:highlight w:val="none"/>
              </w:rPr>
            </w:pPr>
          </w:p>
        </w:tc>
        <w:tc>
          <w:tcPr>
            <w:tcW w:w="560" w:type="dxa"/>
            <w:vMerge w:val="continue"/>
            <w:vAlign w:val="center"/>
          </w:tcPr>
          <w:p w14:paraId="3547905B">
            <w:pPr>
              <w:pStyle w:val="46"/>
              <w:spacing w:line="360" w:lineRule="auto"/>
              <w:jc w:val="center"/>
              <w:rPr>
                <w:rFonts w:hAnsi="宋体"/>
                <w:color w:val="auto"/>
                <w:szCs w:val="24"/>
                <w:highlight w:val="none"/>
              </w:rPr>
            </w:pPr>
          </w:p>
        </w:tc>
        <w:tc>
          <w:tcPr>
            <w:tcW w:w="960" w:type="dxa"/>
            <w:vMerge w:val="continue"/>
            <w:vAlign w:val="center"/>
          </w:tcPr>
          <w:p w14:paraId="72B27177">
            <w:pPr>
              <w:pStyle w:val="46"/>
              <w:adjustRightInd/>
              <w:snapToGrid w:val="0"/>
              <w:jc w:val="center"/>
              <w:rPr>
                <w:rFonts w:hAnsi="宋体"/>
                <w:color w:val="auto"/>
                <w:szCs w:val="24"/>
                <w:highlight w:val="none"/>
              </w:rPr>
            </w:pPr>
          </w:p>
        </w:tc>
        <w:tc>
          <w:tcPr>
            <w:tcW w:w="2217" w:type="dxa"/>
            <w:vAlign w:val="center"/>
          </w:tcPr>
          <w:p w14:paraId="38C7F248">
            <w:pPr>
              <w:pStyle w:val="46"/>
              <w:adjustRightInd/>
              <w:snapToGrid w:val="0"/>
              <w:jc w:val="center"/>
              <w:rPr>
                <w:rFonts w:hAnsi="宋体"/>
                <w:color w:val="auto"/>
                <w:highlight w:val="none"/>
              </w:rPr>
            </w:pPr>
            <w:r>
              <w:rPr>
                <w:rFonts w:hint="eastAsia" w:hAnsi="宋体"/>
                <w:color w:val="auto"/>
                <w:highlight w:val="none"/>
              </w:rPr>
              <w:t>偏差描述</w:t>
            </w:r>
          </w:p>
        </w:tc>
        <w:tc>
          <w:tcPr>
            <w:tcW w:w="5736" w:type="dxa"/>
            <w:vAlign w:val="center"/>
          </w:tcPr>
          <w:p w14:paraId="1859A1FF">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3.7.3</w:t>
            </w:r>
            <w:r>
              <w:rPr>
                <w:rFonts w:hint="eastAsia" w:ascii="宋体" w:hAnsi="宋体"/>
                <w:color w:val="auto"/>
                <w:sz w:val="24"/>
                <w:highlight w:val="none"/>
              </w:rPr>
              <w:t>项规定</w:t>
            </w:r>
          </w:p>
        </w:tc>
      </w:tr>
      <w:tr w14:paraId="78E4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14:paraId="2B9AC57A">
            <w:pPr>
              <w:pStyle w:val="46"/>
              <w:spacing w:line="360" w:lineRule="auto"/>
              <w:jc w:val="center"/>
              <w:rPr>
                <w:rFonts w:hAnsi="宋体"/>
                <w:color w:val="auto"/>
                <w:szCs w:val="24"/>
                <w:highlight w:val="none"/>
              </w:rPr>
            </w:pPr>
          </w:p>
        </w:tc>
        <w:tc>
          <w:tcPr>
            <w:tcW w:w="560" w:type="dxa"/>
            <w:vMerge w:val="continue"/>
            <w:vAlign w:val="center"/>
          </w:tcPr>
          <w:p w14:paraId="6AC6D617">
            <w:pPr>
              <w:pStyle w:val="46"/>
              <w:spacing w:line="360" w:lineRule="auto"/>
              <w:jc w:val="center"/>
              <w:rPr>
                <w:rFonts w:hAnsi="宋体"/>
                <w:color w:val="auto"/>
                <w:szCs w:val="24"/>
                <w:highlight w:val="none"/>
              </w:rPr>
            </w:pPr>
          </w:p>
        </w:tc>
        <w:tc>
          <w:tcPr>
            <w:tcW w:w="960" w:type="dxa"/>
            <w:vMerge w:val="continue"/>
            <w:vAlign w:val="center"/>
          </w:tcPr>
          <w:p w14:paraId="6BF4D0B1">
            <w:pPr>
              <w:snapToGrid w:val="0"/>
              <w:spacing w:line="240" w:lineRule="auto"/>
              <w:jc w:val="center"/>
              <w:rPr>
                <w:rFonts w:ascii="宋体"/>
                <w:color w:val="auto"/>
                <w:sz w:val="24"/>
                <w:highlight w:val="none"/>
              </w:rPr>
            </w:pPr>
          </w:p>
        </w:tc>
        <w:tc>
          <w:tcPr>
            <w:tcW w:w="2217" w:type="dxa"/>
            <w:vAlign w:val="center"/>
          </w:tcPr>
          <w:p w14:paraId="47EFCE0F">
            <w:pPr>
              <w:snapToGrid w:val="0"/>
              <w:spacing w:line="240" w:lineRule="auto"/>
              <w:jc w:val="center"/>
              <w:rPr>
                <w:rFonts w:ascii="宋体"/>
                <w:color w:val="auto"/>
                <w:sz w:val="24"/>
                <w:highlight w:val="none"/>
              </w:rPr>
            </w:pPr>
            <w:r>
              <w:rPr>
                <w:rFonts w:hint="eastAsia" w:ascii="宋体" w:hAnsi="宋体"/>
                <w:color w:val="auto"/>
                <w:sz w:val="24"/>
                <w:highlight w:val="none"/>
              </w:rPr>
              <w:t>谈判文件总体响应</w:t>
            </w:r>
          </w:p>
        </w:tc>
        <w:tc>
          <w:tcPr>
            <w:tcW w:w="5736" w:type="dxa"/>
            <w:vAlign w:val="center"/>
          </w:tcPr>
          <w:p w14:paraId="72DEEC70">
            <w:pPr>
              <w:autoSpaceDE w:val="0"/>
              <w:autoSpaceDN w:val="0"/>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1.3</w:t>
            </w:r>
            <w:r>
              <w:rPr>
                <w:rFonts w:hint="eastAsia" w:ascii="宋体" w:hAnsi="宋体"/>
                <w:color w:val="auto"/>
                <w:sz w:val="24"/>
                <w:highlight w:val="none"/>
              </w:rPr>
              <w:t>项规定</w:t>
            </w:r>
          </w:p>
        </w:tc>
      </w:tr>
      <w:tr w14:paraId="491C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64" w:type="dxa"/>
            <w:vAlign w:val="center"/>
          </w:tcPr>
          <w:p w14:paraId="315E4404">
            <w:pPr>
              <w:pStyle w:val="46"/>
              <w:spacing w:line="360" w:lineRule="auto"/>
              <w:ind w:right="-155" w:rightChars="-74"/>
              <w:jc w:val="center"/>
              <w:rPr>
                <w:rFonts w:hAnsi="宋体"/>
                <w:color w:val="auto"/>
                <w:szCs w:val="24"/>
                <w:highlight w:val="none"/>
              </w:rPr>
            </w:pPr>
            <w:r>
              <w:rPr>
                <w:rFonts w:hAnsi="宋体"/>
                <w:color w:val="auto"/>
                <w:szCs w:val="24"/>
                <w:highlight w:val="none"/>
              </w:rPr>
              <w:t>2.2</w:t>
            </w:r>
          </w:p>
        </w:tc>
        <w:tc>
          <w:tcPr>
            <w:tcW w:w="560" w:type="dxa"/>
            <w:vAlign w:val="center"/>
          </w:tcPr>
          <w:p w14:paraId="125D33D9">
            <w:pPr>
              <w:pStyle w:val="46"/>
              <w:jc w:val="center"/>
              <w:rPr>
                <w:rFonts w:hAnsi="宋体"/>
                <w:color w:val="auto"/>
                <w:szCs w:val="24"/>
                <w:highlight w:val="none"/>
              </w:rPr>
            </w:pPr>
            <w:r>
              <w:rPr>
                <w:rFonts w:hint="eastAsia" w:hAnsi="宋体"/>
                <w:color w:val="auto"/>
                <w:szCs w:val="24"/>
                <w:highlight w:val="none"/>
              </w:rPr>
              <w:t>详细评审</w:t>
            </w:r>
          </w:p>
        </w:tc>
        <w:tc>
          <w:tcPr>
            <w:tcW w:w="3177" w:type="dxa"/>
            <w:gridSpan w:val="2"/>
            <w:vAlign w:val="center"/>
          </w:tcPr>
          <w:p w14:paraId="5EA38F39">
            <w:pPr>
              <w:pStyle w:val="46"/>
              <w:adjustRightInd/>
              <w:snapToGrid w:val="0"/>
              <w:jc w:val="center"/>
              <w:rPr>
                <w:rFonts w:hAnsi="宋体"/>
                <w:color w:val="auto"/>
                <w:szCs w:val="24"/>
                <w:highlight w:val="none"/>
              </w:rPr>
            </w:pPr>
            <w:r>
              <w:rPr>
                <w:rFonts w:hint="eastAsia" w:hAnsi="宋体"/>
                <w:color w:val="auto"/>
                <w:szCs w:val="24"/>
                <w:highlight w:val="none"/>
              </w:rPr>
              <w:t>小微企业价格扣除</w:t>
            </w:r>
          </w:p>
        </w:tc>
        <w:tc>
          <w:tcPr>
            <w:tcW w:w="5736" w:type="dxa"/>
            <w:vAlign w:val="center"/>
          </w:tcPr>
          <w:p w14:paraId="78CC7003">
            <w:pPr>
              <w:pStyle w:val="46"/>
              <w:adjustRightInd/>
              <w:snapToGrid w:val="0"/>
              <w:jc w:val="both"/>
              <w:rPr>
                <w:rFonts w:hAnsi="宋体"/>
                <w:color w:val="auto"/>
                <w:szCs w:val="24"/>
                <w:highlight w:val="none"/>
              </w:rPr>
            </w:pPr>
            <w:r>
              <w:rPr>
                <w:rFonts w:hint="eastAsia" w:hAnsi="宋体"/>
                <w:color w:val="auto"/>
                <w:szCs w:val="24"/>
                <w:highlight w:val="none"/>
              </w:rPr>
              <w:t>按照第四章“评审办法”第</w:t>
            </w:r>
            <w:r>
              <w:rPr>
                <w:rFonts w:hAnsi="宋体"/>
                <w:color w:val="auto"/>
                <w:szCs w:val="24"/>
                <w:highlight w:val="none"/>
              </w:rPr>
              <w:t>4</w:t>
            </w:r>
            <w:r>
              <w:rPr>
                <w:rFonts w:hint="eastAsia" w:hAnsi="宋体"/>
                <w:color w:val="auto"/>
                <w:szCs w:val="24"/>
                <w:highlight w:val="none"/>
              </w:rPr>
              <w:t>条规定</w:t>
            </w:r>
          </w:p>
        </w:tc>
      </w:tr>
    </w:tbl>
    <w:p w14:paraId="3EBF8462">
      <w:pPr>
        <w:autoSpaceDE w:val="0"/>
        <w:autoSpaceDN w:val="0"/>
        <w:adjustRightInd w:val="0"/>
        <w:spacing w:line="360" w:lineRule="auto"/>
        <w:jc w:val="left"/>
        <w:rPr>
          <w:rFonts w:ascii="黑体" w:hAnsi="黑体" w:eastAsia="黑体" w:cs="楷体_GB2312"/>
          <w:b/>
          <w:bCs/>
          <w:color w:val="auto"/>
          <w:sz w:val="28"/>
          <w:szCs w:val="28"/>
          <w:highlight w:val="none"/>
          <w:lang w:val="zh-CN"/>
        </w:rPr>
      </w:pPr>
    </w:p>
    <w:p w14:paraId="04AC69B0">
      <w:pPr>
        <w:spacing w:line="240" w:lineRule="auto"/>
        <w:jc w:val="left"/>
        <w:textAlignment w:val="auto"/>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br w:type="page"/>
      </w:r>
    </w:p>
    <w:p w14:paraId="0C9F705B">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highlight w:val="none"/>
          <w:lang w:val="zh-CN"/>
        </w:rPr>
      </w:pPr>
      <w:bookmarkStart w:id="33" w:name="_Toc65679393"/>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评审方法（评定成交的标准）</w:t>
      </w:r>
      <w:bookmarkEnd w:id="33"/>
    </w:p>
    <w:p w14:paraId="48DB2EDC">
      <w:pPr>
        <w:autoSpaceDE w:val="0"/>
        <w:autoSpaceDN w:val="0"/>
        <w:adjustRightInd w:val="0"/>
        <w:snapToGrid w:val="0"/>
        <w:spacing w:before="156" w:beforeLines="50" w:line="300" w:lineRule="auto"/>
        <w:ind w:firstLine="619" w:firstLineChars="257"/>
        <w:jc w:val="left"/>
        <w:rPr>
          <w:rFonts w:ascii="宋体"/>
          <w:b/>
          <w:color w:val="auto"/>
          <w:sz w:val="24"/>
          <w:highlight w:val="none"/>
        </w:rPr>
      </w:pPr>
      <w:r>
        <w:rPr>
          <w:rFonts w:hint="eastAsia"/>
          <w:b/>
          <w:color w:val="auto"/>
          <w:sz w:val="24"/>
          <w:szCs w:val="24"/>
          <w:highlight w:val="none"/>
        </w:rPr>
        <w:t>本次政府采购项目（标段&lt;包&gt;）按照最低评标价法确定成交供应商，即在符合采购需求、提供的产品质量和服务均能满足采购文件规定的实质性要求且最后报价（扣除经评审合格的“价格扣除”，见本章第</w:t>
      </w:r>
      <w:r>
        <w:rPr>
          <w:b/>
          <w:color w:val="auto"/>
          <w:sz w:val="24"/>
          <w:szCs w:val="24"/>
          <w:highlight w:val="none"/>
        </w:rPr>
        <w:t>4</w:t>
      </w:r>
      <w:r>
        <w:rPr>
          <w:rFonts w:hint="eastAsia"/>
          <w:b/>
          <w:color w:val="auto"/>
          <w:sz w:val="24"/>
          <w:szCs w:val="24"/>
          <w:highlight w:val="none"/>
        </w:rPr>
        <w:t>条）最低的原则确定各标段（包）成交供应商。</w:t>
      </w:r>
    </w:p>
    <w:p w14:paraId="01227CAC">
      <w:pPr>
        <w:autoSpaceDE w:val="0"/>
        <w:autoSpaceDN w:val="0"/>
        <w:adjustRightInd w:val="0"/>
        <w:snapToGrid w:val="0"/>
        <w:spacing w:before="156" w:beforeLines="50" w:line="300" w:lineRule="auto"/>
        <w:ind w:firstLine="616" w:firstLineChars="257"/>
        <w:jc w:val="left"/>
        <w:rPr>
          <w:rFonts w:ascii="宋体"/>
          <w:color w:val="auto"/>
          <w:sz w:val="24"/>
          <w:highlight w:val="none"/>
        </w:rPr>
      </w:pPr>
    </w:p>
    <w:p w14:paraId="0C4C026E">
      <w:pPr>
        <w:pStyle w:val="46"/>
        <w:snapToGrid w:val="0"/>
        <w:spacing w:before="156" w:beforeLines="50" w:line="300" w:lineRule="auto"/>
        <w:ind w:firstLine="422" w:firstLineChars="150"/>
        <w:jc w:val="both"/>
        <w:outlineLvl w:val="1"/>
        <w:rPr>
          <w:rFonts w:ascii="黑体" w:hAnsi="黑体" w:eastAsia="黑体" w:cs="楷体_GB2312"/>
          <w:b/>
          <w:bCs/>
          <w:color w:val="auto"/>
          <w:sz w:val="28"/>
          <w:szCs w:val="28"/>
          <w:highlight w:val="none"/>
          <w:u w:color="000000"/>
          <w:lang w:val="zh-CN"/>
        </w:rPr>
      </w:pPr>
      <w:bookmarkStart w:id="34" w:name="_Toc65679394"/>
      <w:r>
        <w:rPr>
          <w:rFonts w:ascii="黑体" w:hAnsi="黑体" w:eastAsia="黑体" w:cs="楷体_GB2312"/>
          <w:b/>
          <w:bCs/>
          <w:color w:val="auto"/>
          <w:sz w:val="28"/>
          <w:szCs w:val="28"/>
          <w:highlight w:val="none"/>
          <w:u w:color="000000"/>
          <w:lang w:val="zh-CN"/>
        </w:rPr>
        <w:t xml:space="preserve">2. </w:t>
      </w:r>
      <w:r>
        <w:rPr>
          <w:rFonts w:hint="eastAsia" w:ascii="黑体" w:hAnsi="黑体" w:eastAsia="黑体" w:cs="楷体_GB2312"/>
          <w:b/>
          <w:bCs/>
          <w:color w:val="auto"/>
          <w:sz w:val="28"/>
          <w:szCs w:val="28"/>
          <w:highlight w:val="none"/>
          <w:u w:color="000000"/>
          <w:lang w:val="zh-CN"/>
        </w:rPr>
        <w:t>评审标准</w:t>
      </w:r>
      <w:bookmarkEnd w:id="34"/>
    </w:p>
    <w:p w14:paraId="04A92B5B">
      <w:pPr>
        <w:autoSpaceDE w:val="0"/>
        <w:autoSpaceDN w:val="0"/>
        <w:adjustRightInd w:val="0"/>
        <w:snapToGrid w:val="0"/>
        <w:spacing w:before="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2.1 </w:t>
      </w:r>
      <w:r>
        <w:rPr>
          <w:rFonts w:hint="eastAsia" w:ascii="黑体" w:hAnsi="黑体" w:eastAsia="黑体"/>
          <w:b/>
          <w:color w:val="auto"/>
          <w:sz w:val="24"/>
          <w:highlight w:val="none"/>
        </w:rPr>
        <w:t>初步评审标准</w:t>
      </w:r>
    </w:p>
    <w:p w14:paraId="13BB4699">
      <w:pPr>
        <w:autoSpaceDE w:val="0"/>
        <w:autoSpaceDN w:val="0"/>
        <w:adjustRightInd w:val="0"/>
        <w:snapToGrid w:val="0"/>
        <w:spacing w:before="50" w:line="300" w:lineRule="auto"/>
        <w:ind w:firstLine="480" w:firstLineChars="200"/>
        <w:jc w:val="left"/>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资格性审查标准：见评审办法前附表。</w:t>
      </w:r>
    </w:p>
    <w:p w14:paraId="7A8FC959">
      <w:pPr>
        <w:autoSpaceDE w:val="0"/>
        <w:autoSpaceDN w:val="0"/>
        <w:adjustRightInd w:val="0"/>
        <w:snapToGrid w:val="0"/>
        <w:spacing w:before="50" w:line="300" w:lineRule="auto"/>
        <w:ind w:firstLine="480" w:firstLineChars="200"/>
        <w:jc w:val="left"/>
        <w:rPr>
          <w:rFonts w:ascii="宋体"/>
          <w:color w:val="auto"/>
          <w:sz w:val="24"/>
          <w:highlight w:val="none"/>
        </w:rPr>
      </w:pPr>
      <w:r>
        <w:rPr>
          <w:rFonts w:ascii="宋体" w:hAnsi="宋体"/>
          <w:color w:val="auto"/>
          <w:sz w:val="24"/>
          <w:highlight w:val="none"/>
        </w:rPr>
        <w:t xml:space="preserve">2.1.2 </w:t>
      </w:r>
      <w:r>
        <w:rPr>
          <w:rFonts w:hint="eastAsia" w:ascii="宋体" w:hAnsi="宋体"/>
          <w:color w:val="auto"/>
          <w:sz w:val="24"/>
          <w:highlight w:val="none"/>
        </w:rPr>
        <w:t>符合性审查标准：见评审办法前附表。</w:t>
      </w:r>
    </w:p>
    <w:p w14:paraId="4AF7A8E7">
      <w:pPr>
        <w:autoSpaceDE w:val="0"/>
        <w:autoSpaceDN w:val="0"/>
        <w:adjustRightInd w:val="0"/>
        <w:snapToGrid w:val="0"/>
        <w:spacing w:before="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2.2 </w:t>
      </w:r>
      <w:r>
        <w:rPr>
          <w:rFonts w:hint="eastAsia" w:ascii="黑体" w:hAnsi="黑体" w:eastAsia="黑体"/>
          <w:b/>
          <w:color w:val="auto"/>
          <w:sz w:val="24"/>
          <w:highlight w:val="none"/>
        </w:rPr>
        <w:t>详细评审标准</w:t>
      </w:r>
      <w:r>
        <w:rPr>
          <w:rFonts w:hint="eastAsia" w:ascii="宋体" w:hAnsi="宋体"/>
          <w:color w:val="auto"/>
          <w:sz w:val="24"/>
          <w:highlight w:val="none"/>
        </w:rPr>
        <w:t>：见评审办法前附表</w:t>
      </w:r>
    </w:p>
    <w:p w14:paraId="6246C12E">
      <w:pPr>
        <w:autoSpaceDE w:val="0"/>
        <w:autoSpaceDN w:val="0"/>
        <w:adjustRightInd w:val="0"/>
        <w:snapToGrid w:val="0"/>
        <w:spacing w:before="156" w:beforeLines="50" w:line="300" w:lineRule="auto"/>
        <w:ind w:left="540" w:leftChars="257"/>
        <w:jc w:val="left"/>
        <w:rPr>
          <w:rFonts w:ascii="宋体"/>
          <w:color w:val="auto"/>
          <w:sz w:val="24"/>
          <w:highlight w:val="none"/>
        </w:rPr>
      </w:pPr>
    </w:p>
    <w:p w14:paraId="70C36735">
      <w:pPr>
        <w:pStyle w:val="46"/>
        <w:snapToGrid w:val="0"/>
        <w:spacing w:before="156" w:beforeLines="50" w:line="300" w:lineRule="auto"/>
        <w:ind w:firstLine="562" w:firstLineChars="200"/>
        <w:jc w:val="both"/>
        <w:outlineLvl w:val="1"/>
        <w:rPr>
          <w:rFonts w:ascii="黑体" w:hAnsi="黑体" w:eastAsia="黑体" w:cs="楷体_GB2312"/>
          <w:b/>
          <w:bCs/>
          <w:color w:val="auto"/>
          <w:sz w:val="28"/>
          <w:szCs w:val="28"/>
          <w:highlight w:val="none"/>
          <w:u w:color="000000"/>
          <w:lang w:val="zh-CN"/>
        </w:rPr>
      </w:pPr>
      <w:bookmarkStart w:id="35" w:name="_Toc65679395"/>
      <w:r>
        <w:rPr>
          <w:rFonts w:ascii="黑体" w:hAnsi="黑体" w:eastAsia="黑体" w:cs="楷体_GB2312"/>
          <w:b/>
          <w:bCs/>
          <w:color w:val="auto"/>
          <w:sz w:val="28"/>
          <w:szCs w:val="28"/>
          <w:highlight w:val="none"/>
          <w:u w:color="000000"/>
          <w:lang w:val="zh-CN"/>
        </w:rPr>
        <w:t xml:space="preserve">3. </w:t>
      </w:r>
      <w:r>
        <w:rPr>
          <w:rFonts w:hint="eastAsia" w:ascii="黑体" w:hAnsi="黑体" w:eastAsia="黑体" w:cs="楷体_GB2312"/>
          <w:b/>
          <w:bCs/>
          <w:color w:val="auto"/>
          <w:sz w:val="28"/>
          <w:szCs w:val="28"/>
          <w:highlight w:val="none"/>
          <w:u w:color="000000"/>
          <w:lang w:val="zh-CN"/>
        </w:rPr>
        <w:t>评审程序</w:t>
      </w:r>
      <w:bookmarkEnd w:id="35"/>
    </w:p>
    <w:p w14:paraId="0431496D">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谈判小组按标段（包）进行评审</w:t>
      </w:r>
    </w:p>
    <w:p w14:paraId="06DDE281">
      <w:pPr>
        <w:autoSpaceDE w:val="0"/>
        <w:autoSpaceDN w:val="0"/>
        <w:adjustRightInd w:val="0"/>
        <w:snapToGrid w:val="0"/>
        <w:spacing w:before="156" w:beforeLines="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3.1 </w:t>
      </w:r>
      <w:r>
        <w:rPr>
          <w:rFonts w:hint="eastAsia" w:ascii="黑体" w:hAnsi="黑体" w:eastAsia="黑体"/>
          <w:b/>
          <w:color w:val="auto"/>
          <w:sz w:val="24"/>
          <w:highlight w:val="none"/>
        </w:rPr>
        <w:t>确认谈判文件</w:t>
      </w:r>
    </w:p>
    <w:p w14:paraId="64B765A4">
      <w:pPr>
        <w:pStyle w:val="46"/>
        <w:snapToGrid w:val="0"/>
        <w:spacing w:before="156" w:beforeLines="50" w:line="300" w:lineRule="auto"/>
        <w:ind w:firstLine="480" w:firstLineChars="200"/>
        <w:jc w:val="both"/>
        <w:rPr>
          <w:rFonts w:hAnsi="宋体"/>
          <w:color w:val="auto"/>
          <w:highlight w:val="none"/>
        </w:rPr>
      </w:pPr>
      <w:r>
        <w:rPr>
          <w:rFonts w:hAnsi="宋体"/>
          <w:color w:val="auto"/>
          <w:highlight w:val="none"/>
        </w:rPr>
        <w:t xml:space="preserve">3.1.1 </w:t>
      </w:r>
      <w:r>
        <w:rPr>
          <w:rFonts w:hint="eastAsia" w:hAnsi="宋体"/>
          <w:color w:val="auto"/>
          <w:highlight w:val="none"/>
        </w:rPr>
        <w:t>谈判小组确认谈判文件，谈判文件内容违反国家有关强制性规定的，谈判小组应当停止评审并向采购人或者采购代理机构书面说明情况。</w:t>
      </w:r>
    </w:p>
    <w:p w14:paraId="7AC60CE7">
      <w:pPr>
        <w:pStyle w:val="46"/>
        <w:snapToGrid w:val="0"/>
        <w:spacing w:before="156" w:beforeLines="50" w:line="300" w:lineRule="auto"/>
        <w:ind w:firstLine="480" w:firstLineChars="200"/>
        <w:jc w:val="both"/>
        <w:rPr>
          <w:rFonts w:hAnsi="宋体"/>
          <w:color w:val="auto"/>
          <w:highlight w:val="none"/>
        </w:rPr>
      </w:pPr>
      <w:r>
        <w:rPr>
          <w:rFonts w:hAnsi="宋体"/>
          <w:color w:val="auto"/>
          <w:highlight w:val="none"/>
        </w:rPr>
        <w:t xml:space="preserve">3.1.2  </w:t>
      </w:r>
      <w:r>
        <w:rPr>
          <w:rFonts w:hint="eastAsia" w:hAnsi="宋体"/>
          <w:color w:val="auto"/>
          <w:highlight w:val="none"/>
        </w:rPr>
        <w:t>谈判小组</w:t>
      </w:r>
      <w:r>
        <w:rPr>
          <w:rFonts w:hint="eastAsia" w:ascii="??" w:hAnsi="??" w:cs="宋体"/>
          <w:color w:val="auto"/>
          <w:szCs w:val="21"/>
          <w:highlight w:val="none"/>
        </w:rPr>
        <w:t>要求解释</w:t>
      </w:r>
      <w:r>
        <w:rPr>
          <w:rFonts w:hint="eastAsia" w:hAnsi="宋体"/>
          <w:color w:val="auto"/>
          <w:highlight w:val="none"/>
        </w:rPr>
        <w:t>谈判文件的，书面提出需解释的相关谈判文件的具体内容后、由采购代理机构或者采购人进行书面解释。</w:t>
      </w:r>
    </w:p>
    <w:p w14:paraId="4E744541">
      <w:pPr>
        <w:autoSpaceDE w:val="0"/>
        <w:autoSpaceDN w:val="0"/>
        <w:adjustRightInd w:val="0"/>
        <w:snapToGrid w:val="0"/>
        <w:spacing w:before="156" w:beforeLines="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3.2</w:t>
      </w:r>
      <w:r>
        <w:rPr>
          <w:rFonts w:hint="eastAsia" w:ascii="黑体" w:hAnsi="黑体" w:eastAsia="黑体"/>
          <w:b/>
          <w:color w:val="auto"/>
          <w:sz w:val="24"/>
          <w:highlight w:val="none"/>
        </w:rPr>
        <w:t>初步评审</w:t>
      </w:r>
    </w:p>
    <w:p w14:paraId="2AFB5EBD">
      <w:pPr>
        <w:autoSpaceDE w:val="0"/>
        <w:autoSpaceDN w:val="0"/>
        <w:adjustRightInd w:val="0"/>
        <w:snapToGrid w:val="0"/>
        <w:spacing w:before="156" w:beforeLines="50" w:line="300" w:lineRule="auto"/>
        <w:ind w:firstLine="616" w:firstLineChars="257"/>
        <w:jc w:val="left"/>
        <w:rPr>
          <w:rFonts w:ascii="宋体"/>
          <w:color w:val="auto"/>
          <w:sz w:val="24"/>
          <w:highlight w:val="none"/>
        </w:rPr>
      </w:pPr>
      <w:r>
        <w:rPr>
          <w:rFonts w:ascii="宋体" w:hAnsi="宋体"/>
          <w:color w:val="auto"/>
          <w:sz w:val="24"/>
          <w:highlight w:val="none"/>
        </w:rPr>
        <w:t>3.2.1</w:t>
      </w:r>
      <w:r>
        <w:rPr>
          <w:rFonts w:hint="eastAsia" w:ascii="宋体" w:hAnsi="宋体"/>
          <w:color w:val="auto"/>
          <w:sz w:val="24"/>
          <w:highlight w:val="none"/>
        </w:rPr>
        <w:t>谈判小组依据本章第2.</w:t>
      </w:r>
      <w:r>
        <w:rPr>
          <w:rFonts w:ascii="宋体" w:hAnsi="宋体"/>
          <w:color w:val="auto"/>
          <w:sz w:val="24"/>
          <w:highlight w:val="none"/>
        </w:rPr>
        <w:t>1.1</w:t>
      </w:r>
      <w:r>
        <w:rPr>
          <w:rFonts w:hint="eastAsia" w:ascii="宋体" w:hAnsi="宋体"/>
          <w:color w:val="auto"/>
          <w:sz w:val="24"/>
          <w:highlight w:val="none"/>
        </w:rPr>
        <w:t>、2.</w:t>
      </w:r>
      <w:r>
        <w:rPr>
          <w:rFonts w:ascii="宋体" w:hAnsi="宋体"/>
          <w:color w:val="auto"/>
          <w:sz w:val="24"/>
          <w:highlight w:val="none"/>
        </w:rPr>
        <w:t xml:space="preserve">1.2 </w:t>
      </w:r>
      <w:r>
        <w:rPr>
          <w:rFonts w:hint="eastAsia" w:ascii="宋体" w:hAnsi="宋体"/>
          <w:color w:val="auto"/>
          <w:sz w:val="24"/>
          <w:highlight w:val="none"/>
        </w:rPr>
        <w:t>款规定的标准对投标文件进行资格性、符合性评审。有一项不符合评审标准的，作无效投标处理。</w:t>
      </w:r>
    </w:p>
    <w:p w14:paraId="76311555">
      <w:pPr>
        <w:autoSpaceDE w:val="0"/>
        <w:autoSpaceDN w:val="0"/>
        <w:adjustRightInd w:val="0"/>
        <w:snapToGrid w:val="0"/>
        <w:spacing w:before="156" w:beforeLines="50" w:line="300" w:lineRule="auto"/>
        <w:ind w:firstLine="616" w:firstLineChars="257"/>
        <w:jc w:val="left"/>
        <w:rPr>
          <w:rFonts w:ascii="宋体"/>
          <w:color w:val="auto"/>
          <w:sz w:val="24"/>
          <w:highlight w:val="none"/>
        </w:rPr>
      </w:pPr>
      <w:r>
        <w:rPr>
          <w:rFonts w:ascii="宋体" w:hAnsi="宋体"/>
          <w:color w:val="auto"/>
          <w:sz w:val="24"/>
          <w:highlight w:val="none"/>
        </w:rPr>
        <w:t xml:space="preserve">3.2.2 </w:t>
      </w:r>
      <w:r>
        <w:rPr>
          <w:rFonts w:hint="eastAsia" w:ascii="宋体" w:hAnsi="宋体"/>
          <w:color w:val="auto"/>
          <w:sz w:val="24"/>
          <w:highlight w:val="none"/>
        </w:rPr>
        <w:t>投标人有以下情形之一的，其投标作无效投标处理：</w:t>
      </w:r>
    </w:p>
    <w:p w14:paraId="7E5DD37B">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）投标人不符合国家或者谈判文件规定的资格条件；</w:t>
      </w:r>
    </w:p>
    <w:p w14:paraId="278D6DC9">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）投标人没有按照谈判文件要求提供投标承诺函；</w:t>
      </w:r>
    </w:p>
    <w:p w14:paraId="338C2D21">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）投标联合体不符合谈判文件规定；</w:t>
      </w:r>
    </w:p>
    <w:p w14:paraId="571892D9">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）投标文件的签字盖章不符合谈判文件规定；</w:t>
      </w:r>
    </w:p>
    <w:p w14:paraId="05725B9E">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）投标报价高于谈判公告公布的预算金额；</w:t>
      </w:r>
    </w:p>
    <w:p w14:paraId="7A4EA24F">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）同一投标人提交两个以上不同的投标文件（响应文件）或者投标报价，投标文件（响应文件）的每种报价有两个报价或其他选择性报价的。</w:t>
      </w:r>
    </w:p>
    <w:p w14:paraId="5E0B9C0C">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）投标文件（响应文件）没有对谈判文件的实质性要求和条件作出实质性响应，或不符合谈判文件的实质性要求和条件；</w:t>
      </w:r>
    </w:p>
    <w:p w14:paraId="70FAA589">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）投标文件（响应文件）附有采购项目不能接受的条件或不符合国家强制性规定的；</w:t>
      </w:r>
    </w:p>
    <w:p w14:paraId="2DCB792E">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）单位负责人为同一人或者存在控股、管理关系的不同单位，参加同一项目（标段</w:t>
      </w:r>
      <w:r>
        <w:rPr>
          <w:rFonts w:hint="eastAsia" w:ascii="宋体" w:hAnsi="宋体" w:cs="楷体_GB2312"/>
          <w:color w:val="auto"/>
          <w:sz w:val="24"/>
          <w:highlight w:val="none"/>
          <w:lang w:val="zh-CN"/>
        </w:rPr>
        <w:t>&lt;包&gt;</w:t>
      </w:r>
      <w:r>
        <w:rPr>
          <w:rFonts w:hint="eastAsia" w:ascii="宋体" w:hAnsi="宋体"/>
          <w:color w:val="auto"/>
          <w:sz w:val="24"/>
          <w:highlight w:val="none"/>
        </w:rPr>
        <w:t>）投标的；</w:t>
      </w:r>
    </w:p>
    <w:p w14:paraId="06E4B637">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）为采购项目提供整体设计、规范编制或者项目管理、监理、检测等服务的供应商，不得再参加该采购项目的其他采购活动。</w:t>
      </w:r>
    </w:p>
    <w:p w14:paraId="51341FF3">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（11）组成联合体或者接受分包的小微企业与联合体内其他企业、分包企业之间存在直接控股、管理关系的。</w:t>
      </w:r>
    </w:p>
    <w:p w14:paraId="35B1FD16">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2）提供虚假材料谋取中标（成交）的；</w:t>
      </w:r>
    </w:p>
    <w:p w14:paraId="679C9DD4">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3）投标人有串通投标、行贿等违法行为。其中，有下列情形之一的，视为投标人相互串通投标：</w:t>
      </w:r>
    </w:p>
    <w:p w14:paraId="6AB5FA38">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◆不同投标人的投标文件由同一单位或者个人编制；</w:t>
      </w:r>
    </w:p>
    <w:p w14:paraId="5E94B0BB">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◆不同投标人委托同一单位或者个人办理投标事宜；</w:t>
      </w:r>
    </w:p>
    <w:p w14:paraId="7E8E3CE0">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◆不同投标人的投标文件载明的项目管理成员为同一人；</w:t>
      </w:r>
    </w:p>
    <w:p w14:paraId="7754EF53">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◆不同投标人的投标文件异常一致或者投标报价呈规律性差异；</w:t>
      </w:r>
    </w:p>
    <w:p w14:paraId="02CF1F8F">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◆不同投标人的投标文件相互混装。</w:t>
      </w:r>
    </w:p>
    <w:p w14:paraId="7E3251F8">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（14）根据豫财购〔2021〕6号文件，参与同一个标段(包)的供应商存在下列情形之一的，其投标(响应)文件无效:</w:t>
      </w:r>
    </w:p>
    <w:p w14:paraId="47ED8B49">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◆不同供应商的电子投标(响应)文件上传计算机的网卡MAC地址、CPU序列号和硬盘序列号等硬件信息相同的；</w:t>
      </w:r>
    </w:p>
    <w:p w14:paraId="35408C50">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◆不同供应商的投标(响应)文件由同一电子设备编制、打印加密或者上传；</w:t>
      </w:r>
    </w:p>
    <w:p w14:paraId="6EFB4952">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◆不同供应商的投标(响应)文件由同一电子设备打印、复印；</w:t>
      </w:r>
    </w:p>
    <w:p w14:paraId="6CDB0D7C">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◆不同供应商的投标(响应)文件由同一人送达或者分发，或者不同供应商联系人为同一人或不同联系人的联系电话一致的；</w:t>
      </w:r>
    </w:p>
    <w:p w14:paraId="48B71EF3">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◆不同供应商的投标(响应)文件的内容存在两处以上细节错误一致；</w:t>
      </w:r>
    </w:p>
    <w:p w14:paraId="0622E59E">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◆不同供应商的法定代表人、委托代理人、项目经理、项目负责人等由同一个单位缴纳社会保险或者领取报酬的；</w:t>
      </w:r>
    </w:p>
    <w:p w14:paraId="4D95BD22">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◆不同供应商投标(响应)文件中法定代表人或者负责人签字出自同一人之手；</w:t>
      </w:r>
    </w:p>
    <w:p w14:paraId="1614328E">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◆其它涉嫌串通的情形。</w:t>
      </w:r>
    </w:p>
    <w:p w14:paraId="3B15318A">
      <w:pPr>
        <w:autoSpaceDE w:val="0"/>
        <w:autoSpaceDN w:val="0"/>
        <w:adjustRightInd w:val="0"/>
        <w:snapToGrid w:val="0"/>
        <w:spacing w:line="300" w:lineRule="auto"/>
        <w:ind w:firstLine="600" w:firstLineChars="250"/>
        <w:jc w:val="left"/>
        <w:rPr>
          <w:rFonts w:ascii="宋体" w:hAnsi="宋体"/>
          <w:color w:val="auto"/>
          <w:sz w:val="24"/>
          <w:highlight w:val="none"/>
        </w:rPr>
      </w:pPr>
      <w:r>
        <w:rPr>
          <w:rFonts w:hint="eastAsia" w:ascii="宋体" w:hAnsi="宋体"/>
          <w:color w:val="auto"/>
          <w:sz w:val="24"/>
          <w:highlight w:val="none"/>
        </w:rPr>
        <w:t>(15)不同投标人上传电子投标(响应)文件的IP地址相同，该供应商投标(响应)文件无效。</w:t>
      </w:r>
    </w:p>
    <w:p w14:paraId="48440C92">
      <w:pPr>
        <w:autoSpaceDE w:val="0"/>
        <w:autoSpaceDN w:val="0"/>
        <w:adjustRightInd w:val="0"/>
        <w:snapToGrid w:val="0"/>
        <w:spacing w:before="156" w:beforeLines="50" w:line="300" w:lineRule="auto"/>
        <w:ind w:firstLine="539"/>
        <w:rPr>
          <w:rFonts w:ascii="宋体" w:hAnsi="宋体"/>
          <w:color w:val="auto"/>
          <w:sz w:val="24"/>
          <w:highlight w:val="none"/>
        </w:rPr>
      </w:pPr>
      <w:r>
        <w:rPr>
          <w:rFonts w:hint="eastAsia" w:ascii="宋体" w:hAnsi="宋体"/>
          <w:color w:val="auto"/>
          <w:sz w:val="24"/>
          <w:highlight w:val="none"/>
        </w:rPr>
        <w:t>(16)据豫财购〔2021〕6号文件精神，工程领域招标投标行政主管部门对供应商串通投标等予以市场禁入的，在本次政府采购活动中，该供应商投标(响应)文件无效。</w:t>
      </w:r>
    </w:p>
    <w:p w14:paraId="64F18A67">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3.2.3</w:t>
      </w:r>
      <w:r>
        <w:rPr>
          <w:rFonts w:hint="eastAsia" w:ascii="宋体" w:hAnsi="宋体"/>
          <w:color w:val="auto"/>
          <w:sz w:val="24"/>
          <w:highlight w:val="none"/>
        </w:rPr>
        <w:t xml:space="preserve"> </w:t>
      </w:r>
      <w:r>
        <w:rPr>
          <w:rFonts w:hint="eastAsia" w:ascii="宋体" w:hAnsi="宋体"/>
          <w:b/>
          <w:color w:val="auto"/>
          <w:sz w:val="24"/>
          <w:highlight w:val="none"/>
        </w:rPr>
        <w:t>未实质性响应谈判文件的响应文件按无效处理，谈判小组应当告知有关供应商。</w:t>
      </w:r>
    </w:p>
    <w:p w14:paraId="693D4DE5">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3.2</w:t>
      </w:r>
      <w:r>
        <w:rPr>
          <w:rFonts w:asci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开标一览表（报价一览表）与报价明细表有差别时，以开标一览表（报价一览表）为准；大写文字表示的数据与小写数字表示的有差别时，以大写文字表示的数据为准；单价与开标一览表（报价一览表）总价不符时，以开标一览表（报价一览表）总价为准。如投标人拒绝接受上述意见，其</w:t>
      </w:r>
      <w:r>
        <w:rPr>
          <w:rFonts w:hint="eastAsia" w:ascii="宋体" w:hAnsi="宋体"/>
          <w:b/>
          <w:color w:val="auto"/>
          <w:sz w:val="24"/>
          <w:highlight w:val="none"/>
        </w:rPr>
        <w:t>投标将被拒绝。</w:t>
      </w:r>
    </w:p>
    <w:p w14:paraId="048CC91D">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3.2.5 </w:t>
      </w:r>
      <w:r>
        <w:rPr>
          <w:rFonts w:hint="eastAsia" w:ascii="宋体" w:hAnsi="宋体"/>
          <w:color w:val="auto"/>
          <w:sz w:val="24"/>
          <w:highlight w:val="none"/>
        </w:rPr>
        <w:t>谈判小组负责审查确定每一投标项目是否对谈判文件的实质性要求作出了实质性的响应，而没有重大偏离和保留。实质性响应的投标是指投标符合谈判文件的所有条款、条件和规定且没有重大偏离和保留（重大偏离和保留是指影响到谈判文件和投标人的义务的规定，而纠正这些偏离将影响到其他提交实质性响应投标人的公平竞争地位）。</w:t>
      </w:r>
    </w:p>
    <w:p w14:paraId="5199B343">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3.2.6 </w:t>
      </w:r>
      <w:r>
        <w:rPr>
          <w:rFonts w:hint="eastAsia" w:ascii="宋体" w:hAnsi="宋体"/>
          <w:color w:val="auto"/>
          <w:sz w:val="24"/>
          <w:highlight w:val="none"/>
        </w:rPr>
        <w:t>谈判小组判断投标文件（响应文件）的响应性仅基于投标文件（响应文件）本身而不靠外部证据。</w:t>
      </w:r>
    </w:p>
    <w:p w14:paraId="586D0299">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3.2.7 </w:t>
      </w:r>
      <w:r>
        <w:rPr>
          <w:rFonts w:hint="eastAsia" w:ascii="宋体" w:hAnsi="宋体"/>
          <w:color w:val="auto"/>
          <w:sz w:val="24"/>
          <w:highlight w:val="none"/>
        </w:rPr>
        <w:t>谈判小组拒绝被确定为非实质性响应的投标人，投标人不得通过修正或撤销不符之处而使其投标成为实质性响应的投标。</w:t>
      </w:r>
    </w:p>
    <w:p w14:paraId="73CF2291">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3.2.8 </w:t>
      </w:r>
      <w:r>
        <w:rPr>
          <w:rFonts w:hint="eastAsia" w:ascii="宋体" w:hAnsi="宋体"/>
          <w:color w:val="auto"/>
          <w:sz w:val="24"/>
          <w:highlight w:val="none"/>
        </w:rPr>
        <w:t>允许投标人修改投标中不构成重大偏离的、微小的、非正规、不一致或不规则的地方。</w:t>
      </w:r>
    </w:p>
    <w:p w14:paraId="248ACB32">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3.3 </w:t>
      </w:r>
      <w:r>
        <w:rPr>
          <w:rFonts w:hint="eastAsia" w:ascii="黑体" w:hAnsi="黑体" w:eastAsia="黑体"/>
          <w:b/>
          <w:color w:val="auto"/>
          <w:sz w:val="24"/>
          <w:highlight w:val="none"/>
        </w:rPr>
        <w:t>详细评审</w:t>
      </w:r>
    </w:p>
    <w:p w14:paraId="1BAF3AED">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3.3.1</w:t>
      </w:r>
      <w:r>
        <w:rPr>
          <w:rFonts w:hint="eastAsia" w:ascii="宋体" w:hAnsi="宋体"/>
          <w:color w:val="auto"/>
          <w:sz w:val="24"/>
          <w:highlight w:val="none"/>
        </w:rPr>
        <w:t xml:space="preserve"> 按本章第</w:t>
      </w:r>
      <w:r>
        <w:rPr>
          <w:rFonts w:ascii="宋体" w:hAnsi="宋体"/>
          <w:color w:val="auto"/>
          <w:sz w:val="24"/>
          <w:highlight w:val="none"/>
        </w:rPr>
        <w:t xml:space="preserve">4 </w:t>
      </w:r>
      <w:r>
        <w:rPr>
          <w:rFonts w:hint="eastAsia" w:ascii="宋体" w:hAnsi="宋体"/>
          <w:color w:val="auto"/>
          <w:sz w:val="24"/>
          <w:highlight w:val="none"/>
        </w:rPr>
        <w:t>条规定执行促进中小企业发展扶持政策，用扣除后的价格参与评审。</w:t>
      </w:r>
    </w:p>
    <w:p w14:paraId="44637F26">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3.3.2</w:t>
      </w:r>
      <w:r>
        <w:rPr>
          <w:rFonts w:hint="eastAsia" w:ascii="宋体" w:hAnsi="宋体"/>
          <w:color w:val="auto"/>
          <w:sz w:val="24"/>
          <w:highlight w:val="none"/>
        </w:rPr>
        <w:t xml:space="preserve"> 谈判小组认为供应商的报价明显低于其他通过符合性审查投标人的报价，有可能影响产品质量或者不能诚信履约的，应当要求其在合理的时间内提供书面说明，必要时提交相关证明材料；供应商不能证明其报价合理性的，谈判小组应当将其作为无效投标处理。</w:t>
      </w:r>
    </w:p>
    <w:p w14:paraId="3B5E0D1A">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3.4 </w:t>
      </w:r>
      <w:r>
        <w:rPr>
          <w:rFonts w:hint="eastAsia" w:ascii="黑体" w:hAnsi="黑体" w:eastAsia="黑体"/>
          <w:b/>
          <w:color w:val="auto"/>
          <w:sz w:val="24"/>
          <w:highlight w:val="none"/>
        </w:rPr>
        <w:t>投标文件（响应文件）的澄清</w:t>
      </w:r>
    </w:p>
    <w:p w14:paraId="63354EC3">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hint="eastAsia" w:ascii="宋体" w:hAnsi="宋体"/>
          <w:b/>
          <w:color w:val="auto"/>
          <w:sz w:val="24"/>
          <w:highlight w:val="none"/>
        </w:rPr>
        <w:t>投标文件（响应文件）的澄清在谈</w:t>
      </w:r>
      <w:r>
        <w:rPr>
          <w:rFonts w:ascii="宋体" w:hAnsi="宋体"/>
          <w:b/>
          <w:color w:val="auto"/>
          <w:sz w:val="24"/>
          <w:highlight w:val="none"/>
        </w:rPr>
        <w:t>判公告所述</w:t>
      </w:r>
      <w:r>
        <w:rPr>
          <w:rFonts w:hint="eastAsia" w:ascii="宋体" w:hAnsi="宋体"/>
          <w:b/>
          <w:color w:val="auto"/>
          <w:sz w:val="24"/>
          <w:highlight w:val="none"/>
        </w:rPr>
        <w:t>网</w:t>
      </w:r>
      <w:r>
        <w:rPr>
          <w:rFonts w:ascii="宋体" w:hAnsi="宋体"/>
          <w:b/>
          <w:color w:val="auto"/>
          <w:sz w:val="24"/>
          <w:highlight w:val="none"/>
        </w:rPr>
        <w:t>上</w:t>
      </w:r>
      <w:r>
        <w:rPr>
          <w:rFonts w:hint="eastAsia" w:ascii="宋体" w:hAnsi="宋体"/>
          <w:b/>
          <w:color w:val="auto"/>
          <w:sz w:val="24"/>
          <w:highlight w:val="none"/>
        </w:rPr>
        <w:t>电子交易系统</w:t>
      </w:r>
      <w:r>
        <w:rPr>
          <w:rFonts w:ascii="宋体" w:hAnsi="宋体"/>
          <w:b/>
          <w:color w:val="auto"/>
          <w:sz w:val="24"/>
          <w:highlight w:val="none"/>
        </w:rPr>
        <w:t>进行。</w:t>
      </w:r>
    </w:p>
    <w:p w14:paraId="7E08753D">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4</w:t>
      </w:r>
      <w:r>
        <w:rPr>
          <w:rFonts w:ascii="宋体" w:hAnsi="宋体"/>
          <w:b/>
          <w:color w:val="auto"/>
          <w:sz w:val="24"/>
          <w:highlight w:val="none"/>
        </w:rPr>
        <w:t>.1</w:t>
      </w:r>
      <w:r>
        <w:rPr>
          <w:rFonts w:hint="eastAsia" w:ascii="宋体" w:hAnsi="宋体"/>
          <w:b/>
          <w:color w:val="auto"/>
          <w:sz w:val="24"/>
          <w:highlight w:val="none"/>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highlight w:val="none"/>
        </w:rPr>
        <w:t>，</w:t>
      </w:r>
      <w:r>
        <w:rPr>
          <w:rFonts w:hint="eastAsia" w:ascii="宋体" w:hAnsi="宋体"/>
          <w:b/>
          <w:color w:val="auto"/>
          <w:sz w:val="24"/>
          <w:highlight w:val="none"/>
        </w:rPr>
        <w:t>由投标人自行承担。</w:t>
      </w:r>
    </w:p>
    <w:p w14:paraId="6D05900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3.4.2</w:t>
      </w:r>
      <w:r>
        <w:rPr>
          <w:rFonts w:hint="eastAsia" w:ascii="宋体" w:hAnsi="宋体"/>
          <w:color w:val="auto"/>
          <w:sz w:val="24"/>
          <w:highlight w:val="none"/>
        </w:rPr>
        <w:t>　为有助于对投标文件（响应文件）进行审查、评估和比较，谈判小组有权个别的向投标人提出质疑，请投标人澄清其投标内容。</w:t>
      </w:r>
    </w:p>
    <w:p w14:paraId="43CA6211">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3.4.3</w:t>
      </w:r>
      <w:r>
        <w:rPr>
          <w:rFonts w:hint="eastAsia" w:ascii="宋体" w:hAnsi="宋体"/>
          <w:color w:val="auto"/>
          <w:sz w:val="24"/>
          <w:highlight w:val="none"/>
        </w:rPr>
        <w:t>　谈判小组可以要求投标人对投标文件（响应文件）中含义不明确、同类问题表述不一致或者有明显文字和计算错误的内容等作出必要的澄清、说明或者更正。投标人的澄清、说明或者更正不得超出投标文件（响应文件）的范围或者改变投标文件（响应文件）的实质性内容。</w:t>
      </w:r>
    </w:p>
    <w:p w14:paraId="74C71AAE">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3.4.4</w:t>
      </w:r>
      <w:r>
        <w:rPr>
          <w:rFonts w:hint="eastAsia" w:ascii="宋体" w:hAnsi="宋体"/>
          <w:b/>
          <w:color w:val="auto"/>
          <w:sz w:val="24"/>
          <w:highlight w:val="none"/>
        </w:rPr>
        <w:t>　投标人的澄清、说明或者更正应当采用书面形式，应加</w:t>
      </w:r>
      <w:r>
        <w:rPr>
          <w:rFonts w:ascii="宋体" w:hAnsi="宋体"/>
          <w:b/>
          <w:color w:val="auto"/>
          <w:sz w:val="24"/>
          <w:highlight w:val="none"/>
        </w:rPr>
        <w:t>盖</w:t>
      </w:r>
      <w:r>
        <w:rPr>
          <w:rFonts w:hint="eastAsia" w:ascii="宋体" w:hAnsi="宋体"/>
          <w:b/>
          <w:color w:val="auto"/>
          <w:sz w:val="24"/>
          <w:highlight w:val="none"/>
        </w:rPr>
        <w:t>投</w:t>
      </w:r>
      <w:r>
        <w:rPr>
          <w:rFonts w:ascii="宋体" w:hAnsi="宋体"/>
          <w:b/>
          <w:color w:val="auto"/>
          <w:sz w:val="24"/>
          <w:highlight w:val="none"/>
        </w:rPr>
        <w:t>标人</w:t>
      </w:r>
      <w:r>
        <w:rPr>
          <w:rFonts w:hint="eastAsia" w:ascii="宋体" w:hAnsi="宋体"/>
          <w:b/>
          <w:color w:val="auto"/>
          <w:sz w:val="24"/>
          <w:highlight w:val="none"/>
        </w:rPr>
        <w:t>电子签章或其法定代表人电子签名</w:t>
      </w:r>
      <w:r>
        <w:rPr>
          <w:rFonts w:hint="eastAsia" w:ascii="宋体" w:hAnsi="宋体" w:cs="楷体_GB2312"/>
          <w:b/>
          <w:color w:val="auto"/>
          <w:sz w:val="24"/>
          <w:highlight w:val="none"/>
        </w:rPr>
        <w:t>（签章）</w:t>
      </w:r>
      <w:r>
        <w:rPr>
          <w:rFonts w:hint="eastAsia" w:ascii="宋体" w:hAnsi="宋体"/>
          <w:b/>
          <w:color w:val="auto"/>
          <w:sz w:val="24"/>
          <w:highlight w:val="none"/>
        </w:rPr>
        <w:t>。并将澄清等内容作为附件上传至系统中。</w:t>
      </w:r>
    </w:p>
    <w:p w14:paraId="758236BA">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3.4.5</w:t>
      </w:r>
      <w:r>
        <w:rPr>
          <w:rFonts w:hint="eastAsia" w:ascii="宋体" w:hAnsi="宋体"/>
          <w:color w:val="auto"/>
          <w:sz w:val="24"/>
          <w:highlight w:val="none"/>
        </w:rPr>
        <w:t>　投标人的澄清文件是投标文件（响应文件）的组成部分，并取代投标文件（响应文件）中被澄清的部分。</w:t>
      </w:r>
    </w:p>
    <w:p w14:paraId="3CBABCB0">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3.4.6</w:t>
      </w:r>
      <w:r>
        <w:rPr>
          <w:rFonts w:hint="eastAsia" w:ascii="宋体" w:hAnsi="宋体"/>
          <w:color w:val="auto"/>
          <w:sz w:val="24"/>
          <w:highlight w:val="none"/>
        </w:rPr>
        <w:t>　澄清文件应按谈判小组规定的时间提交。</w:t>
      </w:r>
    </w:p>
    <w:p w14:paraId="66CEAF33">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3.5 </w:t>
      </w:r>
      <w:r>
        <w:rPr>
          <w:rFonts w:hint="eastAsia" w:ascii="黑体" w:hAnsi="黑体" w:eastAsia="黑体"/>
          <w:b/>
          <w:color w:val="auto"/>
          <w:sz w:val="24"/>
          <w:highlight w:val="none"/>
        </w:rPr>
        <w:t>谈判规则</w:t>
      </w:r>
    </w:p>
    <w:p w14:paraId="06D8E906">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hint="eastAsia" w:ascii="宋体" w:hAnsi="宋体"/>
          <w:b/>
          <w:color w:val="auto"/>
          <w:sz w:val="24"/>
          <w:highlight w:val="none"/>
        </w:rPr>
        <w:t>评</w:t>
      </w:r>
      <w:r>
        <w:rPr>
          <w:rFonts w:ascii="宋体" w:hAnsi="宋体"/>
          <w:b/>
          <w:color w:val="auto"/>
          <w:sz w:val="24"/>
          <w:highlight w:val="none"/>
        </w:rPr>
        <w:t>审</w:t>
      </w:r>
      <w:r>
        <w:rPr>
          <w:rFonts w:hint="eastAsia" w:ascii="宋体" w:hAnsi="宋体"/>
          <w:b/>
          <w:color w:val="auto"/>
          <w:sz w:val="24"/>
          <w:highlight w:val="none"/>
        </w:rPr>
        <w:t>谈判在谈</w:t>
      </w:r>
      <w:r>
        <w:rPr>
          <w:rFonts w:ascii="宋体" w:hAnsi="宋体"/>
          <w:b/>
          <w:color w:val="auto"/>
          <w:sz w:val="24"/>
          <w:highlight w:val="none"/>
        </w:rPr>
        <w:t>判公告所述</w:t>
      </w:r>
      <w:r>
        <w:rPr>
          <w:rFonts w:hint="eastAsia" w:ascii="宋体" w:hAnsi="宋体"/>
          <w:b/>
          <w:color w:val="auto"/>
          <w:sz w:val="24"/>
          <w:highlight w:val="none"/>
        </w:rPr>
        <w:t>网</w:t>
      </w:r>
      <w:r>
        <w:rPr>
          <w:rFonts w:ascii="宋体" w:hAnsi="宋体"/>
          <w:b/>
          <w:color w:val="auto"/>
          <w:sz w:val="24"/>
          <w:highlight w:val="none"/>
        </w:rPr>
        <w:t>上</w:t>
      </w:r>
      <w:r>
        <w:rPr>
          <w:rFonts w:hint="eastAsia" w:ascii="宋体" w:hAnsi="宋体"/>
          <w:b/>
          <w:color w:val="auto"/>
          <w:sz w:val="24"/>
          <w:highlight w:val="none"/>
        </w:rPr>
        <w:t>电子交易系统</w:t>
      </w:r>
      <w:r>
        <w:rPr>
          <w:rFonts w:ascii="宋体" w:hAnsi="宋体"/>
          <w:b/>
          <w:color w:val="auto"/>
          <w:sz w:val="24"/>
          <w:highlight w:val="none"/>
        </w:rPr>
        <w:t>进行。</w:t>
      </w:r>
    </w:p>
    <w:p w14:paraId="294BE429">
      <w:pPr>
        <w:autoSpaceDE w:val="0"/>
        <w:autoSpaceDN w:val="0"/>
        <w:adjustRightInd w:val="0"/>
        <w:snapToGrid w:val="0"/>
        <w:spacing w:before="156" w:beforeLines="50" w:line="300" w:lineRule="auto"/>
        <w:ind w:firstLine="566" w:firstLineChars="236"/>
        <w:rPr>
          <w:rFonts w:ascii="宋体"/>
          <w:color w:val="auto"/>
          <w:sz w:val="24"/>
          <w:highlight w:val="none"/>
        </w:rPr>
      </w:pPr>
      <w:r>
        <w:rPr>
          <w:rFonts w:ascii="宋体" w:hAnsi="宋体"/>
          <w:color w:val="auto"/>
          <w:sz w:val="24"/>
          <w:highlight w:val="none"/>
        </w:rPr>
        <w:t xml:space="preserve">3.5.1 </w:t>
      </w:r>
      <w:r>
        <w:rPr>
          <w:rFonts w:hint="eastAsia" w:ascii="宋体" w:hAnsi="宋体"/>
          <w:color w:val="auto"/>
          <w:sz w:val="24"/>
          <w:highlight w:val="none"/>
        </w:rPr>
        <w:t>本次政府采购采取竞争性谈判方式。谈判小组将据评审情况就所投货物的技术、服务、价格等事项与有关投标人分别进行谈判。谈判的任何一方不得将与谈判有关的技术资料、价格和其他信息透露给其他供应商。</w:t>
      </w:r>
    </w:p>
    <w:p w14:paraId="02055D93">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3.5.2 </w:t>
      </w:r>
      <w:r>
        <w:rPr>
          <w:rFonts w:hint="eastAsia" w:ascii="宋体" w:hAnsi="宋体"/>
          <w:color w:val="auto"/>
          <w:sz w:val="24"/>
          <w:highlight w:val="none"/>
        </w:rPr>
        <w:t>谈判小组根据谈判文件规定的程序、评定成交的标准等事项与实质性响应谈判文件要求的投标人进行谈判。</w:t>
      </w:r>
    </w:p>
    <w:p w14:paraId="606E8A5C">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3.5.3 </w:t>
      </w:r>
      <w:r>
        <w:rPr>
          <w:rFonts w:hint="eastAsia" w:ascii="宋体" w:hAnsi="宋体"/>
          <w:color w:val="auto"/>
          <w:sz w:val="24"/>
          <w:highlight w:val="none"/>
        </w:rPr>
        <w:t>谈判小组所有成员集中与单一投标人分别进行谈判，并给予所有参加谈判的投标人平等的谈判机会。</w:t>
      </w:r>
    </w:p>
    <w:p w14:paraId="2DA8D50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3.5.4 </w:t>
      </w:r>
      <w:r>
        <w:rPr>
          <w:rFonts w:hint="eastAsia" w:ascii="宋体" w:hAnsi="宋体"/>
          <w:color w:val="auto"/>
          <w:sz w:val="24"/>
          <w:highlight w:val="none"/>
        </w:rPr>
        <w:t>在谈判过程中，谈判小组可以根据谈判文件和谈判情况实质性变动采购需求中的技术、服务要求以及合同草案条款，谈判文件中的其他内容将不再变动。实质性变动的内容，经采购人代表确认</w:t>
      </w:r>
      <w:r>
        <w:rPr>
          <w:rFonts w:hint="eastAsia" w:ascii="宋体" w:hAnsi="宋体"/>
          <w:b/>
          <w:color w:val="auto"/>
          <w:sz w:val="24"/>
          <w:highlight w:val="none"/>
        </w:rPr>
        <w:t>后，谈判小组将在评审界面的对话框及时通知所有参加谈判的供应商。评审期间，供应商可通过评审界面的对话框接受询问。谈判结束后，未实质性响应谈判文件的响应文件按无效处理，谈判小组应当告知有关供应商。</w:t>
      </w:r>
    </w:p>
    <w:p w14:paraId="07C972B6">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3.5.5 </w:t>
      </w:r>
      <w:r>
        <w:rPr>
          <w:rFonts w:hint="eastAsia" w:ascii="宋体" w:hAnsi="宋体"/>
          <w:color w:val="auto"/>
          <w:sz w:val="24"/>
          <w:highlight w:val="none"/>
        </w:rPr>
        <w:t>对谈判文件作出的实质性变动是谈判文件的有效组成部分。</w:t>
      </w:r>
    </w:p>
    <w:p w14:paraId="39B246B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3.5.6 </w:t>
      </w:r>
      <w:r>
        <w:rPr>
          <w:rFonts w:hint="eastAsia" w:ascii="宋体" w:hAnsi="宋体"/>
          <w:color w:val="auto"/>
          <w:sz w:val="24"/>
          <w:highlight w:val="none"/>
        </w:rPr>
        <w:t>投标人应当按照谈判文件的变动情况和谈判小组的要求重新提交投标文件（响应文件）或修订投标文件相应条款，</w:t>
      </w:r>
      <w:r>
        <w:rPr>
          <w:rFonts w:hint="eastAsia" w:ascii="宋体" w:hAnsi="宋体"/>
          <w:b/>
          <w:color w:val="auto"/>
          <w:sz w:val="24"/>
          <w:highlight w:val="none"/>
        </w:rPr>
        <w:t>并应加</w:t>
      </w:r>
      <w:r>
        <w:rPr>
          <w:rFonts w:ascii="宋体" w:hAnsi="宋体"/>
          <w:b/>
          <w:color w:val="auto"/>
          <w:sz w:val="24"/>
          <w:highlight w:val="none"/>
        </w:rPr>
        <w:t>盖</w:t>
      </w:r>
      <w:r>
        <w:rPr>
          <w:rFonts w:hint="eastAsia" w:ascii="宋体" w:hAnsi="宋体"/>
          <w:b/>
          <w:color w:val="auto"/>
          <w:sz w:val="24"/>
          <w:highlight w:val="none"/>
        </w:rPr>
        <w:t>投</w:t>
      </w:r>
      <w:r>
        <w:rPr>
          <w:rFonts w:ascii="宋体" w:hAnsi="宋体"/>
          <w:b/>
          <w:color w:val="auto"/>
          <w:sz w:val="24"/>
          <w:highlight w:val="none"/>
        </w:rPr>
        <w:t>标人</w:t>
      </w:r>
      <w:r>
        <w:rPr>
          <w:rFonts w:hint="eastAsia" w:ascii="宋体" w:hAnsi="宋体"/>
          <w:b/>
          <w:color w:val="auto"/>
          <w:sz w:val="24"/>
          <w:highlight w:val="none"/>
        </w:rPr>
        <w:t>或其法定代表人的电子签名</w:t>
      </w:r>
      <w:r>
        <w:rPr>
          <w:rFonts w:hint="eastAsia" w:ascii="宋体" w:hAnsi="宋体" w:cs="楷体_GB2312"/>
          <w:b/>
          <w:color w:val="auto"/>
          <w:sz w:val="24"/>
          <w:highlight w:val="none"/>
        </w:rPr>
        <w:t>（签章）</w:t>
      </w:r>
      <w:r>
        <w:rPr>
          <w:rFonts w:hint="eastAsia" w:ascii="宋体" w:hAnsi="宋体"/>
          <w:b/>
          <w:color w:val="auto"/>
          <w:sz w:val="24"/>
          <w:highlight w:val="none"/>
        </w:rPr>
        <w:t>。</w:t>
      </w:r>
    </w:p>
    <w:p w14:paraId="7F325398">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3.5.7 </w:t>
      </w:r>
      <w:r>
        <w:rPr>
          <w:rFonts w:hint="eastAsia" w:ascii="宋体" w:hAnsi="宋体"/>
          <w:color w:val="auto"/>
          <w:sz w:val="24"/>
          <w:highlight w:val="none"/>
        </w:rPr>
        <w:t>价格谈判</w:t>
      </w:r>
    </w:p>
    <w:p w14:paraId="7474974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3.5.7.1 </w:t>
      </w:r>
      <w:r>
        <w:rPr>
          <w:rFonts w:hint="eastAsia" w:ascii="宋体" w:hAnsi="宋体"/>
          <w:color w:val="auto"/>
          <w:sz w:val="24"/>
          <w:highlight w:val="none"/>
        </w:rPr>
        <w:t>见第二章“采购项目及服务要求”</w:t>
      </w:r>
      <w:r>
        <w:rPr>
          <w:rFonts w:ascii="宋体" w:hAnsi="宋体"/>
          <w:color w:val="auto"/>
          <w:sz w:val="24"/>
          <w:highlight w:val="none"/>
        </w:rPr>
        <w:t>1.3.2</w:t>
      </w:r>
      <w:r>
        <w:rPr>
          <w:rFonts w:hint="eastAsia" w:ascii="宋体" w:hAnsi="宋体"/>
          <w:color w:val="auto"/>
          <w:sz w:val="24"/>
          <w:highlight w:val="none"/>
        </w:rPr>
        <w:t>项规定</w:t>
      </w:r>
    </w:p>
    <w:p w14:paraId="2D9648AD">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3.5.7.2 </w:t>
      </w:r>
      <w:r>
        <w:rPr>
          <w:rFonts w:hint="eastAsia" w:ascii="宋体" w:hAnsi="宋体"/>
          <w:color w:val="auto"/>
          <w:sz w:val="24"/>
          <w:highlight w:val="none"/>
        </w:rPr>
        <w:t>谈判小组应当要求所有继续参加谈判的供应商在规定时间内提交最后报价，提交最后报价的供应商不得少于</w:t>
      </w:r>
      <w:r>
        <w:rPr>
          <w:rFonts w:ascii="宋体" w:hAnsi="宋体"/>
          <w:color w:val="auto"/>
          <w:sz w:val="24"/>
          <w:highlight w:val="none"/>
        </w:rPr>
        <w:t>3</w:t>
      </w:r>
      <w:r>
        <w:rPr>
          <w:rFonts w:hint="eastAsia" w:ascii="宋体" w:hAnsi="宋体"/>
          <w:color w:val="auto"/>
          <w:sz w:val="24"/>
          <w:highlight w:val="none"/>
        </w:rPr>
        <w:t>家。最后报价是投标文件（响应文件）的有效组成部分。</w:t>
      </w:r>
    </w:p>
    <w:p w14:paraId="04635317">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3.5.8</w:t>
      </w:r>
      <w:r>
        <w:rPr>
          <w:rFonts w:hint="eastAsia" w:ascii="宋体" w:hAnsi="宋体"/>
          <w:color w:val="auto"/>
          <w:sz w:val="24"/>
          <w:highlight w:val="none"/>
        </w:rPr>
        <w:t xml:space="preserve"> 谈判文件的实质性变动影响到投标人因此无法继续参加谈判的，投标人可以在提交最后报价之前退出谈判。其响应文件按无效处理的投标人，所提交的最后报价也按无效处理。</w:t>
      </w:r>
    </w:p>
    <w:p w14:paraId="740676BC">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3.5.9</w:t>
      </w:r>
      <w:r>
        <w:rPr>
          <w:rFonts w:hint="eastAsia" w:ascii="宋体" w:hAnsi="宋体"/>
          <w:b/>
          <w:color w:val="auto"/>
          <w:sz w:val="24"/>
          <w:highlight w:val="none"/>
        </w:rPr>
        <w:t xml:space="preserve"> 投标人提交最后报价应在系统中填列。</w:t>
      </w:r>
    </w:p>
    <w:p w14:paraId="62756A0B">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3.5.10</w:t>
      </w:r>
      <w:r>
        <w:rPr>
          <w:rFonts w:hint="eastAsia" w:ascii="宋体" w:hAnsi="宋体"/>
          <w:b/>
          <w:color w:val="auto"/>
          <w:sz w:val="24"/>
          <w:highlight w:val="none"/>
        </w:rPr>
        <w:t xml:space="preserve"> </w:t>
      </w:r>
      <w:r>
        <w:rPr>
          <w:rFonts w:hint="eastAsia"/>
          <w:b/>
          <w:color w:val="auto"/>
          <w:sz w:val="24"/>
          <w:szCs w:val="24"/>
          <w:highlight w:val="none"/>
        </w:rPr>
        <w:t>本项目在开标后只进行一轮报价，即最后报价。网</w:t>
      </w:r>
      <w:r>
        <w:rPr>
          <w:b/>
          <w:color w:val="auto"/>
          <w:sz w:val="24"/>
          <w:szCs w:val="24"/>
          <w:highlight w:val="none"/>
        </w:rPr>
        <w:t>上交易系统中</w:t>
      </w:r>
      <w:r>
        <w:rPr>
          <w:rFonts w:hint="eastAsia"/>
          <w:b/>
          <w:color w:val="auto"/>
          <w:sz w:val="24"/>
          <w:szCs w:val="24"/>
          <w:highlight w:val="none"/>
        </w:rPr>
        <w:t>管理员发起最后报价后，</w:t>
      </w:r>
      <w:r>
        <w:rPr>
          <w:rFonts w:hint="eastAsia" w:ascii="宋体" w:hAnsi="宋体"/>
          <w:b/>
          <w:color w:val="auto"/>
          <w:sz w:val="24"/>
          <w:highlight w:val="none"/>
        </w:rPr>
        <w:t>如投标人未在指定时限内提交最后报价，视为该供应商根据谈判情况退出谈判。</w:t>
      </w:r>
    </w:p>
    <w:p w14:paraId="32BEEB8B">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 xml:space="preserve">3.5.11 </w:t>
      </w:r>
      <w:r>
        <w:rPr>
          <w:rFonts w:hint="eastAsia" w:ascii="宋体" w:hAnsi="宋体"/>
          <w:b/>
          <w:color w:val="auto"/>
          <w:sz w:val="24"/>
          <w:highlight w:val="none"/>
        </w:rPr>
        <w:t>投标人在网上报价过程中，如遇到网上投标系统的操作问题，可通过网上预留的咨询电话进行咨询。投标人因未按照要求进行操作、投标人办理的数字证书失效等其他自身原因导致响应文件错误或无效的，谈判小组将认定其为无效投</w:t>
      </w:r>
      <w:r>
        <w:rPr>
          <w:rFonts w:ascii="宋体" w:hAnsi="宋体"/>
          <w:b/>
          <w:color w:val="auto"/>
          <w:sz w:val="24"/>
          <w:highlight w:val="none"/>
        </w:rPr>
        <w:t>标</w:t>
      </w:r>
      <w:r>
        <w:rPr>
          <w:rFonts w:hint="eastAsia" w:ascii="宋体" w:hAnsi="宋体"/>
          <w:b/>
          <w:color w:val="auto"/>
          <w:sz w:val="24"/>
          <w:highlight w:val="none"/>
        </w:rPr>
        <w:t>。</w:t>
      </w:r>
    </w:p>
    <w:p w14:paraId="6C937C80">
      <w:pPr>
        <w:autoSpaceDE w:val="0"/>
        <w:autoSpaceDN w:val="0"/>
        <w:adjustRightInd w:val="0"/>
        <w:snapToGrid w:val="0"/>
        <w:spacing w:before="156" w:beforeLines="50" w:line="300" w:lineRule="auto"/>
        <w:ind w:firstLine="569" w:firstLineChars="236"/>
        <w:jc w:val="left"/>
        <w:rPr>
          <w:rFonts w:ascii="宋体"/>
          <w:color w:val="auto"/>
          <w:sz w:val="24"/>
          <w:highlight w:val="none"/>
        </w:rPr>
      </w:pPr>
      <w:r>
        <w:rPr>
          <w:rFonts w:ascii="黑体" w:hAnsi="黑体" w:eastAsia="黑体"/>
          <w:b/>
          <w:color w:val="auto"/>
          <w:sz w:val="24"/>
          <w:highlight w:val="none"/>
        </w:rPr>
        <w:t xml:space="preserve">3.6 </w:t>
      </w:r>
      <w:r>
        <w:rPr>
          <w:rFonts w:hint="eastAsia" w:ascii="黑体" w:hAnsi="黑体" w:eastAsia="黑体"/>
          <w:b/>
          <w:color w:val="auto"/>
          <w:sz w:val="24"/>
          <w:highlight w:val="none"/>
        </w:rPr>
        <w:t>复核</w:t>
      </w:r>
      <w:r>
        <w:rPr>
          <w:rFonts w:hint="eastAsia" w:ascii="宋体" w:hAnsi="宋体"/>
          <w:color w:val="auto"/>
          <w:sz w:val="24"/>
          <w:highlight w:val="none"/>
        </w:rPr>
        <w:t>：谈判小组对排名第一的、报价最低的、投标或相应文件被认定为无效的情形按谈判文件实质性要求进行重点复核。</w:t>
      </w:r>
    </w:p>
    <w:p w14:paraId="6714083B">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3.7 </w:t>
      </w:r>
      <w:r>
        <w:rPr>
          <w:rFonts w:hint="eastAsia" w:ascii="黑体" w:hAnsi="黑体" w:eastAsia="黑体"/>
          <w:b/>
          <w:color w:val="auto"/>
          <w:sz w:val="24"/>
          <w:highlight w:val="none"/>
        </w:rPr>
        <w:t>评审结果</w:t>
      </w:r>
    </w:p>
    <w:p w14:paraId="005F4E5B">
      <w:pPr>
        <w:autoSpaceDE w:val="0"/>
        <w:autoSpaceDN w:val="0"/>
        <w:adjustRightInd w:val="0"/>
        <w:snapToGrid w:val="0"/>
        <w:spacing w:before="156" w:beforeLines="50" w:line="300" w:lineRule="auto"/>
        <w:ind w:firstLine="616" w:firstLineChars="257"/>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7 </w:t>
      </w:r>
      <w:r>
        <w:rPr>
          <w:rFonts w:ascii="宋体" w:hAnsi="宋体"/>
          <w:color w:val="auto"/>
          <w:sz w:val="24"/>
          <w:highlight w:val="none"/>
        </w:rPr>
        <w:t>.1</w:t>
      </w:r>
      <w:r>
        <w:rPr>
          <w:rFonts w:hint="eastAsia" w:ascii="宋体" w:hAnsi="宋体"/>
          <w:color w:val="auto"/>
          <w:sz w:val="24"/>
          <w:highlight w:val="none"/>
        </w:rPr>
        <w:t xml:space="preserve"> 谈判小组从质量和服务均能满足谈判文件实质性响应要求的投标人中，按照报价（扣除经评审合格的“价格扣除”，见本章第</w:t>
      </w:r>
      <w:r>
        <w:rPr>
          <w:rFonts w:ascii="宋体" w:hAnsi="宋体"/>
          <w:color w:val="auto"/>
          <w:sz w:val="24"/>
          <w:highlight w:val="none"/>
        </w:rPr>
        <w:t>4</w:t>
      </w:r>
      <w:r>
        <w:rPr>
          <w:rFonts w:hint="eastAsia" w:ascii="宋体" w:hAnsi="宋体"/>
          <w:color w:val="auto"/>
          <w:sz w:val="24"/>
          <w:highlight w:val="none"/>
        </w:rPr>
        <w:t>条）由低到高的顺序提出</w:t>
      </w:r>
      <w:r>
        <w:rPr>
          <w:rFonts w:ascii="宋体" w:hAnsi="宋体"/>
          <w:color w:val="auto"/>
          <w:sz w:val="24"/>
          <w:highlight w:val="none"/>
        </w:rPr>
        <w:t>3</w:t>
      </w:r>
      <w:r>
        <w:rPr>
          <w:rFonts w:hint="eastAsia" w:ascii="宋体" w:hAnsi="宋体"/>
          <w:color w:val="auto"/>
          <w:sz w:val="24"/>
          <w:highlight w:val="none"/>
        </w:rPr>
        <w:t>名以上成交候选人，并编写书面评审报告。</w:t>
      </w:r>
    </w:p>
    <w:p w14:paraId="427E3340">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确定成交供应商：按第三章“投标人须知前附表”</w:t>
      </w:r>
      <w:r>
        <w:rPr>
          <w:rFonts w:ascii="宋体" w:hAnsi="宋体"/>
          <w:color w:val="auto"/>
          <w:sz w:val="24"/>
          <w:highlight w:val="none"/>
        </w:rPr>
        <w:t>7.1</w:t>
      </w:r>
      <w:r>
        <w:rPr>
          <w:rFonts w:hint="eastAsia" w:ascii="宋体" w:hAnsi="宋体"/>
          <w:color w:val="auto"/>
          <w:sz w:val="24"/>
          <w:highlight w:val="none"/>
        </w:rPr>
        <w:t>款规定及本章第</w:t>
      </w:r>
      <w:r>
        <w:rPr>
          <w:rFonts w:ascii="宋体" w:hAnsi="宋体"/>
          <w:color w:val="auto"/>
          <w:sz w:val="24"/>
          <w:highlight w:val="none"/>
        </w:rPr>
        <w:t>1</w:t>
      </w:r>
      <w:r>
        <w:rPr>
          <w:rFonts w:hint="eastAsia" w:ascii="宋体" w:hAnsi="宋体"/>
          <w:color w:val="auto"/>
          <w:sz w:val="24"/>
          <w:highlight w:val="none"/>
        </w:rPr>
        <w:t>条规定。</w:t>
      </w:r>
    </w:p>
    <w:p w14:paraId="731D5120">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3.8 </w:t>
      </w:r>
      <w:r>
        <w:rPr>
          <w:rFonts w:hint="eastAsia" w:ascii="黑体" w:hAnsi="黑体" w:eastAsia="黑体"/>
          <w:b/>
          <w:color w:val="auto"/>
          <w:sz w:val="24"/>
          <w:highlight w:val="none"/>
        </w:rPr>
        <w:t>谈判终止</w:t>
      </w:r>
    </w:p>
    <w:p w14:paraId="58DFD000">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 xml:space="preserve">.1 </w:t>
      </w:r>
      <w:r>
        <w:rPr>
          <w:rFonts w:hint="eastAsia" w:ascii="宋体" w:hAnsi="宋体"/>
          <w:color w:val="auto"/>
          <w:sz w:val="24"/>
          <w:highlight w:val="none"/>
        </w:rPr>
        <w:t>出现下列情形之一的，终止竞争性谈判活动：</w:t>
      </w:r>
    </w:p>
    <w:p w14:paraId="2D85931D">
      <w:pPr>
        <w:autoSpaceDE w:val="0"/>
        <w:autoSpaceDN w:val="0"/>
        <w:adjustRightInd w:val="0"/>
        <w:snapToGrid w:val="0"/>
        <w:spacing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）因情况变化，不再符合规定的竞争性谈判方式适用情形的；</w:t>
      </w:r>
    </w:p>
    <w:p w14:paraId="2F76D304">
      <w:pPr>
        <w:autoSpaceDE w:val="0"/>
        <w:autoSpaceDN w:val="0"/>
        <w:adjustRightInd w:val="0"/>
        <w:snapToGrid w:val="0"/>
        <w:spacing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）出现影响采购公正的违法、违规行为的；</w:t>
      </w:r>
    </w:p>
    <w:p w14:paraId="0171C0A5">
      <w:pPr>
        <w:autoSpaceDE w:val="0"/>
        <w:autoSpaceDN w:val="0"/>
        <w:adjustRightInd w:val="0"/>
        <w:snapToGrid w:val="0"/>
        <w:spacing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）在采购过程中符合竞争要求的供应商或者报价未超过预算金额的供应商不足</w:t>
      </w:r>
      <w:r>
        <w:rPr>
          <w:rFonts w:ascii="宋体" w:hAnsi="宋体"/>
          <w:color w:val="auto"/>
          <w:sz w:val="24"/>
          <w:highlight w:val="none"/>
        </w:rPr>
        <w:t>3</w:t>
      </w:r>
      <w:r>
        <w:rPr>
          <w:rFonts w:hint="eastAsia" w:ascii="宋体" w:hAnsi="宋体"/>
          <w:color w:val="auto"/>
          <w:sz w:val="24"/>
          <w:highlight w:val="none"/>
        </w:rPr>
        <w:t>家的。</w:t>
      </w:r>
    </w:p>
    <w:p w14:paraId="3EF392BD">
      <w:pPr>
        <w:autoSpaceDE w:val="0"/>
        <w:autoSpaceDN w:val="0"/>
        <w:adjustRightInd w:val="0"/>
        <w:snapToGrid w:val="0"/>
        <w:spacing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）在采购活动中因重大变故，采购任务取消的</w:t>
      </w:r>
      <w:r>
        <w:rPr>
          <w:rFonts w:ascii="宋体" w:hAnsi="宋体"/>
          <w:color w:val="auto"/>
          <w:sz w:val="24"/>
          <w:highlight w:val="none"/>
        </w:rPr>
        <w:t>.</w:t>
      </w:r>
    </w:p>
    <w:p w14:paraId="5B01C150">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 xml:space="preserve">.2 </w:t>
      </w:r>
      <w:r>
        <w:rPr>
          <w:rFonts w:hint="eastAsia" w:ascii="宋体" w:hAnsi="宋体"/>
          <w:color w:val="auto"/>
          <w:sz w:val="24"/>
          <w:highlight w:val="none"/>
        </w:rPr>
        <w:t>谈判小组要在采购项目（标段</w:t>
      </w:r>
      <w:r>
        <w:rPr>
          <w:rFonts w:hint="eastAsia" w:ascii="宋体" w:hAnsi="宋体" w:cs="楷体_GB2312"/>
          <w:color w:val="auto"/>
          <w:sz w:val="24"/>
          <w:highlight w:val="none"/>
          <w:lang w:val="zh-CN"/>
        </w:rPr>
        <w:t>&lt;包&gt;</w:t>
      </w:r>
      <w:r>
        <w:rPr>
          <w:rFonts w:hint="eastAsia" w:ascii="宋体" w:hAnsi="宋体"/>
          <w:color w:val="auto"/>
          <w:sz w:val="24"/>
          <w:highlight w:val="none"/>
        </w:rPr>
        <w:t>）谈判失败时，出具谈判文件是否存在不合理条款的论证意见，要协助采购人、采购代理机构、财政部门答复质疑或处理投诉事项。　</w:t>
      </w:r>
    </w:p>
    <w:p w14:paraId="1ABAB8CC">
      <w:pPr>
        <w:autoSpaceDE w:val="0"/>
        <w:autoSpaceDN w:val="0"/>
        <w:adjustRightInd w:val="0"/>
        <w:snapToGrid w:val="0"/>
        <w:spacing w:before="156" w:beforeLines="50" w:line="300" w:lineRule="auto"/>
        <w:ind w:firstLine="566" w:firstLineChars="236"/>
        <w:jc w:val="left"/>
        <w:rPr>
          <w:rFonts w:ascii="宋体"/>
          <w:color w:val="auto"/>
          <w:sz w:val="24"/>
          <w:highlight w:val="none"/>
        </w:rPr>
      </w:pPr>
    </w:p>
    <w:p w14:paraId="7A374D4E">
      <w:pPr>
        <w:widowControl w:val="0"/>
        <w:adjustRightInd w:val="0"/>
        <w:snapToGrid w:val="0"/>
        <w:spacing w:before="156" w:beforeLines="50" w:line="300" w:lineRule="auto"/>
        <w:ind w:left="23" w:firstLine="556"/>
        <w:jc w:val="left"/>
        <w:outlineLvl w:val="1"/>
        <w:rPr>
          <w:rFonts w:ascii="黑体" w:hAnsi="黑体" w:eastAsia="黑体" w:cs="楷体_GB2312"/>
          <w:b/>
          <w:bCs/>
          <w:color w:val="auto"/>
          <w:sz w:val="28"/>
          <w:szCs w:val="28"/>
          <w:highlight w:val="none"/>
          <w:lang w:val="zh-CN"/>
        </w:rPr>
      </w:pPr>
      <w:bookmarkStart w:id="36" w:name="_Toc60844012"/>
      <w:bookmarkStart w:id="37" w:name="_Toc65679396"/>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政府采购促进中小企业发展扶持政策</w:t>
      </w:r>
      <w:bookmarkEnd w:id="36"/>
      <w:bookmarkEnd w:id="37"/>
    </w:p>
    <w:p w14:paraId="3A1312E1">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在政府采购活动中，供应商提供的货物、工程或者服务符合下列情形的， 享受</w:t>
      </w:r>
      <w:r>
        <w:rPr>
          <w:rFonts w:hint="eastAsia" w:ascii="宋体" w:hAnsi="宋体"/>
          <w:color w:val="auto"/>
          <w:sz w:val="24"/>
          <w:highlight w:val="none"/>
        </w:rPr>
        <w:t>《政府采购促进中小企业发展管理办法》</w:t>
      </w:r>
      <w:r>
        <w:rPr>
          <w:rFonts w:ascii="宋体" w:hAnsi="宋体"/>
          <w:color w:val="auto"/>
          <w:sz w:val="24"/>
          <w:highlight w:val="none"/>
        </w:rPr>
        <w:t>规定的中小企业扶持政策：</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（一） 在货物采购项目中，货物由中小企业制造，即货物由中小企业生产且使用该中小企业商号或者注册商标；</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（二） 在工程采购项目中，工程由中小企业承建，即工程施工单位为中小企业；</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（三）在服务采购项目中，服务由中小企业承接，即提供服务的人员为中小企业依照《中华人民共和国劳动合同法》订立劳动合同的从业人员</w:t>
      </w:r>
      <w:r>
        <w:rPr>
          <w:rFonts w:hint="eastAsia" w:ascii="宋体" w:hAnsi="宋体"/>
          <w:color w:val="auto"/>
          <w:sz w:val="24"/>
          <w:highlight w:val="none"/>
        </w:rPr>
        <w:t>。</w:t>
      </w:r>
    </w:p>
    <w:p w14:paraId="18FA965F">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在货物采购项目中，供应商提供的货物既有中小企业制造货物，也有大型企业制造货物的，不享受中小企业扶持政策。</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以联合体形式参加政府采购活动，联合体各方均为中小企业的，联合体视同中小企业。其中，联合体各方均为小微企业的，联合体视同小微企业。</w:t>
      </w:r>
    </w:p>
    <w:p w14:paraId="45BC44D5">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4.2 符合中小企业划分标准的个体工商户，在政府采购活动中视同中小企业。</w:t>
      </w:r>
    </w:p>
    <w:p w14:paraId="34D70FD5">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监狱企业、符合法</w:t>
      </w:r>
      <w:r>
        <w:rPr>
          <w:rFonts w:ascii="宋体" w:hAnsi="宋体"/>
          <w:color w:val="auto"/>
          <w:sz w:val="24"/>
          <w:highlight w:val="none"/>
        </w:rPr>
        <w:t>定</w:t>
      </w:r>
      <w:r>
        <w:rPr>
          <w:rFonts w:hint="eastAsia" w:ascii="宋体" w:hAnsi="宋体"/>
          <w:color w:val="auto"/>
          <w:sz w:val="24"/>
          <w:highlight w:val="none"/>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14:paraId="54291360">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 xml:space="preserve"> 享受政府采购支持政策的残疾人福利性单位应当同时满足以下条件：</w:t>
      </w:r>
    </w:p>
    <w:p w14:paraId="49D7E323">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（1）安置的残疾人占本单位在职职工人数的比例不低于25%（含25%），并且安置的残疾人人数不少于10人（含10人）；</w:t>
      </w:r>
    </w:p>
    <w:p w14:paraId="35DC8BC1">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（2）依法与安置的每位残疾人签订了一年以上（含一年）的劳动合同或服务协议；</w:t>
      </w:r>
    </w:p>
    <w:p w14:paraId="060D7312">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（3）为安置的每位残疾人按月足额缴纳了基本养老保险、基本医疗保险、失业保险、工伤保险和生育保险等社会保险费；</w:t>
      </w:r>
    </w:p>
    <w:p w14:paraId="12BB37A1">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（4）通过银行等金融机构向安置的每位残疾人，按月支付了不低于单位所在区县适用的经省级人民政府批准的月最低工资标准的工资；</w:t>
      </w:r>
    </w:p>
    <w:p w14:paraId="3049E566">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（5）提供本单位制造的货物、承担的工程或者服务（以下简称产品），或者提供其他残疾人福利性单位制造的货物（不包括使用非残疾人福利性单位注册商标的货物）。</w:t>
      </w:r>
    </w:p>
    <w:p w14:paraId="7482D85D">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D5D576">
      <w:pPr>
        <w:autoSpaceDE w:val="0"/>
        <w:autoSpaceDN w:val="0"/>
        <w:adjustRightInd w:val="0"/>
        <w:snapToGrid w:val="0"/>
        <w:spacing w:before="156" w:beforeLines="50" w:line="300" w:lineRule="auto"/>
        <w:ind w:firstLine="539"/>
        <w:rPr>
          <w:rFonts w:ascii="宋体" w:hAnsi="宋体"/>
          <w:color w:val="auto"/>
          <w:sz w:val="24"/>
          <w:szCs w:val="22"/>
          <w:highlight w:val="none"/>
        </w:rPr>
      </w:pPr>
      <w:r>
        <w:rPr>
          <w:rFonts w:hint="eastAsia" w:ascii="宋体" w:hAnsi="宋体"/>
          <w:color w:val="auto"/>
          <w:sz w:val="24"/>
          <w:highlight w:val="none"/>
        </w:rPr>
        <w:t xml:space="preserve">4.4 </w:t>
      </w:r>
      <w:r>
        <w:rPr>
          <w:rFonts w:hint="eastAsia"/>
          <w:color w:val="auto"/>
          <w:sz w:val="24"/>
          <w:szCs w:val="24"/>
          <w:highlight w:val="none"/>
        </w:rPr>
        <w:t>参加</w:t>
      </w:r>
      <w:r>
        <w:rPr>
          <w:rFonts w:hint="eastAsia" w:ascii="宋体" w:hAnsi="宋体"/>
          <w:color w:val="auto"/>
          <w:sz w:val="24"/>
          <w:highlight w:val="none"/>
        </w:rPr>
        <w:t>本次政府采购项目的中小企业应按附件格式提供《中小企业声明函》。</w:t>
      </w:r>
      <w:r>
        <w:rPr>
          <w:rFonts w:hint="eastAsia" w:ascii="宋体" w:hAnsi="宋体" w:cs="宋体"/>
          <w:color w:val="auto"/>
          <w:sz w:val="24"/>
          <w:szCs w:val="24"/>
          <w:highlight w:val="none"/>
        </w:rPr>
        <w:t>如谈判文件接受以联合体形式参加投标的，联合体各方均应按附件格式提供《中小企业声明函》。</w:t>
      </w:r>
    </w:p>
    <w:p w14:paraId="2AAAB2E9">
      <w:pPr>
        <w:autoSpaceDE w:val="0"/>
        <w:autoSpaceDN w:val="0"/>
        <w:adjustRightInd w:val="0"/>
        <w:snapToGrid w:val="0"/>
        <w:spacing w:before="156" w:beforeLines="50" w:line="300" w:lineRule="auto"/>
        <w:ind w:firstLine="600" w:firstLineChars="250"/>
        <w:jc w:val="left"/>
        <w:rPr>
          <w:rFonts w:ascii="宋体" w:hAnsi="宋体"/>
          <w:color w:val="auto"/>
          <w:sz w:val="24"/>
          <w:highlight w:val="none"/>
        </w:rPr>
      </w:pPr>
      <w:r>
        <w:rPr>
          <w:rFonts w:hint="eastAsia" w:ascii="宋体" w:hAnsi="宋体"/>
          <w:color w:val="auto"/>
          <w:sz w:val="24"/>
          <w:highlight w:val="none"/>
        </w:rPr>
        <w:t>供应商按照财库〔2020〕46号规定及谈判文件要求提供声明函内容不实的，属于提供虚假材料谋取中标、成交，依照《中华人民共和国政府采购法》等国家有关规定追究相应责任。</w:t>
      </w:r>
    </w:p>
    <w:p w14:paraId="32D7DCB2">
      <w:pPr>
        <w:autoSpaceDE w:val="0"/>
        <w:autoSpaceDN w:val="0"/>
        <w:adjustRightInd w:val="0"/>
        <w:snapToGrid w:val="0"/>
        <w:spacing w:before="156" w:beforeLines="50" w:line="300" w:lineRule="auto"/>
        <w:ind w:firstLine="600" w:firstLineChars="250"/>
        <w:jc w:val="left"/>
        <w:rPr>
          <w:rFonts w:ascii="宋体" w:hAnsi="宋体"/>
          <w:color w:val="auto"/>
          <w:sz w:val="24"/>
          <w:highlight w:val="none"/>
        </w:rPr>
      </w:pPr>
      <w:r>
        <w:rPr>
          <w:rFonts w:hint="eastAsia" w:ascii="宋体" w:hAnsi="宋体"/>
          <w:color w:val="auto"/>
          <w:sz w:val="24"/>
          <w:highlight w:val="none"/>
        </w:rPr>
        <w:t>4.5 《政府采购促进中小企业发展管理办法》各项中小企业扶持政策中，价格扣除扶持政策仅小型、微型企业适用。</w:t>
      </w:r>
    </w:p>
    <w:p w14:paraId="5D73FAB8">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4.6 小微企业价格扣除扶持政策：</w:t>
      </w:r>
    </w:p>
    <w:p w14:paraId="1D27A2D5">
      <w:pPr>
        <w:adjustRightInd w:val="0"/>
        <w:snapToGrid w:val="0"/>
        <w:spacing w:before="156" w:beforeLines="50" w:line="30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4.6.1本次政府采购项目对符合《政府采购促进中小企业发展管理办法》小型和微型企业的报价给予10%的扣除，用扣除后的价格参与评审。</w:t>
      </w:r>
    </w:p>
    <w:p w14:paraId="3EA424A9">
      <w:pPr>
        <w:adjustRightInd w:val="0"/>
        <w:snapToGrid w:val="0"/>
        <w:spacing w:before="156" w:beforeLines="50" w:line="300" w:lineRule="auto"/>
        <w:ind w:firstLine="600" w:firstLineChars="250"/>
        <w:rPr>
          <w:rFonts w:ascii="宋体" w:hAnsi="宋体"/>
          <w:color w:val="auto"/>
          <w:sz w:val="24"/>
          <w:highlight w:val="none"/>
        </w:rPr>
      </w:pPr>
      <w:r>
        <w:rPr>
          <w:rFonts w:hint="eastAsia" w:ascii="宋体" w:hAnsi="宋体"/>
          <w:color w:val="auto"/>
          <w:sz w:val="24"/>
          <w:szCs w:val="24"/>
          <w:highlight w:val="none"/>
        </w:rPr>
        <w:t>4.6.2</w:t>
      </w:r>
      <w:r>
        <w:rPr>
          <w:rFonts w:hint="eastAsia" w:ascii="宋体" w:hAnsi="宋体"/>
          <w:color w:val="auto"/>
          <w:sz w:val="24"/>
          <w:highlight w:val="none"/>
        </w:rPr>
        <w:t>如谈判文件接受大中型企业与小微企业组成联合体或者允许大中型企业向一家或者多家小微企业分包时，联合协议或分包意向协议约定小微型企业的合同份额占到合同总金额30%以上的，给予联合体或大中型企业4%的价格扣除，用扣除后的价格参加评审。</w:t>
      </w:r>
    </w:p>
    <w:p w14:paraId="76D981D1">
      <w:pPr>
        <w:adjustRightInd w:val="0"/>
        <w:snapToGrid w:val="0"/>
        <w:spacing w:before="156" w:beforeLines="50" w:line="300" w:lineRule="auto"/>
        <w:ind w:firstLine="600" w:firstLineChars="250"/>
        <w:rPr>
          <w:rFonts w:ascii="宋体" w:hAnsi="宋体"/>
          <w:color w:val="auto"/>
          <w:sz w:val="24"/>
          <w:highlight w:val="none"/>
        </w:rPr>
      </w:pPr>
      <w:r>
        <w:rPr>
          <w:rFonts w:hint="eastAsia" w:ascii="宋体" w:hAnsi="宋体"/>
          <w:color w:val="auto"/>
          <w:sz w:val="24"/>
          <w:highlight w:val="none"/>
        </w:rPr>
        <w:t>组成联合体或者接受分包合同的中小企业与联合体内其他企业、分包企业之间不得存在直接控股、管理关系。</w:t>
      </w:r>
    </w:p>
    <w:p w14:paraId="1DF9D854">
      <w:pPr>
        <w:adjustRightInd w:val="0"/>
        <w:snapToGrid w:val="0"/>
        <w:spacing w:before="156" w:beforeLines="50" w:line="30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4.6.3价格扣除比例或者价格分加分比例对小型企业和微型企业同等对待，不作区分。</w:t>
      </w:r>
    </w:p>
    <w:p w14:paraId="0EBB460E">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7 谈判小组对投标人申报的小型和微型企业价格扣除事项进行评审。鉴于小微企业价格扣除政策与合同执行价格无关，为避免投标人申报价格扣除事项的随意性，故特别规定：</w:t>
      </w:r>
    </w:p>
    <w:p w14:paraId="2F168A62">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）谈判小组对投标人申报的小型和微型企业价格扣除事项的评审结论，分为合格与不合格。</w:t>
      </w:r>
    </w:p>
    <w:p w14:paraId="48856CE7">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经评审，申报的小微价格扣除事项缺失中小企业声明函、联合协议或分包意向协议不符合中小企业价格扣除规定等任一不符合政策要求及不准确的事项，谈判小组均将评审为不合格，该投标人申报的价格扣除事项不予接受、为</w:t>
      </w:r>
      <w:r>
        <w:rPr>
          <w:rFonts w:ascii="宋体" w:hAnsi="宋体"/>
          <w:color w:val="auto"/>
          <w:sz w:val="24"/>
          <w:highlight w:val="none"/>
        </w:rPr>
        <w:t>0</w:t>
      </w:r>
      <w:r>
        <w:rPr>
          <w:rFonts w:hint="eastAsia" w:ascii="宋体" w:hAnsi="宋体"/>
          <w:color w:val="auto"/>
          <w:sz w:val="24"/>
          <w:highlight w:val="none"/>
        </w:rPr>
        <w:t>。</w:t>
      </w:r>
    </w:p>
    <w:p w14:paraId="46BF14BB">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提供虚假材料的为无效投标、并承担相应的法律责任。</w:t>
      </w:r>
    </w:p>
    <w:p w14:paraId="24402CD6">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）评审合格的，接受其申报的小型和微型企业价格扣除（最后报价的价格扣除），用扣除后的价格参与评审。</w:t>
      </w:r>
    </w:p>
    <w:p w14:paraId="5FFB070F">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（4）评审不合格的，不接受其小微企业价格扣除，但将不作为无效投标。</w:t>
      </w:r>
    </w:p>
    <w:p w14:paraId="42DE44DF">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注：小微企业价格扣除，仅作为价格评审的依据，并不影响合同执行价格，合同执行价格为成交供应商的最后报价。</w:t>
      </w:r>
    </w:p>
    <w:p w14:paraId="13263E0B">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4.8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1B67ED1C">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4.9 中标、成交供应商享受中小企业扶持政策的，中标、成交供应商的《中小企业声明函》将随中标、成交结果公开。</w:t>
      </w:r>
    </w:p>
    <w:p w14:paraId="4DA53C16">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4.10</w:t>
      </w:r>
      <w:r>
        <w:rPr>
          <w:rFonts w:ascii="宋体" w:hAnsi="宋体"/>
          <w:color w:val="auto"/>
          <w:sz w:val="24"/>
          <w:highlight w:val="none"/>
        </w:rPr>
        <w:t xml:space="preserve"> </w:t>
      </w:r>
      <w:r>
        <w:rPr>
          <w:rFonts w:hint="eastAsia" w:ascii="宋体" w:hAnsi="宋体"/>
          <w:color w:val="auto"/>
          <w:sz w:val="24"/>
          <w:highlight w:val="none"/>
        </w:rPr>
        <w:t>依法享受扶持政策获得政府采购合同的，小微企业不得将合同分包给大中型企业，中型企业不得将合同分包给大型企业。</w:t>
      </w:r>
    </w:p>
    <w:p w14:paraId="48EAD9DA">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4.11</w:t>
      </w:r>
      <w:r>
        <w:rPr>
          <w:rFonts w:ascii="宋体" w:hAnsi="宋体"/>
          <w:color w:val="auto"/>
          <w:sz w:val="24"/>
          <w:highlight w:val="none"/>
        </w:rPr>
        <w:t xml:space="preserve"> </w:t>
      </w:r>
      <w:r>
        <w:rPr>
          <w:rFonts w:hint="eastAsia" w:ascii="宋体" w:hAnsi="宋体"/>
          <w:color w:val="auto"/>
          <w:sz w:val="24"/>
          <w:highlight w:val="none"/>
        </w:rPr>
        <w:t>政府采购监督检查、投诉处理及政府采购行政处罚中对中小企业的认定，由货物制造商或者工程、服务供应商注册登记所在地的县级以上人民政府中小企业主管部门负责。</w:t>
      </w:r>
    </w:p>
    <w:p w14:paraId="0B386A3D">
      <w:pPr>
        <w:widowControl w:val="0"/>
        <w:snapToGrid w:val="0"/>
        <w:spacing w:line="657" w:lineRule="atLeast"/>
        <w:jc w:val="center"/>
        <w:outlineLvl w:val="0"/>
        <w:rPr>
          <w:rFonts w:ascii="黑体" w:eastAsia="黑体"/>
          <w:b/>
          <w:color w:val="auto"/>
          <w:sz w:val="36"/>
          <w:szCs w:val="36"/>
          <w:highlight w:val="none"/>
        </w:rPr>
      </w:pPr>
    </w:p>
    <w:p w14:paraId="3C1A5DFF">
      <w:pPr>
        <w:autoSpaceDE w:val="0"/>
        <w:autoSpaceDN w:val="0"/>
        <w:adjustRightInd w:val="0"/>
        <w:snapToGrid w:val="0"/>
        <w:spacing w:before="156" w:beforeLines="50" w:line="300" w:lineRule="auto"/>
        <w:ind w:firstLine="853" w:firstLineChars="236"/>
        <w:jc w:val="left"/>
        <w:rPr>
          <w:rFonts w:ascii="黑体" w:eastAsia="黑体"/>
          <w:b/>
          <w:color w:val="auto"/>
          <w:sz w:val="36"/>
          <w:szCs w:val="36"/>
          <w:highlight w:val="none"/>
        </w:rPr>
      </w:pPr>
      <w:r>
        <w:rPr>
          <w:rFonts w:ascii="黑体" w:eastAsia="黑体"/>
          <w:b/>
          <w:color w:val="auto"/>
          <w:sz w:val="36"/>
          <w:szCs w:val="36"/>
          <w:highlight w:val="none"/>
        </w:rPr>
        <w:br w:type="page"/>
      </w:r>
    </w:p>
    <w:p w14:paraId="168E2F06">
      <w:pPr>
        <w:widowControl w:val="0"/>
        <w:snapToGrid w:val="0"/>
        <w:spacing w:line="657" w:lineRule="atLeast"/>
        <w:jc w:val="center"/>
        <w:outlineLvl w:val="0"/>
        <w:rPr>
          <w:rFonts w:ascii="黑体" w:eastAsia="黑体"/>
          <w:b/>
          <w:color w:val="auto"/>
          <w:sz w:val="36"/>
          <w:szCs w:val="36"/>
          <w:highlight w:val="none"/>
        </w:rPr>
      </w:pPr>
      <w:bookmarkStart w:id="38" w:name="_Toc65679397"/>
      <w:r>
        <w:rPr>
          <w:rFonts w:hint="eastAsia" w:ascii="黑体" w:eastAsia="黑体"/>
          <w:b/>
          <w:color w:val="auto"/>
          <w:sz w:val="36"/>
          <w:szCs w:val="36"/>
          <w:highlight w:val="none"/>
        </w:rPr>
        <w:t>第五章 合同主要条款</w:t>
      </w:r>
      <w:bookmarkEnd w:id="38"/>
    </w:p>
    <w:p w14:paraId="5D242584">
      <w:pPr>
        <w:widowControl w:val="0"/>
        <w:snapToGrid w:val="0"/>
        <w:spacing w:line="657" w:lineRule="atLeast"/>
        <w:jc w:val="center"/>
        <w:rPr>
          <w:rFonts w:ascii="黑体" w:eastAsia="黑体"/>
          <w:b/>
          <w:color w:val="auto"/>
          <w:spacing w:val="20"/>
          <w:sz w:val="36"/>
          <w:szCs w:val="36"/>
          <w:highlight w:val="none"/>
        </w:rPr>
      </w:pPr>
    </w:p>
    <w:p w14:paraId="3545EC18">
      <w:pPr>
        <w:widowControl w:val="0"/>
        <w:snapToGrid w:val="0"/>
        <w:spacing w:line="657" w:lineRule="atLeast"/>
        <w:jc w:val="center"/>
        <w:rPr>
          <w:rFonts w:ascii="黑体" w:eastAsia="黑体"/>
          <w:b/>
          <w:color w:val="auto"/>
          <w:spacing w:val="20"/>
          <w:sz w:val="36"/>
          <w:szCs w:val="36"/>
          <w:highlight w:val="none"/>
        </w:rPr>
      </w:pPr>
      <w:r>
        <w:rPr>
          <w:rFonts w:hint="eastAsia" w:ascii="黑体" w:eastAsia="黑体"/>
          <w:b/>
          <w:color w:val="auto"/>
          <w:spacing w:val="20"/>
          <w:sz w:val="36"/>
          <w:szCs w:val="36"/>
          <w:highlight w:val="none"/>
        </w:rPr>
        <w:t>服</w:t>
      </w:r>
      <w:r>
        <w:rPr>
          <w:rFonts w:ascii="黑体" w:eastAsia="黑体"/>
          <w:b/>
          <w:color w:val="auto"/>
          <w:spacing w:val="20"/>
          <w:sz w:val="36"/>
          <w:szCs w:val="36"/>
          <w:highlight w:val="none"/>
        </w:rPr>
        <w:t xml:space="preserve"> </w:t>
      </w:r>
      <w:r>
        <w:rPr>
          <w:rFonts w:hint="eastAsia" w:ascii="黑体" w:eastAsia="黑体"/>
          <w:b/>
          <w:color w:val="auto"/>
          <w:spacing w:val="20"/>
          <w:sz w:val="36"/>
          <w:szCs w:val="36"/>
          <w:highlight w:val="none"/>
        </w:rPr>
        <w:t>务</w:t>
      </w:r>
      <w:r>
        <w:rPr>
          <w:rFonts w:ascii="黑体" w:eastAsia="黑体"/>
          <w:b/>
          <w:color w:val="auto"/>
          <w:spacing w:val="20"/>
          <w:sz w:val="36"/>
          <w:szCs w:val="36"/>
          <w:highlight w:val="none"/>
        </w:rPr>
        <w:t xml:space="preserve"> </w:t>
      </w:r>
      <w:r>
        <w:rPr>
          <w:rFonts w:hint="eastAsia" w:ascii="黑体" w:eastAsia="黑体"/>
          <w:b/>
          <w:color w:val="auto"/>
          <w:spacing w:val="20"/>
          <w:sz w:val="36"/>
          <w:szCs w:val="36"/>
          <w:highlight w:val="none"/>
        </w:rPr>
        <w:t>合</w:t>
      </w:r>
      <w:r>
        <w:rPr>
          <w:rFonts w:ascii="黑体" w:eastAsia="黑体"/>
          <w:b/>
          <w:color w:val="auto"/>
          <w:spacing w:val="20"/>
          <w:sz w:val="36"/>
          <w:szCs w:val="36"/>
          <w:highlight w:val="none"/>
        </w:rPr>
        <w:t xml:space="preserve"> </w:t>
      </w:r>
      <w:r>
        <w:rPr>
          <w:rFonts w:hint="eastAsia" w:ascii="黑体" w:eastAsia="黑体"/>
          <w:b/>
          <w:color w:val="auto"/>
          <w:spacing w:val="20"/>
          <w:sz w:val="36"/>
          <w:szCs w:val="36"/>
          <w:highlight w:val="none"/>
        </w:rPr>
        <w:t>同</w:t>
      </w:r>
    </w:p>
    <w:p w14:paraId="133747E5">
      <w:pPr>
        <w:widowControl w:val="0"/>
        <w:snapToGrid w:val="0"/>
        <w:spacing w:before="56" w:after="56" w:line="360" w:lineRule="auto"/>
        <w:ind w:right="85"/>
        <w:jc w:val="left"/>
        <w:textAlignment w:val="top"/>
        <w:rPr>
          <w:color w:val="auto"/>
          <w:sz w:val="24"/>
          <w:szCs w:val="24"/>
          <w:highlight w:val="none"/>
        </w:rPr>
      </w:pPr>
      <w:r>
        <w:rPr>
          <w:rFonts w:hint="eastAsia"/>
          <w:color w:val="auto"/>
          <w:sz w:val="24"/>
          <w:szCs w:val="24"/>
          <w:highlight w:val="none"/>
        </w:rPr>
        <w:t>合同编号：</w:t>
      </w:r>
    </w:p>
    <w:p w14:paraId="64F170FF">
      <w:pPr>
        <w:widowControl w:val="0"/>
        <w:snapToGrid w:val="0"/>
        <w:spacing w:before="56" w:after="56" w:line="360" w:lineRule="auto"/>
        <w:ind w:right="85"/>
        <w:jc w:val="left"/>
        <w:textAlignment w:val="top"/>
        <w:rPr>
          <w:color w:val="auto"/>
          <w:sz w:val="24"/>
          <w:szCs w:val="24"/>
          <w:highlight w:val="none"/>
        </w:rPr>
      </w:pPr>
      <w:r>
        <w:rPr>
          <w:rFonts w:hint="eastAsia"/>
          <w:color w:val="auto"/>
          <w:sz w:val="24"/>
          <w:szCs w:val="24"/>
          <w:highlight w:val="none"/>
        </w:rPr>
        <w:t>甲方：（采购人）</w:t>
      </w:r>
    </w:p>
    <w:p w14:paraId="206095AB">
      <w:pPr>
        <w:widowControl w:val="0"/>
        <w:snapToGrid w:val="0"/>
        <w:spacing w:before="56" w:after="56" w:line="360" w:lineRule="auto"/>
        <w:ind w:right="85"/>
        <w:jc w:val="left"/>
        <w:textAlignment w:val="top"/>
        <w:rPr>
          <w:color w:val="auto"/>
          <w:sz w:val="24"/>
          <w:szCs w:val="24"/>
          <w:highlight w:val="none"/>
        </w:rPr>
      </w:pPr>
      <w:r>
        <w:rPr>
          <w:rFonts w:hint="eastAsia"/>
          <w:color w:val="auto"/>
          <w:sz w:val="24"/>
          <w:szCs w:val="24"/>
          <w:highlight w:val="none"/>
        </w:rPr>
        <w:t>乙方：（供应商）</w:t>
      </w:r>
    </w:p>
    <w:p w14:paraId="354804CE">
      <w:pPr>
        <w:widowControl w:val="0"/>
        <w:snapToGrid w:val="0"/>
        <w:spacing w:line="360" w:lineRule="auto"/>
        <w:ind w:right="85" w:firstLine="460" w:firstLineChars="192"/>
        <w:rPr>
          <w:color w:val="auto"/>
          <w:spacing w:val="20"/>
          <w:sz w:val="24"/>
          <w:szCs w:val="24"/>
          <w:highlight w:val="none"/>
        </w:rPr>
      </w:pPr>
      <w:r>
        <w:rPr>
          <w:rFonts w:hint="eastAsia"/>
          <w:color w:val="auto"/>
          <w:sz w:val="24"/>
          <w:szCs w:val="24"/>
          <w:highlight w:val="none"/>
        </w:rPr>
        <w:t>甲、乙双方持安阳市方正招标采购服务有限责任公司</w:t>
      </w:r>
      <w:r>
        <w:rPr>
          <w:color w:val="auto"/>
          <w:sz w:val="24"/>
          <w:szCs w:val="24"/>
          <w:highlight w:val="none"/>
        </w:rPr>
        <w:t>20</w:t>
      </w:r>
      <w:r>
        <w:rPr>
          <w:rFonts w:hint="eastAsia"/>
          <w:color w:val="auto"/>
          <w:sz w:val="24"/>
          <w:szCs w:val="24"/>
          <w:highlight w:val="none"/>
        </w:rPr>
        <w:t>24年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日签发的</w:t>
      </w:r>
      <w:r>
        <w:rPr>
          <w:rFonts w:hint="eastAsia"/>
          <w:color w:val="auto"/>
          <w:sz w:val="24"/>
          <w:szCs w:val="24"/>
          <w:highlight w:val="none"/>
          <w:u w:val="single"/>
        </w:rPr>
        <w:t>（采购人及项目名称）</w:t>
      </w:r>
      <w:r>
        <w:rPr>
          <w:rFonts w:hint="eastAsia"/>
          <w:color w:val="auto"/>
          <w:sz w:val="24"/>
          <w:szCs w:val="24"/>
          <w:highlight w:val="none"/>
        </w:rPr>
        <w:t>〔项目编号：</w:t>
      </w:r>
      <w:r>
        <w:rPr>
          <w:color w:val="auto"/>
          <w:sz w:val="24"/>
          <w:szCs w:val="24"/>
          <w:highlight w:val="none"/>
        </w:rPr>
        <w:t xml:space="preserve">      </w:t>
      </w:r>
      <w:r>
        <w:rPr>
          <w:rFonts w:hint="eastAsia"/>
          <w:color w:val="auto"/>
          <w:sz w:val="24"/>
          <w:szCs w:val="24"/>
          <w:highlight w:val="none"/>
        </w:rPr>
        <w:t>〕成交通知书，根据采购文件</w:t>
      </w:r>
      <w:r>
        <w:rPr>
          <w:rFonts w:hint="eastAsia"/>
          <w:color w:val="auto"/>
          <w:spacing w:val="20"/>
          <w:sz w:val="24"/>
          <w:szCs w:val="24"/>
          <w:highlight w:val="none"/>
        </w:rPr>
        <w:t>及其修改补充澄清、投标文件及其修改补充澄清的内容，经双方平等协商一致，达成以下合同条款：</w:t>
      </w:r>
    </w:p>
    <w:p w14:paraId="28EF3449">
      <w:pPr>
        <w:widowControl w:val="0"/>
        <w:snapToGrid w:val="0"/>
        <w:spacing w:line="360" w:lineRule="auto"/>
        <w:ind w:right="85" w:firstLine="460" w:firstLineChars="192"/>
        <w:rPr>
          <w:color w:val="auto"/>
          <w:sz w:val="24"/>
          <w:szCs w:val="24"/>
          <w:highlight w:val="none"/>
        </w:rPr>
      </w:pPr>
      <w:r>
        <w:rPr>
          <w:rFonts w:hint="eastAsia"/>
          <w:color w:val="auto"/>
          <w:sz w:val="24"/>
          <w:szCs w:val="24"/>
          <w:highlight w:val="none"/>
        </w:rPr>
        <w:t>一、本合同所指服务为此次竞争性谈判的服务，包括</w:t>
      </w:r>
      <w:r>
        <w:rPr>
          <w:rFonts w:hint="eastAsia"/>
          <w:color w:val="auto"/>
          <w:sz w:val="24"/>
          <w:szCs w:val="24"/>
          <w:highlight w:val="none"/>
          <w:u w:val="single"/>
        </w:rPr>
        <w:t>（详细注明内容）</w:t>
      </w:r>
      <w:r>
        <w:rPr>
          <w:rFonts w:hint="eastAsia"/>
          <w:color w:val="auto"/>
          <w:sz w:val="24"/>
          <w:szCs w:val="24"/>
          <w:highlight w:val="none"/>
        </w:rPr>
        <w:t>，合同总价款为元（大写：</w:t>
      </w:r>
      <w:r>
        <w:rPr>
          <w:color w:val="auto"/>
          <w:sz w:val="24"/>
          <w:szCs w:val="24"/>
          <w:highlight w:val="none"/>
        </w:rPr>
        <w:t xml:space="preserve">                 </w:t>
      </w:r>
      <w:r>
        <w:rPr>
          <w:rFonts w:hint="eastAsia"/>
          <w:color w:val="auto"/>
          <w:sz w:val="24"/>
          <w:szCs w:val="24"/>
          <w:highlight w:val="none"/>
        </w:rPr>
        <w:t>）。</w:t>
      </w:r>
    </w:p>
    <w:p w14:paraId="346C8F6D">
      <w:pPr>
        <w:widowControl w:val="0"/>
        <w:snapToGrid w:val="0"/>
        <w:spacing w:line="360" w:lineRule="auto"/>
        <w:ind w:right="85" w:firstLine="537" w:firstLineChars="192"/>
        <w:rPr>
          <w:color w:val="auto"/>
          <w:sz w:val="24"/>
          <w:szCs w:val="24"/>
          <w:highlight w:val="none"/>
        </w:rPr>
      </w:pPr>
      <w:r>
        <w:rPr>
          <w:rFonts w:hint="eastAsia"/>
          <w:color w:val="auto"/>
          <w:spacing w:val="20"/>
          <w:sz w:val="24"/>
          <w:szCs w:val="24"/>
          <w:highlight w:val="none"/>
        </w:rPr>
        <w:t>本合同为固定总价合同，不因人工、费用、材料和设备等价格的波动而影响合同价格。</w:t>
      </w:r>
    </w:p>
    <w:p w14:paraId="66A11FFC">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二、服务质量要求及乙方对质量负责条件和期限：</w:t>
      </w:r>
    </w:p>
    <w:p w14:paraId="3547A668">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按国家及行业标准、采购文件及投标文件等相应条款制订</w:t>
      </w:r>
    </w:p>
    <w:p w14:paraId="0C151BC3">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三、服务时间、地点、方式：</w:t>
      </w:r>
    </w:p>
    <w:p w14:paraId="03CAB392">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按国家及行业标准、采购文件及投标文件等相应条款制订</w:t>
      </w:r>
    </w:p>
    <w:p w14:paraId="2A4143F5">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四、验收程序和要求</w:t>
      </w:r>
    </w:p>
    <w:p w14:paraId="548B2DE1">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、验收时间：项目具备验收条件时，由采购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成立验收工作组负责验收。</w:t>
      </w:r>
      <w:r>
        <w:rPr>
          <w:rFonts w:hint="eastAsia" w:ascii="宋体" w:hAnsi="宋体" w:cs="楷体_GB2312"/>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11EA8390">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、验收工作组：合同履约验收工作应成立验收工作组专门负责。</w:t>
      </w:r>
    </w:p>
    <w:p w14:paraId="179035A4">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14:paraId="55FF639F">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14:paraId="1523B8FE">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w:t>
      </w:r>
    </w:p>
    <w:p w14:paraId="62615986">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14:paraId="05A8D20E">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4</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14:paraId="1F66197B">
      <w:pPr>
        <w:widowControl w:val="0"/>
        <w:snapToGrid w:val="0"/>
        <w:spacing w:before="56" w:after="56" w:line="360" w:lineRule="auto"/>
        <w:ind w:right="85" w:firstLine="555"/>
        <w:rPr>
          <w:color w:val="auto"/>
          <w:sz w:val="24"/>
          <w:szCs w:val="24"/>
          <w:highlight w:val="none"/>
        </w:rPr>
      </w:pP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736ADB37">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五、履约保证金：</w:t>
      </w:r>
      <w:r>
        <w:rPr>
          <w:rFonts w:hint="eastAsia"/>
          <w:color w:val="auto"/>
          <w:sz w:val="24"/>
          <w:szCs w:val="24"/>
          <w:highlight w:val="none"/>
          <w:u w:val="single"/>
        </w:rPr>
        <w:t xml:space="preserve">                                                   </w:t>
      </w:r>
      <w:r>
        <w:rPr>
          <w:rFonts w:hint="eastAsia"/>
          <w:color w:val="auto"/>
          <w:sz w:val="24"/>
          <w:szCs w:val="24"/>
          <w:highlight w:val="none"/>
        </w:rPr>
        <w:t>。</w:t>
      </w:r>
    </w:p>
    <w:p w14:paraId="57EB2599">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六、付款程序：按投标人须知相关条款编列。</w:t>
      </w:r>
    </w:p>
    <w:p w14:paraId="10E8936F">
      <w:pPr>
        <w:widowControl w:val="0"/>
        <w:snapToGrid w:val="0"/>
        <w:spacing w:before="56" w:after="56" w:line="360" w:lineRule="auto"/>
        <w:ind w:right="85" w:firstLine="555"/>
        <w:rPr>
          <w:color w:val="auto"/>
          <w:sz w:val="24"/>
          <w:szCs w:val="24"/>
          <w:highlight w:val="none"/>
        </w:rPr>
      </w:pPr>
      <w:r>
        <w:rPr>
          <w:rFonts w:hint="eastAsia" w:ascii="宋体" w:hAnsi="宋体"/>
          <w:color w:val="auto"/>
          <w:sz w:val="24"/>
          <w:szCs w:val="24"/>
          <w:highlight w:val="none"/>
        </w:rPr>
        <w:t>七、合同遵行《保障中小企业款项支付条例》。</w:t>
      </w:r>
    </w:p>
    <w:p w14:paraId="785B307A">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八、责任和义务</w:t>
      </w:r>
    </w:p>
    <w:p w14:paraId="203B3CEA">
      <w:pPr>
        <w:widowControl w:val="0"/>
        <w:snapToGrid w:val="0"/>
        <w:spacing w:before="56" w:after="56" w:line="360" w:lineRule="auto"/>
        <w:ind w:right="85" w:firstLine="555"/>
        <w:rPr>
          <w:color w:val="auto"/>
          <w:sz w:val="24"/>
          <w:szCs w:val="24"/>
          <w:highlight w:val="none"/>
        </w:rPr>
      </w:pPr>
      <w:r>
        <w:rPr>
          <w:color w:val="auto"/>
          <w:sz w:val="24"/>
          <w:szCs w:val="24"/>
          <w:highlight w:val="none"/>
        </w:rPr>
        <w:t>1</w:t>
      </w:r>
      <w:r>
        <w:rPr>
          <w:rFonts w:hint="eastAsia"/>
          <w:color w:val="auto"/>
          <w:sz w:val="24"/>
          <w:szCs w:val="24"/>
          <w:highlight w:val="none"/>
        </w:rPr>
        <w:t>、甲方的责任和义务</w:t>
      </w:r>
    </w:p>
    <w:p w14:paraId="5924A526">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）对乙方给予必要的协助。</w:t>
      </w:r>
    </w:p>
    <w:p w14:paraId="4FA363A7">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）按时验收、及时支付资金；</w:t>
      </w:r>
    </w:p>
    <w:p w14:paraId="1FBFEDBE">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）遵守国家法律法规，不得要求乙方虚开发票，不得向乙方索要“好处”、“回扣”、“礼品”，或要求乙方提供合同以外的其他物品或服务；</w:t>
      </w:r>
    </w:p>
    <w:p w14:paraId="2AFF27B6">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）对乙方未按合同约定履约在验收报告中注明违约情形和事项，并应及时通知财政部门。违反相关法规的向相关行政执法部门举报。</w:t>
      </w:r>
    </w:p>
    <w:p w14:paraId="50345AFD">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）其他法律法规规定应尽的义务。</w:t>
      </w:r>
    </w:p>
    <w:p w14:paraId="5B46E98F">
      <w:pPr>
        <w:widowControl w:val="0"/>
        <w:snapToGrid w:val="0"/>
        <w:spacing w:before="56" w:after="56" w:line="360" w:lineRule="auto"/>
        <w:ind w:right="85" w:firstLine="555"/>
        <w:rPr>
          <w:color w:val="auto"/>
          <w:sz w:val="24"/>
          <w:szCs w:val="24"/>
          <w:highlight w:val="none"/>
        </w:rPr>
      </w:pPr>
      <w:r>
        <w:rPr>
          <w:color w:val="auto"/>
          <w:sz w:val="24"/>
          <w:szCs w:val="24"/>
          <w:highlight w:val="none"/>
        </w:rPr>
        <w:t>2</w:t>
      </w:r>
      <w:r>
        <w:rPr>
          <w:rFonts w:hint="eastAsia"/>
          <w:color w:val="auto"/>
          <w:sz w:val="24"/>
          <w:szCs w:val="24"/>
          <w:highlight w:val="none"/>
        </w:rPr>
        <w:t>、乙方的责任和义务</w:t>
      </w:r>
    </w:p>
    <w:p w14:paraId="2000E5ED">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）严格按采购文件要求与投标文件的质量及服务承诺执行，保质、按期履行。</w:t>
      </w:r>
    </w:p>
    <w:p w14:paraId="2F7416F9">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）不得将合同权利义务全部或部分转让给第三人。</w:t>
      </w:r>
    </w:p>
    <w:p w14:paraId="4235C11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）验收合格前，对货物和人员的安全负责，应采取安全措施，确保人员、材料、设备和设施的安全，防止货物验收合格前的人身伤害和财产损失；应对其履行合同所雇佣的全部人员的工伤事故承担责任。</w:t>
      </w:r>
    </w:p>
    <w:p w14:paraId="09205546">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）遵守法律、依法纳税</w:t>
      </w:r>
    </w:p>
    <w:p w14:paraId="7FC5365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）遵守职业道德和行业规范，坚决杜绝送礼、回扣、报销费用等一切不正当竞争行为和商业贿赂行为；对甲方索要回扣、礼品等违规行为，向同级财政局政府采购监督管理科及相关执法机关举报。</w:t>
      </w:r>
    </w:p>
    <w:p w14:paraId="5C5DCCBB">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w:t>
      </w:r>
      <w:r>
        <w:rPr>
          <w:color w:val="auto"/>
          <w:sz w:val="24"/>
          <w:szCs w:val="24"/>
          <w:highlight w:val="none"/>
        </w:rPr>
        <w:t>6</w:t>
      </w:r>
      <w:r>
        <w:rPr>
          <w:rFonts w:hint="eastAsia"/>
          <w:color w:val="auto"/>
          <w:sz w:val="24"/>
          <w:szCs w:val="24"/>
          <w:highlight w:val="none"/>
        </w:rPr>
        <w:t>）其他法律法规规定应尽的义务。</w:t>
      </w:r>
    </w:p>
    <w:p w14:paraId="6E7904D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九、违约责任：</w:t>
      </w:r>
    </w:p>
    <w:p w14:paraId="78BADAC2">
      <w:pPr>
        <w:widowControl w:val="0"/>
        <w:snapToGrid w:val="0"/>
        <w:spacing w:before="56" w:after="56" w:line="360" w:lineRule="auto"/>
        <w:ind w:right="85" w:firstLine="555"/>
        <w:rPr>
          <w:color w:val="auto"/>
          <w:sz w:val="24"/>
          <w:szCs w:val="24"/>
          <w:highlight w:val="none"/>
        </w:rPr>
      </w:pPr>
      <w:r>
        <w:rPr>
          <w:color w:val="auto"/>
          <w:sz w:val="24"/>
          <w:szCs w:val="24"/>
          <w:highlight w:val="none"/>
        </w:rPr>
        <w:t>1</w:t>
      </w:r>
      <w:r>
        <w:rPr>
          <w:rFonts w:hint="eastAsia"/>
          <w:color w:val="auto"/>
          <w:sz w:val="24"/>
          <w:szCs w:val="24"/>
          <w:highlight w:val="none"/>
        </w:rPr>
        <w:t>、甲方无正当理由拒付款项的，向乙方偿付拒收拒付部分款项总额</w:t>
      </w:r>
      <w:r>
        <w:rPr>
          <w:color w:val="auto"/>
          <w:sz w:val="24"/>
          <w:szCs w:val="24"/>
          <w:highlight w:val="none"/>
        </w:rPr>
        <w:t xml:space="preserve">  %</w:t>
      </w:r>
      <w:r>
        <w:rPr>
          <w:rFonts w:hint="eastAsia"/>
          <w:color w:val="auto"/>
          <w:sz w:val="24"/>
          <w:szCs w:val="24"/>
          <w:highlight w:val="none"/>
        </w:rPr>
        <w:t>的违约金。</w:t>
      </w:r>
    </w:p>
    <w:p w14:paraId="1A6272A2">
      <w:pPr>
        <w:widowControl w:val="0"/>
        <w:snapToGrid w:val="0"/>
        <w:spacing w:before="56" w:after="56" w:line="360" w:lineRule="auto"/>
        <w:ind w:right="85" w:firstLine="555"/>
        <w:rPr>
          <w:color w:val="auto"/>
          <w:sz w:val="24"/>
          <w:szCs w:val="24"/>
          <w:highlight w:val="none"/>
        </w:rPr>
      </w:pPr>
      <w:r>
        <w:rPr>
          <w:color w:val="auto"/>
          <w:sz w:val="24"/>
          <w:szCs w:val="24"/>
          <w:highlight w:val="none"/>
        </w:rPr>
        <w:t>2</w:t>
      </w:r>
      <w:r>
        <w:rPr>
          <w:rFonts w:hint="eastAsia"/>
          <w:color w:val="auto"/>
          <w:sz w:val="24"/>
          <w:szCs w:val="24"/>
          <w:highlight w:val="none"/>
        </w:rPr>
        <w:t>、乙方提供服务不符合合同规定，甲方有权拒付相关款项。</w:t>
      </w:r>
    </w:p>
    <w:p w14:paraId="3448E329">
      <w:pPr>
        <w:widowControl w:val="0"/>
        <w:snapToGrid w:val="0"/>
        <w:spacing w:before="56" w:after="56" w:line="360" w:lineRule="auto"/>
        <w:ind w:right="85" w:firstLine="555"/>
        <w:rPr>
          <w:color w:val="auto"/>
          <w:sz w:val="24"/>
          <w:szCs w:val="24"/>
          <w:highlight w:val="none"/>
        </w:rPr>
      </w:pPr>
      <w:r>
        <w:rPr>
          <w:color w:val="auto"/>
          <w:sz w:val="24"/>
          <w:szCs w:val="24"/>
          <w:highlight w:val="none"/>
        </w:rPr>
        <w:t>3</w:t>
      </w:r>
      <w:r>
        <w:rPr>
          <w:rFonts w:hint="eastAsia"/>
          <w:color w:val="auto"/>
          <w:sz w:val="24"/>
          <w:szCs w:val="24"/>
          <w:highlight w:val="none"/>
        </w:rPr>
        <w:t>、乙方逾期，乙方向甲方每日偿付</w:t>
      </w:r>
      <w:r>
        <w:rPr>
          <w:color w:val="auto"/>
          <w:sz w:val="24"/>
          <w:szCs w:val="24"/>
          <w:highlight w:val="none"/>
        </w:rPr>
        <w:t xml:space="preserve">     %</w:t>
      </w:r>
      <w:r>
        <w:rPr>
          <w:rFonts w:hint="eastAsia"/>
          <w:color w:val="auto"/>
          <w:sz w:val="24"/>
          <w:szCs w:val="24"/>
          <w:highlight w:val="none"/>
        </w:rPr>
        <w:t>赔偿费。</w:t>
      </w:r>
    </w:p>
    <w:p w14:paraId="44B72866">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十、《采购文件》及其修改补充、投标文件及其修改补充澄清均为本合同的组成部分。</w:t>
      </w:r>
    </w:p>
    <w:p w14:paraId="7E2B5094">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十一、本合同发生争议时双方应按合同条款协商解决。双方协商不成的，可以根据仲裁协议向当地仲裁机构申请仲裁。当事人没有订立仲裁协议或者仲裁协议无效的，可以向当地人民法院起诉。</w:t>
      </w:r>
    </w:p>
    <w:p w14:paraId="017B696B">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十二、合同生效及其它：</w:t>
      </w:r>
    </w:p>
    <w:p w14:paraId="434E0D17">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本合同经甲乙双方代表签字、加盖公章和骑缝章后生效。本合同一式</w:t>
      </w:r>
      <w:r>
        <w:rPr>
          <w:rFonts w:hint="eastAsia"/>
          <w:color w:val="auto"/>
          <w:sz w:val="24"/>
          <w:szCs w:val="24"/>
          <w:highlight w:val="none"/>
          <w:u w:val="single"/>
        </w:rPr>
        <w:t xml:space="preserve">  </w:t>
      </w:r>
      <w:r>
        <w:rPr>
          <w:rFonts w:hint="eastAsia"/>
          <w:color w:val="auto"/>
          <w:sz w:val="24"/>
          <w:szCs w:val="24"/>
          <w:highlight w:val="none"/>
        </w:rPr>
        <w:t>份，甲乙双方各持</w:t>
      </w:r>
      <w:r>
        <w:rPr>
          <w:rFonts w:hint="eastAsia"/>
          <w:color w:val="auto"/>
          <w:sz w:val="24"/>
          <w:szCs w:val="24"/>
          <w:highlight w:val="none"/>
          <w:u w:val="single"/>
        </w:rPr>
        <w:t xml:space="preserve">   </w:t>
      </w:r>
      <w:r>
        <w:rPr>
          <w:rFonts w:hint="eastAsia"/>
          <w:color w:val="auto"/>
          <w:sz w:val="24"/>
          <w:szCs w:val="24"/>
          <w:highlight w:val="none"/>
        </w:rPr>
        <w:t>份。</w:t>
      </w:r>
    </w:p>
    <w:p w14:paraId="5372565D">
      <w:pPr>
        <w:widowControl w:val="0"/>
        <w:adjustRightInd w:val="0"/>
        <w:snapToGrid w:val="0"/>
        <w:spacing w:before="156" w:beforeLines="50" w:line="300" w:lineRule="auto"/>
        <w:ind w:firstLine="566"/>
        <w:rPr>
          <w:color w:val="auto"/>
          <w:sz w:val="24"/>
          <w:szCs w:val="24"/>
          <w:highlight w:val="none"/>
        </w:rPr>
      </w:pPr>
    </w:p>
    <w:p w14:paraId="051F3203">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甲方：</w:t>
      </w:r>
      <w:r>
        <w:rPr>
          <w:color w:val="auto"/>
          <w:sz w:val="24"/>
          <w:szCs w:val="24"/>
          <w:highlight w:val="none"/>
        </w:rPr>
        <w:tab/>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乙方：</w:t>
      </w:r>
    </w:p>
    <w:p w14:paraId="1D5386D9">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地址：</w:t>
      </w:r>
      <w:r>
        <w:rPr>
          <w:color w:val="auto"/>
          <w:sz w:val="24"/>
          <w:szCs w:val="24"/>
          <w:highlight w:val="none"/>
        </w:rPr>
        <w:tab/>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地址：</w:t>
      </w:r>
    </w:p>
    <w:p w14:paraId="5FA0FCEF">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法定代表人：</w:t>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法定代表人：</w:t>
      </w:r>
    </w:p>
    <w:p w14:paraId="698AB418">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委托代理人：</w:t>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委托代理人：</w:t>
      </w:r>
    </w:p>
    <w:p w14:paraId="519F3BC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电话：</w:t>
      </w:r>
      <w:r>
        <w:rPr>
          <w:color w:val="auto"/>
          <w:sz w:val="24"/>
          <w:szCs w:val="24"/>
          <w:highlight w:val="none"/>
        </w:rPr>
        <w:tab/>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电话：</w:t>
      </w:r>
    </w:p>
    <w:p w14:paraId="23EAE24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开户银行：</w:t>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开户银行：</w:t>
      </w:r>
    </w:p>
    <w:p w14:paraId="7D504C50">
      <w:pPr>
        <w:widowControl w:val="0"/>
        <w:snapToGrid w:val="0"/>
        <w:spacing w:before="56" w:after="56" w:line="360" w:lineRule="auto"/>
        <w:ind w:right="85" w:firstLine="555"/>
        <w:rPr>
          <w:color w:val="auto"/>
          <w:sz w:val="24"/>
          <w:szCs w:val="24"/>
          <w:highlight w:val="none"/>
        </w:rPr>
      </w:pPr>
      <w:r>
        <w:rPr>
          <w:rFonts w:hint="eastAsia"/>
          <w:color w:val="auto"/>
          <w:sz w:val="24"/>
          <w:szCs w:val="24"/>
          <w:highlight w:val="none"/>
        </w:rPr>
        <w:t>银行账号：</w:t>
      </w:r>
      <w:r>
        <w:rPr>
          <w:color w:val="auto"/>
          <w:sz w:val="24"/>
          <w:szCs w:val="24"/>
          <w:highlight w:val="none"/>
        </w:rPr>
        <w:tab/>
      </w:r>
      <w:r>
        <w:rPr>
          <w:color w:val="auto"/>
          <w:sz w:val="24"/>
          <w:szCs w:val="24"/>
          <w:highlight w:val="none"/>
        </w:rPr>
        <w:tab/>
      </w:r>
      <w:r>
        <w:rPr>
          <w:color w:val="auto"/>
          <w:sz w:val="24"/>
          <w:szCs w:val="24"/>
          <w:highlight w:val="none"/>
        </w:rPr>
        <w:tab/>
      </w:r>
      <w:r>
        <w:rPr>
          <w:rFonts w:hint="eastAsia"/>
          <w:color w:val="auto"/>
          <w:sz w:val="24"/>
          <w:szCs w:val="24"/>
          <w:highlight w:val="none"/>
        </w:rPr>
        <w:t>银行账号：</w:t>
      </w:r>
    </w:p>
    <w:p w14:paraId="21542C4E">
      <w:pPr>
        <w:widowControl w:val="0"/>
        <w:snapToGrid w:val="0"/>
        <w:spacing w:before="56" w:after="56" w:line="360" w:lineRule="auto"/>
        <w:ind w:right="85" w:firstLine="555"/>
        <w:rPr>
          <w:color w:val="auto"/>
          <w:sz w:val="24"/>
          <w:szCs w:val="24"/>
          <w:highlight w:val="none"/>
        </w:rPr>
      </w:pPr>
    </w:p>
    <w:p w14:paraId="5D4F4105">
      <w:pPr>
        <w:widowControl w:val="0"/>
        <w:tabs>
          <w:tab w:val="left" w:pos="4678"/>
        </w:tabs>
        <w:snapToGrid w:val="0"/>
        <w:spacing w:before="56" w:after="56" w:line="360" w:lineRule="auto"/>
        <w:ind w:right="85" w:firstLine="555"/>
        <w:rPr>
          <w:color w:val="auto"/>
          <w:sz w:val="24"/>
          <w:szCs w:val="24"/>
          <w:highlight w:val="none"/>
        </w:rPr>
      </w:pPr>
      <w:r>
        <w:rPr>
          <w:rFonts w:hint="eastAsia"/>
          <w:color w:val="auto"/>
          <w:sz w:val="24"/>
          <w:szCs w:val="24"/>
          <w:highlight w:val="none"/>
        </w:rPr>
        <w:t>签约时间：</w:t>
      </w:r>
      <w:r>
        <w:rPr>
          <w:color w:val="auto"/>
          <w:sz w:val="24"/>
          <w:szCs w:val="24"/>
          <w:highlight w:val="none"/>
        </w:rPr>
        <w:t xml:space="preserve">          </w:t>
      </w:r>
      <w:r>
        <w:rPr>
          <w:rFonts w:hint="eastAsia"/>
          <w:color w:val="auto"/>
          <w:sz w:val="24"/>
          <w:szCs w:val="24"/>
          <w:highlight w:val="none"/>
        </w:rPr>
        <w:t>签约地点：</w:t>
      </w:r>
    </w:p>
    <w:p w14:paraId="2F8531EC">
      <w:pPr>
        <w:spacing w:line="240" w:lineRule="auto"/>
        <w:jc w:val="left"/>
        <w:textAlignment w:val="auto"/>
        <w:rPr>
          <w:rFonts w:ascii="宋体"/>
          <w:b/>
          <w:color w:val="auto"/>
          <w:sz w:val="36"/>
          <w:szCs w:val="36"/>
          <w:highlight w:val="none"/>
        </w:rPr>
      </w:pPr>
    </w:p>
    <w:p w14:paraId="3A432CFB">
      <w:pPr>
        <w:widowControl w:val="0"/>
        <w:adjustRightInd w:val="0"/>
        <w:snapToGrid w:val="0"/>
        <w:spacing w:before="156" w:beforeLines="50" w:line="300" w:lineRule="auto"/>
        <w:ind w:firstLine="561"/>
        <w:outlineLvl w:val="1"/>
        <w:rPr>
          <w:rFonts w:ascii="宋体"/>
          <w:b/>
          <w:color w:val="auto"/>
          <w:sz w:val="36"/>
          <w:szCs w:val="36"/>
          <w:highlight w:val="none"/>
        </w:rPr>
      </w:pPr>
      <w:r>
        <w:rPr>
          <w:rFonts w:ascii="黑体" w:hAnsi="黑体" w:eastAsia="黑体" w:cs="楷体_GB2312"/>
          <w:b/>
          <w:bCs/>
          <w:color w:val="auto"/>
          <w:sz w:val="28"/>
          <w:szCs w:val="28"/>
          <w:highlight w:val="none"/>
          <w:lang w:val="zh-CN"/>
        </w:rPr>
        <w:br w:type="page"/>
      </w:r>
    </w:p>
    <w:p w14:paraId="566DDCF2">
      <w:pPr>
        <w:autoSpaceDE w:val="0"/>
        <w:autoSpaceDN w:val="0"/>
        <w:adjustRightInd w:val="0"/>
        <w:spacing w:line="360" w:lineRule="auto"/>
        <w:jc w:val="center"/>
        <w:outlineLvl w:val="0"/>
        <w:rPr>
          <w:rFonts w:ascii="黑体" w:hAnsi="黑体" w:eastAsia="黑体"/>
          <w:b/>
          <w:color w:val="auto"/>
          <w:sz w:val="36"/>
          <w:szCs w:val="36"/>
          <w:highlight w:val="none"/>
          <w:lang w:val="zh-CN"/>
        </w:rPr>
      </w:pPr>
      <w:bookmarkStart w:id="39" w:name="_Toc65679398"/>
      <w:r>
        <w:rPr>
          <w:rFonts w:hint="eastAsia" w:ascii="黑体" w:hAnsi="黑体" w:eastAsia="黑体"/>
          <w:b/>
          <w:color w:val="auto"/>
          <w:sz w:val="36"/>
          <w:szCs w:val="36"/>
          <w:highlight w:val="none"/>
          <w:lang w:val="zh-CN"/>
        </w:rPr>
        <w:t>第六章 投标文件格式</w:t>
      </w:r>
      <w:bookmarkEnd w:id="39"/>
    </w:p>
    <w:p w14:paraId="6CCCF6B0">
      <w:pPr>
        <w:autoSpaceDE w:val="0"/>
        <w:autoSpaceDN w:val="0"/>
        <w:adjustRightInd w:val="0"/>
        <w:spacing w:line="276" w:lineRule="auto"/>
        <w:ind w:firstLine="514" w:firstLineChars="245"/>
        <w:jc w:val="left"/>
        <w:rPr>
          <w:rFonts w:ascii="宋体"/>
          <w:color w:val="auto"/>
          <w:sz w:val="36"/>
          <w:szCs w:val="36"/>
          <w:highlight w:val="none"/>
          <w:lang w:val="zh-CN"/>
        </w:rPr>
      </w:pPr>
      <w:r>
        <w:rPr>
          <w:rFonts w:hint="eastAsia" w:ascii="宋体" w:hAnsi="宋体"/>
          <w:color w:val="auto"/>
          <w:szCs w:val="21"/>
          <w:highlight w:val="none"/>
          <w:lang w:val="zh-CN"/>
        </w:rPr>
        <w:t>投标人应按“投标人须知</w:t>
      </w:r>
      <w:r>
        <w:rPr>
          <w:rFonts w:ascii="宋体"/>
          <w:color w:val="auto"/>
          <w:szCs w:val="21"/>
          <w:highlight w:val="none"/>
          <w:lang w:val="zh-CN"/>
        </w:rPr>
        <w:t>--</w:t>
      </w:r>
      <w:r>
        <w:rPr>
          <w:rFonts w:hint="eastAsia" w:ascii="宋体" w:hAnsi="宋体"/>
          <w:color w:val="auto"/>
          <w:szCs w:val="21"/>
          <w:highlight w:val="none"/>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highlight w:val="none"/>
          <w:lang w:val="zh-CN"/>
        </w:rPr>
        <w:t>。</w:t>
      </w:r>
    </w:p>
    <w:p w14:paraId="594FF59C">
      <w:pPr>
        <w:autoSpaceDE w:val="0"/>
        <w:autoSpaceDN w:val="0"/>
        <w:adjustRightInd w:val="0"/>
        <w:spacing w:line="276" w:lineRule="auto"/>
        <w:ind w:firstLine="882" w:firstLineChars="245"/>
        <w:jc w:val="left"/>
        <w:rPr>
          <w:rFonts w:ascii="宋体"/>
          <w:color w:val="auto"/>
          <w:sz w:val="36"/>
          <w:szCs w:val="36"/>
          <w:highlight w:val="none"/>
          <w:lang w:val="zh-CN"/>
        </w:rPr>
      </w:pPr>
    </w:p>
    <w:p w14:paraId="02A62C1D">
      <w:pPr>
        <w:autoSpaceDE w:val="0"/>
        <w:autoSpaceDN w:val="0"/>
        <w:adjustRightInd w:val="0"/>
        <w:spacing w:line="360" w:lineRule="auto"/>
        <w:ind w:right="-817"/>
        <w:rPr>
          <w:rFonts w:ascii="宋体"/>
          <w:color w:val="auto"/>
          <w:sz w:val="24"/>
          <w:highlight w:val="none"/>
          <w:u w:val="single"/>
        </w:rPr>
      </w:pPr>
    </w:p>
    <w:p w14:paraId="73D7A7D6">
      <w:pPr>
        <w:autoSpaceDE w:val="0"/>
        <w:autoSpaceDN w:val="0"/>
        <w:adjustRightInd w:val="0"/>
        <w:spacing w:line="360" w:lineRule="auto"/>
        <w:ind w:firstLine="480" w:firstLineChars="200"/>
        <w:jc w:val="left"/>
        <w:rPr>
          <w:rFonts w:ascii="宋体"/>
          <w:color w:val="auto"/>
          <w:sz w:val="24"/>
          <w:highlight w:val="none"/>
          <w:u w:val="single"/>
        </w:rPr>
      </w:pPr>
    </w:p>
    <w:p w14:paraId="546A3459">
      <w:pPr>
        <w:autoSpaceDE w:val="0"/>
        <w:autoSpaceDN w:val="0"/>
        <w:adjustRightInd w:val="0"/>
        <w:spacing w:line="360" w:lineRule="auto"/>
        <w:jc w:val="left"/>
        <w:rPr>
          <w:rFonts w:ascii="宋体"/>
          <w:color w:val="auto"/>
          <w:sz w:val="44"/>
          <w:szCs w:val="44"/>
          <w:highlight w:val="none"/>
          <w:u w:val="single"/>
        </w:rPr>
      </w:pPr>
      <w:r>
        <w:rPr>
          <w:rFonts w:hint="eastAsia" w:ascii="宋体" w:hAnsi="宋体"/>
          <w:color w:val="auto"/>
          <w:sz w:val="44"/>
          <w:szCs w:val="44"/>
          <w:highlight w:val="none"/>
        </w:rPr>
        <w:t>项目名称：</w:t>
      </w:r>
      <w:r>
        <w:rPr>
          <w:rFonts w:ascii="宋体" w:hAnsi="宋体"/>
          <w:color w:val="auto"/>
          <w:sz w:val="44"/>
          <w:szCs w:val="44"/>
          <w:highlight w:val="none"/>
          <w:u w:val="single"/>
        </w:rPr>
        <w:t xml:space="preserve">                                 </w:t>
      </w:r>
    </w:p>
    <w:p w14:paraId="5AC39F62">
      <w:pPr>
        <w:autoSpaceDE w:val="0"/>
        <w:autoSpaceDN w:val="0"/>
        <w:adjustRightInd w:val="0"/>
        <w:spacing w:line="360" w:lineRule="auto"/>
        <w:jc w:val="left"/>
        <w:rPr>
          <w:rFonts w:ascii="宋体"/>
          <w:color w:val="auto"/>
          <w:sz w:val="24"/>
          <w:highlight w:val="none"/>
        </w:rPr>
      </w:pPr>
      <w:r>
        <w:rPr>
          <w:rFonts w:hint="eastAsia" w:ascii="宋体" w:hAnsi="宋体"/>
          <w:color w:val="auto"/>
          <w:sz w:val="44"/>
          <w:szCs w:val="44"/>
          <w:highlight w:val="none"/>
        </w:rPr>
        <w:t>项目编号：</w:t>
      </w:r>
      <w:r>
        <w:rPr>
          <w:rFonts w:ascii="宋体" w:hAnsi="宋体"/>
          <w:color w:val="auto"/>
          <w:sz w:val="44"/>
          <w:szCs w:val="44"/>
          <w:highlight w:val="none"/>
          <w:u w:val="single"/>
        </w:rPr>
        <w:t xml:space="preserve">                                 </w:t>
      </w:r>
    </w:p>
    <w:p w14:paraId="5F0FD0C0">
      <w:pPr>
        <w:autoSpaceDE w:val="0"/>
        <w:autoSpaceDN w:val="0"/>
        <w:adjustRightInd w:val="0"/>
        <w:spacing w:line="360" w:lineRule="auto"/>
        <w:jc w:val="left"/>
        <w:rPr>
          <w:rFonts w:ascii="宋体"/>
          <w:color w:val="auto"/>
          <w:sz w:val="84"/>
          <w:szCs w:val="84"/>
          <w:highlight w:val="none"/>
        </w:rPr>
      </w:pPr>
    </w:p>
    <w:p w14:paraId="2F40D091">
      <w:pPr>
        <w:autoSpaceDE w:val="0"/>
        <w:autoSpaceDN w:val="0"/>
        <w:adjustRightInd w:val="0"/>
        <w:spacing w:line="360" w:lineRule="auto"/>
        <w:jc w:val="center"/>
        <w:rPr>
          <w:rFonts w:ascii="黑体" w:hAnsi="黑体" w:eastAsia="黑体"/>
          <w:b/>
          <w:color w:val="auto"/>
          <w:spacing w:val="60"/>
          <w:sz w:val="84"/>
          <w:szCs w:val="84"/>
          <w:highlight w:val="none"/>
        </w:rPr>
      </w:pPr>
      <w:r>
        <w:rPr>
          <w:rFonts w:hint="eastAsia" w:ascii="黑体" w:hAnsi="黑体" w:eastAsia="黑体"/>
          <w:b/>
          <w:color w:val="auto"/>
          <w:spacing w:val="60"/>
          <w:sz w:val="84"/>
          <w:szCs w:val="84"/>
          <w:highlight w:val="none"/>
        </w:rPr>
        <w:t>投</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标</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文</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件</w:t>
      </w:r>
    </w:p>
    <w:p w14:paraId="3B6E244C">
      <w:pPr>
        <w:autoSpaceDE w:val="0"/>
        <w:autoSpaceDN w:val="0"/>
        <w:adjustRightInd w:val="0"/>
        <w:spacing w:line="360" w:lineRule="auto"/>
        <w:jc w:val="center"/>
        <w:rPr>
          <w:rFonts w:ascii="宋体"/>
          <w:color w:val="auto"/>
          <w:sz w:val="24"/>
          <w:highlight w:val="none"/>
        </w:rPr>
      </w:pPr>
    </w:p>
    <w:p w14:paraId="3073F697">
      <w:pPr>
        <w:autoSpaceDE w:val="0"/>
        <w:autoSpaceDN w:val="0"/>
        <w:adjustRightInd w:val="0"/>
        <w:spacing w:line="360" w:lineRule="auto"/>
        <w:jc w:val="center"/>
        <w:rPr>
          <w:rFonts w:ascii="宋体"/>
          <w:color w:val="auto"/>
          <w:sz w:val="24"/>
          <w:highlight w:val="none"/>
        </w:rPr>
      </w:pPr>
    </w:p>
    <w:p w14:paraId="61D47551">
      <w:pPr>
        <w:autoSpaceDE w:val="0"/>
        <w:autoSpaceDN w:val="0"/>
        <w:adjustRightInd w:val="0"/>
        <w:spacing w:line="360" w:lineRule="auto"/>
        <w:jc w:val="center"/>
        <w:rPr>
          <w:rFonts w:ascii="宋体"/>
          <w:color w:val="auto"/>
          <w:sz w:val="24"/>
          <w:highlight w:val="none"/>
        </w:rPr>
      </w:pPr>
    </w:p>
    <w:p w14:paraId="0E9EB82F">
      <w:pPr>
        <w:autoSpaceDE w:val="0"/>
        <w:autoSpaceDN w:val="0"/>
        <w:adjustRightInd w:val="0"/>
        <w:spacing w:line="360" w:lineRule="auto"/>
        <w:jc w:val="center"/>
        <w:rPr>
          <w:rFonts w:ascii="宋体"/>
          <w:color w:val="auto"/>
          <w:sz w:val="24"/>
          <w:highlight w:val="none"/>
        </w:rPr>
      </w:pPr>
    </w:p>
    <w:p w14:paraId="5015D0ED">
      <w:pPr>
        <w:pStyle w:val="46"/>
        <w:spacing w:line="360" w:lineRule="auto"/>
        <w:rPr>
          <w:rFonts w:hAnsi="宋体"/>
          <w:color w:val="auto"/>
          <w:szCs w:val="24"/>
          <w:highlight w:val="none"/>
          <w:u w:val="single"/>
        </w:rPr>
      </w:pPr>
    </w:p>
    <w:p w14:paraId="39FE97D0">
      <w:pPr>
        <w:pStyle w:val="46"/>
        <w:spacing w:line="360" w:lineRule="auto"/>
        <w:jc w:val="both"/>
        <w:rPr>
          <w:rFonts w:hAnsi="宋体"/>
          <w:color w:val="auto"/>
          <w:sz w:val="28"/>
          <w:szCs w:val="28"/>
          <w:highlight w:val="none"/>
          <w:u w:val="single"/>
        </w:rPr>
      </w:pPr>
      <w:r>
        <w:rPr>
          <w:rFonts w:hAnsi="宋体"/>
          <w:color w:val="auto"/>
          <w:sz w:val="28"/>
          <w:szCs w:val="28"/>
          <w:highlight w:val="none"/>
        </w:rPr>
        <w:t xml:space="preserve">  </w:t>
      </w:r>
      <w:r>
        <w:rPr>
          <w:rFonts w:hint="eastAsia" w:hAnsi="宋体"/>
          <w:color w:val="auto"/>
          <w:sz w:val="28"/>
          <w:szCs w:val="28"/>
          <w:highlight w:val="none"/>
        </w:rPr>
        <w:t>投标人（</w:t>
      </w:r>
      <w:r>
        <w:rPr>
          <w:rFonts w:hint="eastAsia"/>
          <w:color w:val="auto"/>
          <w:szCs w:val="24"/>
          <w:highlight w:val="none"/>
        </w:rPr>
        <w:t>电子签</w:t>
      </w:r>
      <w:r>
        <w:rPr>
          <w:rFonts w:hint="eastAsia" w:hAnsi="宋体"/>
          <w:color w:val="auto"/>
          <w:szCs w:val="24"/>
          <w:highlight w:val="none"/>
        </w:rPr>
        <w:t>章</w:t>
      </w:r>
      <w:r>
        <w:rPr>
          <w:rFonts w:hint="eastAsia" w:hAnsi="宋体"/>
          <w:color w:val="auto"/>
          <w:sz w:val="28"/>
          <w:szCs w:val="28"/>
          <w:highlight w:val="none"/>
        </w:rPr>
        <w:t>）：</w:t>
      </w:r>
      <w:r>
        <w:rPr>
          <w:rFonts w:hAnsi="宋体"/>
          <w:color w:val="auto"/>
          <w:sz w:val="28"/>
          <w:szCs w:val="28"/>
          <w:highlight w:val="none"/>
          <w:u w:val="single"/>
        </w:rPr>
        <w:t xml:space="preserve">                                       </w:t>
      </w:r>
    </w:p>
    <w:p w14:paraId="2C0CA625">
      <w:pPr>
        <w:pStyle w:val="46"/>
        <w:spacing w:line="360" w:lineRule="auto"/>
        <w:ind w:firstLine="280" w:firstLineChars="100"/>
        <w:rPr>
          <w:rFonts w:hAnsi="宋体"/>
          <w:color w:val="auto"/>
          <w:sz w:val="28"/>
          <w:szCs w:val="28"/>
          <w:highlight w:val="none"/>
        </w:rPr>
      </w:pPr>
    </w:p>
    <w:p w14:paraId="367427A9">
      <w:pPr>
        <w:pStyle w:val="46"/>
        <w:spacing w:line="360" w:lineRule="auto"/>
        <w:ind w:firstLine="280" w:firstLineChars="100"/>
        <w:rPr>
          <w:rFonts w:hAnsi="宋体"/>
          <w:color w:val="auto"/>
          <w:sz w:val="28"/>
          <w:szCs w:val="28"/>
          <w:highlight w:val="none"/>
          <w:u w:val="single"/>
        </w:rPr>
      </w:pPr>
      <w:r>
        <w:rPr>
          <w:rFonts w:hint="eastAsia" w:hAnsi="宋体"/>
          <w:color w:val="auto"/>
          <w:sz w:val="28"/>
          <w:szCs w:val="28"/>
          <w:highlight w:val="none"/>
        </w:rPr>
        <w:t>法定代表人（电子签名或签章）：</w:t>
      </w:r>
      <w:r>
        <w:rPr>
          <w:rFonts w:hAnsi="宋体"/>
          <w:color w:val="auto"/>
          <w:sz w:val="28"/>
          <w:szCs w:val="28"/>
          <w:highlight w:val="none"/>
          <w:u w:val="single"/>
        </w:rPr>
        <w:t xml:space="preserve">                                    </w:t>
      </w:r>
    </w:p>
    <w:p w14:paraId="6BA781ED">
      <w:pPr>
        <w:pStyle w:val="46"/>
        <w:spacing w:line="360" w:lineRule="auto"/>
        <w:jc w:val="center"/>
        <w:rPr>
          <w:rFonts w:hAnsi="宋体"/>
          <w:color w:val="auto"/>
          <w:sz w:val="28"/>
          <w:szCs w:val="28"/>
          <w:highlight w:val="none"/>
        </w:rPr>
      </w:pPr>
    </w:p>
    <w:p w14:paraId="2BB4DDA4">
      <w:pPr>
        <w:pStyle w:val="46"/>
        <w:spacing w:line="360" w:lineRule="auto"/>
        <w:jc w:val="both"/>
        <w:rPr>
          <w:rFonts w:hAnsi="宋体"/>
          <w:color w:val="auto"/>
          <w:sz w:val="28"/>
          <w:szCs w:val="28"/>
          <w:highlight w:val="none"/>
        </w:rPr>
      </w:pPr>
    </w:p>
    <w:p w14:paraId="55FDDAF5">
      <w:pPr>
        <w:widowControl w:val="0"/>
        <w:tabs>
          <w:tab w:val="left" w:pos="9365"/>
        </w:tabs>
        <w:snapToGrid w:val="0"/>
        <w:spacing w:before="56" w:after="56" w:line="560" w:lineRule="atLeast"/>
        <w:jc w:val="left"/>
        <w:textAlignment w:val="top"/>
        <w:rPr>
          <w:color w:val="auto"/>
          <w:sz w:val="28"/>
          <w:highlight w:val="none"/>
        </w:rPr>
      </w:pPr>
      <w:r>
        <w:rPr>
          <w:rFonts w:ascii="宋体" w:cs="楷体_GB2312"/>
          <w:b/>
          <w:bCs/>
          <w:color w:val="auto"/>
          <w:sz w:val="44"/>
          <w:szCs w:val="44"/>
          <w:highlight w:val="none"/>
          <w:lang w:val="zh-CN"/>
        </w:rPr>
        <w:br w:type="page"/>
      </w:r>
      <w:bookmarkStart w:id="40" w:name="OLE_LINK35"/>
      <w:bookmarkStart w:id="41" w:name="OLE_LINK10"/>
    </w:p>
    <w:p w14:paraId="1B77131B">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一、投标书</w:t>
      </w:r>
      <w:bookmarkEnd w:id="40"/>
    </w:p>
    <w:bookmarkEnd w:id="41"/>
    <w:p w14:paraId="00780C85">
      <w:pPr>
        <w:widowControl w:val="0"/>
        <w:snapToGrid w:val="0"/>
        <w:spacing w:line="560" w:lineRule="exact"/>
        <w:rPr>
          <w:color w:val="auto"/>
          <w:sz w:val="28"/>
          <w:highlight w:val="none"/>
        </w:rPr>
      </w:pPr>
    </w:p>
    <w:p w14:paraId="68867736">
      <w:pPr>
        <w:widowControl w:val="0"/>
        <w:snapToGrid w:val="0"/>
        <w:spacing w:line="360" w:lineRule="auto"/>
        <w:rPr>
          <w:color w:val="auto"/>
          <w:sz w:val="24"/>
          <w:szCs w:val="24"/>
          <w:highlight w:val="none"/>
        </w:rPr>
      </w:pPr>
      <w:r>
        <w:rPr>
          <w:rFonts w:hint="eastAsia"/>
          <w:color w:val="auto"/>
          <w:sz w:val="24"/>
          <w:szCs w:val="24"/>
          <w:highlight w:val="none"/>
        </w:rPr>
        <w:t>致：安阳市方正招标采购服务有限责任公司</w:t>
      </w:r>
    </w:p>
    <w:p w14:paraId="4F192C2D">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根据贵方竞争性谈判采购</w:t>
      </w:r>
      <w:r>
        <w:rPr>
          <w:rFonts w:hint="eastAsia"/>
          <w:color w:val="auto"/>
          <w:sz w:val="18"/>
          <w:szCs w:val="18"/>
          <w:highlight w:val="none"/>
          <w:u w:val="single"/>
        </w:rPr>
        <w:t>（项目名称）</w:t>
      </w:r>
      <w:r>
        <w:rPr>
          <w:color w:val="auto"/>
          <w:sz w:val="18"/>
          <w:szCs w:val="18"/>
          <w:highlight w:val="none"/>
          <w:u w:val="single"/>
        </w:rPr>
        <w:t xml:space="preserve">               </w:t>
      </w:r>
      <w:r>
        <w:rPr>
          <w:rFonts w:hint="eastAsia"/>
          <w:color w:val="auto"/>
          <w:sz w:val="24"/>
          <w:szCs w:val="24"/>
          <w:highlight w:val="none"/>
        </w:rPr>
        <w:t>的谈判文件（项目编号：</w:t>
      </w:r>
      <w:r>
        <w:rPr>
          <w:color w:val="auto"/>
          <w:sz w:val="24"/>
          <w:szCs w:val="24"/>
          <w:highlight w:val="none"/>
          <w:u w:val="single"/>
        </w:rPr>
        <w:t xml:space="preserve">         </w:t>
      </w:r>
      <w:r>
        <w:rPr>
          <w:rFonts w:hint="eastAsia"/>
          <w:color w:val="auto"/>
          <w:sz w:val="24"/>
          <w:szCs w:val="24"/>
          <w:highlight w:val="none"/>
        </w:rPr>
        <w:t>），经详细研究，我们决定参加该项目的采购活动并按要求提交响应文件。我们郑重声明对我单位提交的所有投标资料的真实准确完整承担完全责任、并对之负法律责任。</w:t>
      </w:r>
    </w:p>
    <w:p w14:paraId="7F89EAA5">
      <w:pPr>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）投标书。</w:t>
      </w:r>
    </w:p>
    <w:p w14:paraId="4FCEBC20">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ascii="宋体" w:hAnsi="宋体"/>
          <w:color w:val="auto"/>
          <w:sz w:val="24"/>
          <w:szCs w:val="24"/>
          <w:highlight w:val="none"/>
        </w:rPr>
        <w:t>开标一览表（即交易系统中报价一览表）</w:t>
      </w:r>
    </w:p>
    <w:p w14:paraId="016FC76F">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ascii="宋体" w:hAnsi="宋体"/>
          <w:color w:val="auto"/>
          <w:sz w:val="24"/>
          <w:highlight w:val="none"/>
        </w:rPr>
        <w:t>投标报价明细表</w:t>
      </w:r>
    </w:p>
    <w:p w14:paraId="45F3D64D">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）服务方案及服务质量承诺</w:t>
      </w:r>
    </w:p>
    <w:p w14:paraId="7ED1EA51">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）服务拟投入设备清单及其技术参数</w:t>
      </w:r>
    </w:p>
    <w:p w14:paraId="63E822E1">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）服务拟投入的人员情况表</w:t>
      </w:r>
    </w:p>
    <w:p w14:paraId="298608D2">
      <w:pPr>
        <w:adjustRightInd w:val="0"/>
        <w:snapToGrid w:val="0"/>
        <w:spacing w:line="300" w:lineRule="auto"/>
        <w:ind w:firstLine="539"/>
        <w:textAlignment w:val="top"/>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）偏差表</w:t>
      </w:r>
    </w:p>
    <w:p w14:paraId="214AE44E">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ascii="宋体" w:hAnsi="宋体"/>
          <w:color w:val="auto"/>
          <w:sz w:val="24"/>
          <w:highlight w:val="none"/>
        </w:rPr>
        <w:t>关于资格的声明函</w:t>
      </w:r>
    </w:p>
    <w:p w14:paraId="1306F81D">
      <w:pPr>
        <w:adjustRightInd w:val="0"/>
        <w:snapToGrid w:val="0"/>
        <w:spacing w:line="300" w:lineRule="auto"/>
        <w:ind w:firstLine="539"/>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ascii="宋体" w:hAnsi="宋体"/>
          <w:color w:val="auto"/>
          <w:sz w:val="24"/>
          <w:highlight w:val="none"/>
        </w:rPr>
        <w:t>反商业贿赂承诺书。</w:t>
      </w:r>
    </w:p>
    <w:p w14:paraId="61619441">
      <w:pPr>
        <w:adjustRightInd w:val="0"/>
        <w:snapToGrid w:val="0"/>
        <w:spacing w:line="300" w:lineRule="auto"/>
        <w:ind w:firstLine="539"/>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10</w:t>
      </w:r>
      <w:r>
        <w:rPr>
          <w:rFonts w:hint="eastAsia" w:ascii="宋体" w:hAnsi="宋体" w:cs="楷体_GB2312"/>
          <w:color w:val="auto"/>
          <w:sz w:val="24"/>
          <w:highlight w:val="none"/>
          <w:lang w:val="zh-CN"/>
        </w:rPr>
        <w:t>）</w:t>
      </w:r>
      <w:r>
        <w:rPr>
          <w:rFonts w:hint="eastAsia" w:ascii="宋体" w:hAnsi="宋体"/>
          <w:color w:val="auto"/>
          <w:sz w:val="24"/>
          <w:highlight w:val="none"/>
        </w:rPr>
        <w:t>履约承诺书。</w:t>
      </w:r>
    </w:p>
    <w:p w14:paraId="765CCA56">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）资格要求相关证件材料及证明材料</w:t>
      </w:r>
    </w:p>
    <w:p w14:paraId="031C9E0F">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）采购项目及服务要求所需的其他材料</w:t>
      </w:r>
    </w:p>
    <w:p w14:paraId="268B461E">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13</w:t>
      </w:r>
      <w:r>
        <w:rPr>
          <w:rFonts w:hint="eastAsia" w:ascii="宋体" w:hAnsi="宋体"/>
          <w:color w:val="auto"/>
          <w:sz w:val="24"/>
          <w:highlight w:val="none"/>
        </w:rPr>
        <w:t>）投标人须知所需的其他材料</w:t>
      </w:r>
    </w:p>
    <w:p w14:paraId="2C4863D0">
      <w:pPr>
        <w:widowControl w:val="0"/>
        <w:adjustRightInd w:val="0"/>
        <w:snapToGrid w:val="0"/>
        <w:spacing w:line="300" w:lineRule="auto"/>
        <w:ind w:firstLine="539"/>
        <w:textAlignment w:val="top"/>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14</w:t>
      </w:r>
      <w:r>
        <w:rPr>
          <w:rFonts w:hint="eastAsia" w:ascii="宋体" w:hAnsi="宋体"/>
          <w:color w:val="auto"/>
          <w:sz w:val="24"/>
          <w:highlight w:val="none"/>
        </w:rPr>
        <w:t>）评审办法所需的其他材料</w:t>
      </w:r>
    </w:p>
    <w:p w14:paraId="7EEB0DF0">
      <w:pPr>
        <w:autoSpaceDE w:val="0"/>
        <w:autoSpaceDN w:val="0"/>
        <w:adjustRightInd w:val="0"/>
        <w:snapToGrid w:val="0"/>
        <w:spacing w:line="300" w:lineRule="auto"/>
        <w:ind w:firstLine="520" w:firstLineChars="217"/>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15</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14:paraId="607915B8">
      <w:pPr>
        <w:widowControl w:val="0"/>
        <w:snapToGrid w:val="0"/>
        <w:spacing w:line="560" w:lineRule="exact"/>
        <w:ind w:firstLine="555"/>
        <w:rPr>
          <w:rFonts w:ascii="宋体" w:hAnsi="宋体"/>
          <w:color w:val="auto"/>
          <w:sz w:val="24"/>
          <w:szCs w:val="24"/>
          <w:highlight w:val="none"/>
        </w:rPr>
      </w:pPr>
      <w:r>
        <w:rPr>
          <w:rFonts w:ascii="宋体" w:hAnsi="宋体"/>
          <w:color w:val="auto"/>
          <w:sz w:val="24"/>
          <w:szCs w:val="24"/>
          <w:highlight w:val="none"/>
        </w:rPr>
        <w:t>.........</w:t>
      </w:r>
    </w:p>
    <w:p w14:paraId="7D99BA69">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据此函，签字代表宣布同意如下：</w:t>
      </w:r>
    </w:p>
    <w:p w14:paraId="1289E914">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所附“开标一览表”中规定的应提供和交付的投标总价为：人民币</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，即</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rPr>
        <w:t>（文字表述）</w:t>
      </w:r>
      <w:r>
        <w:rPr>
          <w:rFonts w:hint="eastAsia"/>
          <w:color w:val="auto"/>
          <w:sz w:val="24"/>
          <w:szCs w:val="24"/>
          <w:highlight w:val="none"/>
        </w:rPr>
        <w:t>服务期：</w:t>
      </w:r>
      <w:r>
        <w:rPr>
          <w:rFonts w:hint="eastAsia"/>
          <w:color w:val="auto"/>
          <w:sz w:val="24"/>
          <w:szCs w:val="24"/>
          <w:highlight w:val="none"/>
          <w:u w:val="single"/>
        </w:rPr>
        <w:t xml:space="preserve">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color w:val="auto"/>
          <w:sz w:val="24"/>
          <w:szCs w:val="24"/>
          <w:highlight w:val="none"/>
        </w:rPr>
        <w:t>。</w:t>
      </w:r>
    </w:p>
    <w:p w14:paraId="7ACF4ECB">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如果我单位的投标书被接受，我单位将履行谈判文件中规定的每一项要求，按期、按质、按量履行合同。</w:t>
      </w:r>
    </w:p>
    <w:p w14:paraId="0381E7C2">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我单位愿按《中华人民共和国民法典》履行我单位的全部责任。</w:t>
      </w:r>
    </w:p>
    <w:p w14:paraId="566E7D50">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 xml:space="preserve">4. </w:t>
      </w:r>
      <w:r>
        <w:rPr>
          <w:rFonts w:hint="eastAsia" w:ascii="宋体" w:hAnsi="宋体"/>
          <w:color w:val="auto"/>
          <w:sz w:val="24"/>
          <w:szCs w:val="24"/>
          <w:highlight w:val="none"/>
        </w:rPr>
        <w:t>我单位已详细阅读并完全理解、同意谈判文件的全部内容，包括澄清、修改、补充文件（谈判公告所述媒体公布）以及全部参考资料和有关附件；除我单位在谈判文件规定期间内书面提出的疑问外，我单位放弃对这方面有不明及误解的权力。</w:t>
      </w:r>
    </w:p>
    <w:p w14:paraId="44C44A45">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本投标自开标日起有效期为</w:t>
      </w:r>
      <w:r>
        <w:rPr>
          <w:rFonts w:ascii="宋体" w:hAnsi="宋体"/>
          <w:color w:val="auto"/>
          <w:sz w:val="24"/>
          <w:szCs w:val="24"/>
          <w:highlight w:val="none"/>
        </w:rPr>
        <w:t>90</w:t>
      </w:r>
      <w:r>
        <w:rPr>
          <w:rFonts w:hint="eastAsia" w:ascii="宋体" w:hAnsi="宋体"/>
          <w:color w:val="auto"/>
          <w:sz w:val="24"/>
          <w:szCs w:val="24"/>
          <w:highlight w:val="none"/>
        </w:rPr>
        <w:t>日历天。</w:t>
      </w:r>
    </w:p>
    <w:p w14:paraId="54B93188">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6.我单位承诺按照《谈判文件》规定的付款方式执行。</w:t>
      </w:r>
    </w:p>
    <w:p w14:paraId="2924994F">
      <w:pPr>
        <w:widowControl w:val="0"/>
        <w:snapToGrid w:val="0"/>
        <w:spacing w:before="156" w:beforeLines="50" w:line="300" w:lineRule="auto"/>
        <w:ind w:firstLine="556"/>
        <w:rPr>
          <w:rFonts w:ascii="宋体" w:hAnsi="宋体"/>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如果在规定的开标时间后，我单位在投标有效期内撤回投标的，依据</w:t>
      </w:r>
      <w:r>
        <w:rPr>
          <w:rFonts w:hint="eastAsia" w:ascii="宋体" w:hAnsi="宋体"/>
          <w:color w:val="auto"/>
          <w:sz w:val="24"/>
          <w:szCs w:val="24"/>
          <w:highlight w:val="none"/>
        </w:rPr>
        <w:t>谈判</w:t>
      </w:r>
      <w:r>
        <w:rPr>
          <w:rFonts w:hint="eastAsia"/>
          <w:color w:val="auto"/>
          <w:sz w:val="24"/>
          <w:szCs w:val="24"/>
          <w:highlight w:val="none"/>
        </w:rPr>
        <w:t>文件“第三章3.5.5 违背承诺的责任追究措施”，我单位承担相应法律责任及违约责任。</w:t>
      </w:r>
    </w:p>
    <w:p w14:paraId="24DB74FB">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 xml:space="preserve">. </w:t>
      </w:r>
      <w:r>
        <w:rPr>
          <w:rFonts w:hint="eastAsia" w:ascii="宋体" w:hAnsi="宋体"/>
          <w:color w:val="auto"/>
          <w:sz w:val="24"/>
          <w:szCs w:val="24"/>
          <w:highlight w:val="none"/>
        </w:rPr>
        <w:t>我单位同意提供按照贵方可能要求的与投标有关的一切数据或资料，理解贵方不一定要接受最低价的投标或收到的任何投标。</w:t>
      </w:r>
    </w:p>
    <w:p w14:paraId="74A036FB">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与本投标有关的一切正式往来请寄：</w:t>
      </w:r>
    </w:p>
    <w:p w14:paraId="662BA0D6">
      <w:pPr>
        <w:widowControl w:val="0"/>
        <w:snapToGrid w:val="0"/>
        <w:spacing w:line="560" w:lineRule="exact"/>
        <w:ind w:firstLine="555"/>
        <w:jc w:val="left"/>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ab/>
      </w:r>
      <w:r>
        <w:rPr>
          <w:rFonts w:ascii="宋体" w:hAnsi="宋体"/>
          <w:color w:val="auto"/>
          <w:sz w:val="24"/>
          <w:szCs w:val="24"/>
          <w:highlight w:val="none"/>
        </w:rPr>
        <w:tab/>
      </w:r>
      <w:r>
        <w:rPr>
          <w:rFonts w:hint="eastAsia" w:ascii="宋体" w:hAnsi="宋体"/>
          <w:color w:val="auto"/>
          <w:sz w:val="24"/>
          <w:szCs w:val="24"/>
          <w:highlight w:val="none"/>
        </w:rPr>
        <w:t>邮政编码：</w:t>
      </w:r>
      <w:r>
        <w:rPr>
          <w:rFonts w:ascii="宋体" w:hAnsi="宋体"/>
          <w:color w:val="auto"/>
          <w:sz w:val="24"/>
          <w:szCs w:val="24"/>
          <w:highlight w:val="none"/>
        </w:rPr>
        <w:tab/>
      </w:r>
    </w:p>
    <w:p w14:paraId="7DA8CAB1">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ab/>
      </w:r>
      <w:r>
        <w:rPr>
          <w:rFonts w:ascii="宋体" w:hAnsi="宋体"/>
          <w:color w:val="auto"/>
          <w:sz w:val="24"/>
          <w:szCs w:val="24"/>
          <w:highlight w:val="none"/>
        </w:rPr>
        <w:tab/>
      </w:r>
      <w:r>
        <w:rPr>
          <w:rFonts w:hint="eastAsia" w:ascii="宋体" w:hAnsi="宋体"/>
          <w:color w:val="auto"/>
          <w:sz w:val="24"/>
          <w:szCs w:val="24"/>
          <w:highlight w:val="none"/>
        </w:rPr>
        <w:t>传真：</w:t>
      </w:r>
    </w:p>
    <w:p w14:paraId="09AC5DDE">
      <w:pPr>
        <w:widowControl w:val="0"/>
        <w:snapToGrid w:val="0"/>
        <w:spacing w:line="560" w:lineRule="exact"/>
        <w:ind w:firstLine="555"/>
        <w:rPr>
          <w:rFonts w:ascii="宋体" w:hAnsi="宋体"/>
          <w:color w:val="auto"/>
          <w:sz w:val="24"/>
          <w:szCs w:val="24"/>
          <w:highlight w:val="none"/>
        </w:rPr>
      </w:pPr>
    </w:p>
    <w:p w14:paraId="72C45F8C">
      <w:pPr>
        <w:widowControl w:val="0"/>
        <w:snapToGrid w:val="0"/>
        <w:spacing w:line="560" w:lineRule="exact"/>
        <w:ind w:firstLine="555"/>
        <w:rPr>
          <w:rFonts w:ascii="宋体" w:hAnsi="宋体"/>
          <w:color w:val="auto"/>
          <w:sz w:val="24"/>
          <w:szCs w:val="24"/>
          <w:highlight w:val="none"/>
        </w:rPr>
      </w:pPr>
    </w:p>
    <w:p w14:paraId="4933AAD8">
      <w:pPr>
        <w:widowControl w:val="0"/>
        <w:snapToGrid w:val="0"/>
        <w:spacing w:line="560" w:lineRule="exact"/>
        <w:ind w:firstLine="555"/>
        <w:rPr>
          <w:rFonts w:ascii="宋体" w:hAnsi="宋体"/>
          <w:color w:val="auto"/>
          <w:sz w:val="24"/>
          <w:szCs w:val="24"/>
          <w:highlight w:val="none"/>
        </w:rPr>
      </w:pPr>
    </w:p>
    <w:p w14:paraId="641CC135">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投标人（电子签章）：</w:t>
      </w:r>
    </w:p>
    <w:p w14:paraId="5B73687F">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法定代表人（电子签名或签章）：</w:t>
      </w:r>
    </w:p>
    <w:p w14:paraId="7E0D9FD6">
      <w:pPr>
        <w:autoSpaceDE w:val="0"/>
        <w:autoSpaceDN w:val="0"/>
        <w:adjustRightInd w:val="0"/>
        <w:spacing w:line="360" w:lineRule="auto"/>
        <w:ind w:right="-817"/>
        <w:rPr>
          <w:rFonts w:ascii="宋体" w:hAnsi="宋体" w:cs="楷体_GB2312"/>
          <w:color w:val="auto"/>
          <w:sz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1934C648">
      <w:pPr>
        <w:spacing w:line="240" w:lineRule="auto"/>
        <w:jc w:val="left"/>
        <w:textAlignment w:val="auto"/>
        <w:rPr>
          <w:rFonts w:ascii="宋体" w:hAnsi="宋体"/>
          <w:color w:val="auto"/>
          <w:sz w:val="24"/>
          <w:szCs w:val="24"/>
          <w:highlight w:val="none"/>
        </w:rPr>
      </w:pPr>
      <w:r>
        <w:rPr>
          <w:rFonts w:ascii="宋体" w:hAnsi="宋体"/>
          <w:color w:val="auto"/>
          <w:sz w:val="24"/>
          <w:szCs w:val="24"/>
          <w:highlight w:val="none"/>
        </w:rPr>
        <w:br w:type="page"/>
      </w:r>
    </w:p>
    <w:p w14:paraId="173AF0A4">
      <w:pPr>
        <w:widowControl w:val="0"/>
        <w:snapToGrid w:val="0"/>
        <w:spacing w:line="560" w:lineRule="exact"/>
        <w:jc w:val="center"/>
        <w:rPr>
          <w:rFonts w:eastAsia="方正黑体简体"/>
          <w:b/>
          <w:color w:val="auto"/>
          <w:sz w:val="30"/>
          <w:szCs w:val="30"/>
          <w:highlight w:val="none"/>
        </w:rPr>
      </w:pPr>
      <w:r>
        <w:rPr>
          <w:rFonts w:hint="eastAsia" w:ascii="黑体" w:hAnsi="黑体" w:eastAsia="黑体"/>
          <w:b/>
          <w:color w:val="auto"/>
          <w:sz w:val="30"/>
          <w:szCs w:val="30"/>
          <w:highlight w:val="none"/>
        </w:rPr>
        <w:t>二、</w:t>
      </w:r>
      <w:r>
        <w:rPr>
          <w:rFonts w:hint="eastAsia" w:eastAsia="方正黑体简体"/>
          <w:b/>
          <w:color w:val="auto"/>
          <w:sz w:val="30"/>
          <w:szCs w:val="30"/>
          <w:highlight w:val="none"/>
        </w:rPr>
        <w:t>开标一览表</w:t>
      </w:r>
      <w:r>
        <w:rPr>
          <w:rFonts w:hint="eastAsia" w:ascii="宋体" w:hAnsi="宋体"/>
          <w:b/>
          <w:color w:val="auto"/>
          <w:sz w:val="24"/>
          <w:szCs w:val="24"/>
          <w:highlight w:val="none"/>
        </w:rPr>
        <w:t>（即交易系统中报价一览表）</w:t>
      </w:r>
    </w:p>
    <w:p w14:paraId="3757AF46">
      <w:pPr>
        <w:pStyle w:val="13"/>
        <w:adjustRightInd w:val="0"/>
        <w:snapToGrid w:val="0"/>
        <w:spacing w:before="0" w:beforeAutospacing="0" w:after="0" w:afterAutospacing="0"/>
        <w:rPr>
          <w:color w:val="auto"/>
          <w:highlight w:val="none"/>
        </w:rPr>
      </w:pPr>
    </w:p>
    <w:p w14:paraId="6C8781D6">
      <w:pPr>
        <w:widowControl w:val="0"/>
        <w:snapToGrid w:val="0"/>
        <w:spacing w:before="156" w:beforeLines="50" w:line="240" w:lineRule="auto"/>
        <w:ind w:firstLine="542"/>
        <w:rPr>
          <w:b/>
          <w:color w:val="auto"/>
          <w:sz w:val="24"/>
          <w:szCs w:val="24"/>
          <w:highlight w:val="none"/>
        </w:rPr>
      </w:pPr>
      <w:r>
        <w:rPr>
          <w:rFonts w:hint="eastAsia"/>
          <w:b/>
          <w:color w:val="auto"/>
          <w:sz w:val="24"/>
          <w:szCs w:val="24"/>
          <w:highlight w:val="none"/>
        </w:rPr>
        <w:t>注：</w:t>
      </w:r>
      <w:r>
        <w:rPr>
          <w:b/>
          <w:color w:val="auto"/>
          <w:sz w:val="24"/>
          <w:szCs w:val="24"/>
          <w:highlight w:val="none"/>
        </w:rPr>
        <w:t>1</w:t>
      </w:r>
      <w:r>
        <w:rPr>
          <w:rFonts w:hint="eastAsia"/>
          <w:b/>
          <w:color w:val="auto"/>
          <w:sz w:val="24"/>
          <w:szCs w:val="24"/>
          <w:highlight w:val="none"/>
        </w:rPr>
        <w:t>、投标人需在安阳市公共资源电子交易平台投标文件制作工具中、按系统要求填列报价一览表（即开标一览表），系统中填列的报价一览表（即开标一览表）为投标人《投标文件》的一部分。</w:t>
      </w:r>
    </w:p>
    <w:p w14:paraId="60D95AF5">
      <w:pPr>
        <w:widowControl w:val="0"/>
        <w:snapToGrid w:val="0"/>
        <w:spacing w:before="156" w:beforeLines="50" w:line="240" w:lineRule="auto"/>
        <w:ind w:firstLine="540"/>
        <w:rPr>
          <w:color w:val="auto"/>
          <w:sz w:val="24"/>
          <w:szCs w:val="24"/>
          <w:highlight w:val="none"/>
        </w:rPr>
      </w:pPr>
      <w:r>
        <w:rPr>
          <w:color w:val="auto"/>
          <w:sz w:val="24"/>
          <w:szCs w:val="24"/>
          <w:highlight w:val="none"/>
        </w:rPr>
        <w:t>2</w:t>
      </w:r>
      <w:r>
        <w:rPr>
          <w:rFonts w:hint="eastAsia"/>
          <w:color w:val="auto"/>
          <w:sz w:val="24"/>
          <w:szCs w:val="24"/>
          <w:highlight w:val="none"/>
        </w:rPr>
        <w:t>、投标人的投标报价（价格构成）应包括谈判文件所述投标报价的所有内容。</w:t>
      </w:r>
    </w:p>
    <w:p w14:paraId="53784FAF">
      <w:pPr>
        <w:widowControl w:val="0"/>
        <w:snapToGrid w:val="0"/>
        <w:spacing w:before="156" w:beforeLines="50" w:line="240" w:lineRule="auto"/>
        <w:ind w:firstLine="540"/>
        <w:jc w:val="left"/>
        <w:rPr>
          <w:color w:val="auto"/>
          <w:sz w:val="24"/>
          <w:szCs w:val="24"/>
          <w:highlight w:val="none"/>
        </w:rPr>
      </w:pPr>
      <w:r>
        <w:rPr>
          <w:color w:val="auto"/>
          <w:sz w:val="24"/>
          <w:szCs w:val="24"/>
          <w:highlight w:val="none"/>
        </w:rPr>
        <w:t>3</w:t>
      </w:r>
      <w:r>
        <w:rPr>
          <w:rFonts w:hint="eastAsia"/>
          <w:color w:val="auto"/>
          <w:sz w:val="24"/>
          <w:szCs w:val="24"/>
          <w:highlight w:val="none"/>
        </w:rPr>
        <w:t>、投标人可对谈判文件中所列的所有标段（包）进行分别投标，也可选择其中一个标段（包）或几个标段（包）投标，但不得将谈判文件规定的同一标段（包）的内容拆开投标，否则将按无效投标处理。</w:t>
      </w:r>
    </w:p>
    <w:p w14:paraId="56110767">
      <w:pPr>
        <w:widowControl w:val="0"/>
        <w:snapToGrid w:val="0"/>
        <w:spacing w:before="156" w:beforeLines="50" w:line="240" w:lineRule="auto"/>
        <w:ind w:firstLine="540"/>
        <w:jc w:val="left"/>
        <w:rPr>
          <w:color w:val="auto"/>
          <w:sz w:val="24"/>
          <w:szCs w:val="24"/>
          <w:highlight w:val="none"/>
        </w:rPr>
      </w:pPr>
      <w:r>
        <w:rPr>
          <w:color w:val="auto"/>
          <w:sz w:val="24"/>
          <w:szCs w:val="24"/>
          <w:highlight w:val="none"/>
        </w:rPr>
        <w:t>4</w:t>
      </w:r>
      <w:r>
        <w:rPr>
          <w:rFonts w:hint="eastAsia"/>
          <w:color w:val="auto"/>
          <w:sz w:val="24"/>
          <w:szCs w:val="24"/>
          <w:highlight w:val="none"/>
        </w:rPr>
        <w:t>、开标一览表与报价明细表有差别时，以开标一览表为准；大写文字表示的数据与小写数字表示的有差别时，以大写文字表示的数据为准。</w:t>
      </w:r>
    </w:p>
    <w:p w14:paraId="4EA98EDA">
      <w:pPr>
        <w:widowControl w:val="0"/>
        <w:snapToGrid w:val="0"/>
        <w:spacing w:line="360" w:lineRule="auto"/>
        <w:textAlignment w:val="top"/>
        <w:rPr>
          <w:b/>
          <w:color w:val="auto"/>
          <w:sz w:val="24"/>
          <w:szCs w:val="24"/>
          <w:highlight w:val="none"/>
        </w:rPr>
      </w:pPr>
    </w:p>
    <w:p w14:paraId="0856DA85">
      <w:pPr>
        <w:widowControl w:val="0"/>
        <w:snapToGrid w:val="0"/>
        <w:spacing w:line="360" w:lineRule="auto"/>
        <w:textAlignment w:val="top"/>
        <w:rPr>
          <w:b/>
          <w:color w:val="auto"/>
          <w:sz w:val="24"/>
          <w:szCs w:val="24"/>
          <w:highlight w:val="none"/>
        </w:rPr>
      </w:pPr>
    </w:p>
    <w:p w14:paraId="033271A7">
      <w:pPr>
        <w:widowControl w:val="0"/>
        <w:snapToGrid w:val="0"/>
        <w:spacing w:line="560" w:lineRule="exact"/>
        <w:jc w:val="center"/>
        <w:rPr>
          <w:color w:val="auto"/>
          <w:highlight w:val="none"/>
        </w:rPr>
      </w:pPr>
    </w:p>
    <w:p w14:paraId="3EE62DFB">
      <w:pPr>
        <w:widowControl w:val="0"/>
        <w:tabs>
          <w:tab w:val="left" w:pos="9365"/>
        </w:tabs>
        <w:snapToGrid w:val="0"/>
        <w:spacing w:after="56" w:line="240" w:lineRule="auto"/>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6EBFAAAC">
      <w:pPr>
        <w:widowControl w:val="0"/>
        <w:tabs>
          <w:tab w:val="left" w:pos="9365"/>
        </w:tabs>
        <w:snapToGrid w:val="0"/>
        <w:spacing w:after="56" w:line="240" w:lineRule="auto"/>
        <w:ind w:right="85"/>
        <w:jc w:val="left"/>
        <w:textAlignment w:val="top"/>
        <w:rPr>
          <w:rFonts w:ascii="宋体" w:cs="楷体_GB2312"/>
          <w:color w:val="auto"/>
          <w:sz w:val="24"/>
          <w:highlight w:val="none"/>
          <w:lang w:val="zh-CN"/>
        </w:rPr>
      </w:pPr>
      <w:r>
        <w:rPr>
          <w:rFonts w:hint="eastAsia"/>
          <w:color w:val="auto"/>
          <w:sz w:val="24"/>
          <w:szCs w:val="24"/>
          <w:highlight w:val="none"/>
        </w:rPr>
        <w:t>法定代表人（电子签名或签章）：</w:t>
      </w:r>
      <w:r>
        <w:rPr>
          <w:rFonts w:ascii="宋体" w:hAnsi="宋体" w:cs="楷体_GB2312"/>
          <w:color w:val="auto"/>
          <w:sz w:val="24"/>
          <w:highlight w:val="none"/>
          <w:lang w:val="zh-CN"/>
        </w:rPr>
        <w:t xml:space="preserve">  </w:t>
      </w:r>
    </w:p>
    <w:p w14:paraId="5438E0C5">
      <w:pPr>
        <w:widowControl w:val="0"/>
        <w:tabs>
          <w:tab w:val="left" w:pos="9365"/>
        </w:tabs>
        <w:snapToGrid w:val="0"/>
        <w:spacing w:after="56" w:line="240" w:lineRule="auto"/>
        <w:ind w:right="85"/>
        <w:textAlignment w:val="top"/>
        <w:rPr>
          <w:b/>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1D14C68C">
      <w:pPr>
        <w:widowControl w:val="0"/>
        <w:snapToGrid w:val="0"/>
        <w:spacing w:line="560" w:lineRule="exact"/>
        <w:jc w:val="center"/>
        <w:rPr>
          <w:color w:val="auto"/>
          <w:highlight w:val="none"/>
        </w:rPr>
      </w:pPr>
    </w:p>
    <w:p w14:paraId="20DBB11E">
      <w:pPr>
        <w:widowControl w:val="0"/>
        <w:snapToGrid w:val="0"/>
        <w:spacing w:line="560" w:lineRule="exact"/>
        <w:jc w:val="center"/>
        <w:rPr>
          <w:color w:val="auto"/>
          <w:highlight w:val="none"/>
        </w:rPr>
      </w:pPr>
    </w:p>
    <w:p w14:paraId="393B9DBE">
      <w:pPr>
        <w:widowControl w:val="0"/>
        <w:tabs>
          <w:tab w:val="left" w:pos="9365"/>
        </w:tabs>
        <w:snapToGrid w:val="0"/>
        <w:spacing w:before="56" w:after="56" w:line="560" w:lineRule="atLeast"/>
        <w:jc w:val="left"/>
        <w:textAlignment w:val="top"/>
        <w:rPr>
          <w:color w:val="auto"/>
          <w:highlight w:val="none"/>
        </w:rPr>
      </w:pPr>
      <w:r>
        <w:rPr>
          <w:color w:val="auto"/>
          <w:highlight w:val="none"/>
        </w:rPr>
        <w:br w:type="page"/>
      </w:r>
    </w:p>
    <w:p w14:paraId="3EE98DA1">
      <w:pPr>
        <w:widowControl w:val="0"/>
        <w:snapToGrid w:val="0"/>
        <w:spacing w:line="560" w:lineRule="exact"/>
        <w:jc w:val="center"/>
        <w:rPr>
          <w:color w:val="auto"/>
          <w:highlight w:val="none"/>
        </w:rPr>
      </w:pPr>
      <w:r>
        <w:rPr>
          <w:rFonts w:hint="eastAsia" w:ascii="黑体" w:hAnsi="黑体" w:eastAsia="黑体"/>
          <w:b/>
          <w:color w:val="auto"/>
          <w:sz w:val="30"/>
          <w:szCs w:val="30"/>
          <w:highlight w:val="none"/>
        </w:rPr>
        <w:t>三、投标报价明细表</w:t>
      </w:r>
    </w:p>
    <w:p w14:paraId="40A261D2">
      <w:pPr>
        <w:pStyle w:val="13"/>
        <w:adjustRightInd w:val="0"/>
        <w:snapToGrid w:val="0"/>
        <w:spacing w:before="156" w:beforeLines="50" w:beforeAutospacing="0" w:after="0" w:afterAutospacing="0"/>
        <w:rPr>
          <w:color w:val="auto"/>
          <w:highlight w:val="none"/>
        </w:rPr>
      </w:pPr>
    </w:p>
    <w:p w14:paraId="28D06C94">
      <w:pPr>
        <w:pStyle w:val="13"/>
        <w:adjustRightInd w:val="0"/>
        <w:snapToGrid w:val="0"/>
        <w:spacing w:before="0" w:beforeAutospacing="0" w:after="0" w:afterAutospacing="0"/>
        <w:rPr>
          <w:color w:val="auto"/>
          <w:highlight w:val="none"/>
          <w:u w:val="single"/>
        </w:rPr>
      </w:pPr>
      <w:r>
        <w:rPr>
          <w:rFonts w:hint="eastAsia"/>
          <w:color w:val="auto"/>
          <w:highlight w:val="none"/>
        </w:rPr>
        <w:t>项目名称：</w:t>
      </w:r>
    </w:p>
    <w:p w14:paraId="3B2461C9">
      <w:pPr>
        <w:pStyle w:val="13"/>
        <w:adjustRightInd w:val="0"/>
        <w:snapToGrid w:val="0"/>
        <w:spacing w:before="0" w:beforeAutospacing="0" w:after="0" w:afterAutospacing="0"/>
        <w:rPr>
          <w:color w:val="auto"/>
          <w:highlight w:val="none"/>
        </w:rPr>
      </w:pPr>
      <w:r>
        <w:rPr>
          <w:rFonts w:hint="eastAsia"/>
          <w:color w:val="auto"/>
          <w:highlight w:val="none"/>
        </w:rPr>
        <w:t>项目编号：</w:t>
      </w:r>
    </w:p>
    <w:tbl>
      <w:tblPr>
        <w:tblStyle w:val="14"/>
        <w:tblW w:w="917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623"/>
        <w:gridCol w:w="2160"/>
        <w:gridCol w:w="780"/>
        <w:gridCol w:w="749"/>
        <w:gridCol w:w="1134"/>
        <w:gridCol w:w="2268"/>
      </w:tblGrid>
      <w:tr w14:paraId="1D33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65" w:type="dxa"/>
            <w:tcBorders>
              <w:top w:val="single" w:color="000000" w:sz="8" w:space="0"/>
              <w:left w:val="single" w:color="000000" w:sz="8" w:space="0"/>
              <w:bottom w:val="single" w:color="000000" w:sz="4" w:space="0"/>
              <w:right w:val="single" w:color="000000" w:sz="4" w:space="0"/>
            </w:tcBorders>
            <w:vAlign w:val="center"/>
          </w:tcPr>
          <w:p w14:paraId="53156EA1">
            <w:pPr>
              <w:spacing w:line="560" w:lineRule="exact"/>
              <w:jc w:val="center"/>
              <w:rPr>
                <w:color w:val="auto"/>
                <w:sz w:val="28"/>
                <w:highlight w:val="none"/>
              </w:rPr>
            </w:pPr>
            <w:r>
              <w:rPr>
                <w:rFonts w:hint="eastAsia"/>
                <w:color w:val="auto"/>
                <w:highlight w:val="none"/>
              </w:rPr>
              <w:t>序号</w:t>
            </w:r>
          </w:p>
        </w:tc>
        <w:tc>
          <w:tcPr>
            <w:tcW w:w="1623" w:type="dxa"/>
            <w:tcBorders>
              <w:top w:val="single" w:color="000000" w:sz="8" w:space="0"/>
              <w:bottom w:val="single" w:color="000000" w:sz="4" w:space="0"/>
              <w:right w:val="single" w:color="000000" w:sz="4" w:space="0"/>
            </w:tcBorders>
            <w:vAlign w:val="center"/>
          </w:tcPr>
          <w:p w14:paraId="0E9B3870">
            <w:pPr>
              <w:spacing w:line="560" w:lineRule="exact"/>
              <w:jc w:val="center"/>
              <w:rPr>
                <w:color w:val="auto"/>
                <w:sz w:val="28"/>
                <w:highlight w:val="none"/>
              </w:rPr>
            </w:pPr>
            <w:r>
              <w:rPr>
                <w:rFonts w:hint="eastAsia"/>
                <w:color w:val="auto"/>
                <w:highlight w:val="none"/>
              </w:rPr>
              <w:t>费用名称</w:t>
            </w:r>
          </w:p>
        </w:tc>
        <w:tc>
          <w:tcPr>
            <w:tcW w:w="2160" w:type="dxa"/>
            <w:tcBorders>
              <w:top w:val="single" w:color="000000" w:sz="8" w:space="0"/>
              <w:bottom w:val="single" w:color="000000" w:sz="4" w:space="0"/>
            </w:tcBorders>
            <w:vAlign w:val="center"/>
          </w:tcPr>
          <w:p w14:paraId="601FDCAA">
            <w:pPr>
              <w:spacing w:line="560" w:lineRule="exact"/>
              <w:jc w:val="center"/>
              <w:rPr>
                <w:color w:val="auto"/>
                <w:sz w:val="28"/>
                <w:highlight w:val="none"/>
              </w:rPr>
            </w:pPr>
            <w:r>
              <w:rPr>
                <w:rFonts w:hint="eastAsia"/>
                <w:color w:val="auto"/>
                <w:highlight w:val="none"/>
              </w:rPr>
              <w:t>费用内容</w:t>
            </w:r>
          </w:p>
        </w:tc>
        <w:tc>
          <w:tcPr>
            <w:tcW w:w="780" w:type="dxa"/>
            <w:tcBorders>
              <w:top w:val="single" w:color="000000" w:sz="8" w:space="0"/>
              <w:bottom w:val="single" w:color="000000" w:sz="4" w:space="0"/>
              <w:right w:val="single" w:color="000000" w:sz="4" w:space="0"/>
            </w:tcBorders>
            <w:vAlign w:val="center"/>
          </w:tcPr>
          <w:p w14:paraId="7F46575B">
            <w:pPr>
              <w:spacing w:line="560" w:lineRule="exact"/>
              <w:jc w:val="center"/>
              <w:rPr>
                <w:color w:val="auto"/>
                <w:sz w:val="28"/>
                <w:highlight w:val="none"/>
              </w:rPr>
            </w:pPr>
            <w:r>
              <w:rPr>
                <w:rFonts w:hint="eastAsia"/>
                <w:color w:val="auto"/>
                <w:highlight w:val="none"/>
              </w:rPr>
              <w:t>单位</w:t>
            </w:r>
          </w:p>
        </w:tc>
        <w:tc>
          <w:tcPr>
            <w:tcW w:w="749" w:type="dxa"/>
            <w:tcBorders>
              <w:top w:val="single" w:color="000000" w:sz="8" w:space="0"/>
              <w:bottom w:val="single" w:color="000000" w:sz="4" w:space="0"/>
              <w:right w:val="single" w:color="000000" w:sz="4" w:space="0"/>
            </w:tcBorders>
            <w:vAlign w:val="center"/>
          </w:tcPr>
          <w:p w14:paraId="2465AF42">
            <w:pPr>
              <w:spacing w:line="560" w:lineRule="exact"/>
              <w:jc w:val="center"/>
              <w:rPr>
                <w:color w:val="auto"/>
                <w:sz w:val="28"/>
                <w:highlight w:val="none"/>
              </w:rPr>
            </w:pPr>
            <w:r>
              <w:rPr>
                <w:rFonts w:hint="eastAsia"/>
                <w:color w:val="auto"/>
                <w:highlight w:val="none"/>
              </w:rPr>
              <w:t>数量</w:t>
            </w:r>
          </w:p>
        </w:tc>
        <w:tc>
          <w:tcPr>
            <w:tcW w:w="1134" w:type="dxa"/>
            <w:tcBorders>
              <w:top w:val="single" w:color="000000" w:sz="8" w:space="0"/>
              <w:bottom w:val="single" w:color="000000" w:sz="4" w:space="0"/>
              <w:right w:val="single" w:color="000000" w:sz="4" w:space="0"/>
            </w:tcBorders>
            <w:vAlign w:val="center"/>
          </w:tcPr>
          <w:p w14:paraId="385461DB">
            <w:pPr>
              <w:spacing w:line="560" w:lineRule="exact"/>
              <w:jc w:val="center"/>
              <w:rPr>
                <w:color w:val="auto"/>
                <w:sz w:val="28"/>
                <w:highlight w:val="none"/>
              </w:rPr>
            </w:pPr>
            <w:r>
              <w:rPr>
                <w:rFonts w:hint="eastAsia"/>
                <w:color w:val="auto"/>
                <w:highlight w:val="none"/>
              </w:rPr>
              <w:t>单价</w:t>
            </w:r>
          </w:p>
        </w:tc>
        <w:tc>
          <w:tcPr>
            <w:tcW w:w="2268" w:type="dxa"/>
            <w:tcBorders>
              <w:top w:val="single" w:color="000000" w:sz="8" w:space="0"/>
              <w:bottom w:val="single" w:color="000000" w:sz="4" w:space="0"/>
              <w:right w:val="single" w:color="000000" w:sz="8" w:space="0"/>
            </w:tcBorders>
            <w:vAlign w:val="center"/>
          </w:tcPr>
          <w:p w14:paraId="527F42F4">
            <w:pPr>
              <w:spacing w:line="560" w:lineRule="exact"/>
              <w:jc w:val="center"/>
              <w:rPr>
                <w:color w:val="auto"/>
                <w:sz w:val="28"/>
                <w:highlight w:val="none"/>
              </w:rPr>
            </w:pPr>
            <w:r>
              <w:rPr>
                <w:rFonts w:hint="eastAsia"/>
                <w:color w:val="auto"/>
                <w:highlight w:val="none"/>
              </w:rPr>
              <w:t>小计</w:t>
            </w:r>
          </w:p>
        </w:tc>
      </w:tr>
      <w:tr w14:paraId="5DEC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465" w:type="dxa"/>
            <w:tcBorders>
              <w:left w:val="single" w:color="000000" w:sz="8" w:space="0"/>
              <w:bottom w:val="single" w:color="000000" w:sz="4" w:space="0"/>
              <w:right w:val="single" w:color="000000" w:sz="4" w:space="0"/>
            </w:tcBorders>
            <w:vAlign w:val="center"/>
          </w:tcPr>
          <w:p w14:paraId="66DDA62D">
            <w:pPr>
              <w:spacing w:line="560" w:lineRule="exact"/>
              <w:jc w:val="center"/>
              <w:rPr>
                <w:color w:val="auto"/>
                <w:sz w:val="28"/>
                <w:highlight w:val="none"/>
              </w:rPr>
            </w:pPr>
            <w:r>
              <w:rPr>
                <w:color w:val="auto"/>
                <w:highlight w:val="none"/>
              </w:rPr>
              <w:t>1</w:t>
            </w:r>
          </w:p>
        </w:tc>
        <w:tc>
          <w:tcPr>
            <w:tcW w:w="1623" w:type="dxa"/>
            <w:tcBorders>
              <w:bottom w:val="single" w:color="000000" w:sz="4" w:space="0"/>
              <w:right w:val="single" w:color="000000" w:sz="4" w:space="0"/>
            </w:tcBorders>
            <w:vAlign w:val="center"/>
          </w:tcPr>
          <w:p w14:paraId="3E9EE13D">
            <w:pPr>
              <w:spacing w:line="560" w:lineRule="exact"/>
              <w:jc w:val="center"/>
              <w:rPr>
                <w:color w:val="auto"/>
                <w:sz w:val="28"/>
                <w:highlight w:val="none"/>
              </w:rPr>
            </w:pPr>
          </w:p>
        </w:tc>
        <w:tc>
          <w:tcPr>
            <w:tcW w:w="2160" w:type="dxa"/>
            <w:tcBorders>
              <w:bottom w:val="single" w:color="000000" w:sz="4" w:space="0"/>
            </w:tcBorders>
            <w:vAlign w:val="center"/>
          </w:tcPr>
          <w:p w14:paraId="21B7BD68">
            <w:pPr>
              <w:spacing w:line="560" w:lineRule="exact"/>
              <w:jc w:val="left"/>
              <w:rPr>
                <w:color w:val="auto"/>
                <w:sz w:val="28"/>
                <w:highlight w:val="none"/>
              </w:rPr>
            </w:pPr>
          </w:p>
        </w:tc>
        <w:tc>
          <w:tcPr>
            <w:tcW w:w="780" w:type="dxa"/>
            <w:tcBorders>
              <w:bottom w:val="single" w:color="000000" w:sz="4" w:space="0"/>
              <w:right w:val="single" w:color="000000" w:sz="4" w:space="0"/>
            </w:tcBorders>
            <w:vAlign w:val="center"/>
          </w:tcPr>
          <w:p w14:paraId="290C2134">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6DB6FDEB">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65E72BEB">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00E995EF">
            <w:pPr>
              <w:spacing w:line="560" w:lineRule="exact"/>
              <w:jc w:val="center"/>
              <w:rPr>
                <w:color w:val="auto"/>
                <w:sz w:val="28"/>
                <w:highlight w:val="none"/>
              </w:rPr>
            </w:pPr>
          </w:p>
        </w:tc>
      </w:tr>
      <w:tr w14:paraId="253A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29F9825B">
            <w:pPr>
              <w:spacing w:line="560" w:lineRule="exact"/>
              <w:jc w:val="center"/>
              <w:rPr>
                <w:color w:val="auto"/>
                <w:sz w:val="28"/>
                <w:highlight w:val="none"/>
              </w:rPr>
            </w:pPr>
            <w:r>
              <w:rPr>
                <w:color w:val="auto"/>
                <w:highlight w:val="none"/>
              </w:rPr>
              <w:t>2</w:t>
            </w:r>
          </w:p>
        </w:tc>
        <w:tc>
          <w:tcPr>
            <w:tcW w:w="1623" w:type="dxa"/>
            <w:tcBorders>
              <w:bottom w:val="single" w:color="000000" w:sz="4" w:space="0"/>
              <w:right w:val="single" w:color="000000" w:sz="4" w:space="0"/>
            </w:tcBorders>
            <w:vAlign w:val="center"/>
          </w:tcPr>
          <w:p w14:paraId="0D145A24">
            <w:pPr>
              <w:spacing w:line="560" w:lineRule="exact"/>
              <w:jc w:val="center"/>
              <w:rPr>
                <w:color w:val="auto"/>
                <w:sz w:val="28"/>
                <w:highlight w:val="none"/>
              </w:rPr>
            </w:pPr>
          </w:p>
        </w:tc>
        <w:tc>
          <w:tcPr>
            <w:tcW w:w="2160" w:type="dxa"/>
            <w:tcBorders>
              <w:bottom w:val="single" w:color="000000" w:sz="4" w:space="0"/>
            </w:tcBorders>
            <w:vAlign w:val="center"/>
          </w:tcPr>
          <w:p w14:paraId="7AA84517">
            <w:pPr>
              <w:spacing w:line="560" w:lineRule="exact"/>
              <w:jc w:val="left"/>
              <w:rPr>
                <w:color w:val="auto"/>
                <w:sz w:val="28"/>
                <w:highlight w:val="none"/>
              </w:rPr>
            </w:pPr>
          </w:p>
        </w:tc>
        <w:tc>
          <w:tcPr>
            <w:tcW w:w="780" w:type="dxa"/>
            <w:tcBorders>
              <w:bottom w:val="single" w:color="000000" w:sz="4" w:space="0"/>
              <w:right w:val="single" w:color="000000" w:sz="4" w:space="0"/>
            </w:tcBorders>
            <w:vAlign w:val="center"/>
          </w:tcPr>
          <w:p w14:paraId="158F9505">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2B603C20">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78367B40">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145E3BFD">
            <w:pPr>
              <w:spacing w:line="560" w:lineRule="exact"/>
              <w:jc w:val="center"/>
              <w:rPr>
                <w:color w:val="auto"/>
                <w:sz w:val="28"/>
                <w:highlight w:val="none"/>
              </w:rPr>
            </w:pPr>
          </w:p>
        </w:tc>
      </w:tr>
      <w:tr w14:paraId="707C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3CA9F704">
            <w:pPr>
              <w:spacing w:line="560" w:lineRule="exact"/>
              <w:jc w:val="center"/>
              <w:rPr>
                <w:color w:val="auto"/>
                <w:sz w:val="28"/>
                <w:highlight w:val="none"/>
              </w:rPr>
            </w:pPr>
            <w:r>
              <w:rPr>
                <w:color w:val="auto"/>
                <w:highlight w:val="none"/>
              </w:rPr>
              <w:t>3</w:t>
            </w:r>
          </w:p>
        </w:tc>
        <w:tc>
          <w:tcPr>
            <w:tcW w:w="1623" w:type="dxa"/>
            <w:tcBorders>
              <w:bottom w:val="single" w:color="000000" w:sz="4" w:space="0"/>
              <w:right w:val="single" w:color="000000" w:sz="4" w:space="0"/>
            </w:tcBorders>
            <w:vAlign w:val="center"/>
          </w:tcPr>
          <w:p w14:paraId="632E814C">
            <w:pPr>
              <w:spacing w:line="560" w:lineRule="exact"/>
              <w:jc w:val="center"/>
              <w:rPr>
                <w:color w:val="auto"/>
                <w:sz w:val="28"/>
                <w:highlight w:val="none"/>
              </w:rPr>
            </w:pPr>
          </w:p>
        </w:tc>
        <w:tc>
          <w:tcPr>
            <w:tcW w:w="2160" w:type="dxa"/>
            <w:tcBorders>
              <w:bottom w:val="single" w:color="000000" w:sz="4" w:space="0"/>
            </w:tcBorders>
            <w:vAlign w:val="center"/>
          </w:tcPr>
          <w:p w14:paraId="20F7BF71">
            <w:pPr>
              <w:spacing w:line="560" w:lineRule="exact"/>
              <w:jc w:val="left"/>
              <w:rPr>
                <w:color w:val="auto"/>
                <w:sz w:val="28"/>
                <w:highlight w:val="none"/>
              </w:rPr>
            </w:pPr>
          </w:p>
        </w:tc>
        <w:tc>
          <w:tcPr>
            <w:tcW w:w="780" w:type="dxa"/>
            <w:tcBorders>
              <w:bottom w:val="single" w:color="000000" w:sz="4" w:space="0"/>
              <w:right w:val="single" w:color="000000" w:sz="4" w:space="0"/>
            </w:tcBorders>
            <w:vAlign w:val="center"/>
          </w:tcPr>
          <w:p w14:paraId="7D7F2EEB">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13F69A9E">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7826D413">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2B9BE7A5">
            <w:pPr>
              <w:spacing w:line="560" w:lineRule="exact"/>
              <w:jc w:val="center"/>
              <w:rPr>
                <w:color w:val="auto"/>
                <w:sz w:val="28"/>
                <w:highlight w:val="none"/>
              </w:rPr>
            </w:pPr>
          </w:p>
        </w:tc>
      </w:tr>
      <w:tr w14:paraId="7CB8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4B6ABD83">
            <w:pPr>
              <w:spacing w:line="560" w:lineRule="exact"/>
              <w:jc w:val="center"/>
              <w:rPr>
                <w:color w:val="auto"/>
                <w:sz w:val="28"/>
                <w:highlight w:val="none"/>
              </w:rPr>
            </w:pPr>
            <w:r>
              <w:rPr>
                <w:color w:val="auto"/>
                <w:highlight w:val="none"/>
              </w:rPr>
              <w:t>4</w:t>
            </w:r>
          </w:p>
        </w:tc>
        <w:tc>
          <w:tcPr>
            <w:tcW w:w="1623" w:type="dxa"/>
            <w:tcBorders>
              <w:bottom w:val="single" w:color="000000" w:sz="4" w:space="0"/>
              <w:right w:val="single" w:color="000000" w:sz="4" w:space="0"/>
            </w:tcBorders>
            <w:vAlign w:val="center"/>
          </w:tcPr>
          <w:p w14:paraId="5B89BC57">
            <w:pPr>
              <w:spacing w:line="560" w:lineRule="exact"/>
              <w:jc w:val="center"/>
              <w:rPr>
                <w:color w:val="auto"/>
                <w:sz w:val="28"/>
                <w:highlight w:val="none"/>
              </w:rPr>
            </w:pPr>
          </w:p>
        </w:tc>
        <w:tc>
          <w:tcPr>
            <w:tcW w:w="2160" w:type="dxa"/>
            <w:tcBorders>
              <w:bottom w:val="single" w:color="000000" w:sz="4" w:space="0"/>
            </w:tcBorders>
            <w:vAlign w:val="center"/>
          </w:tcPr>
          <w:p w14:paraId="16203F0D">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4EBEDEE0">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5464906E">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062E3887">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28996096">
            <w:pPr>
              <w:spacing w:line="560" w:lineRule="exact"/>
              <w:jc w:val="center"/>
              <w:rPr>
                <w:color w:val="auto"/>
                <w:sz w:val="28"/>
                <w:highlight w:val="none"/>
              </w:rPr>
            </w:pPr>
          </w:p>
        </w:tc>
      </w:tr>
      <w:tr w14:paraId="3D54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465" w:type="dxa"/>
            <w:tcBorders>
              <w:left w:val="single" w:color="000000" w:sz="8" w:space="0"/>
              <w:bottom w:val="single" w:color="000000" w:sz="4" w:space="0"/>
              <w:right w:val="single" w:color="000000" w:sz="4" w:space="0"/>
            </w:tcBorders>
            <w:vAlign w:val="center"/>
          </w:tcPr>
          <w:p w14:paraId="2DDD8B18">
            <w:pPr>
              <w:spacing w:line="560" w:lineRule="exact"/>
              <w:jc w:val="center"/>
              <w:rPr>
                <w:color w:val="auto"/>
                <w:sz w:val="28"/>
                <w:highlight w:val="none"/>
              </w:rPr>
            </w:pPr>
            <w:r>
              <w:rPr>
                <w:color w:val="auto"/>
                <w:highlight w:val="none"/>
              </w:rPr>
              <w:t>5</w:t>
            </w:r>
          </w:p>
        </w:tc>
        <w:tc>
          <w:tcPr>
            <w:tcW w:w="1623" w:type="dxa"/>
            <w:tcBorders>
              <w:bottom w:val="single" w:color="000000" w:sz="4" w:space="0"/>
              <w:right w:val="single" w:color="000000" w:sz="4" w:space="0"/>
            </w:tcBorders>
            <w:vAlign w:val="center"/>
          </w:tcPr>
          <w:p w14:paraId="65532693">
            <w:pPr>
              <w:spacing w:line="560" w:lineRule="exact"/>
              <w:jc w:val="center"/>
              <w:rPr>
                <w:color w:val="auto"/>
                <w:sz w:val="28"/>
                <w:highlight w:val="none"/>
              </w:rPr>
            </w:pPr>
          </w:p>
        </w:tc>
        <w:tc>
          <w:tcPr>
            <w:tcW w:w="2160" w:type="dxa"/>
            <w:tcBorders>
              <w:bottom w:val="single" w:color="000000" w:sz="4" w:space="0"/>
            </w:tcBorders>
            <w:vAlign w:val="center"/>
          </w:tcPr>
          <w:p w14:paraId="15AA608B">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6D3B3094">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3057AC6D">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1EA13261">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1DB9C4A7">
            <w:pPr>
              <w:spacing w:line="560" w:lineRule="exact"/>
              <w:jc w:val="center"/>
              <w:rPr>
                <w:color w:val="auto"/>
                <w:sz w:val="28"/>
                <w:highlight w:val="none"/>
              </w:rPr>
            </w:pPr>
          </w:p>
        </w:tc>
      </w:tr>
      <w:tr w14:paraId="082E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3BE0A940">
            <w:pPr>
              <w:spacing w:line="560" w:lineRule="exact"/>
              <w:jc w:val="center"/>
              <w:rPr>
                <w:color w:val="auto"/>
                <w:sz w:val="28"/>
                <w:highlight w:val="none"/>
              </w:rPr>
            </w:pPr>
            <w:r>
              <w:rPr>
                <w:color w:val="auto"/>
                <w:highlight w:val="none"/>
              </w:rPr>
              <w:t>6</w:t>
            </w:r>
          </w:p>
        </w:tc>
        <w:tc>
          <w:tcPr>
            <w:tcW w:w="1623" w:type="dxa"/>
            <w:tcBorders>
              <w:bottom w:val="single" w:color="000000" w:sz="4" w:space="0"/>
              <w:right w:val="single" w:color="000000" w:sz="4" w:space="0"/>
            </w:tcBorders>
            <w:vAlign w:val="center"/>
          </w:tcPr>
          <w:p w14:paraId="14CD83A9">
            <w:pPr>
              <w:spacing w:line="560" w:lineRule="exact"/>
              <w:jc w:val="center"/>
              <w:rPr>
                <w:color w:val="auto"/>
                <w:sz w:val="28"/>
                <w:highlight w:val="none"/>
              </w:rPr>
            </w:pPr>
          </w:p>
        </w:tc>
        <w:tc>
          <w:tcPr>
            <w:tcW w:w="2160" w:type="dxa"/>
            <w:tcBorders>
              <w:bottom w:val="single" w:color="000000" w:sz="4" w:space="0"/>
            </w:tcBorders>
            <w:vAlign w:val="center"/>
          </w:tcPr>
          <w:p w14:paraId="068DBAEA">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2443A545">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7194DF87">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27C7AEA4">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79B680D1">
            <w:pPr>
              <w:spacing w:line="560" w:lineRule="exact"/>
              <w:jc w:val="center"/>
              <w:rPr>
                <w:color w:val="auto"/>
                <w:sz w:val="28"/>
                <w:highlight w:val="none"/>
              </w:rPr>
            </w:pPr>
          </w:p>
        </w:tc>
      </w:tr>
      <w:tr w14:paraId="3887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4DCB45C8">
            <w:pPr>
              <w:spacing w:line="560" w:lineRule="exact"/>
              <w:jc w:val="center"/>
              <w:rPr>
                <w:color w:val="auto"/>
                <w:sz w:val="28"/>
                <w:highlight w:val="none"/>
              </w:rPr>
            </w:pPr>
            <w:r>
              <w:rPr>
                <w:color w:val="auto"/>
                <w:highlight w:val="none"/>
              </w:rPr>
              <w:t>7</w:t>
            </w:r>
          </w:p>
        </w:tc>
        <w:tc>
          <w:tcPr>
            <w:tcW w:w="1623" w:type="dxa"/>
            <w:tcBorders>
              <w:bottom w:val="single" w:color="000000" w:sz="4" w:space="0"/>
              <w:right w:val="single" w:color="000000" w:sz="4" w:space="0"/>
            </w:tcBorders>
            <w:vAlign w:val="center"/>
          </w:tcPr>
          <w:p w14:paraId="5E6A8F46">
            <w:pPr>
              <w:spacing w:line="560" w:lineRule="exact"/>
              <w:jc w:val="center"/>
              <w:rPr>
                <w:color w:val="auto"/>
                <w:sz w:val="28"/>
                <w:highlight w:val="none"/>
              </w:rPr>
            </w:pPr>
          </w:p>
        </w:tc>
        <w:tc>
          <w:tcPr>
            <w:tcW w:w="2160" w:type="dxa"/>
            <w:tcBorders>
              <w:bottom w:val="single" w:color="000000" w:sz="4" w:space="0"/>
            </w:tcBorders>
            <w:vAlign w:val="center"/>
          </w:tcPr>
          <w:p w14:paraId="0D135B41">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32ABAF54">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1FCE1A38">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4ED3F81D">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4319CCE6">
            <w:pPr>
              <w:spacing w:line="560" w:lineRule="exact"/>
              <w:jc w:val="center"/>
              <w:rPr>
                <w:color w:val="auto"/>
                <w:sz w:val="28"/>
                <w:highlight w:val="none"/>
              </w:rPr>
            </w:pPr>
          </w:p>
        </w:tc>
      </w:tr>
      <w:tr w14:paraId="6C06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76E10A38">
            <w:pPr>
              <w:spacing w:line="560" w:lineRule="exact"/>
              <w:jc w:val="center"/>
              <w:rPr>
                <w:color w:val="auto"/>
                <w:sz w:val="28"/>
                <w:highlight w:val="none"/>
              </w:rPr>
            </w:pPr>
            <w:r>
              <w:rPr>
                <w:color w:val="auto"/>
                <w:highlight w:val="none"/>
              </w:rPr>
              <w:t>8</w:t>
            </w:r>
          </w:p>
        </w:tc>
        <w:tc>
          <w:tcPr>
            <w:tcW w:w="1623" w:type="dxa"/>
            <w:tcBorders>
              <w:bottom w:val="single" w:color="000000" w:sz="4" w:space="0"/>
              <w:right w:val="single" w:color="000000" w:sz="4" w:space="0"/>
            </w:tcBorders>
            <w:vAlign w:val="center"/>
          </w:tcPr>
          <w:p w14:paraId="03C4342C">
            <w:pPr>
              <w:spacing w:line="560" w:lineRule="exact"/>
              <w:jc w:val="center"/>
              <w:rPr>
                <w:color w:val="auto"/>
                <w:sz w:val="28"/>
                <w:highlight w:val="none"/>
              </w:rPr>
            </w:pPr>
          </w:p>
        </w:tc>
        <w:tc>
          <w:tcPr>
            <w:tcW w:w="2160" w:type="dxa"/>
            <w:tcBorders>
              <w:bottom w:val="single" w:color="000000" w:sz="4" w:space="0"/>
            </w:tcBorders>
            <w:vAlign w:val="center"/>
          </w:tcPr>
          <w:p w14:paraId="48133450">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58C89796">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458F87E8">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00EAAF41">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447245A5">
            <w:pPr>
              <w:spacing w:line="560" w:lineRule="exact"/>
              <w:jc w:val="center"/>
              <w:rPr>
                <w:color w:val="auto"/>
                <w:sz w:val="28"/>
                <w:highlight w:val="none"/>
              </w:rPr>
            </w:pPr>
          </w:p>
        </w:tc>
      </w:tr>
      <w:tr w14:paraId="117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65" w:type="dxa"/>
            <w:tcBorders>
              <w:left w:val="single" w:color="000000" w:sz="8" w:space="0"/>
              <w:bottom w:val="single" w:color="000000" w:sz="4" w:space="0"/>
              <w:right w:val="single" w:color="000000" w:sz="4" w:space="0"/>
            </w:tcBorders>
            <w:vAlign w:val="center"/>
          </w:tcPr>
          <w:p w14:paraId="4D13AD86">
            <w:pPr>
              <w:spacing w:line="560" w:lineRule="exact"/>
              <w:jc w:val="center"/>
              <w:rPr>
                <w:color w:val="auto"/>
                <w:sz w:val="28"/>
                <w:highlight w:val="none"/>
              </w:rPr>
            </w:pPr>
            <w:r>
              <w:rPr>
                <w:color w:val="auto"/>
                <w:highlight w:val="none"/>
              </w:rPr>
              <w:t>9</w:t>
            </w:r>
          </w:p>
        </w:tc>
        <w:tc>
          <w:tcPr>
            <w:tcW w:w="1623" w:type="dxa"/>
            <w:tcBorders>
              <w:bottom w:val="single" w:color="000000" w:sz="4" w:space="0"/>
              <w:right w:val="single" w:color="000000" w:sz="4" w:space="0"/>
            </w:tcBorders>
            <w:vAlign w:val="center"/>
          </w:tcPr>
          <w:p w14:paraId="4B409996">
            <w:pPr>
              <w:spacing w:line="560" w:lineRule="exact"/>
              <w:jc w:val="center"/>
              <w:rPr>
                <w:color w:val="auto"/>
                <w:sz w:val="28"/>
                <w:highlight w:val="none"/>
              </w:rPr>
            </w:pPr>
          </w:p>
        </w:tc>
        <w:tc>
          <w:tcPr>
            <w:tcW w:w="2160" w:type="dxa"/>
            <w:tcBorders>
              <w:bottom w:val="single" w:color="000000" w:sz="4" w:space="0"/>
            </w:tcBorders>
            <w:vAlign w:val="center"/>
          </w:tcPr>
          <w:p w14:paraId="762D110B">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699E4DB7">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03578808">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5C476669">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4E9AF555">
            <w:pPr>
              <w:spacing w:line="560" w:lineRule="exact"/>
              <w:jc w:val="center"/>
              <w:rPr>
                <w:color w:val="auto"/>
                <w:sz w:val="28"/>
                <w:highlight w:val="none"/>
              </w:rPr>
            </w:pPr>
          </w:p>
        </w:tc>
      </w:tr>
      <w:tr w14:paraId="6D43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465" w:type="dxa"/>
            <w:tcBorders>
              <w:left w:val="single" w:color="000000" w:sz="8" w:space="0"/>
              <w:bottom w:val="single" w:color="000000" w:sz="4" w:space="0"/>
              <w:right w:val="single" w:color="000000" w:sz="4" w:space="0"/>
            </w:tcBorders>
            <w:vAlign w:val="center"/>
          </w:tcPr>
          <w:p w14:paraId="331A73FD">
            <w:pPr>
              <w:spacing w:line="560" w:lineRule="exact"/>
              <w:jc w:val="center"/>
              <w:rPr>
                <w:color w:val="auto"/>
                <w:sz w:val="28"/>
                <w:highlight w:val="none"/>
              </w:rPr>
            </w:pPr>
            <w:r>
              <w:rPr>
                <w:color w:val="auto"/>
                <w:highlight w:val="none"/>
              </w:rPr>
              <w:t>......</w:t>
            </w:r>
          </w:p>
        </w:tc>
        <w:tc>
          <w:tcPr>
            <w:tcW w:w="1623" w:type="dxa"/>
            <w:tcBorders>
              <w:bottom w:val="single" w:color="000000" w:sz="4" w:space="0"/>
              <w:right w:val="single" w:color="000000" w:sz="4" w:space="0"/>
            </w:tcBorders>
            <w:vAlign w:val="center"/>
          </w:tcPr>
          <w:p w14:paraId="1D685E3E">
            <w:pPr>
              <w:spacing w:line="560" w:lineRule="exact"/>
              <w:jc w:val="center"/>
              <w:rPr>
                <w:color w:val="auto"/>
                <w:sz w:val="28"/>
                <w:highlight w:val="none"/>
              </w:rPr>
            </w:pPr>
          </w:p>
        </w:tc>
        <w:tc>
          <w:tcPr>
            <w:tcW w:w="2160" w:type="dxa"/>
            <w:tcBorders>
              <w:bottom w:val="single" w:color="000000" w:sz="4" w:space="0"/>
            </w:tcBorders>
            <w:vAlign w:val="center"/>
          </w:tcPr>
          <w:p w14:paraId="144FCB14">
            <w:pPr>
              <w:spacing w:line="560" w:lineRule="exact"/>
              <w:jc w:val="center"/>
              <w:rPr>
                <w:color w:val="auto"/>
                <w:sz w:val="28"/>
                <w:highlight w:val="none"/>
              </w:rPr>
            </w:pPr>
          </w:p>
        </w:tc>
        <w:tc>
          <w:tcPr>
            <w:tcW w:w="780" w:type="dxa"/>
            <w:tcBorders>
              <w:bottom w:val="single" w:color="000000" w:sz="4" w:space="0"/>
              <w:right w:val="single" w:color="000000" w:sz="4" w:space="0"/>
            </w:tcBorders>
            <w:vAlign w:val="center"/>
          </w:tcPr>
          <w:p w14:paraId="256930B9">
            <w:pPr>
              <w:spacing w:line="560" w:lineRule="exact"/>
              <w:jc w:val="center"/>
              <w:rPr>
                <w:color w:val="auto"/>
                <w:sz w:val="28"/>
                <w:highlight w:val="none"/>
              </w:rPr>
            </w:pPr>
          </w:p>
        </w:tc>
        <w:tc>
          <w:tcPr>
            <w:tcW w:w="749" w:type="dxa"/>
            <w:tcBorders>
              <w:bottom w:val="single" w:color="000000" w:sz="4" w:space="0"/>
              <w:right w:val="single" w:color="000000" w:sz="4" w:space="0"/>
            </w:tcBorders>
            <w:vAlign w:val="center"/>
          </w:tcPr>
          <w:p w14:paraId="353D1316">
            <w:pPr>
              <w:spacing w:line="560" w:lineRule="exact"/>
              <w:jc w:val="center"/>
              <w:rPr>
                <w:color w:val="auto"/>
                <w:sz w:val="28"/>
                <w:highlight w:val="none"/>
              </w:rPr>
            </w:pPr>
          </w:p>
        </w:tc>
        <w:tc>
          <w:tcPr>
            <w:tcW w:w="1134" w:type="dxa"/>
            <w:tcBorders>
              <w:bottom w:val="single" w:color="000000" w:sz="4" w:space="0"/>
              <w:right w:val="single" w:color="000000" w:sz="4" w:space="0"/>
            </w:tcBorders>
            <w:vAlign w:val="center"/>
          </w:tcPr>
          <w:p w14:paraId="21329EDD">
            <w:pPr>
              <w:spacing w:line="560" w:lineRule="exact"/>
              <w:jc w:val="center"/>
              <w:rPr>
                <w:color w:val="auto"/>
                <w:sz w:val="28"/>
                <w:highlight w:val="none"/>
              </w:rPr>
            </w:pPr>
          </w:p>
        </w:tc>
        <w:tc>
          <w:tcPr>
            <w:tcW w:w="2268" w:type="dxa"/>
            <w:tcBorders>
              <w:bottom w:val="single" w:color="000000" w:sz="4" w:space="0"/>
              <w:right w:val="single" w:color="000000" w:sz="8" w:space="0"/>
            </w:tcBorders>
            <w:vAlign w:val="center"/>
          </w:tcPr>
          <w:p w14:paraId="797AF6E4">
            <w:pPr>
              <w:spacing w:line="560" w:lineRule="exact"/>
              <w:jc w:val="center"/>
              <w:rPr>
                <w:color w:val="auto"/>
                <w:sz w:val="28"/>
                <w:highlight w:val="none"/>
              </w:rPr>
            </w:pPr>
          </w:p>
        </w:tc>
      </w:tr>
      <w:tr w14:paraId="1695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9179" w:type="dxa"/>
            <w:gridSpan w:val="7"/>
            <w:tcBorders>
              <w:left w:val="single" w:color="000000" w:sz="8" w:space="0"/>
              <w:bottom w:val="single" w:color="000000" w:sz="8" w:space="0"/>
              <w:right w:val="single" w:color="000000" w:sz="8" w:space="0"/>
            </w:tcBorders>
            <w:vAlign w:val="center"/>
          </w:tcPr>
          <w:p w14:paraId="4D601581">
            <w:pPr>
              <w:spacing w:line="560" w:lineRule="exact"/>
              <w:jc w:val="left"/>
              <w:rPr>
                <w:color w:val="auto"/>
                <w:highlight w:val="none"/>
              </w:rPr>
            </w:pPr>
            <w:r>
              <w:rPr>
                <w:rFonts w:hint="eastAsia"/>
                <w:color w:val="auto"/>
                <w:highlight w:val="none"/>
              </w:rPr>
              <w:t>投标报价：佰</w:t>
            </w:r>
            <w:r>
              <w:rPr>
                <w:color w:val="auto"/>
                <w:highlight w:val="none"/>
              </w:rPr>
              <w:t xml:space="preserve">   </w:t>
            </w:r>
            <w:r>
              <w:rPr>
                <w:rFonts w:hint="eastAsia"/>
                <w:color w:val="auto"/>
                <w:highlight w:val="none"/>
              </w:rPr>
              <w:t>拾</w:t>
            </w:r>
            <w:r>
              <w:rPr>
                <w:color w:val="auto"/>
                <w:highlight w:val="none"/>
              </w:rPr>
              <w:t xml:space="preserve">   </w:t>
            </w:r>
            <w:r>
              <w:rPr>
                <w:rFonts w:hint="eastAsia"/>
                <w:color w:val="auto"/>
                <w:highlight w:val="none"/>
              </w:rPr>
              <w:t>万</w:t>
            </w:r>
            <w:r>
              <w:rPr>
                <w:color w:val="auto"/>
                <w:highlight w:val="none"/>
              </w:rPr>
              <w:t xml:space="preserve">   </w:t>
            </w:r>
            <w:r>
              <w:rPr>
                <w:rFonts w:hint="eastAsia"/>
                <w:color w:val="auto"/>
                <w:highlight w:val="none"/>
              </w:rPr>
              <w:t>仟</w:t>
            </w:r>
            <w:r>
              <w:rPr>
                <w:color w:val="auto"/>
                <w:highlight w:val="none"/>
              </w:rPr>
              <w:t xml:space="preserve">   </w:t>
            </w:r>
            <w:r>
              <w:rPr>
                <w:rFonts w:hint="eastAsia"/>
                <w:color w:val="auto"/>
                <w:highlight w:val="none"/>
              </w:rPr>
              <w:t>佰</w:t>
            </w:r>
            <w:r>
              <w:rPr>
                <w:color w:val="auto"/>
                <w:highlight w:val="none"/>
              </w:rPr>
              <w:t xml:space="preserve">   </w:t>
            </w:r>
            <w:r>
              <w:rPr>
                <w:rFonts w:hint="eastAsia"/>
                <w:color w:val="auto"/>
                <w:highlight w:val="none"/>
              </w:rPr>
              <w:t>拾</w:t>
            </w:r>
            <w:r>
              <w:rPr>
                <w:color w:val="auto"/>
                <w:highlight w:val="none"/>
              </w:rPr>
              <w:t xml:space="preserve">     </w:t>
            </w:r>
            <w:r>
              <w:rPr>
                <w:rFonts w:hint="eastAsia"/>
                <w:color w:val="auto"/>
                <w:highlight w:val="none"/>
              </w:rPr>
              <w:t>元整</w:t>
            </w:r>
          </w:p>
          <w:p w14:paraId="30543A45">
            <w:pPr>
              <w:spacing w:line="560" w:lineRule="exact"/>
              <w:jc w:val="center"/>
              <w:rPr>
                <w:color w:val="auto"/>
                <w:sz w:val="28"/>
                <w:highlight w:val="none"/>
              </w:rPr>
            </w:pPr>
            <w:r>
              <w:rPr>
                <w:rFonts w:hint="eastAsia"/>
                <w:color w:val="auto"/>
                <w:highlight w:val="none"/>
              </w:rPr>
              <w:t>（小写：￥　</w:t>
            </w:r>
            <w:r>
              <w:rPr>
                <w:color w:val="auto"/>
                <w:highlight w:val="none"/>
              </w:rPr>
              <w:t xml:space="preserve">      </w:t>
            </w:r>
            <w:r>
              <w:rPr>
                <w:rFonts w:hint="eastAsia"/>
                <w:color w:val="auto"/>
                <w:highlight w:val="none"/>
              </w:rPr>
              <w:t>　　　元）</w:t>
            </w:r>
          </w:p>
        </w:tc>
      </w:tr>
    </w:tbl>
    <w:p w14:paraId="0F8D7115">
      <w:pPr>
        <w:widowControl w:val="0"/>
        <w:tabs>
          <w:tab w:val="left" w:pos="9365"/>
        </w:tabs>
        <w:snapToGrid w:val="0"/>
        <w:spacing w:after="56" w:line="360" w:lineRule="exact"/>
        <w:ind w:right="85" w:firstLine="601"/>
        <w:textAlignment w:val="top"/>
        <w:rPr>
          <w:b/>
          <w:color w:val="auto"/>
          <w:highlight w:val="none"/>
        </w:rPr>
      </w:pPr>
    </w:p>
    <w:p w14:paraId="7DE9A14D">
      <w:pPr>
        <w:widowControl w:val="0"/>
        <w:tabs>
          <w:tab w:val="left" w:pos="9365"/>
        </w:tabs>
        <w:snapToGrid w:val="0"/>
        <w:spacing w:after="56" w:line="240" w:lineRule="auto"/>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19A59DC8">
      <w:pPr>
        <w:widowControl w:val="0"/>
        <w:tabs>
          <w:tab w:val="left" w:pos="9365"/>
        </w:tabs>
        <w:snapToGrid w:val="0"/>
        <w:spacing w:after="56" w:line="240" w:lineRule="auto"/>
        <w:ind w:right="85"/>
        <w:jc w:val="left"/>
        <w:textAlignment w:val="top"/>
        <w:rPr>
          <w:rFonts w:ascii="宋体" w:cs="楷体_GB2312"/>
          <w:color w:val="auto"/>
          <w:sz w:val="24"/>
          <w:highlight w:val="none"/>
          <w:lang w:val="zh-CN"/>
        </w:rPr>
      </w:pPr>
      <w:r>
        <w:rPr>
          <w:rFonts w:hint="eastAsia"/>
          <w:color w:val="auto"/>
          <w:sz w:val="24"/>
          <w:szCs w:val="24"/>
          <w:highlight w:val="none"/>
        </w:rPr>
        <w:t>法定代表人（电子签名或签章）：</w:t>
      </w:r>
      <w:r>
        <w:rPr>
          <w:rFonts w:ascii="宋体" w:hAnsi="宋体" w:cs="楷体_GB2312"/>
          <w:color w:val="auto"/>
          <w:sz w:val="24"/>
          <w:highlight w:val="none"/>
          <w:lang w:val="zh-CN"/>
        </w:rPr>
        <w:t xml:space="preserve">  </w:t>
      </w:r>
    </w:p>
    <w:p w14:paraId="1827B44C">
      <w:pPr>
        <w:widowControl w:val="0"/>
        <w:tabs>
          <w:tab w:val="left" w:pos="9365"/>
        </w:tabs>
        <w:snapToGrid w:val="0"/>
        <w:spacing w:after="56" w:line="240" w:lineRule="auto"/>
        <w:ind w:right="85"/>
        <w:textAlignment w:val="top"/>
        <w:rPr>
          <w:b/>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3BFE18F6">
      <w:pPr>
        <w:widowControl w:val="0"/>
        <w:snapToGrid w:val="0"/>
        <w:spacing w:line="560" w:lineRule="exact"/>
        <w:jc w:val="left"/>
        <w:rPr>
          <w:color w:val="auto"/>
          <w:sz w:val="28"/>
          <w:highlight w:val="none"/>
        </w:rPr>
      </w:pPr>
      <w:r>
        <w:rPr>
          <w:color w:val="auto"/>
          <w:sz w:val="28"/>
          <w:highlight w:val="none"/>
        </w:rPr>
        <w:br w:type="page"/>
      </w:r>
    </w:p>
    <w:p w14:paraId="3633F457">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四、服务方案及服务质量承诺</w:t>
      </w:r>
    </w:p>
    <w:p w14:paraId="669B414B">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（格式自定）</w:t>
      </w:r>
    </w:p>
    <w:p w14:paraId="059029C1">
      <w:pPr>
        <w:pStyle w:val="13"/>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077D9B71">
      <w:pPr>
        <w:pStyle w:val="13"/>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p w14:paraId="29E913E7">
      <w:pPr>
        <w:widowControl w:val="0"/>
        <w:snapToGrid w:val="0"/>
        <w:spacing w:line="560" w:lineRule="exact"/>
        <w:jc w:val="center"/>
        <w:rPr>
          <w:color w:val="auto"/>
          <w:highlight w:val="none"/>
        </w:rPr>
      </w:pPr>
    </w:p>
    <w:p w14:paraId="3EBB55D0">
      <w:pPr>
        <w:widowControl w:val="0"/>
        <w:snapToGrid w:val="0"/>
        <w:spacing w:line="560" w:lineRule="exact"/>
        <w:jc w:val="center"/>
        <w:rPr>
          <w:color w:val="auto"/>
          <w:sz w:val="28"/>
          <w:highlight w:val="none"/>
        </w:rPr>
      </w:pPr>
    </w:p>
    <w:p w14:paraId="1422B7DB">
      <w:pPr>
        <w:widowControl w:val="0"/>
        <w:snapToGrid w:val="0"/>
        <w:spacing w:line="560" w:lineRule="exact"/>
        <w:jc w:val="center"/>
        <w:rPr>
          <w:color w:val="auto"/>
          <w:sz w:val="28"/>
          <w:highlight w:val="none"/>
        </w:rPr>
      </w:pPr>
    </w:p>
    <w:p w14:paraId="7D65790B">
      <w:pPr>
        <w:widowControl w:val="0"/>
        <w:snapToGrid w:val="0"/>
        <w:spacing w:line="560" w:lineRule="exact"/>
        <w:jc w:val="center"/>
        <w:rPr>
          <w:color w:val="auto"/>
          <w:sz w:val="28"/>
          <w:highlight w:val="none"/>
        </w:rPr>
      </w:pPr>
    </w:p>
    <w:p w14:paraId="6248079B">
      <w:pPr>
        <w:widowControl w:val="0"/>
        <w:snapToGrid w:val="0"/>
        <w:spacing w:line="560" w:lineRule="exact"/>
        <w:jc w:val="center"/>
        <w:rPr>
          <w:color w:val="auto"/>
          <w:sz w:val="28"/>
          <w:highlight w:val="none"/>
        </w:rPr>
      </w:pPr>
    </w:p>
    <w:p w14:paraId="3BC9F37F">
      <w:pPr>
        <w:widowControl w:val="0"/>
        <w:snapToGrid w:val="0"/>
        <w:spacing w:line="560" w:lineRule="exact"/>
        <w:jc w:val="center"/>
        <w:rPr>
          <w:color w:val="auto"/>
          <w:sz w:val="28"/>
          <w:highlight w:val="none"/>
        </w:rPr>
      </w:pPr>
    </w:p>
    <w:p w14:paraId="21BE1A7E">
      <w:pPr>
        <w:widowControl w:val="0"/>
        <w:snapToGrid w:val="0"/>
        <w:spacing w:line="560" w:lineRule="exact"/>
        <w:jc w:val="center"/>
        <w:rPr>
          <w:color w:val="auto"/>
          <w:sz w:val="28"/>
          <w:highlight w:val="none"/>
        </w:rPr>
      </w:pPr>
    </w:p>
    <w:p w14:paraId="5E4F2C8F">
      <w:pPr>
        <w:widowControl w:val="0"/>
        <w:snapToGrid w:val="0"/>
        <w:spacing w:line="560" w:lineRule="exact"/>
        <w:jc w:val="center"/>
        <w:rPr>
          <w:color w:val="auto"/>
          <w:sz w:val="28"/>
          <w:highlight w:val="none"/>
        </w:rPr>
      </w:pPr>
    </w:p>
    <w:p w14:paraId="10BB8F73">
      <w:pPr>
        <w:widowControl w:val="0"/>
        <w:snapToGrid w:val="0"/>
        <w:spacing w:line="560" w:lineRule="exact"/>
        <w:jc w:val="center"/>
        <w:rPr>
          <w:color w:val="auto"/>
          <w:sz w:val="28"/>
          <w:highlight w:val="none"/>
        </w:rPr>
      </w:pPr>
    </w:p>
    <w:p w14:paraId="1AB4C644">
      <w:pPr>
        <w:widowControl w:val="0"/>
        <w:snapToGrid w:val="0"/>
        <w:spacing w:line="560" w:lineRule="exact"/>
        <w:jc w:val="center"/>
        <w:rPr>
          <w:color w:val="auto"/>
          <w:sz w:val="28"/>
          <w:highlight w:val="none"/>
        </w:rPr>
      </w:pPr>
    </w:p>
    <w:p w14:paraId="153E2F3C">
      <w:pPr>
        <w:widowControl w:val="0"/>
        <w:snapToGrid w:val="0"/>
        <w:spacing w:line="560" w:lineRule="exact"/>
        <w:jc w:val="center"/>
        <w:rPr>
          <w:color w:val="auto"/>
          <w:sz w:val="28"/>
          <w:highlight w:val="none"/>
        </w:rPr>
      </w:pPr>
    </w:p>
    <w:p w14:paraId="6D1C37E3">
      <w:pPr>
        <w:widowControl w:val="0"/>
        <w:snapToGrid w:val="0"/>
        <w:spacing w:line="560" w:lineRule="exact"/>
        <w:jc w:val="center"/>
        <w:rPr>
          <w:color w:val="auto"/>
          <w:sz w:val="28"/>
          <w:highlight w:val="none"/>
        </w:rPr>
      </w:pPr>
    </w:p>
    <w:p w14:paraId="086DAEA0">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36E08BD3">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78012CC6">
      <w:pPr>
        <w:widowControl w:val="0"/>
        <w:tabs>
          <w:tab w:val="left" w:pos="9365"/>
        </w:tabs>
        <w:snapToGrid w:val="0"/>
        <w:spacing w:after="56" w:line="560" w:lineRule="exact"/>
        <w:ind w:right="56"/>
        <w:jc w:val="left"/>
        <w:textAlignment w:val="top"/>
        <w:rPr>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3C4C6104">
      <w:pPr>
        <w:widowControl w:val="0"/>
        <w:snapToGrid w:val="0"/>
        <w:spacing w:line="560" w:lineRule="exact"/>
        <w:jc w:val="center"/>
        <w:rPr>
          <w:rFonts w:eastAsia="方正黑体简体"/>
          <w:b/>
          <w:color w:val="auto"/>
          <w:sz w:val="30"/>
          <w:szCs w:val="30"/>
          <w:highlight w:val="none"/>
        </w:rPr>
      </w:pPr>
      <w:r>
        <w:rPr>
          <w:rFonts w:eastAsia="方正黑体简体"/>
          <w:b/>
          <w:color w:val="auto"/>
          <w:sz w:val="30"/>
          <w:szCs w:val="30"/>
          <w:highlight w:val="none"/>
        </w:rPr>
        <w:br w:type="page"/>
      </w:r>
      <w:bookmarkStart w:id="42" w:name="OLE_LINK22"/>
    </w:p>
    <w:p w14:paraId="21723C9E">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五、</w:t>
      </w:r>
      <w:bookmarkEnd w:id="42"/>
      <w:r>
        <w:rPr>
          <w:rFonts w:hint="eastAsia" w:ascii="黑体" w:hAnsi="黑体" w:eastAsia="黑体"/>
          <w:b/>
          <w:color w:val="auto"/>
          <w:sz w:val="30"/>
          <w:szCs w:val="30"/>
          <w:highlight w:val="none"/>
        </w:rPr>
        <w:t>服务拟投入设备清单及其技术参数</w:t>
      </w:r>
    </w:p>
    <w:p w14:paraId="1567757F">
      <w:pPr>
        <w:pStyle w:val="13"/>
        <w:adjustRightInd w:val="0"/>
        <w:snapToGrid w:val="0"/>
        <w:spacing w:before="0" w:beforeAutospacing="0" w:after="0" w:afterAutospacing="0"/>
        <w:rPr>
          <w:color w:val="auto"/>
          <w:highlight w:val="none"/>
        </w:rPr>
      </w:pPr>
    </w:p>
    <w:p w14:paraId="65442D21">
      <w:pPr>
        <w:pStyle w:val="13"/>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68F6C217">
      <w:pPr>
        <w:pStyle w:val="13"/>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tbl>
      <w:tblPr>
        <w:tblStyle w:val="14"/>
        <w:tblW w:w="9371"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2759"/>
        <w:gridCol w:w="540"/>
        <w:gridCol w:w="540"/>
        <w:gridCol w:w="1755"/>
        <w:gridCol w:w="3297"/>
      </w:tblGrid>
      <w:tr w14:paraId="4669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480" w:type="dxa"/>
            <w:tcBorders>
              <w:top w:val="single" w:color="000000" w:sz="8" w:space="0"/>
              <w:bottom w:val="single" w:color="000000" w:sz="4" w:space="0"/>
              <w:right w:val="single" w:color="000000" w:sz="4" w:space="0"/>
            </w:tcBorders>
            <w:vAlign w:val="center"/>
          </w:tcPr>
          <w:p w14:paraId="54368C93">
            <w:pPr>
              <w:spacing w:line="360" w:lineRule="exact"/>
              <w:jc w:val="center"/>
              <w:rPr>
                <w:color w:val="auto"/>
                <w:sz w:val="28"/>
                <w:highlight w:val="none"/>
              </w:rPr>
            </w:pPr>
            <w:r>
              <w:rPr>
                <w:rFonts w:hint="eastAsia"/>
                <w:color w:val="auto"/>
                <w:highlight w:val="none"/>
              </w:rPr>
              <w:t>序号</w:t>
            </w:r>
          </w:p>
        </w:tc>
        <w:tc>
          <w:tcPr>
            <w:tcW w:w="2759" w:type="dxa"/>
            <w:tcBorders>
              <w:top w:val="single" w:color="000000" w:sz="8" w:space="0"/>
              <w:bottom w:val="single" w:color="000000" w:sz="4" w:space="0"/>
              <w:right w:val="single" w:color="000000" w:sz="4" w:space="0"/>
            </w:tcBorders>
            <w:vAlign w:val="center"/>
          </w:tcPr>
          <w:p w14:paraId="0C3D4254">
            <w:pPr>
              <w:widowControl w:val="0"/>
              <w:snapToGrid w:val="0"/>
              <w:spacing w:line="360" w:lineRule="exact"/>
              <w:jc w:val="center"/>
              <w:rPr>
                <w:color w:val="auto"/>
                <w:sz w:val="28"/>
                <w:highlight w:val="none"/>
              </w:rPr>
            </w:pPr>
            <w:r>
              <w:rPr>
                <w:rFonts w:hint="eastAsia"/>
                <w:color w:val="auto"/>
                <w:highlight w:val="none"/>
              </w:rPr>
              <w:t>设备名称</w:t>
            </w:r>
          </w:p>
        </w:tc>
        <w:tc>
          <w:tcPr>
            <w:tcW w:w="540" w:type="dxa"/>
            <w:tcBorders>
              <w:top w:val="single" w:color="000000" w:sz="8" w:space="0"/>
              <w:bottom w:val="single" w:color="000000" w:sz="4" w:space="0"/>
              <w:right w:val="single" w:color="000000" w:sz="4" w:space="0"/>
            </w:tcBorders>
            <w:vAlign w:val="center"/>
          </w:tcPr>
          <w:p w14:paraId="22FFBE5F">
            <w:pPr>
              <w:spacing w:line="360" w:lineRule="exact"/>
              <w:jc w:val="center"/>
              <w:rPr>
                <w:color w:val="auto"/>
                <w:sz w:val="28"/>
                <w:highlight w:val="none"/>
              </w:rPr>
            </w:pPr>
            <w:r>
              <w:rPr>
                <w:rFonts w:hint="eastAsia"/>
                <w:color w:val="auto"/>
                <w:highlight w:val="none"/>
              </w:rPr>
              <w:t>单位</w:t>
            </w:r>
          </w:p>
        </w:tc>
        <w:tc>
          <w:tcPr>
            <w:tcW w:w="540" w:type="dxa"/>
            <w:tcBorders>
              <w:top w:val="single" w:color="000000" w:sz="8" w:space="0"/>
              <w:bottom w:val="single" w:color="000000" w:sz="4" w:space="0"/>
              <w:right w:val="single" w:color="000000" w:sz="4" w:space="0"/>
            </w:tcBorders>
            <w:vAlign w:val="center"/>
          </w:tcPr>
          <w:p w14:paraId="4DCD5C47">
            <w:pPr>
              <w:spacing w:line="360" w:lineRule="exact"/>
              <w:jc w:val="center"/>
              <w:rPr>
                <w:color w:val="auto"/>
                <w:sz w:val="28"/>
                <w:highlight w:val="none"/>
              </w:rPr>
            </w:pPr>
            <w:r>
              <w:rPr>
                <w:rFonts w:hint="eastAsia"/>
                <w:color w:val="auto"/>
                <w:highlight w:val="none"/>
              </w:rPr>
              <w:t>数量</w:t>
            </w:r>
          </w:p>
        </w:tc>
        <w:tc>
          <w:tcPr>
            <w:tcW w:w="1755" w:type="dxa"/>
            <w:tcBorders>
              <w:top w:val="single" w:color="000000" w:sz="8" w:space="0"/>
              <w:bottom w:val="single" w:color="000000" w:sz="4" w:space="0"/>
              <w:right w:val="single" w:color="000000" w:sz="4" w:space="0"/>
            </w:tcBorders>
            <w:vAlign w:val="center"/>
          </w:tcPr>
          <w:p w14:paraId="2597C9C2">
            <w:pPr>
              <w:spacing w:line="360" w:lineRule="exact"/>
              <w:jc w:val="center"/>
              <w:rPr>
                <w:color w:val="auto"/>
                <w:sz w:val="28"/>
                <w:highlight w:val="none"/>
              </w:rPr>
            </w:pPr>
            <w:r>
              <w:rPr>
                <w:rFonts w:hint="eastAsia"/>
                <w:color w:val="auto"/>
                <w:highlight w:val="none"/>
              </w:rPr>
              <w:t>品牌型号</w:t>
            </w:r>
          </w:p>
        </w:tc>
        <w:tc>
          <w:tcPr>
            <w:tcW w:w="3297" w:type="dxa"/>
            <w:tcBorders>
              <w:top w:val="single" w:color="000000" w:sz="8" w:space="0"/>
              <w:bottom w:val="single" w:color="000000" w:sz="4" w:space="0"/>
              <w:right w:val="single" w:color="000000" w:sz="4" w:space="0"/>
            </w:tcBorders>
            <w:vAlign w:val="center"/>
          </w:tcPr>
          <w:p w14:paraId="1124A600">
            <w:pPr>
              <w:spacing w:line="360" w:lineRule="exact"/>
              <w:jc w:val="center"/>
              <w:rPr>
                <w:color w:val="auto"/>
                <w:sz w:val="28"/>
                <w:highlight w:val="none"/>
              </w:rPr>
            </w:pPr>
            <w:r>
              <w:rPr>
                <w:rFonts w:hint="eastAsia"/>
                <w:color w:val="auto"/>
                <w:highlight w:val="none"/>
              </w:rPr>
              <w:t>技术参数</w:t>
            </w:r>
          </w:p>
        </w:tc>
      </w:tr>
      <w:tr w14:paraId="1C6F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480" w:type="dxa"/>
            <w:tcBorders>
              <w:bottom w:val="single" w:color="000000" w:sz="4" w:space="0"/>
              <w:right w:val="single" w:color="000000" w:sz="4" w:space="0"/>
            </w:tcBorders>
            <w:vAlign w:val="center"/>
          </w:tcPr>
          <w:p w14:paraId="05CCD547">
            <w:pPr>
              <w:spacing w:line="360" w:lineRule="exact"/>
              <w:jc w:val="center"/>
              <w:rPr>
                <w:color w:val="auto"/>
                <w:sz w:val="28"/>
                <w:highlight w:val="none"/>
              </w:rPr>
            </w:pPr>
            <w:r>
              <w:rPr>
                <w:color w:val="auto"/>
                <w:highlight w:val="none"/>
              </w:rPr>
              <w:t>1</w:t>
            </w:r>
          </w:p>
        </w:tc>
        <w:tc>
          <w:tcPr>
            <w:tcW w:w="2759" w:type="dxa"/>
            <w:tcBorders>
              <w:bottom w:val="single" w:color="000000" w:sz="4" w:space="0"/>
              <w:right w:val="single" w:color="000000" w:sz="4" w:space="0"/>
            </w:tcBorders>
            <w:vAlign w:val="center"/>
          </w:tcPr>
          <w:p w14:paraId="744EAF8D">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5F2132B3">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2A891CE8">
            <w:pPr>
              <w:spacing w:line="360" w:lineRule="exact"/>
              <w:jc w:val="center"/>
              <w:rPr>
                <w:color w:val="auto"/>
                <w:sz w:val="28"/>
                <w:highlight w:val="none"/>
              </w:rPr>
            </w:pPr>
          </w:p>
        </w:tc>
        <w:tc>
          <w:tcPr>
            <w:tcW w:w="1755" w:type="dxa"/>
            <w:tcBorders>
              <w:bottom w:val="single" w:color="000000" w:sz="4" w:space="0"/>
              <w:right w:val="single" w:color="000000" w:sz="4" w:space="0"/>
            </w:tcBorders>
            <w:vAlign w:val="center"/>
          </w:tcPr>
          <w:p w14:paraId="7C2D103B">
            <w:pPr>
              <w:spacing w:line="360" w:lineRule="exact"/>
              <w:jc w:val="center"/>
              <w:rPr>
                <w:color w:val="auto"/>
                <w:sz w:val="28"/>
                <w:highlight w:val="none"/>
              </w:rPr>
            </w:pPr>
          </w:p>
        </w:tc>
        <w:tc>
          <w:tcPr>
            <w:tcW w:w="3297" w:type="dxa"/>
            <w:tcBorders>
              <w:bottom w:val="single" w:color="000000" w:sz="4" w:space="0"/>
              <w:right w:val="single" w:color="000000" w:sz="4" w:space="0"/>
            </w:tcBorders>
            <w:vAlign w:val="center"/>
          </w:tcPr>
          <w:p w14:paraId="37F83CE3">
            <w:pPr>
              <w:spacing w:line="360" w:lineRule="exact"/>
              <w:jc w:val="center"/>
              <w:rPr>
                <w:color w:val="auto"/>
                <w:sz w:val="28"/>
                <w:highlight w:val="none"/>
              </w:rPr>
            </w:pPr>
          </w:p>
        </w:tc>
      </w:tr>
      <w:tr w14:paraId="0F44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480" w:type="dxa"/>
            <w:tcBorders>
              <w:left w:val="single" w:color="000000" w:sz="4" w:space="0"/>
              <w:bottom w:val="single" w:color="000000" w:sz="4" w:space="0"/>
              <w:right w:val="single" w:color="000000" w:sz="4" w:space="0"/>
            </w:tcBorders>
            <w:vAlign w:val="center"/>
          </w:tcPr>
          <w:p w14:paraId="04CA3720">
            <w:pPr>
              <w:spacing w:line="360" w:lineRule="exact"/>
              <w:jc w:val="center"/>
              <w:rPr>
                <w:color w:val="auto"/>
                <w:sz w:val="28"/>
                <w:highlight w:val="none"/>
              </w:rPr>
            </w:pPr>
            <w:r>
              <w:rPr>
                <w:color w:val="auto"/>
                <w:highlight w:val="none"/>
              </w:rPr>
              <w:t>2</w:t>
            </w:r>
          </w:p>
        </w:tc>
        <w:tc>
          <w:tcPr>
            <w:tcW w:w="2759" w:type="dxa"/>
            <w:tcBorders>
              <w:bottom w:val="single" w:color="000000" w:sz="4" w:space="0"/>
              <w:right w:val="single" w:color="000000" w:sz="4" w:space="0"/>
            </w:tcBorders>
            <w:vAlign w:val="center"/>
          </w:tcPr>
          <w:p w14:paraId="2021D83E">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77F1AA48">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3F244D1F">
            <w:pPr>
              <w:spacing w:line="360" w:lineRule="exact"/>
              <w:jc w:val="center"/>
              <w:rPr>
                <w:color w:val="auto"/>
                <w:sz w:val="28"/>
                <w:highlight w:val="none"/>
              </w:rPr>
            </w:pPr>
          </w:p>
        </w:tc>
        <w:tc>
          <w:tcPr>
            <w:tcW w:w="1755" w:type="dxa"/>
            <w:tcBorders>
              <w:bottom w:val="single" w:color="000000" w:sz="4" w:space="0"/>
              <w:right w:val="single" w:color="000000" w:sz="4" w:space="0"/>
            </w:tcBorders>
            <w:vAlign w:val="center"/>
          </w:tcPr>
          <w:p w14:paraId="503E8866">
            <w:pPr>
              <w:spacing w:line="360" w:lineRule="exact"/>
              <w:jc w:val="center"/>
              <w:rPr>
                <w:color w:val="auto"/>
                <w:sz w:val="28"/>
                <w:highlight w:val="none"/>
              </w:rPr>
            </w:pPr>
          </w:p>
        </w:tc>
        <w:tc>
          <w:tcPr>
            <w:tcW w:w="3297" w:type="dxa"/>
            <w:tcBorders>
              <w:bottom w:val="single" w:color="000000" w:sz="4" w:space="0"/>
              <w:right w:val="single" w:color="000000" w:sz="4" w:space="0"/>
            </w:tcBorders>
            <w:vAlign w:val="center"/>
          </w:tcPr>
          <w:p w14:paraId="7E9569F8">
            <w:pPr>
              <w:spacing w:line="360" w:lineRule="exact"/>
              <w:jc w:val="center"/>
              <w:rPr>
                <w:color w:val="auto"/>
                <w:sz w:val="28"/>
                <w:highlight w:val="none"/>
              </w:rPr>
            </w:pPr>
          </w:p>
        </w:tc>
      </w:tr>
      <w:tr w14:paraId="1A82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44836C95">
            <w:pPr>
              <w:spacing w:line="360" w:lineRule="exact"/>
              <w:jc w:val="center"/>
              <w:rPr>
                <w:color w:val="auto"/>
                <w:sz w:val="28"/>
                <w:highlight w:val="none"/>
              </w:rPr>
            </w:pPr>
            <w:r>
              <w:rPr>
                <w:color w:val="auto"/>
                <w:highlight w:val="none"/>
              </w:rPr>
              <w:t>3</w:t>
            </w:r>
          </w:p>
        </w:tc>
        <w:tc>
          <w:tcPr>
            <w:tcW w:w="2759" w:type="dxa"/>
            <w:tcBorders>
              <w:right w:val="single" w:color="000000" w:sz="4" w:space="0"/>
            </w:tcBorders>
            <w:vAlign w:val="center"/>
          </w:tcPr>
          <w:p w14:paraId="07A99960">
            <w:pPr>
              <w:spacing w:line="360" w:lineRule="exact"/>
              <w:jc w:val="center"/>
              <w:rPr>
                <w:color w:val="auto"/>
                <w:sz w:val="28"/>
                <w:highlight w:val="none"/>
              </w:rPr>
            </w:pPr>
          </w:p>
        </w:tc>
        <w:tc>
          <w:tcPr>
            <w:tcW w:w="540" w:type="dxa"/>
            <w:tcBorders>
              <w:right w:val="single" w:color="000000" w:sz="4" w:space="0"/>
            </w:tcBorders>
            <w:vAlign w:val="center"/>
          </w:tcPr>
          <w:p w14:paraId="249729BD">
            <w:pPr>
              <w:spacing w:line="360" w:lineRule="exact"/>
              <w:jc w:val="center"/>
              <w:rPr>
                <w:color w:val="auto"/>
                <w:sz w:val="28"/>
                <w:highlight w:val="none"/>
              </w:rPr>
            </w:pPr>
          </w:p>
        </w:tc>
        <w:tc>
          <w:tcPr>
            <w:tcW w:w="540" w:type="dxa"/>
            <w:tcBorders>
              <w:right w:val="single" w:color="000000" w:sz="4" w:space="0"/>
            </w:tcBorders>
            <w:vAlign w:val="center"/>
          </w:tcPr>
          <w:p w14:paraId="327DD98B">
            <w:pPr>
              <w:spacing w:line="360" w:lineRule="exact"/>
              <w:jc w:val="center"/>
              <w:rPr>
                <w:color w:val="auto"/>
                <w:sz w:val="28"/>
                <w:highlight w:val="none"/>
              </w:rPr>
            </w:pPr>
          </w:p>
        </w:tc>
        <w:tc>
          <w:tcPr>
            <w:tcW w:w="1755" w:type="dxa"/>
            <w:tcBorders>
              <w:right w:val="single" w:color="000000" w:sz="4" w:space="0"/>
            </w:tcBorders>
            <w:vAlign w:val="center"/>
          </w:tcPr>
          <w:p w14:paraId="170FAEA7">
            <w:pPr>
              <w:spacing w:line="360" w:lineRule="exact"/>
              <w:jc w:val="center"/>
              <w:rPr>
                <w:color w:val="auto"/>
                <w:sz w:val="28"/>
                <w:highlight w:val="none"/>
              </w:rPr>
            </w:pPr>
          </w:p>
        </w:tc>
        <w:tc>
          <w:tcPr>
            <w:tcW w:w="3297" w:type="dxa"/>
            <w:tcBorders>
              <w:right w:val="single" w:color="000000" w:sz="4" w:space="0"/>
            </w:tcBorders>
            <w:vAlign w:val="center"/>
          </w:tcPr>
          <w:p w14:paraId="03417810">
            <w:pPr>
              <w:spacing w:line="360" w:lineRule="exact"/>
              <w:jc w:val="center"/>
              <w:rPr>
                <w:color w:val="auto"/>
                <w:sz w:val="28"/>
                <w:highlight w:val="none"/>
              </w:rPr>
            </w:pPr>
          </w:p>
        </w:tc>
      </w:tr>
      <w:tr w14:paraId="3D93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5F448FB0">
            <w:pPr>
              <w:spacing w:line="360" w:lineRule="exact"/>
              <w:jc w:val="center"/>
              <w:rPr>
                <w:color w:val="auto"/>
                <w:highlight w:val="none"/>
              </w:rPr>
            </w:pPr>
            <w:r>
              <w:rPr>
                <w:rFonts w:hint="eastAsia"/>
                <w:color w:val="auto"/>
                <w:highlight w:val="none"/>
              </w:rPr>
              <w:t>……</w:t>
            </w:r>
          </w:p>
        </w:tc>
        <w:tc>
          <w:tcPr>
            <w:tcW w:w="2759" w:type="dxa"/>
            <w:tcBorders>
              <w:right w:val="single" w:color="000000" w:sz="4" w:space="0"/>
            </w:tcBorders>
            <w:vAlign w:val="center"/>
          </w:tcPr>
          <w:p w14:paraId="7E29F613">
            <w:pPr>
              <w:spacing w:line="360" w:lineRule="exact"/>
              <w:jc w:val="center"/>
              <w:rPr>
                <w:color w:val="auto"/>
                <w:sz w:val="28"/>
                <w:highlight w:val="none"/>
              </w:rPr>
            </w:pPr>
          </w:p>
        </w:tc>
        <w:tc>
          <w:tcPr>
            <w:tcW w:w="540" w:type="dxa"/>
            <w:tcBorders>
              <w:right w:val="single" w:color="000000" w:sz="4" w:space="0"/>
            </w:tcBorders>
            <w:vAlign w:val="center"/>
          </w:tcPr>
          <w:p w14:paraId="51263B81">
            <w:pPr>
              <w:spacing w:line="360" w:lineRule="exact"/>
              <w:jc w:val="center"/>
              <w:rPr>
                <w:color w:val="auto"/>
                <w:sz w:val="28"/>
                <w:highlight w:val="none"/>
              </w:rPr>
            </w:pPr>
          </w:p>
        </w:tc>
        <w:tc>
          <w:tcPr>
            <w:tcW w:w="540" w:type="dxa"/>
            <w:tcBorders>
              <w:right w:val="single" w:color="000000" w:sz="4" w:space="0"/>
            </w:tcBorders>
            <w:vAlign w:val="center"/>
          </w:tcPr>
          <w:p w14:paraId="0B57F948">
            <w:pPr>
              <w:spacing w:line="360" w:lineRule="exact"/>
              <w:jc w:val="center"/>
              <w:rPr>
                <w:color w:val="auto"/>
                <w:sz w:val="28"/>
                <w:highlight w:val="none"/>
              </w:rPr>
            </w:pPr>
          </w:p>
        </w:tc>
        <w:tc>
          <w:tcPr>
            <w:tcW w:w="1755" w:type="dxa"/>
            <w:tcBorders>
              <w:right w:val="single" w:color="000000" w:sz="4" w:space="0"/>
            </w:tcBorders>
            <w:vAlign w:val="center"/>
          </w:tcPr>
          <w:p w14:paraId="6BF0B212">
            <w:pPr>
              <w:spacing w:line="360" w:lineRule="exact"/>
              <w:jc w:val="center"/>
              <w:rPr>
                <w:color w:val="auto"/>
                <w:sz w:val="28"/>
                <w:highlight w:val="none"/>
              </w:rPr>
            </w:pPr>
          </w:p>
        </w:tc>
        <w:tc>
          <w:tcPr>
            <w:tcW w:w="3297" w:type="dxa"/>
            <w:tcBorders>
              <w:right w:val="single" w:color="000000" w:sz="4" w:space="0"/>
            </w:tcBorders>
            <w:vAlign w:val="center"/>
          </w:tcPr>
          <w:p w14:paraId="3A3CC0FF">
            <w:pPr>
              <w:spacing w:line="360" w:lineRule="exact"/>
              <w:jc w:val="center"/>
              <w:rPr>
                <w:color w:val="auto"/>
                <w:sz w:val="28"/>
                <w:highlight w:val="none"/>
              </w:rPr>
            </w:pPr>
          </w:p>
        </w:tc>
      </w:tr>
    </w:tbl>
    <w:p w14:paraId="534E2FD8">
      <w:pPr>
        <w:autoSpaceDE w:val="0"/>
        <w:autoSpaceDN w:val="0"/>
        <w:adjustRightInd w:val="0"/>
        <w:spacing w:line="240" w:lineRule="auto"/>
        <w:rPr>
          <w:color w:val="auto"/>
          <w:highlight w:val="none"/>
        </w:rPr>
      </w:pPr>
      <w:r>
        <w:rPr>
          <w:rFonts w:hint="eastAsia"/>
          <w:color w:val="auto"/>
          <w:highlight w:val="none"/>
        </w:rPr>
        <w:t>注：投标人应详细填写服务投入设备的具体技术参数。包括设备的品牌型号、规格等技术参数。</w:t>
      </w:r>
    </w:p>
    <w:p w14:paraId="47E12EAE">
      <w:pPr>
        <w:widowControl w:val="0"/>
        <w:snapToGrid w:val="0"/>
        <w:spacing w:line="560" w:lineRule="exact"/>
        <w:jc w:val="center"/>
        <w:rPr>
          <w:rFonts w:ascii="宋体"/>
          <w:color w:val="auto"/>
          <w:sz w:val="24"/>
          <w:highlight w:val="none"/>
        </w:rPr>
      </w:pPr>
    </w:p>
    <w:p w14:paraId="570B4526">
      <w:pPr>
        <w:widowControl w:val="0"/>
        <w:snapToGrid w:val="0"/>
        <w:spacing w:line="560" w:lineRule="exact"/>
        <w:jc w:val="center"/>
        <w:rPr>
          <w:rFonts w:ascii="宋体"/>
          <w:color w:val="auto"/>
          <w:sz w:val="24"/>
          <w:highlight w:val="none"/>
        </w:rPr>
      </w:pPr>
    </w:p>
    <w:p w14:paraId="46F3104B">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6E17E4BD">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0C133A3F">
      <w:pPr>
        <w:autoSpaceDE w:val="0"/>
        <w:autoSpaceDN w:val="0"/>
        <w:adjustRightInd w:val="0"/>
        <w:spacing w:line="360" w:lineRule="auto"/>
        <w:ind w:right="-817"/>
        <w:jc w:val="left"/>
        <w:rPr>
          <w:rFonts w:ascii="宋体" w:cs="楷体_GB2312"/>
          <w:color w:val="auto"/>
          <w:sz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0D351C3E">
      <w:pPr>
        <w:spacing w:line="240" w:lineRule="auto"/>
        <w:jc w:val="left"/>
        <w:textAlignment w:val="auto"/>
        <w:rPr>
          <w:rFonts w:eastAsia="方正黑体简体"/>
          <w:b/>
          <w:color w:val="auto"/>
          <w:sz w:val="30"/>
          <w:szCs w:val="30"/>
          <w:highlight w:val="none"/>
        </w:rPr>
      </w:pPr>
    </w:p>
    <w:p w14:paraId="57E171F6">
      <w:pPr>
        <w:spacing w:line="240" w:lineRule="auto"/>
        <w:jc w:val="left"/>
        <w:textAlignment w:val="auto"/>
        <w:rPr>
          <w:rFonts w:eastAsia="方正黑体简体"/>
          <w:b/>
          <w:color w:val="auto"/>
          <w:sz w:val="30"/>
          <w:szCs w:val="30"/>
          <w:highlight w:val="none"/>
        </w:rPr>
      </w:pPr>
      <w:r>
        <w:rPr>
          <w:rFonts w:eastAsia="方正黑体简体"/>
          <w:b/>
          <w:color w:val="auto"/>
          <w:sz w:val="30"/>
          <w:szCs w:val="30"/>
          <w:highlight w:val="none"/>
        </w:rPr>
        <w:br w:type="page"/>
      </w:r>
    </w:p>
    <w:p w14:paraId="03A0E9FC">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六、服务拟投入的人员情况表</w:t>
      </w:r>
    </w:p>
    <w:p w14:paraId="77319314">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（格式自定）</w:t>
      </w:r>
    </w:p>
    <w:p w14:paraId="4865AAF5">
      <w:pPr>
        <w:widowControl w:val="0"/>
        <w:snapToGrid w:val="0"/>
        <w:spacing w:line="560" w:lineRule="exact"/>
        <w:jc w:val="center"/>
        <w:rPr>
          <w:rFonts w:ascii="Adobe 宋体 Std L" w:hAnsi="Adobe 宋体 Std L" w:eastAsia="Adobe 宋体 Std L"/>
          <w:b/>
          <w:color w:val="auto"/>
          <w:sz w:val="30"/>
          <w:szCs w:val="30"/>
          <w:highlight w:val="none"/>
        </w:rPr>
      </w:pPr>
    </w:p>
    <w:p w14:paraId="038A42D6">
      <w:pPr>
        <w:pStyle w:val="13"/>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52988F7A">
      <w:pPr>
        <w:pStyle w:val="13"/>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p w14:paraId="351BDE21">
      <w:pPr>
        <w:autoSpaceDE w:val="0"/>
        <w:autoSpaceDN w:val="0"/>
        <w:adjustRightInd w:val="0"/>
        <w:spacing w:line="360" w:lineRule="auto"/>
        <w:jc w:val="center"/>
        <w:rPr>
          <w:rFonts w:ascii="宋体"/>
          <w:color w:val="auto"/>
          <w:spacing w:val="8"/>
          <w:szCs w:val="21"/>
          <w:highlight w:val="none"/>
        </w:rPr>
      </w:pPr>
    </w:p>
    <w:p w14:paraId="08317E17">
      <w:pPr>
        <w:autoSpaceDE w:val="0"/>
        <w:autoSpaceDN w:val="0"/>
        <w:adjustRightInd w:val="0"/>
        <w:spacing w:line="360" w:lineRule="auto"/>
        <w:jc w:val="center"/>
        <w:rPr>
          <w:rFonts w:ascii="宋体"/>
          <w:color w:val="auto"/>
          <w:spacing w:val="8"/>
          <w:szCs w:val="21"/>
          <w:highlight w:val="none"/>
        </w:rPr>
      </w:pPr>
    </w:p>
    <w:p w14:paraId="72626C59">
      <w:pPr>
        <w:autoSpaceDE w:val="0"/>
        <w:autoSpaceDN w:val="0"/>
        <w:adjustRightInd w:val="0"/>
        <w:spacing w:line="360" w:lineRule="auto"/>
        <w:jc w:val="center"/>
        <w:rPr>
          <w:rFonts w:ascii="宋体"/>
          <w:color w:val="auto"/>
          <w:spacing w:val="8"/>
          <w:szCs w:val="21"/>
          <w:highlight w:val="none"/>
        </w:rPr>
      </w:pPr>
    </w:p>
    <w:p w14:paraId="270051FB">
      <w:pPr>
        <w:autoSpaceDE w:val="0"/>
        <w:autoSpaceDN w:val="0"/>
        <w:adjustRightInd w:val="0"/>
        <w:spacing w:line="360" w:lineRule="auto"/>
        <w:jc w:val="center"/>
        <w:rPr>
          <w:rFonts w:ascii="宋体"/>
          <w:color w:val="auto"/>
          <w:spacing w:val="8"/>
          <w:szCs w:val="21"/>
          <w:highlight w:val="none"/>
        </w:rPr>
      </w:pPr>
    </w:p>
    <w:p w14:paraId="1F19BD8E">
      <w:pPr>
        <w:autoSpaceDE w:val="0"/>
        <w:autoSpaceDN w:val="0"/>
        <w:adjustRightInd w:val="0"/>
        <w:spacing w:line="360" w:lineRule="auto"/>
        <w:jc w:val="center"/>
        <w:rPr>
          <w:rFonts w:ascii="宋体"/>
          <w:color w:val="auto"/>
          <w:spacing w:val="8"/>
          <w:szCs w:val="21"/>
          <w:highlight w:val="none"/>
        </w:rPr>
      </w:pPr>
    </w:p>
    <w:p w14:paraId="62FE5B35">
      <w:pPr>
        <w:autoSpaceDE w:val="0"/>
        <w:autoSpaceDN w:val="0"/>
        <w:adjustRightInd w:val="0"/>
        <w:spacing w:line="360" w:lineRule="auto"/>
        <w:jc w:val="center"/>
        <w:rPr>
          <w:rFonts w:ascii="宋体"/>
          <w:color w:val="auto"/>
          <w:spacing w:val="8"/>
          <w:szCs w:val="21"/>
          <w:highlight w:val="none"/>
        </w:rPr>
      </w:pPr>
    </w:p>
    <w:p w14:paraId="1EC59CA9">
      <w:pPr>
        <w:autoSpaceDE w:val="0"/>
        <w:autoSpaceDN w:val="0"/>
        <w:adjustRightInd w:val="0"/>
        <w:spacing w:line="360" w:lineRule="auto"/>
        <w:jc w:val="center"/>
        <w:rPr>
          <w:rFonts w:ascii="宋体"/>
          <w:color w:val="auto"/>
          <w:spacing w:val="8"/>
          <w:szCs w:val="21"/>
          <w:highlight w:val="none"/>
        </w:rPr>
      </w:pPr>
    </w:p>
    <w:p w14:paraId="79C168C3">
      <w:pPr>
        <w:autoSpaceDE w:val="0"/>
        <w:autoSpaceDN w:val="0"/>
        <w:adjustRightInd w:val="0"/>
        <w:spacing w:line="360" w:lineRule="auto"/>
        <w:jc w:val="center"/>
        <w:rPr>
          <w:rFonts w:ascii="宋体"/>
          <w:color w:val="auto"/>
          <w:spacing w:val="8"/>
          <w:szCs w:val="21"/>
          <w:highlight w:val="none"/>
        </w:rPr>
      </w:pPr>
    </w:p>
    <w:p w14:paraId="0ACBFA49">
      <w:pPr>
        <w:autoSpaceDE w:val="0"/>
        <w:autoSpaceDN w:val="0"/>
        <w:adjustRightInd w:val="0"/>
        <w:spacing w:line="360" w:lineRule="auto"/>
        <w:jc w:val="center"/>
        <w:rPr>
          <w:rFonts w:ascii="宋体"/>
          <w:color w:val="auto"/>
          <w:spacing w:val="8"/>
          <w:szCs w:val="21"/>
          <w:highlight w:val="none"/>
        </w:rPr>
      </w:pPr>
    </w:p>
    <w:p w14:paraId="51FBB513">
      <w:pPr>
        <w:autoSpaceDE w:val="0"/>
        <w:autoSpaceDN w:val="0"/>
        <w:adjustRightInd w:val="0"/>
        <w:spacing w:line="360" w:lineRule="auto"/>
        <w:jc w:val="center"/>
        <w:rPr>
          <w:rFonts w:ascii="宋体"/>
          <w:color w:val="auto"/>
          <w:spacing w:val="8"/>
          <w:szCs w:val="21"/>
          <w:highlight w:val="none"/>
        </w:rPr>
      </w:pPr>
    </w:p>
    <w:p w14:paraId="3B5D23AC">
      <w:pPr>
        <w:autoSpaceDE w:val="0"/>
        <w:autoSpaceDN w:val="0"/>
        <w:adjustRightInd w:val="0"/>
        <w:spacing w:line="360" w:lineRule="auto"/>
        <w:jc w:val="center"/>
        <w:rPr>
          <w:rFonts w:ascii="宋体"/>
          <w:color w:val="auto"/>
          <w:spacing w:val="8"/>
          <w:szCs w:val="21"/>
          <w:highlight w:val="none"/>
        </w:rPr>
      </w:pPr>
    </w:p>
    <w:p w14:paraId="42012D7D">
      <w:pPr>
        <w:autoSpaceDE w:val="0"/>
        <w:autoSpaceDN w:val="0"/>
        <w:adjustRightInd w:val="0"/>
        <w:spacing w:line="360" w:lineRule="auto"/>
        <w:jc w:val="center"/>
        <w:rPr>
          <w:rFonts w:ascii="宋体"/>
          <w:color w:val="auto"/>
          <w:spacing w:val="8"/>
          <w:szCs w:val="21"/>
          <w:highlight w:val="none"/>
        </w:rPr>
      </w:pPr>
    </w:p>
    <w:p w14:paraId="130CF05B">
      <w:pPr>
        <w:autoSpaceDE w:val="0"/>
        <w:autoSpaceDN w:val="0"/>
        <w:adjustRightInd w:val="0"/>
        <w:spacing w:line="360" w:lineRule="auto"/>
        <w:jc w:val="center"/>
        <w:rPr>
          <w:rFonts w:ascii="宋体"/>
          <w:color w:val="auto"/>
          <w:spacing w:val="8"/>
          <w:szCs w:val="21"/>
          <w:highlight w:val="none"/>
        </w:rPr>
      </w:pPr>
    </w:p>
    <w:p w14:paraId="6122FF4F">
      <w:pPr>
        <w:tabs>
          <w:tab w:val="left" w:pos="0"/>
        </w:tabs>
        <w:adjustRightInd w:val="0"/>
        <w:snapToGrid w:val="0"/>
        <w:spacing w:before="156" w:beforeLines="50" w:line="300" w:lineRule="auto"/>
        <w:ind w:right="510"/>
        <w:rPr>
          <w:rFonts w:ascii="宋体"/>
          <w:color w:val="auto"/>
          <w:spacing w:val="8"/>
          <w:szCs w:val="21"/>
          <w:highlight w:val="none"/>
        </w:rPr>
      </w:pPr>
    </w:p>
    <w:p w14:paraId="50050BC4">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79FB9502">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0F01CD1D">
      <w:pPr>
        <w:autoSpaceDE w:val="0"/>
        <w:autoSpaceDN w:val="0"/>
        <w:adjustRightInd w:val="0"/>
        <w:spacing w:line="480" w:lineRule="auto"/>
        <w:rPr>
          <w:rFonts w:ascii="宋体"/>
          <w:color w:val="auto"/>
          <w:sz w:val="24"/>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rPr>
        <w:t xml:space="preserve">   </w:t>
      </w:r>
      <w:r>
        <w:rPr>
          <w:rFonts w:hint="eastAsia" w:ascii="宋体" w:hAnsi="宋体" w:cs="楷体_GB2312"/>
          <w:color w:val="auto"/>
          <w:sz w:val="24"/>
          <w:highlight w:val="none"/>
          <w:lang w:val="zh-CN"/>
        </w:rPr>
        <w:t>日</w:t>
      </w:r>
    </w:p>
    <w:p w14:paraId="46C5A812">
      <w:pPr>
        <w:tabs>
          <w:tab w:val="left" w:pos="540"/>
        </w:tabs>
        <w:spacing w:line="440" w:lineRule="exact"/>
        <w:jc w:val="center"/>
        <w:rPr>
          <w:rFonts w:ascii="宋体" w:cs="楷体_GB2312"/>
          <w:b/>
          <w:color w:val="auto"/>
          <w:sz w:val="30"/>
          <w:szCs w:val="30"/>
          <w:highlight w:val="none"/>
        </w:rPr>
      </w:pPr>
    </w:p>
    <w:p w14:paraId="74FA606E">
      <w:pPr>
        <w:widowControl w:val="0"/>
        <w:snapToGrid w:val="0"/>
        <w:spacing w:line="560" w:lineRule="exact"/>
        <w:jc w:val="left"/>
        <w:textAlignment w:val="top"/>
        <w:rPr>
          <w:color w:val="auto"/>
          <w:highlight w:val="none"/>
        </w:rPr>
      </w:pPr>
      <w:r>
        <w:rPr>
          <w:color w:val="auto"/>
          <w:highlight w:val="none"/>
        </w:rPr>
        <w:br w:type="page"/>
      </w:r>
    </w:p>
    <w:p w14:paraId="733872EE">
      <w:pPr>
        <w:widowControl w:val="0"/>
        <w:snapToGrid w:val="0"/>
        <w:spacing w:line="560" w:lineRule="exact"/>
        <w:jc w:val="center"/>
        <w:rPr>
          <w:rFonts w:ascii="黑体" w:hAnsi="黑体" w:eastAsia="黑体"/>
          <w:b/>
          <w:color w:val="auto"/>
          <w:sz w:val="28"/>
          <w:szCs w:val="28"/>
          <w:highlight w:val="none"/>
        </w:rPr>
      </w:pPr>
      <w:bookmarkStart w:id="43" w:name="OLE_LINK27"/>
      <w:r>
        <w:rPr>
          <w:rFonts w:hint="eastAsia" w:ascii="黑体" w:hAnsi="黑体" w:eastAsia="黑体"/>
          <w:b/>
          <w:color w:val="auto"/>
          <w:sz w:val="30"/>
          <w:szCs w:val="30"/>
          <w:highlight w:val="none"/>
        </w:rPr>
        <w:t>七、</w:t>
      </w:r>
      <w:bookmarkEnd w:id="43"/>
      <w:r>
        <w:rPr>
          <w:rFonts w:hint="eastAsia" w:ascii="黑体" w:hAnsi="黑体" w:eastAsia="黑体"/>
          <w:b/>
          <w:color w:val="auto"/>
          <w:sz w:val="30"/>
          <w:szCs w:val="30"/>
          <w:highlight w:val="none"/>
        </w:rPr>
        <w:t>偏差表</w:t>
      </w:r>
    </w:p>
    <w:p w14:paraId="33937D53">
      <w:pPr>
        <w:widowControl w:val="0"/>
        <w:snapToGrid w:val="0"/>
        <w:spacing w:line="276" w:lineRule="auto"/>
        <w:jc w:val="center"/>
        <w:rPr>
          <w:rFonts w:ascii="Adobe 宋体 Std L" w:hAnsi="Adobe 宋体 Std L" w:eastAsia="Adobe 宋体 Std L"/>
          <w:b/>
          <w:color w:val="auto"/>
          <w:sz w:val="28"/>
          <w:szCs w:val="28"/>
          <w:highlight w:val="none"/>
        </w:rPr>
      </w:pPr>
    </w:p>
    <w:p w14:paraId="6186CECD">
      <w:pPr>
        <w:pStyle w:val="13"/>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2230DE80">
      <w:pPr>
        <w:pStyle w:val="13"/>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tbl>
      <w:tblPr>
        <w:tblStyle w:val="1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14:paraId="321C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14:paraId="77B111A1">
            <w:pPr>
              <w:spacing w:line="560" w:lineRule="exact"/>
              <w:jc w:val="center"/>
              <w:rPr>
                <w:b/>
                <w:color w:val="auto"/>
                <w:sz w:val="28"/>
                <w:highlight w:val="none"/>
              </w:rPr>
            </w:pPr>
            <w:r>
              <w:rPr>
                <w:rFonts w:hint="eastAsia"/>
                <w:b/>
                <w:color w:val="auto"/>
                <w:highlight w:val="none"/>
              </w:rPr>
              <w:t>序号</w:t>
            </w:r>
          </w:p>
        </w:tc>
        <w:tc>
          <w:tcPr>
            <w:tcW w:w="3098" w:type="dxa"/>
            <w:tcBorders>
              <w:top w:val="single" w:color="000000" w:sz="8" w:space="0"/>
              <w:bottom w:val="single" w:color="000000" w:sz="4" w:space="0"/>
              <w:right w:val="single" w:color="000000" w:sz="4" w:space="0"/>
            </w:tcBorders>
            <w:vAlign w:val="center"/>
          </w:tcPr>
          <w:p w14:paraId="5EC2DF58">
            <w:pPr>
              <w:spacing w:line="560" w:lineRule="exact"/>
              <w:jc w:val="center"/>
              <w:rPr>
                <w:b/>
                <w:color w:val="auto"/>
                <w:sz w:val="28"/>
                <w:highlight w:val="none"/>
              </w:rPr>
            </w:pPr>
            <w:r>
              <w:rPr>
                <w:rFonts w:hint="eastAsia"/>
                <w:b/>
                <w:color w:val="auto"/>
                <w:highlight w:val="none"/>
              </w:rPr>
              <w:t>谈判文件要求</w:t>
            </w:r>
          </w:p>
        </w:tc>
        <w:tc>
          <w:tcPr>
            <w:tcW w:w="2947" w:type="dxa"/>
            <w:tcBorders>
              <w:top w:val="single" w:color="000000" w:sz="8" w:space="0"/>
              <w:bottom w:val="single" w:color="000000" w:sz="4" w:space="0"/>
              <w:right w:val="single" w:color="000000" w:sz="4" w:space="0"/>
            </w:tcBorders>
            <w:vAlign w:val="center"/>
          </w:tcPr>
          <w:p w14:paraId="4F232E69">
            <w:pPr>
              <w:spacing w:line="560" w:lineRule="exact"/>
              <w:jc w:val="center"/>
              <w:rPr>
                <w:b/>
                <w:color w:val="auto"/>
                <w:sz w:val="28"/>
                <w:highlight w:val="none"/>
              </w:rPr>
            </w:pPr>
            <w:r>
              <w:rPr>
                <w:rFonts w:hint="eastAsia"/>
                <w:b/>
                <w:color w:val="auto"/>
                <w:highlight w:val="none"/>
              </w:rPr>
              <w:t>投标文件响应</w:t>
            </w:r>
          </w:p>
        </w:tc>
        <w:tc>
          <w:tcPr>
            <w:tcW w:w="2638" w:type="dxa"/>
            <w:tcBorders>
              <w:top w:val="single" w:color="000000" w:sz="8" w:space="0"/>
              <w:bottom w:val="single" w:color="000000" w:sz="4" w:space="0"/>
              <w:right w:val="single" w:color="000000" w:sz="8" w:space="0"/>
            </w:tcBorders>
            <w:vAlign w:val="center"/>
          </w:tcPr>
          <w:p w14:paraId="0F85F0E6">
            <w:pPr>
              <w:spacing w:line="560" w:lineRule="exact"/>
              <w:jc w:val="center"/>
              <w:rPr>
                <w:b/>
                <w:color w:val="auto"/>
                <w:sz w:val="28"/>
                <w:highlight w:val="none"/>
              </w:rPr>
            </w:pPr>
            <w:r>
              <w:rPr>
                <w:rFonts w:hint="eastAsia"/>
                <w:b/>
                <w:color w:val="auto"/>
                <w:highlight w:val="none"/>
              </w:rPr>
              <w:t>偏差描述</w:t>
            </w:r>
          </w:p>
        </w:tc>
      </w:tr>
      <w:tr w14:paraId="1841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596EC6BC">
            <w:pPr>
              <w:spacing w:line="560" w:lineRule="exact"/>
              <w:jc w:val="center"/>
              <w:rPr>
                <w:color w:val="auto"/>
                <w:sz w:val="28"/>
                <w:highlight w:val="none"/>
              </w:rPr>
            </w:pPr>
            <w:r>
              <w:rPr>
                <w:color w:val="auto"/>
                <w:highlight w:val="none"/>
              </w:rPr>
              <w:t>1</w:t>
            </w:r>
          </w:p>
        </w:tc>
        <w:tc>
          <w:tcPr>
            <w:tcW w:w="3098" w:type="dxa"/>
            <w:tcBorders>
              <w:bottom w:val="single" w:color="000000" w:sz="4" w:space="0"/>
              <w:right w:val="single" w:color="000000" w:sz="4" w:space="0"/>
            </w:tcBorders>
            <w:vAlign w:val="center"/>
          </w:tcPr>
          <w:p w14:paraId="68A82DA7">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7171FD8E">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3CB0B047">
            <w:pPr>
              <w:spacing w:line="560" w:lineRule="exact"/>
              <w:jc w:val="center"/>
              <w:rPr>
                <w:color w:val="auto"/>
                <w:sz w:val="28"/>
                <w:highlight w:val="none"/>
              </w:rPr>
            </w:pPr>
          </w:p>
        </w:tc>
      </w:tr>
      <w:tr w14:paraId="3F66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3B397E49">
            <w:pPr>
              <w:spacing w:line="560" w:lineRule="exact"/>
              <w:jc w:val="center"/>
              <w:rPr>
                <w:color w:val="auto"/>
                <w:sz w:val="28"/>
                <w:highlight w:val="none"/>
              </w:rPr>
            </w:pPr>
            <w:r>
              <w:rPr>
                <w:color w:val="auto"/>
                <w:highlight w:val="none"/>
              </w:rPr>
              <w:t>2</w:t>
            </w:r>
          </w:p>
        </w:tc>
        <w:tc>
          <w:tcPr>
            <w:tcW w:w="3098" w:type="dxa"/>
            <w:tcBorders>
              <w:bottom w:val="single" w:color="000000" w:sz="4" w:space="0"/>
              <w:right w:val="single" w:color="000000" w:sz="4" w:space="0"/>
            </w:tcBorders>
            <w:vAlign w:val="center"/>
          </w:tcPr>
          <w:p w14:paraId="46BACDD2">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0E542E69">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1F538A0A">
            <w:pPr>
              <w:spacing w:line="560" w:lineRule="exact"/>
              <w:jc w:val="center"/>
              <w:rPr>
                <w:color w:val="auto"/>
                <w:sz w:val="28"/>
                <w:highlight w:val="none"/>
              </w:rPr>
            </w:pPr>
          </w:p>
        </w:tc>
      </w:tr>
      <w:tr w14:paraId="17B1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760BA760">
            <w:pPr>
              <w:spacing w:line="560" w:lineRule="exact"/>
              <w:jc w:val="center"/>
              <w:rPr>
                <w:color w:val="auto"/>
                <w:sz w:val="28"/>
                <w:highlight w:val="none"/>
              </w:rPr>
            </w:pPr>
            <w:r>
              <w:rPr>
                <w:color w:val="auto"/>
                <w:highlight w:val="none"/>
              </w:rPr>
              <w:t>3</w:t>
            </w:r>
          </w:p>
        </w:tc>
        <w:tc>
          <w:tcPr>
            <w:tcW w:w="3098" w:type="dxa"/>
            <w:tcBorders>
              <w:bottom w:val="single" w:color="000000" w:sz="4" w:space="0"/>
              <w:right w:val="single" w:color="000000" w:sz="4" w:space="0"/>
            </w:tcBorders>
            <w:vAlign w:val="center"/>
          </w:tcPr>
          <w:p w14:paraId="4A5FFC62">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1EA9D3C0">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72F53E10">
            <w:pPr>
              <w:spacing w:line="560" w:lineRule="exact"/>
              <w:jc w:val="center"/>
              <w:rPr>
                <w:color w:val="auto"/>
                <w:sz w:val="28"/>
                <w:highlight w:val="none"/>
              </w:rPr>
            </w:pPr>
          </w:p>
        </w:tc>
      </w:tr>
      <w:tr w14:paraId="3130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5CE0D7C9">
            <w:pPr>
              <w:spacing w:line="560" w:lineRule="exact"/>
              <w:jc w:val="center"/>
              <w:rPr>
                <w:color w:val="auto"/>
                <w:sz w:val="28"/>
                <w:highlight w:val="none"/>
              </w:rPr>
            </w:pPr>
            <w:r>
              <w:rPr>
                <w:color w:val="auto"/>
                <w:highlight w:val="none"/>
              </w:rPr>
              <w:t>4</w:t>
            </w:r>
          </w:p>
        </w:tc>
        <w:tc>
          <w:tcPr>
            <w:tcW w:w="3098" w:type="dxa"/>
            <w:tcBorders>
              <w:bottom w:val="single" w:color="000000" w:sz="4" w:space="0"/>
              <w:right w:val="single" w:color="000000" w:sz="4" w:space="0"/>
            </w:tcBorders>
            <w:vAlign w:val="center"/>
          </w:tcPr>
          <w:p w14:paraId="539AB8F0">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499477C2">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4DED15A7">
            <w:pPr>
              <w:spacing w:line="560" w:lineRule="exact"/>
              <w:jc w:val="center"/>
              <w:rPr>
                <w:color w:val="auto"/>
                <w:sz w:val="28"/>
                <w:highlight w:val="none"/>
              </w:rPr>
            </w:pPr>
          </w:p>
        </w:tc>
      </w:tr>
      <w:tr w14:paraId="21EC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14:paraId="53ACBF53">
            <w:pPr>
              <w:spacing w:line="560" w:lineRule="exact"/>
              <w:jc w:val="center"/>
              <w:rPr>
                <w:color w:val="auto"/>
                <w:sz w:val="28"/>
                <w:highlight w:val="none"/>
              </w:rPr>
            </w:pPr>
            <w:r>
              <w:rPr>
                <w:color w:val="auto"/>
                <w:highlight w:val="none"/>
              </w:rPr>
              <w:t>5</w:t>
            </w:r>
          </w:p>
        </w:tc>
        <w:tc>
          <w:tcPr>
            <w:tcW w:w="3098" w:type="dxa"/>
            <w:tcBorders>
              <w:bottom w:val="single" w:color="000000" w:sz="4" w:space="0"/>
              <w:right w:val="single" w:color="000000" w:sz="4" w:space="0"/>
            </w:tcBorders>
            <w:vAlign w:val="center"/>
          </w:tcPr>
          <w:p w14:paraId="3BAAA4DD">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334F78E3">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6E699312">
            <w:pPr>
              <w:spacing w:line="560" w:lineRule="exact"/>
              <w:jc w:val="center"/>
              <w:rPr>
                <w:color w:val="auto"/>
                <w:sz w:val="28"/>
                <w:highlight w:val="none"/>
              </w:rPr>
            </w:pPr>
          </w:p>
        </w:tc>
      </w:tr>
      <w:tr w14:paraId="1F10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14:paraId="0008E193">
            <w:pPr>
              <w:spacing w:line="560" w:lineRule="exact"/>
              <w:jc w:val="center"/>
              <w:rPr>
                <w:color w:val="auto"/>
                <w:sz w:val="28"/>
                <w:highlight w:val="none"/>
              </w:rPr>
            </w:pPr>
            <w:r>
              <w:rPr>
                <w:color w:val="auto"/>
                <w:highlight w:val="none"/>
              </w:rPr>
              <w:t>6</w:t>
            </w:r>
          </w:p>
        </w:tc>
        <w:tc>
          <w:tcPr>
            <w:tcW w:w="3098" w:type="dxa"/>
            <w:tcBorders>
              <w:bottom w:val="single" w:color="000000" w:sz="4" w:space="0"/>
              <w:right w:val="single" w:color="000000" w:sz="4" w:space="0"/>
            </w:tcBorders>
            <w:vAlign w:val="center"/>
          </w:tcPr>
          <w:p w14:paraId="382C0607">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28A25B86">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5E89165A">
            <w:pPr>
              <w:spacing w:line="560" w:lineRule="exact"/>
              <w:jc w:val="center"/>
              <w:rPr>
                <w:color w:val="auto"/>
                <w:sz w:val="28"/>
                <w:highlight w:val="none"/>
              </w:rPr>
            </w:pPr>
          </w:p>
        </w:tc>
      </w:tr>
      <w:tr w14:paraId="7C7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234E221C">
            <w:pPr>
              <w:spacing w:line="560" w:lineRule="exact"/>
              <w:jc w:val="center"/>
              <w:rPr>
                <w:color w:val="auto"/>
                <w:sz w:val="28"/>
                <w:highlight w:val="none"/>
              </w:rPr>
            </w:pPr>
            <w:r>
              <w:rPr>
                <w:color w:val="auto"/>
                <w:highlight w:val="none"/>
              </w:rPr>
              <w:t>7</w:t>
            </w:r>
          </w:p>
        </w:tc>
        <w:tc>
          <w:tcPr>
            <w:tcW w:w="3098" w:type="dxa"/>
            <w:tcBorders>
              <w:bottom w:val="single" w:color="000000" w:sz="4" w:space="0"/>
              <w:right w:val="single" w:color="000000" w:sz="4" w:space="0"/>
            </w:tcBorders>
            <w:vAlign w:val="center"/>
          </w:tcPr>
          <w:p w14:paraId="4A5CD417">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57037831">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350AECE3">
            <w:pPr>
              <w:spacing w:line="560" w:lineRule="exact"/>
              <w:jc w:val="center"/>
              <w:rPr>
                <w:color w:val="auto"/>
                <w:sz w:val="28"/>
                <w:highlight w:val="none"/>
              </w:rPr>
            </w:pPr>
          </w:p>
        </w:tc>
      </w:tr>
      <w:tr w14:paraId="23F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3127F1D1">
            <w:pPr>
              <w:spacing w:line="560" w:lineRule="exact"/>
              <w:jc w:val="center"/>
              <w:rPr>
                <w:color w:val="auto"/>
                <w:sz w:val="28"/>
                <w:highlight w:val="none"/>
              </w:rPr>
            </w:pPr>
            <w:r>
              <w:rPr>
                <w:color w:val="auto"/>
                <w:highlight w:val="none"/>
              </w:rPr>
              <w:t>8</w:t>
            </w:r>
          </w:p>
        </w:tc>
        <w:tc>
          <w:tcPr>
            <w:tcW w:w="3098" w:type="dxa"/>
            <w:tcBorders>
              <w:bottom w:val="single" w:color="000000" w:sz="4" w:space="0"/>
              <w:right w:val="single" w:color="000000" w:sz="4" w:space="0"/>
            </w:tcBorders>
            <w:vAlign w:val="center"/>
          </w:tcPr>
          <w:p w14:paraId="26787CAB">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4FF679E6">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1AE6BD89">
            <w:pPr>
              <w:spacing w:line="560" w:lineRule="exact"/>
              <w:jc w:val="center"/>
              <w:rPr>
                <w:color w:val="auto"/>
                <w:sz w:val="28"/>
                <w:highlight w:val="none"/>
              </w:rPr>
            </w:pPr>
          </w:p>
        </w:tc>
      </w:tr>
      <w:tr w14:paraId="5D6E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14:paraId="412D16DB">
            <w:pPr>
              <w:spacing w:line="560" w:lineRule="exact"/>
              <w:jc w:val="center"/>
              <w:rPr>
                <w:color w:val="auto"/>
                <w:sz w:val="28"/>
                <w:highlight w:val="none"/>
              </w:rPr>
            </w:pPr>
            <w:r>
              <w:rPr>
                <w:color w:val="auto"/>
                <w:highlight w:val="none"/>
              </w:rPr>
              <w:t>9</w:t>
            </w:r>
          </w:p>
        </w:tc>
        <w:tc>
          <w:tcPr>
            <w:tcW w:w="3098" w:type="dxa"/>
            <w:tcBorders>
              <w:bottom w:val="single" w:color="000000" w:sz="4" w:space="0"/>
              <w:right w:val="single" w:color="000000" w:sz="4" w:space="0"/>
            </w:tcBorders>
            <w:vAlign w:val="center"/>
          </w:tcPr>
          <w:p w14:paraId="1FA0A80C">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3144BE8D">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5669521C">
            <w:pPr>
              <w:spacing w:line="560" w:lineRule="exact"/>
              <w:jc w:val="center"/>
              <w:rPr>
                <w:color w:val="auto"/>
                <w:sz w:val="28"/>
                <w:highlight w:val="none"/>
              </w:rPr>
            </w:pPr>
          </w:p>
        </w:tc>
      </w:tr>
      <w:tr w14:paraId="6911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14:paraId="7092C621">
            <w:pPr>
              <w:spacing w:line="560" w:lineRule="exact"/>
              <w:jc w:val="center"/>
              <w:rPr>
                <w:color w:val="auto"/>
                <w:sz w:val="28"/>
                <w:highlight w:val="none"/>
              </w:rPr>
            </w:pPr>
            <w:r>
              <w:rPr>
                <w:color w:val="auto"/>
                <w:highlight w:val="none"/>
              </w:rPr>
              <w:t>......</w:t>
            </w:r>
          </w:p>
        </w:tc>
        <w:tc>
          <w:tcPr>
            <w:tcW w:w="3098" w:type="dxa"/>
            <w:tcBorders>
              <w:bottom w:val="single" w:color="000000" w:sz="8" w:space="0"/>
              <w:right w:val="single" w:color="000000" w:sz="4" w:space="0"/>
            </w:tcBorders>
            <w:vAlign w:val="center"/>
          </w:tcPr>
          <w:p w14:paraId="472BF66D">
            <w:pPr>
              <w:spacing w:line="560" w:lineRule="exact"/>
              <w:jc w:val="center"/>
              <w:rPr>
                <w:color w:val="auto"/>
                <w:sz w:val="28"/>
                <w:highlight w:val="none"/>
              </w:rPr>
            </w:pPr>
          </w:p>
        </w:tc>
        <w:tc>
          <w:tcPr>
            <w:tcW w:w="2947" w:type="dxa"/>
            <w:tcBorders>
              <w:bottom w:val="single" w:color="000000" w:sz="8" w:space="0"/>
              <w:right w:val="single" w:color="000000" w:sz="4" w:space="0"/>
            </w:tcBorders>
            <w:vAlign w:val="center"/>
          </w:tcPr>
          <w:p w14:paraId="191A602D">
            <w:pPr>
              <w:spacing w:line="560" w:lineRule="exact"/>
              <w:jc w:val="center"/>
              <w:rPr>
                <w:color w:val="auto"/>
                <w:sz w:val="28"/>
                <w:highlight w:val="none"/>
              </w:rPr>
            </w:pPr>
          </w:p>
        </w:tc>
        <w:tc>
          <w:tcPr>
            <w:tcW w:w="2638" w:type="dxa"/>
            <w:tcBorders>
              <w:bottom w:val="single" w:color="000000" w:sz="8" w:space="0"/>
              <w:right w:val="single" w:color="000000" w:sz="8" w:space="0"/>
            </w:tcBorders>
            <w:vAlign w:val="center"/>
          </w:tcPr>
          <w:p w14:paraId="238626DC">
            <w:pPr>
              <w:spacing w:line="560" w:lineRule="exact"/>
              <w:jc w:val="center"/>
              <w:rPr>
                <w:color w:val="auto"/>
                <w:sz w:val="28"/>
                <w:highlight w:val="none"/>
              </w:rPr>
            </w:pPr>
          </w:p>
        </w:tc>
      </w:tr>
    </w:tbl>
    <w:p w14:paraId="30B8EF0E">
      <w:pPr>
        <w:tabs>
          <w:tab w:val="left" w:pos="0"/>
        </w:tabs>
        <w:adjustRightInd w:val="0"/>
        <w:snapToGrid w:val="0"/>
        <w:spacing w:before="156" w:beforeLines="50" w:line="300" w:lineRule="auto"/>
        <w:ind w:right="25" w:firstLine="452" w:firstLineChars="200"/>
        <w:rPr>
          <w:rFonts w:ascii="宋体"/>
          <w:color w:val="auto"/>
          <w:spacing w:val="8"/>
          <w:szCs w:val="21"/>
          <w:highlight w:val="none"/>
        </w:rPr>
      </w:pPr>
      <w:r>
        <w:rPr>
          <w:rFonts w:hint="eastAsia" w:ascii="宋体" w:hAnsi="宋体"/>
          <w:color w:val="auto"/>
          <w:spacing w:val="8"/>
          <w:szCs w:val="21"/>
          <w:highlight w:val="none"/>
        </w:rPr>
        <w:t>注：</w:t>
      </w:r>
      <w:r>
        <w:rPr>
          <w:rFonts w:ascii="宋体" w:hAnsi="宋体"/>
          <w:color w:val="auto"/>
          <w:spacing w:val="8"/>
          <w:szCs w:val="21"/>
          <w:highlight w:val="none"/>
        </w:rPr>
        <w:t>1</w:t>
      </w:r>
      <w:r>
        <w:rPr>
          <w:rFonts w:hint="eastAsia" w:ascii="宋体" w:hAnsi="宋体"/>
          <w:color w:val="auto"/>
          <w:spacing w:val="8"/>
          <w:szCs w:val="21"/>
          <w:highlight w:val="none"/>
        </w:rPr>
        <w:t>、“偏差表”应详细注明与《谈判文件》中各项要求有何不同，并说明其符合性（优于、或低于《谈判文件》要求）。</w:t>
      </w:r>
    </w:p>
    <w:p w14:paraId="235A78B2">
      <w:pPr>
        <w:tabs>
          <w:tab w:val="left" w:pos="0"/>
        </w:tabs>
        <w:adjustRightInd w:val="0"/>
        <w:snapToGrid w:val="0"/>
        <w:spacing w:before="156" w:beforeLines="50" w:line="300" w:lineRule="auto"/>
        <w:ind w:right="25" w:firstLine="452" w:firstLineChars="200"/>
        <w:rPr>
          <w:rFonts w:ascii="宋体"/>
          <w:color w:val="auto"/>
          <w:spacing w:val="8"/>
          <w:szCs w:val="21"/>
          <w:highlight w:val="none"/>
        </w:rPr>
      </w:pPr>
      <w:r>
        <w:rPr>
          <w:rFonts w:ascii="宋体" w:hAnsi="宋体"/>
          <w:color w:val="auto"/>
          <w:spacing w:val="8"/>
          <w:szCs w:val="21"/>
          <w:highlight w:val="none"/>
        </w:rPr>
        <w:t>2</w:t>
      </w:r>
      <w:r>
        <w:rPr>
          <w:rFonts w:hint="eastAsia" w:ascii="宋体" w:hAnsi="宋体"/>
          <w:color w:val="auto"/>
          <w:spacing w:val="8"/>
          <w:szCs w:val="21"/>
          <w:highlight w:val="none"/>
        </w:rPr>
        <w:t>、如投标条款与《谈判文件》要求一致，仍需在本表填列“与《谈判文件》所有条款要求一致，无偏差” 等相似表述。</w:t>
      </w:r>
    </w:p>
    <w:p w14:paraId="423A4A77">
      <w:pPr>
        <w:tabs>
          <w:tab w:val="left" w:pos="540"/>
        </w:tabs>
        <w:spacing w:line="440" w:lineRule="exact"/>
        <w:jc w:val="center"/>
        <w:rPr>
          <w:rFonts w:ascii="宋体" w:cs="楷体_GB2312"/>
          <w:color w:val="auto"/>
          <w:sz w:val="24"/>
          <w:highlight w:val="none"/>
        </w:rPr>
      </w:pPr>
    </w:p>
    <w:p w14:paraId="26A27F7D">
      <w:pPr>
        <w:tabs>
          <w:tab w:val="left" w:pos="540"/>
        </w:tabs>
        <w:spacing w:line="440" w:lineRule="exact"/>
        <w:jc w:val="center"/>
        <w:rPr>
          <w:rFonts w:ascii="宋体" w:cs="楷体_GB2312"/>
          <w:color w:val="auto"/>
          <w:sz w:val="24"/>
          <w:highlight w:val="none"/>
        </w:rPr>
      </w:pPr>
    </w:p>
    <w:p w14:paraId="4386AA15">
      <w:pPr>
        <w:tabs>
          <w:tab w:val="left" w:pos="540"/>
        </w:tabs>
        <w:spacing w:line="440" w:lineRule="exact"/>
        <w:jc w:val="center"/>
        <w:rPr>
          <w:rFonts w:ascii="宋体" w:cs="楷体_GB2312"/>
          <w:color w:val="auto"/>
          <w:sz w:val="24"/>
          <w:highlight w:val="none"/>
        </w:rPr>
      </w:pPr>
    </w:p>
    <w:p w14:paraId="0DD98EA5">
      <w:pPr>
        <w:widowControl w:val="0"/>
        <w:tabs>
          <w:tab w:val="left" w:pos="9365"/>
        </w:tabs>
        <w:snapToGrid w:val="0"/>
        <w:spacing w:after="56" w:line="560" w:lineRule="exact"/>
        <w:ind w:right="85"/>
        <w:jc w:val="left"/>
        <w:textAlignment w:val="top"/>
        <w:rPr>
          <w:color w:val="auto"/>
          <w:sz w:val="24"/>
          <w:szCs w:val="24"/>
          <w:highlight w:val="none"/>
        </w:rPr>
      </w:pPr>
      <w:bookmarkStart w:id="44" w:name="OLE_LINK28"/>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3E1A199F">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618C9BB0">
      <w:pPr>
        <w:autoSpaceDE w:val="0"/>
        <w:autoSpaceDN w:val="0"/>
        <w:adjustRightInd w:val="0"/>
        <w:spacing w:line="360" w:lineRule="auto"/>
        <w:ind w:right="-817"/>
        <w:jc w:val="left"/>
        <w:rPr>
          <w:rFonts w:ascii="宋体" w:cs="楷体_GB2312"/>
          <w:color w:val="auto"/>
          <w:sz w:val="24"/>
          <w:highlight w:val="none"/>
          <w:lang w:val="zh-CN"/>
        </w:rPr>
      </w:pPr>
      <w:r>
        <w:rPr>
          <w:rFonts w:hint="eastAsia" w:ascii="宋体" w:hAnsi="宋体" w:cs="楷体_GB2312"/>
          <w:color w:val="auto"/>
          <w:sz w:val="24"/>
          <w:highlight w:val="none"/>
          <w:lang w:val="zh-CN"/>
        </w:rPr>
        <w:t>日期：   年   月   日</w:t>
      </w:r>
    </w:p>
    <w:p w14:paraId="686C897F">
      <w:pPr>
        <w:tabs>
          <w:tab w:val="left" w:pos="540"/>
        </w:tabs>
        <w:spacing w:line="440" w:lineRule="exact"/>
        <w:jc w:val="center"/>
        <w:rPr>
          <w:color w:val="auto"/>
          <w:sz w:val="28"/>
          <w:highlight w:val="none"/>
        </w:rPr>
      </w:pPr>
    </w:p>
    <w:p w14:paraId="7F077E6B">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八、关于资格的声明函</w:t>
      </w:r>
      <w:bookmarkEnd w:id="44"/>
    </w:p>
    <w:p w14:paraId="009379AB">
      <w:pPr>
        <w:snapToGrid w:val="0"/>
        <w:spacing w:line="560" w:lineRule="exact"/>
        <w:ind w:firstLine="839"/>
        <w:rPr>
          <w:color w:val="auto"/>
          <w:highlight w:val="none"/>
        </w:rPr>
      </w:pPr>
    </w:p>
    <w:p w14:paraId="496C86DD">
      <w:pPr>
        <w:snapToGrid w:val="0"/>
        <w:spacing w:line="560" w:lineRule="exact"/>
        <w:rPr>
          <w:rFonts w:ascii="宋体"/>
          <w:color w:val="auto"/>
          <w:sz w:val="24"/>
          <w:highlight w:val="none"/>
        </w:rPr>
      </w:pPr>
      <w:r>
        <w:rPr>
          <w:rFonts w:hint="eastAsia" w:ascii="宋体" w:hAnsi="宋体"/>
          <w:color w:val="auto"/>
          <w:sz w:val="24"/>
          <w:highlight w:val="none"/>
        </w:rPr>
        <w:t>安阳市方正招标采购服务有限责任公司：</w:t>
      </w:r>
    </w:p>
    <w:p w14:paraId="3D2FA288">
      <w:pPr>
        <w:snapToGrid w:val="0"/>
        <w:spacing w:line="560" w:lineRule="exact"/>
        <w:ind w:firstLine="555"/>
        <w:rPr>
          <w:rFonts w:ascii="宋体"/>
          <w:color w:val="auto"/>
          <w:sz w:val="24"/>
          <w:highlight w:val="none"/>
        </w:rPr>
      </w:pPr>
      <w:r>
        <w:rPr>
          <w:rFonts w:hint="eastAsia" w:ascii="宋体" w:hAnsi="宋体"/>
          <w:color w:val="auto"/>
          <w:sz w:val="24"/>
          <w:highlight w:val="none"/>
        </w:rPr>
        <w:t>关于贵方项目编号为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的谈</w:t>
      </w:r>
      <w:r>
        <w:rPr>
          <w:rFonts w:ascii="宋体" w:hAnsi="宋体"/>
          <w:color w:val="auto"/>
          <w:sz w:val="24"/>
          <w:highlight w:val="none"/>
        </w:rPr>
        <w:t>判公告</w:t>
      </w:r>
      <w:r>
        <w:rPr>
          <w:rFonts w:hint="eastAsia" w:ascii="宋体" w:hAnsi="宋体"/>
          <w:color w:val="auto"/>
          <w:sz w:val="24"/>
          <w:highlight w:val="none"/>
        </w:rPr>
        <w:t>，本签字人愿意参加投标，提供谈判文件中规定的产品及服务，并声明提交下列文件是准确的、真实的和有效的。</w:t>
      </w:r>
    </w:p>
    <w:p w14:paraId="0E173AAD">
      <w:pPr>
        <w:numPr>
          <w:ilvl w:val="0"/>
          <w:numId w:val="1"/>
        </w:numPr>
        <w:snapToGrid w:val="0"/>
        <w:spacing w:line="560" w:lineRule="exact"/>
        <w:ind w:firstLine="555"/>
        <w:rPr>
          <w:rFonts w:ascii="宋体" w:hAnsi="宋体"/>
          <w:color w:val="auto"/>
          <w:sz w:val="24"/>
          <w:highlight w:val="none"/>
        </w:rPr>
      </w:pPr>
      <w:r>
        <w:rPr>
          <w:rFonts w:hint="eastAsia" w:ascii="宋体" w:hAnsi="宋体"/>
          <w:color w:val="auto"/>
          <w:sz w:val="24"/>
          <w:highlight w:val="none"/>
        </w:rPr>
        <w:t>《谈判文件》第一章“谈判公告”第二条所要求的资格性证明文件（证件或证明资料或承诺）</w:t>
      </w:r>
    </w:p>
    <w:p w14:paraId="65C0D6A7">
      <w:pPr>
        <w:snapToGrid w:val="0"/>
        <w:spacing w:line="560" w:lineRule="exact"/>
        <w:ind w:firstLine="555"/>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采购项目中必须的其他证件。</w:t>
      </w:r>
    </w:p>
    <w:p w14:paraId="7D106955">
      <w:pPr>
        <w:snapToGrid w:val="0"/>
        <w:spacing w:line="560" w:lineRule="exact"/>
        <w:ind w:firstLine="555"/>
        <w:rPr>
          <w:rFonts w:asci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本签字人确认资格文件中的说明是真实的、准确的。</w:t>
      </w:r>
    </w:p>
    <w:p w14:paraId="537A3677">
      <w:pPr>
        <w:snapToGrid w:val="0"/>
        <w:spacing w:line="560" w:lineRule="exact"/>
        <w:ind w:firstLine="555"/>
        <w:rPr>
          <w:rFonts w:ascii="宋体"/>
          <w:color w:val="auto"/>
          <w:sz w:val="24"/>
          <w:highlight w:val="none"/>
        </w:rPr>
      </w:pPr>
    </w:p>
    <w:p w14:paraId="5377FEAA">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517F007F">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32476F4E">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72BEA3AA">
      <w:pPr>
        <w:snapToGrid w:val="0"/>
        <w:spacing w:line="560" w:lineRule="exact"/>
        <w:rPr>
          <w:rFonts w:ascii="宋体"/>
          <w:color w:val="auto"/>
          <w:sz w:val="24"/>
          <w:highlight w:val="none"/>
        </w:rPr>
      </w:pPr>
    </w:p>
    <w:p w14:paraId="0600B7E8">
      <w:pPr>
        <w:tabs>
          <w:tab w:val="left" w:pos="540"/>
        </w:tabs>
        <w:spacing w:line="440" w:lineRule="exact"/>
        <w:jc w:val="center"/>
        <w:rPr>
          <w:color w:val="auto"/>
          <w:sz w:val="28"/>
          <w:highlight w:val="none"/>
        </w:rPr>
      </w:pPr>
      <w:r>
        <w:rPr>
          <w:rFonts w:ascii="宋体"/>
          <w:color w:val="auto"/>
          <w:sz w:val="24"/>
          <w:highlight w:val="none"/>
        </w:rPr>
        <w:br w:type="page"/>
      </w:r>
    </w:p>
    <w:p w14:paraId="755D9114">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九、反商业贿赂承诺书</w:t>
      </w:r>
    </w:p>
    <w:p w14:paraId="45186F43">
      <w:pPr>
        <w:rPr>
          <w:b/>
          <w:color w:val="auto"/>
          <w:sz w:val="48"/>
          <w:szCs w:val="48"/>
          <w:highlight w:val="none"/>
        </w:rPr>
      </w:pPr>
    </w:p>
    <w:p w14:paraId="03E7AB54">
      <w:pPr>
        <w:snapToGrid w:val="0"/>
        <w:spacing w:line="560" w:lineRule="atLeast"/>
        <w:ind w:right="56" w:firstLine="555"/>
        <w:rPr>
          <w:color w:val="auto"/>
          <w:sz w:val="24"/>
          <w:highlight w:val="none"/>
        </w:rPr>
      </w:pPr>
      <w:r>
        <w:rPr>
          <w:rFonts w:hint="eastAsia"/>
          <w:color w:val="auto"/>
          <w:sz w:val="24"/>
          <w:highlight w:val="none"/>
        </w:rPr>
        <w:t>我公司承诺：</w:t>
      </w:r>
    </w:p>
    <w:p w14:paraId="7CFD4CC7">
      <w:pPr>
        <w:snapToGrid w:val="0"/>
        <w:spacing w:line="560" w:lineRule="atLeast"/>
        <w:ind w:right="56" w:firstLine="555"/>
        <w:rPr>
          <w:color w:val="auto"/>
          <w:sz w:val="24"/>
          <w:highlight w:val="none"/>
        </w:rPr>
      </w:pPr>
      <w:r>
        <w:rPr>
          <w:rFonts w:hint="eastAsia"/>
          <w:color w:val="auto"/>
          <w:sz w:val="24"/>
          <w:highlight w:val="none"/>
        </w:rPr>
        <w:t>在采购活动中，我公司保证做到：</w:t>
      </w:r>
    </w:p>
    <w:p w14:paraId="0298A8C9">
      <w:pPr>
        <w:snapToGrid w:val="0"/>
        <w:spacing w:line="560" w:lineRule="atLeast"/>
        <w:ind w:right="56" w:firstLine="555"/>
        <w:rPr>
          <w:color w:val="auto"/>
          <w:sz w:val="24"/>
          <w:highlight w:val="none"/>
        </w:rPr>
      </w:pPr>
      <w:r>
        <w:rPr>
          <w:rFonts w:hint="eastAsia"/>
          <w:color w:val="auto"/>
          <w:sz w:val="24"/>
          <w:highlight w:val="none"/>
        </w:rPr>
        <w:t>一、公平竞争参加本次采购活动。</w:t>
      </w:r>
    </w:p>
    <w:p w14:paraId="0213EF97">
      <w:pPr>
        <w:snapToGrid w:val="0"/>
        <w:spacing w:line="560" w:lineRule="atLeast"/>
        <w:ind w:right="56" w:firstLine="555"/>
        <w:rPr>
          <w:color w:val="auto"/>
          <w:sz w:val="24"/>
          <w:highlight w:val="none"/>
        </w:rPr>
      </w:pPr>
      <w:r>
        <w:rPr>
          <w:rFonts w:hint="eastAsia"/>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A8FB998">
      <w:pPr>
        <w:snapToGrid w:val="0"/>
        <w:spacing w:line="560" w:lineRule="atLeast"/>
        <w:ind w:right="56" w:firstLine="555"/>
        <w:rPr>
          <w:color w:val="auto"/>
          <w:sz w:val="24"/>
          <w:highlight w:val="none"/>
        </w:rPr>
      </w:pPr>
      <w:r>
        <w:rPr>
          <w:rFonts w:hint="eastAsia"/>
          <w:color w:val="auto"/>
          <w:sz w:val="24"/>
          <w:highlight w:val="none"/>
        </w:rPr>
        <w:t>三、若出现上述行为，我公司及其参与投标的工作人员愿意接受按照国家法律法规等有关规定给予的处罚。</w:t>
      </w:r>
    </w:p>
    <w:p w14:paraId="20D5BEAB">
      <w:pPr>
        <w:snapToGrid w:val="0"/>
        <w:spacing w:line="560" w:lineRule="atLeast"/>
        <w:ind w:right="56" w:firstLine="555"/>
        <w:rPr>
          <w:color w:val="auto"/>
          <w:sz w:val="24"/>
          <w:highlight w:val="none"/>
        </w:rPr>
      </w:pPr>
    </w:p>
    <w:p w14:paraId="2908C5DD">
      <w:pPr>
        <w:snapToGrid w:val="0"/>
        <w:spacing w:line="560" w:lineRule="atLeast"/>
        <w:ind w:right="56" w:firstLine="555"/>
        <w:rPr>
          <w:color w:val="auto"/>
          <w:sz w:val="24"/>
          <w:highlight w:val="none"/>
        </w:rPr>
      </w:pPr>
    </w:p>
    <w:p w14:paraId="17CAA973">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25D76AF0">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1A982449">
      <w:pPr>
        <w:autoSpaceDE w:val="0"/>
        <w:autoSpaceDN w:val="0"/>
        <w:adjustRightInd w:val="0"/>
        <w:spacing w:line="480" w:lineRule="auto"/>
        <w:rPr>
          <w:rFonts w:ascii="宋体"/>
          <w:color w:val="auto"/>
          <w:sz w:val="24"/>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2B2AAD2B">
      <w:pPr>
        <w:tabs>
          <w:tab w:val="left" w:pos="540"/>
        </w:tabs>
        <w:spacing w:line="440" w:lineRule="exact"/>
        <w:jc w:val="center"/>
        <w:rPr>
          <w:color w:val="auto"/>
          <w:highlight w:val="none"/>
        </w:rPr>
      </w:pPr>
      <w:r>
        <w:rPr>
          <w:color w:val="auto"/>
          <w:highlight w:val="none"/>
        </w:rPr>
        <w:br w:type="page"/>
      </w:r>
    </w:p>
    <w:p w14:paraId="52388A04">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十、</w:t>
      </w:r>
      <w:bookmarkStart w:id="45" w:name="OLE_LINK19"/>
      <w:r>
        <w:rPr>
          <w:rFonts w:hint="eastAsia" w:ascii="黑体" w:hAnsi="黑体" w:eastAsia="黑体"/>
          <w:b/>
          <w:color w:val="auto"/>
          <w:sz w:val="30"/>
          <w:szCs w:val="30"/>
          <w:highlight w:val="none"/>
        </w:rPr>
        <w:t>履约承诺书</w:t>
      </w:r>
      <w:bookmarkEnd w:id="45"/>
    </w:p>
    <w:p w14:paraId="65871717">
      <w:pPr>
        <w:adjustRightInd w:val="0"/>
        <w:snapToGrid w:val="0"/>
        <w:spacing w:before="156" w:beforeLines="50" w:line="300" w:lineRule="auto"/>
        <w:ind w:right="56" w:firstLine="555"/>
        <w:rPr>
          <w:color w:val="auto"/>
          <w:sz w:val="24"/>
          <w:highlight w:val="none"/>
        </w:rPr>
      </w:pPr>
      <w:r>
        <w:rPr>
          <w:rFonts w:hint="eastAsia"/>
          <w:color w:val="auto"/>
          <w:sz w:val="24"/>
          <w:highlight w:val="none"/>
        </w:rPr>
        <w:t>一、我单位承诺：</w:t>
      </w:r>
    </w:p>
    <w:p w14:paraId="342C8DA7">
      <w:pPr>
        <w:adjustRightInd w:val="0"/>
        <w:snapToGrid w:val="0"/>
        <w:spacing w:before="156" w:beforeLines="50" w:line="300" w:lineRule="auto"/>
        <w:ind w:firstLine="555"/>
        <w:rPr>
          <w:color w:val="auto"/>
          <w:sz w:val="24"/>
          <w:highlight w:val="none"/>
        </w:rPr>
      </w:pPr>
      <w:r>
        <w:rPr>
          <w:rFonts w:hint="eastAsia"/>
          <w:color w:val="auto"/>
          <w:sz w:val="24"/>
          <w:highlight w:val="none"/>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人确定的技术及商务要求等履行。</w:t>
      </w:r>
    </w:p>
    <w:p w14:paraId="7F992F5B">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开标前已详细勘察现场，并按采购人现场条件及采购要求编制投标报价；我单位的投标报价括谈判文件所述报价组成的所有内容、并包括谈判文件未列明而与采购项目相关的、必须的所有款项及费用等达到交付使用及验收条件的所有一切风险、责任和义务的费用。</w:t>
      </w:r>
    </w:p>
    <w:p w14:paraId="6FDC6766">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我单位保证按谈判文件要求及投标承诺的质量诚信履约。</w:t>
      </w:r>
    </w:p>
    <w:p w14:paraId="4A385B78">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三）我单位保证在谈判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7A9267A8">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二、我单位承诺：</w:t>
      </w:r>
    </w:p>
    <w:p w14:paraId="2B71E361">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除法律规定的不可抗力因素外，我单位中标后以任何理由（包括违背上述承诺的事项）提出不能满足谈判文件技术、服务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highlight w:val="none"/>
        </w:rPr>
        <w:t>依据谈判文件“第三章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w:t>
      </w:r>
      <w:r>
        <w:rPr>
          <w:rFonts w:hint="eastAsia" w:ascii="宋体" w:hAnsi="宋体" w:cs="楷体_GB2312"/>
          <w:color w:val="auto"/>
          <w:sz w:val="24"/>
          <w:szCs w:val="22"/>
          <w:highlight w:val="none"/>
        </w:rPr>
        <w:t>承担相应法律责任及违约责任。</w:t>
      </w:r>
      <w:r>
        <w:rPr>
          <w:rFonts w:hint="eastAsia"/>
          <w:color w:val="auto"/>
          <w:sz w:val="24"/>
          <w:highlight w:val="none"/>
        </w:rPr>
        <w:t>情节严重的，由财政部门列入不良行为记录名单，在一至三年内禁止参加政府采购活动，并予以通报，处以罚金，给采购人及他人造成损失的，承担相应的赔偿责任。</w:t>
      </w:r>
    </w:p>
    <w:p w14:paraId="0C46EC99">
      <w:pPr>
        <w:tabs>
          <w:tab w:val="left" w:pos="9354"/>
        </w:tabs>
        <w:adjustRightInd w:val="0"/>
        <w:snapToGrid w:val="0"/>
        <w:spacing w:before="156" w:beforeLines="50" w:line="300" w:lineRule="auto"/>
        <w:ind w:firstLine="480" w:firstLineChars="200"/>
        <w:rPr>
          <w:color w:val="auto"/>
          <w:sz w:val="24"/>
          <w:highlight w:val="none"/>
        </w:rPr>
      </w:pPr>
    </w:p>
    <w:p w14:paraId="0D848E16">
      <w:pPr>
        <w:tabs>
          <w:tab w:val="left" w:pos="9354"/>
        </w:tabs>
        <w:adjustRightInd w:val="0"/>
        <w:snapToGrid w:val="0"/>
        <w:spacing w:before="156" w:beforeLines="50" w:line="300" w:lineRule="auto"/>
        <w:ind w:firstLine="480" w:firstLineChars="200"/>
        <w:rPr>
          <w:color w:val="auto"/>
          <w:sz w:val="24"/>
          <w:highlight w:val="none"/>
        </w:rPr>
      </w:pPr>
    </w:p>
    <w:p w14:paraId="4C615A1C">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11F8BF32">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0383BFC7">
      <w:pPr>
        <w:tabs>
          <w:tab w:val="left" w:pos="0"/>
        </w:tabs>
        <w:spacing w:line="500" w:lineRule="exact"/>
        <w:ind w:right="256"/>
        <w:jc w:val="right"/>
        <w:rPr>
          <w:rFonts w:ascii="宋体"/>
          <w:color w:val="auto"/>
          <w:spacing w:val="8"/>
          <w:sz w:val="24"/>
          <w:highlight w:val="none"/>
        </w:rPr>
      </w:pPr>
    </w:p>
    <w:p w14:paraId="2254443A">
      <w:pPr>
        <w:autoSpaceDE w:val="0"/>
        <w:autoSpaceDN w:val="0"/>
        <w:adjustRightInd w:val="0"/>
        <w:spacing w:line="360" w:lineRule="auto"/>
        <w:jc w:val="left"/>
        <w:rPr>
          <w:rFonts w:eastAsia="方正黑体简体"/>
          <w:b/>
          <w:color w:val="auto"/>
          <w:sz w:val="30"/>
          <w:szCs w:val="30"/>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2226A1C9">
      <w:pPr>
        <w:spacing w:line="240" w:lineRule="auto"/>
        <w:jc w:val="left"/>
        <w:textAlignment w:val="auto"/>
        <w:rPr>
          <w:rFonts w:eastAsia="方正黑体简体"/>
          <w:b/>
          <w:color w:val="auto"/>
          <w:sz w:val="30"/>
          <w:szCs w:val="30"/>
          <w:highlight w:val="none"/>
        </w:rPr>
      </w:pPr>
      <w:r>
        <w:rPr>
          <w:rFonts w:eastAsia="方正黑体简体"/>
          <w:b/>
          <w:color w:val="auto"/>
          <w:sz w:val="30"/>
          <w:szCs w:val="30"/>
          <w:highlight w:val="none"/>
        </w:rPr>
        <w:br w:type="page"/>
      </w:r>
    </w:p>
    <w:p w14:paraId="3EB4F942">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十一、资格要求相关证明材料（文件）</w:t>
      </w:r>
    </w:p>
    <w:p w14:paraId="54A40D4D">
      <w:pPr>
        <w:autoSpaceDE w:val="0"/>
        <w:autoSpaceDN w:val="0"/>
        <w:adjustRightInd w:val="0"/>
        <w:spacing w:line="360" w:lineRule="auto"/>
        <w:jc w:val="center"/>
        <w:rPr>
          <w:rFonts w:ascii="宋体"/>
          <w:color w:val="auto"/>
          <w:sz w:val="24"/>
          <w:szCs w:val="24"/>
          <w:highlight w:val="none"/>
        </w:rPr>
      </w:pPr>
    </w:p>
    <w:p w14:paraId="1134E89A">
      <w:pPr>
        <w:autoSpaceDE w:val="0"/>
        <w:autoSpaceDN w:val="0"/>
        <w:adjustRightInd w:val="0"/>
        <w:spacing w:line="360" w:lineRule="auto"/>
        <w:jc w:val="center"/>
        <w:rPr>
          <w:rFonts w:ascii="黑体" w:hAnsi="黑体" w:eastAsia="黑体"/>
          <w:b/>
          <w:color w:val="auto"/>
          <w:sz w:val="24"/>
          <w:szCs w:val="24"/>
          <w:highlight w:val="none"/>
        </w:rPr>
      </w:pPr>
      <w:r>
        <w:rPr>
          <w:rFonts w:hint="eastAsia" w:ascii="宋体"/>
          <w:color w:val="auto"/>
          <w:sz w:val="24"/>
          <w:szCs w:val="24"/>
          <w:highlight w:val="none"/>
        </w:rPr>
        <w:t>★★★【</w:t>
      </w:r>
      <w:r>
        <w:rPr>
          <w:rFonts w:hint="eastAsia" w:ascii="黑体" w:hAnsi="黑体" w:eastAsia="黑体"/>
          <w:b/>
          <w:color w:val="auto"/>
          <w:sz w:val="24"/>
          <w:szCs w:val="24"/>
          <w:highlight w:val="none"/>
        </w:rPr>
        <w:t>请注意：未按公告要求逐一提交资格证明资料的将导致无效投标，为近期常见的因不仔细而缺少某一资格证明资料、导致无效，特此提醒】</w:t>
      </w:r>
    </w:p>
    <w:p w14:paraId="339177FA">
      <w:pPr>
        <w:autoSpaceDE w:val="0"/>
        <w:autoSpaceDN w:val="0"/>
        <w:adjustRightInd w:val="0"/>
        <w:spacing w:line="360" w:lineRule="auto"/>
        <w:jc w:val="center"/>
        <w:rPr>
          <w:rFonts w:ascii="宋体"/>
          <w:color w:val="auto"/>
          <w:sz w:val="24"/>
          <w:szCs w:val="24"/>
          <w:highlight w:val="none"/>
        </w:rPr>
      </w:pPr>
    </w:p>
    <w:p w14:paraId="1AB89231">
      <w:pPr>
        <w:spacing w:line="588" w:lineRule="exact"/>
        <w:jc w:val="center"/>
        <w:rPr>
          <w:rFonts w:ascii="黑体" w:hAnsi="黑体" w:eastAsia="黑体"/>
          <w:b/>
          <w:color w:val="auto"/>
          <w:sz w:val="30"/>
          <w:szCs w:val="30"/>
          <w:highlight w:val="none"/>
        </w:rPr>
      </w:pPr>
      <w:r>
        <w:rPr>
          <w:rFonts w:hint="eastAsia" w:ascii="宋体"/>
          <w:color w:val="auto"/>
          <w:sz w:val="24"/>
          <w:szCs w:val="24"/>
          <w:highlight w:val="none"/>
        </w:rPr>
        <w:t>★★★【</w:t>
      </w:r>
      <w:r>
        <w:rPr>
          <w:rFonts w:hint="eastAsia" w:ascii="黑体" w:hAnsi="黑体" w:eastAsia="黑体"/>
          <w:b/>
          <w:color w:val="auto"/>
          <w:sz w:val="24"/>
          <w:szCs w:val="24"/>
          <w:highlight w:val="none"/>
        </w:rPr>
        <w:t>请注意：未按谈判公告要求电子签名&lt;签章&gt;的将导致无效投标，特此提醒】</w:t>
      </w:r>
      <w:r>
        <w:rPr>
          <w:rFonts w:ascii="黑体" w:hAnsi="黑体" w:eastAsia="黑体"/>
          <w:b/>
          <w:color w:val="auto"/>
          <w:sz w:val="30"/>
          <w:szCs w:val="30"/>
          <w:highlight w:val="none"/>
        </w:rPr>
        <w:br w:type="page"/>
      </w:r>
    </w:p>
    <w:p w14:paraId="2006728C">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近三年无重大违法记录的声明函</w:t>
      </w:r>
    </w:p>
    <w:p w14:paraId="3F4531B0">
      <w:pPr>
        <w:tabs>
          <w:tab w:val="left" w:pos="9365"/>
        </w:tabs>
        <w:spacing w:before="57" w:after="57" w:line="586" w:lineRule="atLeast"/>
        <w:ind w:right="85"/>
        <w:jc w:val="left"/>
        <w:textAlignment w:val="top"/>
        <w:rPr>
          <w:rFonts w:ascii="宋体" w:hAnsi="宋体"/>
          <w:color w:val="auto"/>
          <w:sz w:val="24"/>
          <w:szCs w:val="24"/>
          <w:highlight w:val="none"/>
        </w:rPr>
      </w:pPr>
    </w:p>
    <w:p w14:paraId="24BBEC3A">
      <w:pPr>
        <w:tabs>
          <w:tab w:val="left" w:pos="9365"/>
        </w:tabs>
        <w:spacing w:before="57" w:after="57" w:line="586" w:lineRule="atLeast"/>
        <w:ind w:right="85"/>
        <w:jc w:val="left"/>
        <w:textAlignment w:val="top"/>
        <w:rPr>
          <w:rFonts w:ascii="宋体" w:hAnsi="宋体"/>
          <w:color w:val="auto"/>
          <w:sz w:val="24"/>
          <w:szCs w:val="24"/>
          <w:highlight w:val="none"/>
        </w:rPr>
      </w:pPr>
      <w:r>
        <w:rPr>
          <w:rFonts w:hint="eastAsia" w:ascii="宋体" w:hAnsi="宋体"/>
          <w:color w:val="auto"/>
          <w:sz w:val="24"/>
          <w:highlight w:val="none"/>
        </w:rPr>
        <w:t>安阳市方正招标采购服务有限责任公司：</w:t>
      </w:r>
    </w:p>
    <w:p w14:paraId="3804573E">
      <w:pPr>
        <w:tabs>
          <w:tab w:val="left" w:pos="9365"/>
        </w:tabs>
        <w:spacing w:before="57" w:after="57" w:line="586" w:lineRule="atLeast"/>
        <w:ind w:right="85" w:firstLine="600" w:firstLineChars="250"/>
        <w:jc w:val="left"/>
        <w:textAlignment w:val="top"/>
        <w:rPr>
          <w:rFonts w:ascii="宋体" w:hAnsi="宋体"/>
          <w:color w:val="auto"/>
          <w:sz w:val="24"/>
          <w:szCs w:val="24"/>
          <w:highlight w:val="none"/>
        </w:rPr>
      </w:pPr>
      <w:r>
        <w:rPr>
          <w:rFonts w:hint="eastAsia" w:ascii="宋体" w:hAnsi="宋体"/>
          <w:color w:val="auto"/>
          <w:sz w:val="24"/>
          <w:szCs w:val="24"/>
          <w:highlight w:val="none"/>
        </w:rPr>
        <w:t>我单位在参加政府采购活动前三年内，在经营活动中没有重大违法记录。</w:t>
      </w:r>
    </w:p>
    <w:p w14:paraId="0A2BC214">
      <w:pPr>
        <w:tabs>
          <w:tab w:val="left" w:pos="9365"/>
        </w:tabs>
        <w:spacing w:before="57" w:after="57" w:line="586" w:lineRule="atLeast"/>
        <w:ind w:right="85" w:firstLine="600" w:firstLineChars="250"/>
        <w:jc w:val="left"/>
        <w:textAlignment w:val="top"/>
        <w:rPr>
          <w:rFonts w:ascii="宋体" w:hAnsi="宋体"/>
          <w:color w:val="auto"/>
          <w:sz w:val="24"/>
          <w:szCs w:val="24"/>
          <w:highlight w:val="none"/>
        </w:rPr>
      </w:pPr>
      <w:r>
        <w:rPr>
          <w:rFonts w:hint="eastAsia" w:ascii="宋体" w:hAnsi="宋体"/>
          <w:color w:val="auto"/>
          <w:sz w:val="24"/>
          <w:szCs w:val="24"/>
          <w:highlight w:val="none"/>
        </w:rPr>
        <w:t>特此承诺。</w:t>
      </w:r>
    </w:p>
    <w:p w14:paraId="753497C0">
      <w:pPr>
        <w:tabs>
          <w:tab w:val="left" w:pos="9365"/>
        </w:tabs>
        <w:spacing w:before="57" w:after="57" w:line="586" w:lineRule="atLeast"/>
        <w:ind w:right="85"/>
        <w:jc w:val="left"/>
        <w:textAlignment w:val="top"/>
        <w:rPr>
          <w:rFonts w:ascii="宋体" w:hAnsi="宋体"/>
          <w:color w:val="auto"/>
          <w:sz w:val="24"/>
          <w:szCs w:val="24"/>
          <w:highlight w:val="none"/>
        </w:rPr>
      </w:pPr>
    </w:p>
    <w:p w14:paraId="5CCBCA68">
      <w:pPr>
        <w:tabs>
          <w:tab w:val="left" w:pos="9365"/>
        </w:tabs>
        <w:spacing w:before="57" w:after="57" w:line="586" w:lineRule="atLeast"/>
        <w:ind w:right="85"/>
        <w:jc w:val="left"/>
        <w:textAlignment w:val="top"/>
        <w:rPr>
          <w:rFonts w:ascii="宋体" w:hAnsi="宋体"/>
          <w:color w:val="auto"/>
          <w:sz w:val="24"/>
          <w:szCs w:val="24"/>
          <w:highlight w:val="none"/>
        </w:rPr>
      </w:pPr>
    </w:p>
    <w:p w14:paraId="2C049B4C">
      <w:pPr>
        <w:tabs>
          <w:tab w:val="left" w:pos="9365"/>
        </w:tabs>
        <w:spacing w:before="57" w:after="57" w:line="586" w:lineRule="atLeast"/>
        <w:ind w:right="85"/>
        <w:jc w:val="left"/>
        <w:textAlignment w:val="top"/>
        <w:rPr>
          <w:rFonts w:ascii="宋体" w:hAnsi="宋体"/>
          <w:color w:val="auto"/>
          <w:sz w:val="24"/>
          <w:szCs w:val="24"/>
          <w:highlight w:val="none"/>
        </w:rPr>
      </w:pPr>
    </w:p>
    <w:p w14:paraId="48504D11">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2590BE50">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11948797">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05E6F321">
      <w:pPr>
        <w:snapToGrid w:val="0"/>
        <w:spacing w:line="560" w:lineRule="atLeast"/>
        <w:jc w:val="center"/>
        <w:rPr>
          <w:rFonts w:ascii="宋体"/>
          <w:color w:val="auto"/>
          <w:sz w:val="24"/>
          <w:highlight w:val="none"/>
        </w:rPr>
      </w:pPr>
      <w:r>
        <w:rPr>
          <w:rFonts w:ascii="宋体"/>
          <w:color w:val="auto"/>
          <w:sz w:val="24"/>
          <w:highlight w:val="none"/>
        </w:rPr>
        <w:br w:type="page"/>
      </w:r>
    </w:p>
    <w:p w14:paraId="2B48696B">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供应商负责人控股、设计等相关承诺书</w:t>
      </w:r>
    </w:p>
    <w:p w14:paraId="36FB2ABB">
      <w:pPr>
        <w:tabs>
          <w:tab w:val="left" w:pos="9365"/>
        </w:tabs>
        <w:spacing w:before="360" w:after="360" w:line="586" w:lineRule="atLeas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14:paraId="08C2C210">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采购活动中，我单位承诺满足以下要求：</w:t>
      </w:r>
    </w:p>
    <w:p w14:paraId="14E5F4BB">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一、单位负责人为同一人或者存在直接控股、管理关系的不同供应商，不参加同一合同项下的政府采购活动。</w:t>
      </w:r>
    </w:p>
    <w:p w14:paraId="18CBC878">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二、没有为本项目提供整体设计、规范编制或者项目管理、监理、检测等服务。</w:t>
      </w:r>
    </w:p>
    <w:p w14:paraId="558660E9">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三、若出现上述行为，我单位确</w:t>
      </w:r>
      <w:r>
        <w:rPr>
          <w:rFonts w:ascii="宋体" w:hAnsi="宋体"/>
          <w:color w:val="auto"/>
          <w:sz w:val="24"/>
          <w:szCs w:val="24"/>
          <w:highlight w:val="none"/>
        </w:rPr>
        <w:t>认投标无</w:t>
      </w:r>
      <w:r>
        <w:rPr>
          <w:rFonts w:hint="eastAsia" w:ascii="宋体" w:hAnsi="宋体"/>
          <w:color w:val="auto"/>
          <w:sz w:val="24"/>
          <w:szCs w:val="24"/>
          <w:highlight w:val="none"/>
        </w:rPr>
        <w:t>效、</w:t>
      </w:r>
      <w:r>
        <w:rPr>
          <w:rFonts w:ascii="宋体" w:hAnsi="宋体"/>
          <w:color w:val="auto"/>
          <w:sz w:val="24"/>
          <w:szCs w:val="24"/>
          <w:highlight w:val="none"/>
        </w:rPr>
        <w:t>承诺</w:t>
      </w:r>
      <w:r>
        <w:rPr>
          <w:rFonts w:hint="eastAsia" w:ascii="宋体" w:hAnsi="宋体"/>
          <w:color w:val="auto"/>
          <w:sz w:val="24"/>
          <w:szCs w:val="24"/>
          <w:highlight w:val="none"/>
        </w:rPr>
        <w:t>书</w:t>
      </w:r>
      <w:r>
        <w:rPr>
          <w:rFonts w:ascii="宋体" w:hAnsi="宋体"/>
          <w:color w:val="auto"/>
          <w:sz w:val="24"/>
          <w:szCs w:val="24"/>
          <w:highlight w:val="none"/>
        </w:rPr>
        <w:t>虚假</w:t>
      </w:r>
      <w:r>
        <w:rPr>
          <w:rFonts w:hint="eastAsia" w:ascii="宋体" w:hAnsi="宋体"/>
          <w:color w:val="auto"/>
          <w:sz w:val="24"/>
          <w:szCs w:val="24"/>
          <w:highlight w:val="none"/>
        </w:rPr>
        <w:t>，接受相关部门按照国家法律法规等有关规定对</w:t>
      </w:r>
      <w:r>
        <w:rPr>
          <w:rFonts w:ascii="宋体" w:hAnsi="宋体"/>
          <w:color w:val="auto"/>
          <w:sz w:val="24"/>
          <w:szCs w:val="24"/>
          <w:highlight w:val="none"/>
        </w:rPr>
        <w:t>我单位虚假承诺所</w:t>
      </w:r>
      <w:r>
        <w:rPr>
          <w:rFonts w:hint="eastAsia" w:ascii="宋体" w:hAnsi="宋体"/>
          <w:color w:val="auto"/>
          <w:sz w:val="24"/>
          <w:szCs w:val="24"/>
          <w:highlight w:val="none"/>
        </w:rPr>
        <w:t>给予的处理。</w:t>
      </w:r>
    </w:p>
    <w:p w14:paraId="098A5DF0">
      <w:pPr>
        <w:tabs>
          <w:tab w:val="left" w:pos="9365"/>
        </w:tabs>
        <w:spacing w:before="57" w:after="57" w:line="586" w:lineRule="atLeast"/>
        <w:ind w:right="85"/>
        <w:jc w:val="left"/>
        <w:textAlignment w:val="top"/>
        <w:rPr>
          <w:rFonts w:ascii="宋体" w:hAnsi="宋体"/>
          <w:color w:val="auto"/>
          <w:sz w:val="24"/>
          <w:szCs w:val="24"/>
          <w:highlight w:val="none"/>
        </w:rPr>
      </w:pPr>
      <w:r>
        <w:rPr>
          <w:rFonts w:ascii="宋体" w:hAnsi="宋体"/>
          <w:color w:val="auto"/>
          <w:sz w:val="24"/>
          <w:szCs w:val="24"/>
          <w:highlight w:val="none"/>
        </w:rPr>
        <w:t> </w:t>
      </w:r>
    </w:p>
    <w:p w14:paraId="45A92AD3">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投标人（电子签章）：</w:t>
      </w:r>
    </w:p>
    <w:p w14:paraId="17F9D572">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法定代表人（电子签名或签章）：</w:t>
      </w:r>
    </w:p>
    <w:p w14:paraId="370D19B1">
      <w:pPr>
        <w:widowControl w:val="0"/>
        <w:tabs>
          <w:tab w:val="left" w:pos="9365"/>
        </w:tabs>
        <w:snapToGrid w:val="0"/>
        <w:spacing w:after="56" w:line="560" w:lineRule="exact"/>
        <w:ind w:right="85"/>
        <w:jc w:val="left"/>
        <w:textAlignment w:val="top"/>
        <w:rPr>
          <w:color w:val="auto"/>
          <w:sz w:val="24"/>
          <w:szCs w:val="24"/>
          <w:highlight w:val="none"/>
        </w:rPr>
      </w:pPr>
      <w:r>
        <w:rPr>
          <w:rFonts w:hint="eastAsia" w:ascii="宋体" w:hAnsi="宋体"/>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69B14559">
      <w:pPr>
        <w:autoSpaceDE w:val="0"/>
        <w:autoSpaceDN w:val="0"/>
        <w:adjustRightInd w:val="0"/>
        <w:spacing w:line="360" w:lineRule="auto"/>
        <w:rPr>
          <w:rFonts w:ascii="黑体" w:hAnsi="黑体" w:eastAsia="黑体"/>
          <w:b/>
          <w:color w:val="auto"/>
          <w:sz w:val="30"/>
          <w:szCs w:val="30"/>
          <w:highlight w:val="none"/>
        </w:rPr>
      </w:pPr>
    </w:p>
    <w:p w14:paraId="7A4317F5">
      <w:pPr>
        <w:autoSpaceDE w:val="0"/>
        <w:autoSpaceDN w:val="0"/>
        <w:adjustRightInd w:val="0"/>
        <w:spacing w:line="360" w:lineRule="auto"/>
        <w:jc w:val="center"/>
        <w:rPr>
          <w:rFonts w:hint="eastAsia" w:ascii="宋体"/>
          <w:color w:val="auto"/>
          <w:sz w:val="24"/>
          <w:szCs w:val="24"/>
          <w:highlight w:val="none"/>
        </w:rPr>
      </w:pPr>
      <w:r>
        <w:rPr>
          <w:rFonts w:ascii="宋体"/>
          <w:color w:val="auto"/>
          <w:sz w:val="24"/>
          <w:szCs w:val="24"/>
          <w:highlight w:val="none"/>
        </w:rPr>
        <w:br w:type="page"/>
      </w:r>
    </w:p>
    <w:p w14:paraId="269E5942">
      <w:pPr>
        <w:autoSpaceDE w:val="0"/>
        <w:autoSpaceDN w:val="0"/>
        <w:adjustRightInd w:val="0"/>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投标承诺函</w:t>
      </w:r>
    </w:p>
    <w:p w14:paraId="312B6CE7">
      <w:pPr>
        <w:widowControl w:val="0"/>
        <w:autoSpaceDE w:val="0"/>
        <w:autoSpaceDN w:val="0"/>
        <w:adjustRightInd w:val="0"/>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（以投标承诺函形式，替代投标保证金的相关承诺事项）</w:t>
      </w:r>
    </w:p>
    <w:p w14:paraId="4F968757">
      <w:pPr>
        <w:widowControl w:val="0"/>
        <w:tabs>
          <w:tab w:val="left" w:pos="9365"/>
        </w:tabs>
        <w:spacing w:before="360" w:after="360" w:line="36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rPr>
        <w:t>安阳市方正招标采购服务有限责任公司</w:t>
      </w:r>
    </w:p>
    <w:p w14:paraId="46FE5C42">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w:t>
      </w:r>
      <w:r>
        <w:rPr>
          <w:rFonts w:hint="eastAsia"/>
          <w:color w:val="auto"/>
          <w:sz w:val="24"/>
          <w:highlight w:val="none"/>
        </w:rPr>
        <w:t>单位</w:t>
      </w:r>
      <w:r>
        <w:rPr>
          <w:rFonts w:hint="eastAsia" w:ascii="宋体" w:hAnsi="宋体"/>
          <w:color w:val="auto"/>
          <w:sz w:val="24"/>
          <w:szCs w:val="24"/>
          <w:highlight w:val="none"/>
        </w:rPr>
        <w:t>承诺：</w:t>
      </w:r>
    </w:p>
    <w:p w14:paraId="335AE7F7">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的原则自愿参加本项目投标；</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二、在政府采购活动中提供真实、准确、有效、合法的材料，不</w:t>
      </w:r>
      <w:r>
        <w:rPr>
          <w:rFonts w:hint="eastAsia" w:ascii="宋体" w:hAnsi="宋体"/>
          <w:color w:val="auto"/>
          <w:sz w:val="24"/>
          <w:szCs w:val="24"/>
          <w:highlight w:val="none"/>
          <w:lang w:val="zh-CN"/>
        </w:rPr>
        <w:t>提供虚假材料；</w:t>
      </w:r>
    </w:p>
    <w:p w14:paraId="2D7A0777">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三、</w:t>
      </w:r>
      <w:r>
        <w:rPr>
          <w:rFonts w:hint="eastAsia" w:ascii="宋体" w:hAnsi="宋体"/>
          <w:color w:val="auto"/>
          <w:sz w:val="24"/>
          <w:szCs w:val="24"/>
          <w:highlight w:val="none"/>
          <w:lang w:val="zh-CN"/>
        </w:rPr>
        <w:t>按照谈判文件规定，在提交投标文件截止时间后，在谈判文件规定的投标有效期限内不撤回投标文件；</w:t>
      </w:r>
    </w:p>
    <w:p w14:paraId="0D8CC870">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四、不</w:t>
      </w:r>
      <w:r>
        <w:rPr>
          <w:rFonts w:hint="eastAsia" w:ascii="宋体" w:hAnsi="宋体"/>
          <w:color w:val="auto"/>
          <w:sz w:val="24"/>
          <w:szCs w:val="24"/>
          <w:highlight w:val="none"/>
          <w:lang w:val="zh-CN"/>
        </w:rPr>
        <w:t>与其他投标人、采购人或采购代理机构串通或恶意串通。</w:t>
      </w:r>
    </w:p>
    <w:p w14:paraId="487A978C">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五、如我单位中标，</w:t>
      </w:r>
      <w:r>
        <w:rPr>
          <w:rFonts w:hint="eastAsia" w:ascii="宋体" w:hAnsi="宋体"/>
          <w:color w:val="auto"/>
          <w:sz w:val="24"/>
          <w:szCs w:val="24"/>
          <w:highlight w:val="none"/>
          <w:lang w:val="zh-CN"/>
        </w:rPr>
        <w:t>除不可抗拒力或谈判文件认可的情形外</w:t>
      </w:r>
      <w:r>
        <w:rPr>
          <w:rFonts w:hint="eastAsia" w:ascii="宋体" w:hAnsi="宋体"/>
          <w:color w:val="auto"/>
          <w:sz w:val="24"/>
          <w:szCs w:val="24"/>
          <w:highlight w:val="none"/>
        </w:rPr>
        <w:t>，我单位承诺及时领取中标通知书，</w:t>
      </w:r>
      <w:r>
        <w:rPr>
          <w:rFonts w:hint="eastAsia" w:ascii="宋体" w:hAnsi="宋体"/>
          <w:color w:val="auto"/>
          <w:sz w:val="24"/>
          <w:szCs w:val="24"/>
          <w:highlight w:val="none"/>
          <w:lang w:val="zh-CN"/>
        </w:rPr>
        <w:t>在成交通知书规定时间、地点与采购人签订合同；</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六、</w:t>
      </w:r>
      <w:r>
        <w:rPr>
          <w:rFonts w:hint="eastAsia" w:ascii="宋体" w:hAnsi="宋体"/>
          <w:color w:val="auto"/>
          <w:sz w:val="24"/>
          <w:szCs w:val="24"/>
          <w:highlight w:val="none"/>
          <w:lang w:val="zh-CN"/>
        </w:rPr>
        <w:t>遵守法律法规及谈判文件规定的其他情况；</w:t>
      </w:r>
    </w:p>
    <w:p w14:paraId="3E730159">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七、按</w:t>
      </w:r>
      <w:r>
        <w:rPr>
          <w:rFonts w:hint="eastAsia" w:ascii="宋体" w:hAnsi="宋体"/>
          <w:color w:val="auto"/>
          <w:sz w:val="24"/>
          <w:szCs w:val="24"/>
          <w:highlight w:val="none"/>
          <w:lang w:val="zh-CN"/>
        </w:rPr>
        <w:t>谈判</w:t>
      </w:r>
      <w:r>
        <w:rPr>
          <w:rFonts w:hint="eastAsia" w:ascii="宋体" w:hAnsi="宋体"/>
          <w:color w:val="auto"/>
          <w:sz w:val="24"/>
          <w:szCs w:val="24"/>
          <w:highlight w:val="none"/>
        </w:rPr>
        <w:t>文件规定及时缴纳中标服务费。</w:t>
      </w:r>
    </w:p>
    <w:p w14:paraId="18BE8DF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八、违背上述承诺事项的，我单位无条件接受以下责任追究：</w:t>
      </w:r>
    </w:p>
    <w:p w14:paraId="49E90288">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（一）法定责任：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0A106265">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给采购人及他人造成损失的，愿承担相应的赔偿责任。</w:t>
      </w:r>
    </w:p>
    <w:p w14:paraId="004A8A70">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（二）违约责任：</w:t>
      </w:r>
      <w:r>
        <w:rPr>
          <w:rFonts w:hint="eastAsia" w:ascii="宋体" w:hAnsi="宋体"/>
          <w:color w:val="auto"/>
          <w:sz w:val="24"/>
          <w:szCs w:val="24"/>
          <w:highlight w:val="none"/>
        </w:rPr>
        <w:t xml:space="preserve"> </w:t>
      </w:r>
    </w:p>
    <w:p w14:paraId="4965BFEB">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1、已中标的，中标（成交）无效；</w:t>
      </w:r>
    </w:p>
    <w:p w14:paraId="1E48A488">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14:paraId="16849126">
      <w:pPr>
        <w:widowControl w:val="0"/>
        <w:tabs>
          <w:tab w:val="left" w:pos="65"/>
        </w:tabs>
        <w:spacing w:line="460" w:lineRule="atLeast"/>
        <w:ind w:firstLine="480" w:firstLineChars="200"/>
        <w:textAlignment w:val="auto"/>
        <w:rPr>
          <w:color w:val="auto"/>
          <w:sz w:val="24"/>
          <w:highlight w:val="none"/>
          <w:lang w:val="zh-CN"/>
        </w:rPr>
      </w:pPr>
      <w:r>
        <w:rPr>
          <w:rFonts w:hint="eastAsia" w:ascii="宋体" w:hAnsi="宋体"/>
          <w:color w:val="auto"/>
          <w:sz w:val="24"/>
          <w:szCs w:val="24"/>
          <w:highlight w:val="none"/>
        </w:rPr>
        <w:t>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原则，在履行承诺前，代理机构将视我单位为失信企业、不予办理其后相关业务。</w:t>
      </w:r>
    </w:p>
    <w:p w14:paraId="42F47E71">
      <w:pPr>
        <w:widowControl w:val="0"/>
        <w:autoSpaceDE w:val="0"/>
        <w:autoSpaceDN w:val="0"/>
        <w:adjustRightInd w:val="0"/>
        <w:spacing w:line="460" w:lineRule="atLeast"/>
        <w:ind w:left="-2" w:right="-817" w:hanging="149"/>
        <w:textAlignment w:val="auto"/>
        <w:rPr>
          <w:rFonts w:ascii="宋体" w:cs="楷体_GB2312"/>
          <w:color w:val="auto"/>
          <w:sz w:val="24"/>
          <w:highlight w:val="none"/>
          <w:lang w:val="zh-CN"/>
        </w:rPr>
      </w:pPr>
    </w:p>
    <w:p w14:paraId="14CF047E">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投标人（电子签章）：</w:t>
      </w:r>
    </w:p>
    <w:p w14:paraId="7E06B034">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法定代表人（电子签名或签章）：</w:t>
      </w:r>
    </w:p>
    <w:p w14:paraId="37A9904F">
      <w:pPr>
        <w:widowControl w:val="0"/>
        <w:autoSpaceDE w:val="0"/>
        <w:autoSpaceDN w:val="0"/>
        <w:adjustRightInd w:val="0"/>
        <w:spacing w:line="240" w:lineRule="auto"/>
        <w:ind w:right="-816"/>
        <w:textAlignment w:val="auto"/>
        <w:rPr>
          <w:color w:val="auto"/>
          <w:sz w:val="24"/>
          <w:szCs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2FC3AD9C">
      <w:pPr>
        <w:autoSpaceDE w:val="0"/>
        <w:autoSpaceDN w:val="0"/>
        <w:adjustRightInd w:val="0"/>
        <w:spacing w:line="360" w:lineRule="auto"/>
        <w:jc w:val="center"/>
        <w:rPr>
          <w:rFonts w:ascii="宋体"/>
          <w:color w:val="auto"/>
          <w:sz w:val="24"/>
          <w:szCs w:val="24"/>
          <w:highlight w:val="none"/>
        </w:rPr>
      </w:pPr>
      <w:r>
        <w:rPr>
          <w:rFonts w:ascii="宋体"/>
          <w:color w:val="auto"/>
          <w:sz w:val="24"/>
          <w:szCs w:val="24"/>
          <w:highlight w:val="none"/>
        </w:rPr>
        <w:br w:type="page"/>
      </w:r>
    </w:p>
    <w:p w14:paraId="2E3E3BC6">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十二、采购项目及服务要求所需的其他材料</w:t>
      </w:r>
    </w:p>
    <w:p w14:paraId="180072C5">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w:t>
      </w:r>
      <w:r>
        <w:rPr>
          <w:rFonts w:hint="eastAsia"/>
          <w:color w:val="auto"/>
          <w:sz w:val="24"/>
          <w:szCs w:val="24"/>
          <w:highlight w:val="none"/>
        </w:rPr>
        <w:t>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1FD130E2">
      <w:pPr>
        <w:widowControl w:val="0"/>
        <w:snapToGrid w:val="0"/>
        <w:spacing w:line="560" w:lineRule="exact"/>
        <w:ind w:firstLine="555"/>
        <w:rPr>
          <w:rFonts w:ascii="宋体"/>
          <w:color w:val="auto"/>
          <w:sz w:val="24"/>
          <w:szCs w:val="24"/>
          <w:highlight w:val="none"/>
        </w:rPr>
      </w:pPr>
    </w:p>
    <w:p w14:paraId="0A4023DE">
      <w:pPr>
        <w:widowControl w:val="0"/>
        <w:snapToGrid w:val="0"/>
        <w:spacing w:line="560" w:lineRule="exact"/>
        <w:ind w:firstLine="555"/>
        <w:rPr>
          <w:rFonts w:ascii="宋体"/>
          <w:color w:val="auto"/>
          <w:sz w:val="24"/>
          <w:szCs w:val="24"/>
          <w:highlight w:val="none"/>
        </w:rPr>
      </w:pPr>
    </w:p>
    <w:p w14:paraId="06530B1F">
      <w:pPr>
        <w:autoSpaceDE w:val="0"/>
        <w:autoSpaceDN w:val="0"/>
        <w:adjustRightInd w:val="0"/>
        <w:spacing w:line="360" w:lineRule="auto"/>
        <w:jc w:val="center"/>
        <w:rPr>
          <w:rFonts w:eastAsia="方正黑体简体"/>
          <w:b/>
          <w:color w:val="auto"/>
          <w:sz w:val="30"/>
          <w:szCs w:val="30"/>
          <w:highlight w:val="none"/>
        </w:rPr>
      </w:pPr>
    </w:p>
    <w:p w14:paraId="4AF0956E">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十三、投标人须知所需的其他材料</w:t>
      </w:r>
    </w:p>
    <w:p w14:paraId="63219A04">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w:t>
      </w:r>
      <w:r>
        <w:rPr>
          <w:rFonts w:hint="eastAsia"/>
          <w:color w:val="auto"/>
          <w:sz w:val="24"/>
          <w:szCs w:val="24"/>
          <w:highlight w:val="none"/>
        </w:rPr>
        <w:t>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00598174">
      <w:pPr>
        <w:autoSpaceDE w:val="0"/>
        <w:autoSpaceDN w:val="0"/>
        <w:adjustRightInd w:val="0"/>
        <w:spacing w:line="360" w:lineRule="auto"/>
        <w:jc w:val="center"/>
        <w:rPr>
          <w:rFonts w:ascii="宋体"/>
          <w:color w:val="auto"/>
          <w:sz w:val="24"/>
          <w:szCs w:val="24"/>
          <w:highlight w:val="none"/>
        </w:rPr>
      </w:pPr>
    </w:p>
    <w:p w14:paraId="06BFCCFD">
      <w:pPr>
        <w:autoSpaceDE w:val="0"/>
        <w:autoSpaceDN w:val="0"/>
        <w:adjustRightInd w:val="0"/>
        <w:spacing w:line="360" w:lineRule="auto"/>
        <w:jc w:val="center"/>
        <w:rPr>
          <w:rFonts w:ascii="宋体"/>
          <w:color w:val="auto"/>
          <w:sz w:val="24"/>
          <w:szCs w:val="24"/>
          <w:highlight w:val="none"/>
        </w:rPr>
      </w:pPr>
    </w:p>
    <w:p w14:paraId="7B5FAD33">
      <w:pPr>
        <w:autoSpaceDE w:val="0"/>
        <w:autoSpaceDN w:val="0"/>
        <w:adjustRightInd w:val="0"/>
        <w:spacing w:line="360" w:lineRule="auto"/>
        <w:jc w:val="center"/>
        <w:rPr>
          <w:rFonts w:ascii="宋体"/>
          <w:color w:val="auto"/>
          <w:sz w:val="24"/>
          <w:szCs w:val="24"/>
          <w:highlight w:val="none"/>
        </w:rPr>
      </w:pPr>
    </w:p>
    <w:p w14:paraId="2F4E526D">
      <w:pPr>
        <w:autoSpaceDE w:val="0"/>
        <w:autoSpaceDN w:val="0"/>
        <w:adjustRightInd w:val="0"/>
        <w:spacing w:line="360" w:lineRule="auto"/>
        <w:jc w:val="center"/>
        <w:rPr>
          <w:rFonts w:eastAsia="方正黑体简体"/>
          <w:b/>
          <w:color w:val="auto"/>
          <w:sz w:val="30"/>
          <w:szCs w:val="30"/>
          <w:highlight w:val="none"/>
        </w:rPr>
      </w:pPr>
    </w:p>
    <w:p w14:paraId="21FFEA09">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十四、评审办法所需的其他材料</w:t>
      </w:r>
    </w:p>
    <w:p w14:paraId="7CC8B3C6">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w:t>
      </w:r>
      <w:r>
        <w:rPr>
          <w:rFonts w:hint="eastAsia"/>
          <w:color w:val="auto"/>
          <w:sz w:val="24"/>
          <w:szCs w:val="24"/>
          <w:highlight w:val="none"/>
        </w:rPr>
        <w:t>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3684783A">
      <w:pPr>
        <w:autoSpaceDE w:val="0"/>
        <w:autoSpaceDN w:val="0"/>
        <w:adjustRightInd w:val="0"/>
        <w:spacing w:line="360" w:lineRule="auto"/>
        <w:jc w:val="center"/>
        <w:rPr>
          <w:rFonts w:ascii="宋体"/>
          <w:color w:val="auto"/>
          <w:sz w:val="24"/>
          <w:szCs w:val="24"/>
          <w:highlight w:val="none"/>
        </w:rPr>
      </w:pPr>
    </w:p>
    <w:p w14:paraId="0CE5CF14">
      <w:pPr>
        <w:autoSpaceDE w:val="0"/>
        <w:autoSpaceDN w:val="0"/>
        <w:adjustRightInd w:val="0"/>
        <w:spacing w:line="360" w:lineRule="auto"/>
        <w:jc w:val="center"/>
        <w:rPr>
          <w:rFonts w:ascii="宋体"/>
          <w:color w:val="auto"/>
          <w:sz w:val="24"/>
          <w:szCs w:val="24"/>
          <w:highlight w:val="none"/>
        </w:rPr>
      </w:pPr>
    </w:p>
    <w:p w14:paraId="2E2CAD10">
      <w:pPr>
        <w:autoSpaceDE w:val="0"/>
        <w:autoSpaceDN w:val="0"/>
        <w:adjustRightInd w:val="0"/>
        <w:spacing w:line="360" w:lineRule="auto"/>
        <w:jc w:val="center"/>
        <w:rPr>
          <w:rFonts w:ascii="宋体"/>
          <w:color w:val="auto"/>
          <w:sz w:val="24"/>
          <w:szCs w:val="24"/>
          <w:highlight w:val="none"/>
        </w:rPr>
      </w:pPr>
    </w:p>
    <w:p w14:paraId="2CABE250">
      <w:pPr>
        <w:autoSpaceDE w:val="0"/>
        <w:autoSpaceDN w:val="0"/>
        <w:adjustRightInd w:val="0"/>
        <w:spacing w:line="360" w:lineRule="auto"/>
        <w:jc w:val="center"/>
        <w:rPr>
          <w:rFonts w:eastAsia="方正黑体简体"/>
          <w:b/>
          <w:color w:val="auto"/>
          <w:sz w:val="30"/>
          <w:szCs w:val="30"/>
          <w:highlight w:val="none"/>
        </w:rPr>
      </w:pPr>
    </w:p>
    <w:p w14:paraId="21F5023B">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十五、投标人认为有必要提交的其它材料</w:t>
      </w:r>
    </w:p>
    <w:p w14:paraId="6D53FA74">
      <w:pPr>
        <w:autoSpaceDE w:val="0"/>
        <w:autoSpaceDN w:val="0"/>
        <w:adjustRightInd w:val="0"/>
        <w:spacing w:line="360" w:lineRule="auto"/>
        <w:jc w:val="center"/>
        <w:rPr>
          <w:rFonts w:ascii="宋体"/>
          <w:color w:val="auto"/>
          <w:sz w:val="24"/>
          <w:szCs w:val="24"/>
          <w:highlight w:val="none"/>
        </w:rPr>
      </w:pPr>
      <w:r>
        <w:rPr>
          <w:rFonts w:hint="eastAsia" w:ascii="宋体" w:hAnsi="宋体"/>
          <w:color w:val="auto"/>
          <w:sz w:val="24"/>
          <w:szCs w:val="24"/>
          <w:highlight w:val="none"/>
        </w:rPr>
        <w:t>（由法定代表人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w:t>
      </w:r>
      <w:r>
        <w:rPr>
          <w:rFonts w:hint="eastAsia"/>
          <w:color w:val="auto"/>
          <w:sz w:val="24"/>
          <w:szCs w:val="24"/>
          <w:highlight w:val="none"/>
        </w:rPr>
        <w:t>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34E7F917">
      <w:pPr>
        <w:autoSpaceDE w:val="0"/>
        <w:autoSpaceDN w:val="0"/>
        <w:adjustRightInd w:val="0"/>
        <w:spacing w:line="360" w:lineRule="auto"/>
        <w:rPr>
          <w:rFonts w:ascii="宋体"/>
          <w:b/>
          <w:bCs/>
          <w:color w:val="auto"/>
          <w:sz w:val="24"/>
          <w:highlight w:val="none"/>
        </w:rPr>
      </w:pPr>
      <w:r>
        <w:rPr>
          <w:rFonts w:ascii="宋体" w:hAnsi="宋体"/>
          <w:color w:val="auto"/>
          <w:sz w:val="24"/>
          <w:szCs w:val="24"/>
          <w:highlight w:val="none"/>
        </w:rPr>
        <w:br w:type="page"/>
      </w:r>
    </w:p>
    <w:p w14:paraId="144CBA7D">
      <w:pPr>
        <w:spacing w:line="588"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十六、</w:t>
      </w:r>
      <w:r>
        <w:rPr>
          <w:rFonts w:ascii="黑体" w:hAnsi="黑体" w:eastAsia="黑体"/>
          <w:b/>
          <w:color w:val="auto"/>
          <w:sz w:val="30"/>
          <w:szCs w:val="30"/>
          <w:highlight w:val="none"/>
        </w:rPr>
        <w:t>中小企业声明函</w:t>
      </w:r>
      <w:r>
        <w:rPr>
          <w:rFonts w:hint="eastAsia" w:ascii="宋体" w:hAnsi="宋体" w:cs="MingLiU"/>
          <w:color w:val="auto"/>
          <w:spacing w:val="30"/>
          <w:sz w:val="24"/>
          <w:szCs w:val="24"/>
          <w:highlight w:val="none"/>
        </w:rPr>
        <w:t>（如有）</w:t>
      </w:r>
    </w:p>
    <w:p w14:paraId="139A8040">
      <w:pPr>
        <w:pStyle w:val="57"/>
        <w:shd w:val="clear" w:color="auto" w:fill="auto"/>
        <w:spacing w:after="0" w:line="518" w:lineRule="exact"/>
        <w:ind w:firstLine="680"/>
        <w:jc w:val="both"/>
        <w:rPr>
          <w:rFonts w:ascii="宋体" w:hAnsi="宋体" w:eastAsia="宋体"/>
          <w:color w:val="auto"/>
          <w:sz w:val="24"/>
          <w:szCs w:val="24"/>
          <w:highlight w:val="none"/>
        </w:rPr>
      </w:pPr>
    </w:p>
    <w:p w14:paraId="25FFFCF0">
      <w:pPr>
        <w:pStyle w:val="57"/>
        <w:shd w:val="clear" w:color="auto" w:fill="auto"/>
        <w:spacing w:after="0" w:line="518" w:lineRule="exact"/>
        <w:ind w:firstLine="680"/>
        <w:jc w:val="both"/>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本公司（联合体）郑重声明，根据《政府采购促进中小企业发展管理办法》（财库〔2020〕46号）的规定，本公司 (联合体</w:t>
      </w:r>
      <w:r>
        <w:rPr>
          <w:rFonts w:ascii="宋体" w:hAnsi="宋体" w:eastAsia="宋体"/>
          <w:i/>
          <w:color w:val="auto"/>
          <w:sz w:val="24"/>
          <w:szCs w:val="24"/>
          <w:highlight w:val="none"/>
        </w:rPr>
        <w:t>）</w:t>
      </w:r>
      <w:r>
        <w:rPr>
          <w:rStyle w:val="58"/>
          <w:rFonts w:ascii="宋体" w:hAnsi="宋体" w:eastAsia="宋体"/>
          <w:i w:val="0"/>
          <w:color w:val="auto"/>
          <w:sz w:val="24"/>
          <w:szCs w:val="24"/>
          <w:highlight w:val="none"/>
        </w:rPr>
        <w:t>参加</w:t>
      </w:r>
      <w:r>
        <w:rPr>
          <w:rStyle w:val="58"/>
          <w:rFonts w:ascii="宋体" w:hAnsi="宋体" w:eastAsia="宋体"/>
          <w:i w:val="0"/>
          <w:color w:val="auto"/>
          <w:sz w:val="24"/>
          <w:szCs w:val="24"/>
          <w:highlight w:val="none"/>
          <w:u w:val="single"/>
        </w:rPr>
        <w:t>（单位名称）</w:t>
      </w:r>
      <w:r>
        <w:rPr>
          <w:rStyle w:val="58"/>
          <w:rFonts w:ascii="宋体" w:hAnsi="宋体" w:eastAsia="宋体"/>
          <w:i w:val="0"/>
          <w:color w:val="auto"/>
          <w:sz w:val="24"/>
          <w:szCs w:val="24"/>
          <w:highlight w:val="none"/>
        </w:rPr>
        <w:t>的</w:t>
      </w:r>
      <w:r>
        <w:rPr>
          <w:rStyle w:val="58"/>
          <w:rFonts w:ascii="宋体" w:hAnsi="宋体" w:eastAsia="宋体"/>
          <w:i w:val="0"/>
          <w:color w:val="auto"/>
          <w:sz w:val="24"/>
          <w:szCs w:val="24"/>
          <w:highlight w:val="none"/>
          <w:u w:val="single"/>
        </w:rPr>
        <w:t>（项目名称）</w:t>
      </w:r>
      <w:r>
        <w:rPr>
          <w:rStyle w:val="58"/>
          <w:rFonts w:ascii="宋体" w:hAnsi="宋体" w:eastAsia="宋体"/>
          <w:i w:val="0"/>
          <w:color w:val="auto"/>
          <w:sz w:val="24"/>
          <w:szCs w:val="24"/>
          <w:highlight w:val="none"/>
        </w:rPr>
        <w:t>采购活动，</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由</w:t>
      </w:r>
      <w:r>
        <w:rPr>
          <w:rFonts w:ascii="宋体" w:hAnsi="宋体" w:eastAsia="宋体"/>
          <w:color w:val="auto"/>
          <w:sz w:val="24"/>
          <w:szCs w:val="24"/>
          <w:highlight w:val="none"/>
        </w:rPr>
        <w:t>符合政策要求的中小企业</w:t>
      </w:r>
      <w:r>
        <w:rPr>
          <w:rFonts w:hint="eastAsia" w:ascii="宋体" w:hAnsi="宋体" w:eastAsia="宋体"/>
          <w:color w:val="auto"/>
          <w:sz w:val="24"/>
          <w:szCs w:val="24"/>
          <w:highlight w:val="none"/>
        </w:rPr>
        <w:t>承接</w:t>
      </w:r>
      <w:r>
        <w:rPr>
          <w:rFonts w:ascii="宋体" w:hAnsi="宋体" w:eastAsia="宋体"/>
          <w:color w:val="auto"/>
          <w:sz w:val="24"/>
          <w:szCs w:val="24"/>
          <w:highlight w:val="none"/>
        </w:rPr>
        <w:t>。相关企业</w:t>
      </w:r>
      <w:r>
        <w:rPr>
          <w:rFonts w:ascii="宋体" w:hAnsi="宋体" w:eastAsia="宋体"/>
          <w:color w:val="auto"/>
          <w:sz w:val="24"/>
          <w:szCs w:val="24"/>
          <w:highlight w:val="none"/>
          <w:lang w:bidi="en-US"/>
        </w:rPr>
        <w:t>（</w:t>
      </w:r>
      <w:r>
        <w:rPr>
          <w:rFonts w:ascii="宋体" w:hAnsi="宋体" w:eastAsia="宋体"/>
          <w:color w:val="auto"/>
          <w:sz w:val="24"/>
          <w:szCs w:val="24"/>
          <w:highlight w:val="none"/>
        </w:rPr>
        <w:t>含联合体中的中小企业、签订分包意向协议的中小企业）的具体情况如下：</w:t>
      </w:r>
    </w:p>
    <w:p w14:paraId="2CE806A6">
      <w:pPr>
        <w:spacing w:line="588"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iCs/>
          <w:color w:val="auto"/>
          <w:sz w:val="24"/>
          <w:szCs w:val="24"/>
          <w:highlight w:val="none"/>
          <w:u w:val="single"/>
        </w:rPr>
        <w:t>(标的名称)</w:t>
      </w:r>
      <w:r>
        <w:rPr>
          <w:rFonts w:ascii="宋体" w:hAnsi="宋体"/>
          <w:iCs/>
          <w:color w:val="auto"/>
          <w:sz w:val="24"/>
          <w:szCs w:val="24"/>
          <w:highlight w:val="none"/>
        </w:rPr>
        <w:t>，</w:t>
      </w:r>
      <w:r>
        <w:rPr>
          <w:rFonts w:ascii="宋体" w:hAnsi="宋体"/>
          <w:color w:val="auto"/>
          <w:sz w:val="24"/>
          <w:szCs w:val="24"/>
          <w:highlight w:val="none"/>
        </w:rPr>
        <w:t>属于</w:t>
      </w:r>
      <w:r>
        <w:rPr>
          <w:rFonts w:ascii="宋体" w:hAnsi="宋体"/>
          <w:iCs/>
          <w:color w:val="auto"/>
          <w:sz w:val="24"/>
          <w:szCs w:val="24"/>
          <w:highlight w:val="none"/>
          <w:u w:val="single"/>
        </w:rPr>
        <w:t>（采购文件中明确的所属行业)</w:t>
      </w:r>
      <w:r>
        <w:rPr>
          <w:rFonts w:hint="eastAsia" w:ascii="宋体" w:hAnsi="宋体"/>
          <w:iCs/>
          <w:color w:val="auto"/>
          <w:sz w:val="24"/>
          <w:szCs w:val="24"/>
          <w:highlight w:val="none"/>
        </w:rPr>
        <w:t>，</w:t>
      </w:r>
      <w:r>
        <w:rPr>
          <w:rFonts w:ascii="宋体" w:hAnsi="宋体"/>
          <w:color w:val="auto"/>
          <w:sz w:val="24"/>
          <w:szCs w:val="24"/>
          <w:highlight w:val="none"/>
        </w:rPr>
        <w:t>承</w:t>
      </w:r>
      <w:r>
        <w:rPr>
          <w:rFonts w:hint="eastAsia" w:ascii="宋体" w:hAnsi="宋体"/>
          <w:color w:val="auto"/>
          <w:sz w:val="24"/>
          <w:szCs w:val="24"/>
          <w:highlight w:val="none"/>
        </w:rPr>
        <w:t>接</w:t>
      </w:r>
      <w:r>
        <w:rPr>
          <w:rFonts w:ascii="宋体" w:hAnsi="宋体"/>
          <w:iCs/>
          <w:color w:val="auto"/>
          <w:sz w:val="24"/>
          <w:szCs w:val="24"/>
          <w:highlight w:val="none"/>
        </w:rPr>
        <w:t>企业为</w:t>
      </w:r>
      <w:r>
        <w:rPr>
          <w:rFonts w:ascii="宋体" w:hAnsi="宋体"/>
          <w:color w:val="auto"/>
          <w:sz w:val="24"/>
          <w:szCs w:val="24"/>
          <w:highlight w:val="none"/>
          <w:u w:val="single"/>
        </w:rPr>
        <w:t>（企业名称)</w:t>
      </w:r>
      <w:r>
        <w:rPr>
          <w:rFonts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人，营业收</w:t>
      </w:r>
      <w:r>
        <w:rPr>
          <w:rFonts w:ascii="宋体" w:hAnsi="宋体"/>
          <w:iCs/>
          <w:color w:val="auto"/>
          <w:sz w:val="24"/>
          <w:szCs w:val="24"/>
          <w:highlight w:val="none"/>
        </w:rPr>
        <w:t>入为</w:t>
      </w:r>
      <w:r>
        <w:rPr>
          <w:rFonts w:ascii="宋体" w:hAnsi="宋体"/>
          <w:iCs/>
          <w:color w:val="auto"/>
          <w:sz w:val="24"/>
          <w:szCs w:val="24"/>
          <w:highlight w:val="none"/>
          <w:u w:val="single"/>
        </w:rPr>
        <w:t>_</w:t>
      </w:r>
      <w:r>
        <w:rPr>
          <w:rFonts w:hint="eastAsia" w:ascii="宋体" w:hAnsi="宋体"/>
          <w:iCs/>
          <w:color w:val="auto"/>
          <w:sz w:val="24"/>
          <w:szCs w:val="24"/>
          <w:highlight w:val="none"/>
          <w:u w:val="single"/>
        </w:rPr>
        <w:t xml:space="preserve">    </w:t>
      </w:r>
      <w:r>
        <w:rPr>
          <w:rFonts w:ascii="宋体" w:hAnsi="宋体"/>
          <w:iCs/>
          <w:color w:val="auto"/>
          <w:sz w:val="24"/>
          <w:szCs w:val="24"/>
          <w:highlight w:val="none"/>
        </w:rPr>
        <w:t>万元，资产总额为</w:t>
      </w:r>
      <w:r>
        <w:rPr>
          <w:rFonts w:hint="eastAsia" w:ascii="宋体" w:hAnsi="宋体"/>
          <w:iCs/>
          <w:color w:val="auto"/>
          <w:sz w:val="24"/>
          <w:szCs w:val="24"/>
          <w:highlight w:val="none"/>
          <w:u w:val="single"/>
        </w:rPr>
        <w:t xml:space="preserve">    </w:t>
      </w:r>
      <w:r>
        <w:rPr>
          <w:rFonts w:ascii="宋体" w:hAnsi="宋体"/>
          <w:iCs/>
          <w:color w:val="auto"/>
          <w:sz w:val="24"/>
          <w:szCs w:val="24"/>
          <w:highlight w:val="none"/>
          <w:u w:val="single"/>
        </w:rPr>
        <w:t>_</w:t>
      </w:r>
      <w:r>
        <w:rPr>
          <w:rFonts w:ascii="宋体" w:hAnsi="宋体"/>
          <w:iCs/>
          <w:color w:val="auto"/>
          <w:sz w:val="24"/>
          <w:szCs w:val="24"/>
          <w:highlight w:val="none"/>
        </w:rPr>
        <w:t>万元</w:t>
      </w:r>
      <w:r>
        <w:rPr>
          <w:rFonts w:hint="eastAsia" w:ascii="宋体" w:hAnsi="宋体"/>
          <w:iCs/>
          <w:color w:val="auto"/>
          <w:sz w:val="24"/>
          <w:szCs w:val="24"/>
          <w:highlight w:val="none"/>
          <w:vertAlign w:val="superscript"/>
        </w:rPr>
        <w:t>1</w:t>
      </w:r>
      <w:r>
        <w:rPr>
          <w:rFonts w:hint="eastAsia" w:ascii="宋体" w:hAnsi="宋体"/>
          <w:iCs/>
          <w:color w:val="auto"/>
          <w:sz w:val="24"/>
          <w:szCs w:val="24"/>
          <w:highlight w:val="none"/>
        </w:rPr>
        <w:t>，按采购文件中明确的所属行业</w:t>
      </w:r>
      <w:r>
        <w:rPr>
          <w:rFonts w:ascii="宋体" w:hAnsi="宋体"/>
          <w:color w:val="auto"/>
          <w:sz w:val="24"/>
          <w:szCs w:val="24"/>
          <w:highlight w:val="none"/>
        </w:rPr>
        <w:t>属于</w:t>
      </w:r>
      <w:r>
        <w:rPr>
          <w:rFonts w:ascii="宋体" w:hAnsi="宋体"/>
          <w:iCs/>
          <w:color w:val="auto"/>
          <w:sz w:val="24"/>
          <w:szCs w:val="24"/>
          <w:highlight w:val="none"/>
          <w:u w:val="single"/>
        </w:rPr>
        <w:t>（中型企业、小型企业、微型企业）</w:t>
      </w:r>
      <w:r>
        <w:rPr>
          <w:rFonts w:hint="eastAsia" w:ascii="宋体" w:hAnsi="宋体"/>
          <w:color w:val="auto"/>
          <w:sz w:val="24"/>
          <w:szCs w:val="24"/>
          <w:highlight w:val="none"/>
        </w:rPr>
        <w:t>；</w:t>
      </w:r>
    </w:p>
    <w:p w14:paraId="7C35E0BB">
      <w:pPr>
        <w:spacing w:line="588"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iCs/>
          <w:color w:val="auto"/>
          <w:sz w:val="24"/>
          <w:szCs w:val="24"/>
          <w:highlight w:val="none"/>
          <w:u w:val="single"/>
        </w:rPr>
        <w:t>(标的名称)</w:t>
      </w:r>
      <w:r>
        <w:rPr>
          <w:rFonts w:ascii="宋体" w:hAnsi="宋体"/>
          <w:iCs/>
          <w:color w:val="auto"/>
          <w:sz w:val="24"/>
          <w:szCs w:val="24"/>
          <w:highlight w:val="none"/>
        </w:rPr>
        <w:t>，</w:t>
      </w:r>
      <w:r>
        <w:rPr>
          <w:rFonts w:ascii="宋体" w:hAnsi="宋体"/>
          <w:color w:val="auto"/>
          <w:sz w:val="24"/>
          <w:szCs w:val="24"/>
          <w:highlight w:val="none"/>
        </w:rPr>
        <w:t>属于</w:t>
      </w:r>
      <w:r>
        <w:rPr>
          <w:rFonts w:ascii="宋体" w:hAnsi="宋体"/>
          <w:iCs/>
          <w:color w:val="auto"/>
          <w:sz w:val="24"/>
          <w:szCs w:val="24"/>
          <w:highlight w:val="none"/>
          <w:u w:val="single"/>
        </w:rPr>
        <w:t>（采购文件中明确的所属行业)</w:t>
      </w:r>
      <w:r>
        <w:rPr>
          <w:rFonts w:hint="eastAsia" w:ascii="宋体" w:hAnsi="宋体"/>
          <w:iCs/>
          <w:color w:val="auto"/>
          <w:sz w:val="24"/>
          <w:szCs w:val="24"/>
          <w:highlight w:val="none"/>
        </w:rPr>
        <w:t>，</w:t>
      </w:r>
      <w:r>
        <w:rPr>
          <w:rFonts w:ascii="宋体" w:hAnsi="宋体"/>
          <w:color w:val="auto"/>
          <w:sz w:val="24"/>
          <w:szCs w:val="24"/>
          <w:highlight w:val="none"/>
        </w:rPr>
        <w:t>承</w:t>
      </w:r>
      <w:r>
        <w:rPr>
          <w:rFonts w:hint="eastAsia" w:ascii="宋体" w:hAnsi="宋体"/>
          <w:color w:val="auto"/>
          <w:sz w:val="24"/>
          <w:szCs w:val="24"/>
          <w:highlight w:val="none"/>
        </w:rPr>
        <w:t>接</w:t>
      </w:r>
      <w:r>
        <w:rPr>
          <w:rFonts w:ascii="宋体" w:hAnsi="宋体"/>
          <w:iCs/>
          <w:color w:val="auto"/>
          <w:sz w:val="24"/>
          <w:szCs w:val="24"/>
          <w:highlight w:val="none"/>
        </w:rPr>
        <w:t>企业为</w:t>
      </w:r>
      <w:r>
        <w:rPr>
          <w:rFonts w:ascii="宋体" w:hAnsi="宋体"/>
          <w:color w:val="auto"/>
          <w:sz w:val="24"/>
          <w:szCs w:val="24"/>
          <w:highlight w:val="none"/>
          <w:u w:val="single"/>
        </w:rPr>
        <w:t>（企业名称)</w:t>
      </w:r>
      <w:r>
        <w:rPr>
          <w:rFonts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人，营业收</w:t>
      </w:r>
      <w:r>
        <w:rPr>
          <w:rFonts w:ascii="宋体" w:hAnsi="宋体"/>
          <w:iCs/>
          <w:color w:val="auto"/>
          <w:sz w:val="24"/>
          <w:szCs w:val="24"/>
          <w:highlight w:val="none"/>
        </w:rPr>
        <w:t>入为</w:t>
      </w:r>
      <w:r>
        <w:rPr>
          <w:rFonts w:ascii="宋体" w:hAnsi="宋体"/>
          <w:iCs/>
          <w:color w:val="auto"/>
          <w:sz w:val="24"/>
          <w:szCs w:val="24"/>
          <w:highlight w:val="none"/>
          <w:u w:val="single"/>
        </w:rPr>
        <w:t>_</w:t>
      </w:r>
      <w:r>
        <w:rPr>
          <w:rFonts w:hint="eastAsia" w:ascii="宋体" w:hAnsi="宋体"/>
          <w:iCs/>
          <w:color w:val="auto"/>
          <w:sz w:val="24"/>
          <w:szCs w:val="24"/>
          <w:highlight w:val="none"/>
          <w:u w:val="single"/>
        </w:rPr>
        <w:t xml:space="preserve">    </w:t>
      </w:r>
      <w:r>
        <w:rPr>
          <w:rFonts w:ascii="宋体" w:hAnsi="宋体"/>
          <w:iCs/>
          <w:color w:val="auto"/>
          <w:sz w:val="24"/>
          <w:szCs w:val="24"/>
          <w:highlight w:val="none"/>
        </w:rPr>
        <w:t>万元，资产总额为</w:t>
      </w:r>
      <w:r>
        <w:rPr>
          <w:rFonts w:hint="eastAsia" w:ascii="宋体" w:hAnsi="宋体"/>
          <w:iCs/>
          <w:color w:val="auto"/>
          <w:sz w:val="24"/>
          <w:szCs w:val="24"/>
          <w:highlight w:val="none"/>
          <w:u w:val="single"/>
        </w:rPr>
        <w:t xml:space="preserve">    </w:t>
      </w:r>
      <w:r>
        <w:rPr>
          <w:rFonts w:ascii="宋体" w:hAnsi="宋体"/>
          <w:iCs/>
          <w:color w:val="auto"/>
          <w:sz w:val="24"/>
          <w:szCs w:val="24"/>
          <w:highlight w:val="none"/>
          <w:u w:val="single"/>
        </w:rPr>
        <w:t>_</w:t>
      </w:r>
      <w:r>
        <w:rPr>
          <w:rFonts w:ascii="宋体" w:hAnsi="宋体"/>
          <w:iCs/>
          <w:color w:val="auto"/>
          <w:sz w:val="24"/>
          <w:szCs w:val="24"/>
          <w:highlight w:val="none"/>
        </w:rPr>
        <w:t>万元</w:t>
      </w:r>
      <w:r>
        <w:rPr>
          <w:rFonts w:hint="eastAsia" w:ascii="宋体" w:hAnsi="宋体"/>
          <w:iCs/>
          <w:color w:val="auto"/>
          <w:sz w:val="24"/>
          <w:szCs w:val="24"/>
          <w:highlight w:val="none"/>
        </w:rPr>
        <w:t>，按采购文件中明确的所属行业</w:t>
      </w:r>
      <w:r>
        <w:rPr>
          <w:rFonts w:ascii="宋体" w:hAnsi="宋体"/>
          <w:color w:val="auto"/>
          <w:sz w:val="24"/>
          <w:szCs w:val="24"/>
          <w:highlight w:val="none"/>
        </w:rPr>
        <w:t>属于</w:t>
      </w:r>
      <w:r>
        <w:rPr>
          <w:rFonts w:ascii="宋体" w:hAnsi="宋体"/>
          <w:iCs/>
          <w:color w:val="auto"/>
          <w:sz w:val="24"/>
          <w:szCs w:val="24"/>
          <w:highlight w:val="none"/>
          <w:u w:val="single"/>
        </w:rPr>
        <w:t>（中型企业、小型企业、微型企业）</w:t>
      </w:r>
      <w:r>
        <w:rPr>
          <w:rFonts w:hint="eastAsia" w:ascii="宋体" w:hAnsi="宋体"/>
          <w:color w:val="auto"/>
          <w:sz w:val="24"/>
          <w:szCs w:val="24"/>
          <w:highlight w:val="none"/>
        </w:rPr>
        <w:t>；</w:t>
      </w:r>
    </w:p>
    <w:p w14:paraId="28CBCE4D">
      <w:pPr>
        <w:pStyle w:val="57"/>
        <w:shd w:val="clear" w:color="auto" w:fill="auto"/>
        <w:spacing w:after="0" w:line="518" w:lineRule="exact"/>
        <w:ind w:firstLine="680"/>
        <w:jc w:val="both"/>
        <w:rPr>
          <w:rFonts w:ascii="宋体" w:hAnsi="宋体" w:eastAsia="宋体"/>
          <w:color w:val="auto"/>
          <w:sz w:val="24"/>
          <w:szCs w:val="24"/>
          <w:highlight w:val="none"/>
        </w:rPr>
      </w:pPr>
      <w:r>
        <w:rPr>
          <w:rFonts w:hint="eastAsia" w:ascii="宋体" w:hAnsi="宋体" w:eastAsia="宋体"/>
          <w:color w:val="auto"/>
          <w:sz w:val="24"/>
          <w:szCs w:val="24"/>
          <w:highlight w:val="none"/>
        </w:rPr>
        <w:t>……</w:t>
      </w:r>
    </w:p>
    <w:p w14:paraId="70C48718">
      <w:pPr>
        <w:pStyle w:val="57"/>
        <w:shd w:val="clear" w:color="auto" w:fill="auto"/>
        <w:spacing w:after="0" w:line="518" w:lineRule="exact"/>
        <w:ind w:firstLine="680"/>
        <w:jc w:val="both"/>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4D785952">
      <w:pPr>
        <w:pStyle w:val="57"/>
        <w:shd w:val="clear" w:color="auto" w:fill="auto"/>
        <w:spacing w:after="0" w:line="518" w:lineRule="exact"/>
        <w:ind w:firstLine="680"/>
        <w:jc w:val="both"/>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5D4EBD1D">
      <w:pPr>
        <w:pStyle w:val="57"/>
        <w:shd w:val="clear" w:color="auto" w:fill="auto"/>
        <w:spacing w:after="228" w:line="300" w:lineRule="exact"/>
        <w:rPr>
          <w:rFonts w:ascii="宋体" w:hAnsi="宋体" w:eastAsia="宋体"/>
          <w:color w:val="auto"/>
          <w:sz w:val="24"/>
          <w:szCs w:val="24"/>
          <w:highlight w:val="none"/>
        </w:rPr>
      </w:pPr>
    </w:p>
    <w:p w14:paraId="01FFE880">
      <w:pPr>
        <w:pStyle w:val="57"/>
        <w:shd w:val="clear" w:color="auto" w:fill="auto"/>
        <w:spacing w:after="228" w:line="300" w:lineRule="exact"/>
        <w:ind w:left="3900"/>
        <w:rPr>
          <w:rFonts w:ascii="宋体" w:hAnsi="宋体" w:eastAsia="宋体"/>
          <w:color w:val="auto"/>
          <w:sz w:val="24"/>
          <w:szCs w:val="24"/>
          <w:highlight w:val="none"/>
        </w:rPr>
      </w:pPr>
    </w:p>
    <w:p w14:paraId="5281C633">
      <w:pPr>
        <w:pStyle w:val="57"/>
        <w:shd w:val="clear" w:color="auto" w:fill="auto"/>
        <w:spacing w:after="228" w:line="300" w:lineRule="exact"/>
        <w:ind w:firstLine="4536" w:firstLineChars="1512"/>
        <w:rPr>
          <w:rFonts w:ascii="宋体" w:hAnsi="宋体" w:eastAsia="宋体"/>
          <w:color w:val="auto"/>
          <w:sz w:val="24"/>
          <w:szCs w:val="24"/>
          <w:highlight w:val="none"/>
        </w:rPr>
      </w:pPr>
      <w:r>
        <w:rPr>
          <w:rFonts w:ascii="宋体" w:hAnsi="宋体" w:eastAsia="宋体"/>
          <w:color w:val="auto"/>
          <w:sz w:val="24"/>
          <w:szCs w:val="24"/>
          <w:highlight w:val="none"/>
        </w:rPr>
        <w:t>企业名称（盖章</w:t>
      </w:r>
      <w:r>
        <w:rPr>
          <w:rFonts w:ascii="宋体" w:hAnsi="宋体" w:eastAsia="宋体"/>
          <w:color w:val="auto"/>
          <w:sz w:val="24"/>
          <w:szCs w:val="24"/>
          <w:highlight w:val="none"/>
          <w:lang w:bidi="en-US"/>
        </w:rPr>
        <w:t>）</w:t>
      </w:r>
    </w:p>
    <w:p w14:paraId="098A7FE8">
      <w:pPr>
        <w:autoSpaceDE w:val="0"/>
        <w:autoSpaceDN w:val="0"/>
        <w:adjustRightInd w:val="0"/>
        <w:spacing w:line="360" w:lineRule="auto"/>
        <w:ind w:firstLine="4536" w:firstLineChars="1890"/>
        <w:jc w:val="left"/>
        <w:rPr>
          <w:rFonts w:ascii="宋体" w:hAnsi="宋体"/>
          <w:color w:val="auto"/>
          <w:sz w:val="24"/>
          <w:szCs w:val="24"/>
          <w:highlight w:val="none"/>
        </w:rPr>
      </w:pPr>
      <w:r>
        <w:rPr>
          <w:rFonts w:ascii="宋体" w:hAnsi="宋体"/>
          <w:color w:val="auto"/>
          <w:sz w:val="24"/>
          <w:szCs w:val="24"/>
          <w:highlight w:val="none"/>
        </w:rPr>
        <w:t>日期：</w:t>
      </w:r>
    </w:p>
    <w:p w14:paraId="635BD3AA">
      <w:pPr>
        <w:autoSpaceDE w:val="0"/>
        <w:autoSpaceDN w:val="0"/>
        <w:adjustRightInd w:val="0"/>
        <w:spacing w:line="360" w:lineRule="auto"/>
        <w:jc w:val="center"/>
        <w:rPr>
          <w:rFonts w:ascii="宋体" w:hAnsi="宋体"/>
          <w:color w:val="auto"/>
          <w:sz w:val="24"/>
          <w:szCs w:val="24"/>
          <w:highlight w:val="none"/>
        </w:rPr>
      </w:pPr>
    </w:p>
    <w:p w14:paraId="7386B9B9">
      <w:pPr>
        <w:autoSpaceDE w:val="0"/>
        <w:autoSpaceDN w:val="0"/>
        <w:adjustRightInd w:val="0"/>
        <w:spacing w:line="360" w:lineRule="auto"/>
        <w:jc w:val="center"/>
        <w:rPr>
          <w:rFonts w:ascii="宋体" w:hAnsi="宋体"/>
          <w:color w:val="auto"/>
          <w:sz w:val="24"/>
          <w:szCs w:val="24"/>
          <w:highlight w:val="none"/>
        </w:rPr>
      </w:pPr>
    </w:p>
    <w:p w14:paraId="4ACA2375">
      <w:pPr>
        <w:widowControl w:val="0"/>
        <w:tabs>
          <w:tab w:val="left" w:pos="9365"/>
        </w:tabs>
        <w:snapToGrid w:val="0"/>
        <w:spacing w:after="56" w:line="240" w:lineRule="auto"/>
        <w:ind w:right="85"/>
        <w:jc w:val="center"/>
        <w:textAlignment w:val="top"/>
        <w:rPr>
          <w:rStyle w:val="60"/>
          <w:rFonts w:ascii="宋体" w:hAnsi="宋体" w:eastAsia="宋体"/>
          <w:color w:val="auto"/>
          <w:highlight w:val="none"/>
        </w:rPr>
      </w:pPr>
      <w:r>
        <w:rPr>
          <w:rFonts w:hint="eastAsia" w:ascii="宋体" w:hAnsi="宋体"/>
          <w:color w:val="auto"/>
          <w:sz w:val="18"/>
          <w:szCs w:val="18"/>
          <w:highlight w:val="none"/>
        </w:rPr>
        <w:t>注：1、</w:t>
      </w:r>
      <w:r>
        <w:rPr>
          <w:rStyle w:val="59"/>
          <w:rFonts w:ascii="宋体" w:hAnsi="宋体" w:eastAsia="宋体"/>
          <w:color w:val="auto"/>
          <w:sz w:val="18"/>
          <w:szCs w:val="18"/>
          <w:highlight w:val="none"/>
          <w:vertAlign w:val="superscript"/>
        </w:rPr>
        <w:t>1</w:t>
      </w:r>
      <w:r>
        <w:rPr>
          <w:rStyle w:val="60"/>
          <w:rFonts w:ascii="宋体" w:hAnsi="宋体" w:eastAsia="宋体"/>
          <w:color w:val="auto"/>
          <w:highlight w:val="none"/>
        </w:rPr>
        <w:t>从业人员、营业收入、资产总额填报上一年度数据，无上一年度数据的新成立企业可不填报</w:t>
      </w:r>
      <w:r>
        <w:rPr>
          <w:rStyle w:val="60"/>
          <w:rFonts w:hint="eastAsia" w:ascii="宋体" w:hAnsi="宋体" w:eastAsia="宋体"/>
          <w:color w:val="auto"/>
          <w:highlight w:val="none"/>
        </w:rPr>
        <w:t>。</w:t>
      </w:r>
    </w:p>
    <w:p w14:paraId="40F45E61">
      <w:pPr>
        <w:widowControl w:val="0"/>
        <w:tabs>
          <w:tab w:val="left" w:pos="9365"/>
        </w:tabs>
        <w:snapToGrid w:val="0"/>
        <w:spacing w:after="56" w:line="240" w:lineRule="auto"/>
        <w:ind w:right="85"/>
        <w:jc w:val="center"/>
        <w:textAlignment w:val="top"/>
        <w:rPr>
          <w:rFonts w:ascii="宋体" w:hAnsi="宋体" w:cs="MingLiU"/>
          <w:color w:val="auto"/>
          <w:sz w:val="18"/>
          <w:szCs w:val="18"/>
          <w:highlight w:val="none"/>
          <w:lang w:val="zh-CN" w:bidi="zh-CN"/>
        </w:rPr>
      </w:pPr>
      <w:r>
        <w:rPr>
          <w:rStyle w:val="60"/>
          <w:rFonts w:hint="eastAsia" w:ascii="宋体" w:hAnsi="宋体" w:eastAsia="宋体"/>
          <w:color w:val="auto"/>
          <w:highlight w:val="none"/>
        </w:rPr>
        <w:t xml:space="preserve">           </w:t>
      </w:r>
      <w:r>
        <w:rPr>
          <w:rFonts w:hint="eastAsia" w:ascii="宋体" w:hAnsi="宋体"/>
          <w:color w:val="auto"/>
          <w:sz w:val="18"/>
          <w:szCs w:val="18"/>
          <w:highlight w:val="none"/>
        </w:rPr>
        <w:t>2、</w:t>
      </w:r>
      <w:r>
        <w:rPr>
          <w:rStyle w:val="60"/>
          <w:rFonts w:hint="eastAsia" w:ascii="宋体" w:hAnsi="宋体" w:eastAsia="宋体"/>
          <w:color w:val="auto"/>
          <w:highlight w:val="none"/>
        </w:rPr>
        <w:t>谈判文件中未标注“专门面向中小企业采购”的未预留（非预留）项目，投标人可以根据自身情况提供《中小企业声明函》，未提供《中小企业声明函》的、将不享受小微企业价格扣除扶持政策。</w:t>
      </w:r>
    </w:p>
    <w:p w14:paraId="06301223">
      <w:pPr>
        <w:widowControl w:val="0"/>
        <w:tabs>
          <w:tab w:val="left" w:pos="9365"/>
        </w:tabs>
        <w:snapToGrid w:val="0"/>
        <w:spacing w:after="56" w:line="560" w:lineRule="exact"/>
        <w:ind w:right="85"/>
        <w:jc w:val="center"/>
        <w:textAlignment w:val="top"/>
        <w:rPr>
          <w:rFonts w:ascii="宋体" w:hAnsi="宋体"/>
          <w:color w:val="auto"/>
          <w:sz w:val="24"/>
          <w:highlight w:val="none"/>
        </w:rPr>
      </w:pPr>
    </w:p>
    <w:p w14:paraId="67AAD99F">
      <w:pPr>
        <w:spacing w:line="588" w:lineRule="exact"/>
        <w:jc w:val="center"/>
        <w:rPr>
          <w:rFonts w:ascii="黑体" w:hAnsi="黑体" w:eastAsia="黑体"/>
          <w:b/>
          <w:color w:val="auto"/>
          <w:sz w:val="30"/>
          <w:szCs w:val="30"/>
          <w:highlight w:val="none"/>
        </w:rPr>
      </w:pPr>
    </w:p>
    <w:p w14:paraId="5149589E">
      <w:pPr>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残疾人福利性单位声明函</w:t>
      </w:r>
      <w:r>
        <w:rPr>
          <w:rFonts w:hint="eastAsia" w:ascii="宋体" w:hAnsi="宋体"/>
          <w:color w:val="auto"/>
          <w:spacing w:val="6"/>
          <w:sz w:val="24"/>
          <w:szCs w:val="24"/>
          <w:highlight w:val="none"/>
        </w:rPr>
        <w:t>（如符合条件时填写</w:t>
      </w:r>
      <w:r>
        <w:rPr>
          <w:rFonts w:hint="eastAsia" w:ascii="宋体" w:hAnsi="宋体"/>
          <w:color w:val="auto"/>
          <w:spacing w:val="6"/>
          <w:sz w:val="28"/>
          <w:szCs w:val="28"/>
          <w:highlight w:val="none"/>
          <w:vertAlign w:val="superscript"/>
        </w:rPr>
        <w:t>*</w:t>
      </w:r>
      <w:r>
        <w:rPr>
          <w:rFonts w:hint="eastAsia" w:ascii="宋体" w:hAnsi="宋体"/>
          <w:color w:val="auto"/>
          <w:spacing w:val="6"/>
          <w:sz w:val="24"/>
          <w:szCs w:val="24"/>
          <w:highlight w:val="none"/>
        </w:rPr>
        <w:t>）</w:t>
      </w:r>
    </w:p>
    <w:p w14:paraId="58110DCC">
      <w:pPr>
        <w:spacing w:line="588" w:lineRule="exact"/>
        <w:rPr>
          <w:rFonts w:ascii="仿宋_GB2312" w:eastAsia="仿宋_GB2312"/>
          <w:b/>
          <w:color w:val="auto"/>
          <w:spacing w:val="6"/>
          <w:sz w:val="30"/>
          <w:szCs w:val="30"/>
          <w:highlight w:val="none"/>
        </w:rPr>
      </w:pPr>
    </w:p>
    <w:p w14:paraId="345DA671">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8EDC9E">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本单位对上述声明的真实性负责。如有虚假，将依法承担相应责任。</w:t>
      </w:r>
    </w:p>
    <w:p w14:paraId="5108256D">
      <w:pPr>
        <w:spacing w:line="588" w:lineRule="exact"/>
        <w:ind w:firstLine="504" w:firstLineChars="200"/>
        <w:rPr>
          <w:rFonts w:ascii="宋体" w:hAnsi="宋体"/>
          <w:color w:val="auto"/>
          <w:spacing w:val="6"/>
          <w:sz w:val="24"/>
          <w:szCs w:val="24"/>
          <w:highlight w:val="none"/>
        </w:rPr>
      </w:pPr>
    </w:p>
    <w:p w14:paraId="3A2C682E">
      <w:pPr>
        <w:spacing w:line="588" w:lineRule="exact"/>
        <w:ind w:firstLine="504" w:firstLineChars="200"/>
        <w:rPr>
          <w:rFonts w:ascii="宋体" w:hAnsi="宋体"/>
          <w:color w:val="auto"/>
          <w:spacing w:val="6"/>
          <w:sz w:val="24"/>
          <w:szCs w:val="24"/>
          <w:highlight w:val="none"/>
        </w:rPr>
      </w:pPr>
    </w:p>
    <w:p w14:paraId="782357E4">
      <w:pPr>
        <w:spacing w:line="588" w:lineRule="exact"/>
        <w:ind w:firstLine="504" w:firstLineChars="200"/>
        <w:rPr>
          <w:rFonts w:ascii="宋体" w:hAnsi="宋体"/>
          <w:color w:val="auto"/>
          <w:spacing w:val="6"/>
          <w:sz w:val="24"/>
          <w:szCs w:val="24"/>
          <w:highlight w:val="none"/>
        </w:rPr>
      </w:pPr>
    </w:p>
    <w:p w14:paraId="7B2CE340">
      <w:pPr>
        <w:snapToGrid w:val="0"/>
        <w:spacing w:before="100" w:beforeAutospacing="1" w:after="100" w:afterAutospacing="1" w:line="700" w:lineRule="exact"/>
        <w:ind w:right="641" w:firstLine="4960" w:firstLineChars="2067"/>
        <w:rPr>
          <w:rFonts w:ascii="宋体" w:hAnsi="宋体"/>
          <w:color w:val="auto"/>
          <w:sz w:val="24"/>
          <w:szCs w:val="24"/>
          <w:highlight w:val="none"/>
        </w:rPr>
      </w:pPr>
      <w:r>
        <w:rPr>
          <w:rFonts w:hint="eastAsia" w:ascii="宋体" w:hAnsi="宋体"/>
          <w:color w:val="auto"/>
          <w:sz w:val="24"/>
          <w:szCs w:val="24"/>
          <w:highlight w:val="none"/>
        </w:rPr>
        <w:t>单位名称</w:t>
      </w:r>
      <w:r>
        <w:rPr>
          <w:rFonts w:ascii="宋体" w:hAnsi="宋体"/>
          <w:color w:val="auto"/>
          <w:sz w:val="24"/>
          <w:szCs w:val="24"/>
          <w:highlight w:val="none"/>
        </w:rPr>
        <w:t>（盖章</w:t>
      </w:r>
      <w:r>
        <w:rPr>
          <w:rFonts w:ascii="宋体" w:hAnsi="宋体"/>
          <w:color w:val="auto"/>
          <w:sz w:val="24"/>
          <w:szCs w:val="24"/>
          <w:highlight w:val="none"/>
          <w:lang w:bidi="en-US"/>
        </w:rPr>
        <w:t>）</w:t>
      </w:r>
      <w:r>
        <w:rPr>
          <w:rFonts w:hint="eastAsia" w:ascii="宋体" w:hAnsi="宋体"/>
          <w:color w:val="auto"/>
          <w:sz w:val="24"/>
          <w:szCs w:val="24"/>
          <w:highlight w:val="none"/>
        </w:rPr>
        <w:t>：</w:t>
      </w:r>
    </w:p>
    <w:p w14:paraId="406FE88C">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r>
        <w:rPr>
          <w:rFonts w:hint="eastAsia" w:ascii="宋体" w:hAnsi="宋体"/>
          <w:color w:val="auto"/>
          <w:sz w:val="24"/>
          <w:szCs w:val="24"/>
          <w:highlight w:val="none"/>
        </w:rPr>
        <w:t>日期：</w:t>
      </w:r>
    </w:p>
    <w:p w14:paraId="4C87917A">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p>
    <w:p w14:paraId="366C4F0F">
      <w:pPr>
        <w:snapToGrid w:val="0"/>
        <w:spacing w:before="100" w:beforeAutospacing="1" w:after="100" w:afterAutospacing="1" w:line="540" w:lineRule="exact"/>
        <w:ind w:right="85"/>
        <w:jc w:val="left"/>
        <w:textAlignment w:val="top"/>
        <w:rPr>
          <w:rFonts w:ascii="宋体" w:hAnsi="宋体"/>
          <w:color w:val="auto"/>
          <w:sz w:val="24"/>
          <w:szCs w:val="24"/>
          <w:highlight w:val="none"/>
        </w:rPr>
      </w:pPr>
    </w:p>
    <w:p w14:paraId="2194DE81">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p>
    <w:p w14:paraId="673F699B">
      <w:pPr>
        <w:shd w:val="clear" w:color="auto" w:fill="FFFFFF"/>
        <w:spacing w:line="240" w:lineRule="auto"/>
        <w:rPr>
          <w:rFonts w:ascii="宋体" w:hAnsi="宋体"/>
          <w:color w:val="auto"/>
          <w:sz w:val="18"/>
          <w:szCs w:val="18"/>
          <w:highlight w:val="none"/>
        </w:rPr>
      </w:pPr>
      <w:r>
        <w:rPr>
          <w:rFonts w:hint="eastAsia" w:ascii="宋体" w:hAnsi="宋体"/>
          <w:color w:val="auto"/>
          <w:sz w:val="18"/>
          <w:szCs w:val="18"/>
          <w:highlight w:val="none"/>
        </w:rPr>
        <w:t>注：1、按政策规定：符合条件的残疾人福利性单位视同小型、微型企业，享受评审价格扣除等促进中小企业发展的政府采购政策。残疾人福利性单位属于小型、微型企业的，不重复享受政策。</w:t>
      </w:r>
    </w:p>
    <w:p w14:paraId="3B2E8723">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b/>
          <w:color w:val="auto"/>
          <w:spacing w:val="6"/>
          <w:sz w:val="18"/>
          <w:szCs w:val="18"/>
          <w:highlight w:val="none"/>
          <w:vertAlign w:val="superscript"/>
        </w:rPr>
        <w:t>*</w:t>
      </w:r>
      <w:r>
        <w:rPr>
          <w:rFonts w:hint="eastAsia" w:ascii="宋体" w:hAnsi="宋体"/>
          <w:color w:val="auto"/>
          <w:sz w:val="18"/>
          <w:szCs w:val="18"/>
          <w:highlight w:val="none"/>
        </w:rPr>
        <w:t>本格式在残疾人福利性单位申请报价格扣除时填写，未填写不享受小微价格扣除，但不作为无效投标。</w:t>
      </w:r>
    </w:p>
    <w:p w14:paraId="4F6057E7">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残疾人福利性单位属于小型、微型企业的，可只填写“</w:t>
      </w:r>
      <w:r>
        <w:rPr>
          <w:rFonts w:ascii="宋体" w:hAnsi="宋体"/>
          <w:color w:val="auto"/>
          <w:sz w:val="18"/>
          <w:szCs w:val="18"/>
          <w:highlight w:val="none"/>
        </w:rPr>
        <w:t xml:space="preserve"> 中小企业声明函</w:t>
      </w:r>
      <w:r>
        <w:rPr>
          <w:rFonts w:hint="eastAsia" w:ascii="宋体" w:hAnsi="宋体"/>
          <w:color w:val="auto"/>
          <w:sz w:val="18"/>
          <w:szCs w:val="18"/>
          <w:highlight w:val="none"/>
        </w:rPr>
        <w:t>”，不再填写“残疾人福利性单位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w:t>
      </w:r>
    </w:p>
    <w:p w14:paraId="4D6C9D48">
      <w:pPr>
        <w:spacing w:line="240" w:lineRule="auto"/>
        <w:ind w:firstLine="450" w:firstLineChars="250"/>
        <w:rPr>
          <w:rFonts w:ascii="宋体"/>
          <w:color w:val="auto"/>
          <w:sz w:val="24"/>
          <w:szCs w:val="24"/>
          <w:highlight w:val="none"/>
        </w:rPr>
      </w:pPr>
      <w:r>
        <w:rPr>
          <w:rFonts w:hint="eastAsia" w:ascii="宋体" w:hAnsi="宋体"/>
          <w:color w:val="auto"/>
          <w:sz w:val="18"/>
          <w:szCs w:val="18"/>
          <w:highlight w:val="none"/>
        </w:rPr>
        <w:t>3、残疾人福利性单位填写“残疾人福利性单位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”后，仍需同时填写“</w:t>
      </w:r>
      <w:r>
        <w:rPr>
          <w:rFonts w:ascii="宋体" w:hAnsi="宋体"/>
          <w:color w:val="auto"/>
          <w:sz w:val="18"/>
          <w:szCs w:val="18"/>
          <w:highlight w:val="none"/>
        </w:rPr>
        <w:t>中小企业声明函</w:t>
      </w:r>
      <w:r>
        <w:rPr>
          <w:rFonts w:hint="eastAsia" w:ascii="宋体" w:hAnsi="宋体"/>
          <w:color w:val="auto"/>
          <w:sz w:val="18"/>
          <w:szCs w:val="18"/>
          <w:highlight w:val="none"/>
        </w:rPr>
        <w:t>”、可在“</w:t>
      </w:r>
      <w:r>
        <w:rPr>
          <w:rFonts w:ascii="宋体" w:hAnsi="宋体"/>
          <w:color w:val="auto"/>
          <w:sz w:val="18"/>
          <w:szCs w:val="18"/>
          <w:highlight w:val="none"/>
        </w:rPr>
        <w:t>中小企业声明函</w:t>
      </w:r>
      <w:r>
        <w:rPr>
          <w:rFonts w:hint="eastAsia" w:ascii="宋体" w:hAnsi="宋体"/>
          <w:color w:val="auto"/>
          <w:sz w:val="18"/>
          <w:szCs w:val="18"/>
          <w:highlight w:val="none"/>
        </w:rPr>
        <w:t>”注明“属于符合条件的残疾人福利性单位、视同小型、微型企业”。</w:t>
      </w:r>
    </w:p>
    <w:p w14:paraId="0E159972">
      <w:pPr>
        <w:spacing w:line="240" w:lineRule="auto"/>
        <w:jc w:val="left"/>
        <w:textAlignment w:val="auto"/>
        <w:rPr>
          <w:rFonts w:ascii="宋体" w:cs="楷体_GB2312"/>
          <w:b/>
          <w:color w:val="auto"/>
          <w:sz w:val="30"/>
          <w:szCs w:val="30"/>
          <w:highlight w:val="none"/>
          <w:lang w:val="zh-CN"/>
        </w:rPr>
      </w:pPr>
    </w:p>
    <w:sectPr>
      <w:pgSz w:w="11905" w:h="16837"/>
      <w:pgMar w:top="1091" w:right="1106" w:bottom="993" w:left="1418"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309000000000000"/>
    <w:charset w:val="88"/>
    <w:family w:val="moder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dobe 宋体 Std L">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7AE0">
    <w:pPr>
      <w:widowControl w:val="0"/>
      <w:snapToGrid w:val="0"/>
      <w:spacing w:line="240" w:lineRule="atLeast"/>
      <w:ind w:right="21"/>
      <w:jc w:val="left"/>
      <w:rPr>
        <w:rFonts w:ascii="宋体" w:hAnsi="宋体"/>
        <w:szCs w:val="21"/>
        <w:u w:val="single"/>
      </w:rPr>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18"/>
        <w:rFonts w:ascii="宋体" w:hAnsi="宋体"/>
        <w:szCs w:val="21"/>
        <w:u w:val="single"/>
      </w:rPr>
      <w:fldChar w:fldCharType="begin"/>
    </w:r>
    <w:r>
      <w:rPr>
        <w:rStyle w:val="18"/>
        <w:rFonts w:ascii="宋体" w:hAnsi="宋体"/>
        <w:szCs w:val="21"/>
        <w:u w:val="single"/>
      </w:rPr>
      <w:instrText xml:space="preserve"> PAGE </w:instrText>
    </w:r>
    <w:r>
      <w:rPr>
        <w:rStyle w:val="18"/>
        <w:rFonts w:ascii="宋体" w:hAnsi="宋体"/>
        <w:szCs w:val="21"/>
        <w:u w:val="single"/>
      </w:rPr>
      <w:fldChar w:fldCharType="separate"/>
    </w:r>
    <w:r>
      <w:rPr>
        <w:rStyle w:val="18"/>
        <w:rFonts w:ascii="宋体" w:hAnsi="宋体"/>
        <w:szCs w:val="21"/>
        <w:u w:val="single"/>
      </w:rPr>
      <w:t>- 1 -</w:t>
    </w:r>
    <w:r>
      <w:rPr>
        <w:rStyle w:val="18"/>
        <w:rFonts w:ascii="宋体" w:hAnsi="宋体"/>
        <w:szCs w:val="21"/>
        <w:u w:val="single"/>
      </w:rPr>
      <w:fldChar w:fldCharType="end"/>
    </w:r>
    <w:r>
      <w:rPr>
        <w:rStyle w:val="18"/>
        <w:rFonts w:ascii="宋体" w:hAnsi="宋体"/>
        <w:szCs w:val="21"/>
        <w:u w:val="single"/>
      </w:rPr>
      <w:t xml:space="preserve"> </w:t>
    </w:r>
    <w:r>
      <w:rPr>
        <w:rStyle w:val="18"/>
        <w:rFonts w:hint="eastAsia" w:ascii="宋体" w:hAnsi="宋体"/>
        <w:szCs w:val="21"/>
        <w:u w:val="single"/>
      </w:rPr>
      <w:t>（</w:t>
    </w:r>
    <w:r>
      <w:rPr>
        <w:rFonts w:hint="eastAsia" w:ascii="宋体" w:hAnsi="宋体"/>
        <w:szCs w:val="21"/>
        <w:u w:val="single"/>
      </w:rPr>
      <w:t>共</w:t>
    </w:r>
    <w:r>
      <w:fldChar w:fldCharType="begin"/>
    </w:r>
    <w:r>
      <w:rPr>
        <w:rFonts w:ascii="宋体" w:hAnsi="宋体"/>
      </w:rPr>
      <w:instrText xml:space="preserve"> SECTIONPAGES   \* MERGEFORMAT </w:instrText>
    </w:r>
    <w:r>
      <w:fldChar w:fldCharType="separate"/>
    </w:r>
    <w:r>
      <w:rPr>
        <w:rStyle w:val="18"/>
        <w:szCs w:val="21"/>
        <w:u w:val="single"/>
      </w:rPr>
      <w:t>59</w:t>
    </w:r>
    <w:r>
      <w:rPr>
        <w:rStyle w:val="18"/>
        <w:rFonts w:ascii="宋体" w:hAnsi="宋体"/>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w:pict>
        <v:shape id="_x0000_s4098" o:spid="_x0000_s4098" o:spt="202" type="#_x0000_t202" style="position:absolute;left:0pt;margin-left:70.85pt;margin-top:799.35pt;height:14.15pt;width:453.5pt;mso-position-horizontal-relative:page;mso-position-vertical-relative:page;z-index:-251656192;mso-width-relative:page;mso-height-relative:page;" filled="f" o:preferrelative="t" stroked="f" coordsize="21600,21600" o:allowincell="f">
          <v:path/>
          <v:fill on="f" opacity="0f" focussize="0,0"/>
          <v:stroke on="f" joinstyle="miter"/>
          <v:imagedata o:title=""/>
          <o:lock v:ext="edi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612F">
    <w:pPr>
      <w:pStyle w:val="8"/>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2103954F">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584B">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092A">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w:pict>
        <v:shape id="Text Box 1" o:spid="_x0000_s4097" o:spt="202" type="#_x0000_t202" style="position:absolute;left:0pt;margin-left:70.85pt;margin-top:28.3pt;height:14.15pt;width:453.5pt;mso-position-horizontal-relative:page;mso-position-vertical-relative:page;z-index:-251657216;mso-width-relative:page;mso-height-relative:page;" filled="f" o:preferrelative="t" stroked="f" coordsize="21600,21600" o:allowincell="f">
          <v:path/>
          <v:fill on="f" opacity="0f" focussize="0,0"/>
          <v:stroke on="f" joinstyle="miter"/>
          <v:imagedata o:title=""/>
          <o:lock v:ext="edi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F1A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C6D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dit="forms" w:enforcement="1" w:cryptProviderType="rsaFull" w:cryptAlgorithmClass="hash" w:cryptAlgorithmType="typeAny" w:cryptAlgorithmSid="4" w:cryptSpinCount="0" w:hash="yGhO9tNEnI3LHzBwktc7lO3kd1I=" w:salt="6m4iA8QND13SygHx7GGTng=="/>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iYWFjMDEyOWIxMDRiMzJjNmM0MTE3OGZjYjA0YjkifQ=="/>
  </w:docVars>
  <w:rsids>
    <w:rsidRoot w:val="00172A27"/>
    <w:rsid w:val="0000090B"/>
    <w:rsid w:val="00001D7A"/>
    <w:rsid w:val="00003060"/>
    <w:rsid w:val="000055BB"/>
    <w:rsid w:val="00010FD3"/>
    <w:rsid w:val="00011D2E"/>
    <w:rsid w:val="00013814"/>
    <w:rsid w:val="00013DB2"/>
    <w:rsid w:val="00017CFC"/>
    <w:rsid w:val="00017E1E"/>
    <w:rsid w:val="00023676"/>
    <w:rsid w:val="00024608"/>
    <w:rsid w:val="00025F1E"/>
    <w:rsid w:val="0002643A"/>
    <w:rsid w:val="0002701F"/>
    <w:rsid w:val="000308F8"/>
    <w:rsid w:val="000339BC"/>
    <w:rsid w:val="00034EBE"/>
    <w:rsid w:val="00035118"/>
    <w:rsid w:val="0003567F"/>
    <w:rsid w:val="00035CA9"/>
    <w:rsid w:val="00036AA4"/>
    <w:rsid w:val="00041891"/>
    <w:rsid w:val="00042CA8"/>
    <w:rsid w:val="00043821"/>
    <w:rsid w:val="00043CBA"/>
    <w:rsid w:val="00044F84"/>
    <w:rsid w:val="00046A4B"/>
    <w:rsid w:val="00046C08"/>
    <w:rsid w:val="0005241B"/>
    <w:rsid w:val="00055FA7"/>
    <w:rsid w:val="000565C4"/>
    <w:rsid w:val="00057F78"/>
    <w:rsid w:val="000602CF"/>
    <w:rsid w:val="0006134B"/>
    <w:rsid w:val="00062821"/>
    <w:rsid w:val="00072834"/>
    <w:rsid w:val="000738CA"/>
    <w:rsid w:val="0007390E"/>
    <w:rsid w:val="00073A45"/>
    <w:rsid w:val="00074766"/>
    <w:rsid w:val="00077629"/>
    <w:rsid w:val="00080AE9"/>
    <w:rsid w:val="00081092"/>
    <w:rsid w:val="00081801"/>
    <w:rsid w:val="00081ACD"/>
    <w:rsid w:val="00081C6C"/>
    <w:rsid w:val="00081EB8"/>
    <w:rsid w:val="00081F16"/>
    <w:rsid w:val="00081F58"/>
    <w:rsid w:val="000823AD"/>
    <w:rsid w:val="000829A8"/>
    <w:rsid w:val="000832B2"/>
    <w:rsid w:val="0008431C"/>
    <w:rsid w:val="0008447C"/>
    <w:rsid w:val="000847D3"/>
    <w:rsid w:val="00086B70"/>
    <w:rsid w:val="00087637"/>
    <w:rsid w:val="000900BA"/>
    <w:rsid w:val="00090D6B"/>
    <w:rsid w:val="00090EB6"/>
    <w:rsid w:val="00090FEC"/>
    <w:rsid w:val="00091C5E"/>
    <w:rsid w:val="00092A9B"/>
    <w:rsid w:val="00092FFF"/>
    <w:rsid w:val="000933F0"/>
    <w:rsid w:val="00093A6B"/>
    <w:rsid w:val="000956CE"/>
    <w:rsid w:val="0009779D"/>
    <w:rsid w:val="000A0EDD"/>
    <w:rsid w:val="000A152E"/>
    <w:rsid w:val="000A1C72"/>
    <w:rsid w:val="000A2651"/>
    <w:rsid w:val="000A2E93"/>
    <w:rsid w:val="000A3597"/>
    <w:rsid w:val="000A36C8"/>
    <w:rsid w:val="000A3FE8"/>
    <w:rsid w:val="000A4640"/>
    <w:rsid w:val="000A55EE"/>
    <w:rsid w:val="000A6006"/>
    <w:rsid w:val="000A6CD3"/>
    <w:rsid w:val="000A6D2F"/>
    <w:rsid w:val="000A7E88"/>
    <w:rsid w:val="000B1334"/>
    <w:rsid w:val="000B1BD0"/>
    <w:rsid w:val="000B22A3"/>
    <w:rsid w:val="000B4758"/>
    <w:rsid w:val="000B5412"/>
    <w:rsid w:val="000B6571"/>
    <w:rsid w:val="000B709F"/>
    <w:rsid w:val="000C2AA6"/>
    <w:rsid w:val="000C2ED3"/>
    <w:rsid w:val="000C4940"/>
    <w:rsid w:val="000C4BA5"/>
    <w:rsid w:val="000D0476"/>
    <w:rsid w:val="000D1B58"/>
    <w:rsid w:val="000D2631"/>
    <w:rsid w:val="000D428C"/>
    <w:rsid w:val="000D452F"/>
    <w:rsid w:val="000D5AD0"/>
    <w:rsid w:val="000D619E"/>
    <w:rsid w:val="000D7406"/>
    <w:rsid w:val="000E02FC"/>
    <w:rsid w:val="000E2432"/>
    <w:rsid w:val="000E4B27"/>
    <w:rsid w:val="000E4CE0"/>
    <w:rsid w:val="000E54A0"/>
    <w:rsid w:val="000E632B"/>
    <w:rsid w:val="000E6AAA"/>
    <w:rsid w:val="000F0324"/>
    <w:rsid w:val="000F108C"/>
    <w:rsid w:val="000F3188"/>
    <w:rsid w:val="000F32BA"/>
    <w:rsid w:val="000F3D46"/>
    <w:rsid w:val="000F4146"/>
    <w:rsid w:val="000F71A3"/>
    <w:rsid w:val="000F73C6"/>
    <w:rsid w:val="000F7917"/>
    <w:rsid w:val="001019D8"/>
    <w:rsid w:val="00101EAB"/>
    <w:rsid w:val="001023AB"/>
    <w:rsid w:val="001041CB"/>
    <w:rsid w:val="001046AA"/>
    <w:rsid w:val="00107435"/>
    <w:rsid w:val="00110434"/>
    <w:rsid w:val="001118D4"/>
    <w:rsid w:val="00111D08"/>
    <w:rsid w:val="00113293"/>
    <w:rsid w:val="00113416"/>
    <w:rsid w:val="00115DFF"/>
    <w:rsid w:val="001163D8"/>
    <w:rsid w:val="00116DFD"/>
    <w:rsid w:val="00120C96"/>
    <w:rsid w:val="001212EB"/>
    <w:rsid w:val="00122298"/>
    <w:rsid w:val="0012307F"/>
    <w:rsid w:val="00123128"/>
    <w:rsid w:val="001234C9"/>
    <w:rsid w:val="00124F88"/>
    <w:rsid w:val="00126132"/>
    <w:rsid w:val="0012732E"/>
    <w:rsid w:val="001279FE"/>
    <w:rsid w:val="001304AB"/>
    <w:rsid w:val="00131B13"/>
    <w:rsid w:val="00131CCB"/>
    <w:rsid w:val="00132172"/>
    <w:rsid w:val="001321E1"/>
    <w:rsid w:val="00132364"/>
    <w:rsid w:val="00132A89"/>
    <w:rsid w:val="001342A5"/>
    <w:rsid w:val="00135227"/>
    <w:rsid w:val="00135251"/>
    <w:rsid w:val="001378C9"/>
    <w:rsid w:val="001401E4"/>
    <w:rsid w:val="00141D13"/>
    <w:rsid w:val="00141FDB"/>
    <w:rsid w:val="00142572"/>
    <w:rsid w:val="00142EF6"/>
    <w:rsid w:val="00143832"/>
    <w:rsid w:val="00144E92"/>
    <w:rsid w:val="0014615F"/>
    <w:rsid w:val="00146C37"/>
    <w:rsid w:val="001507A5"/>
    <w:rsid w:val="00152007"/>
    <w:rsid w:val="00152E6D"/>
    <w:rsid w:val="001532B2"/>
    <w:rsid w:val="001537D5"/>
    <w:rsid w:val="00154FBD"/>
    <w:rsid w:val="00155298"/>
    <w:rsid w:val="00155525"/>
    <w:rsid w:val="00155D4F"/>
    <w:rsid w:val="00157B0E"/>
    <w:rsid w:val="00161255"/>
    <w:rsid w:val="00164692"/>
    <w:rsid w:val="00165AF5"/>
    <w:rsid w:val="00166938"/>
    <w:rsid w:val="0016693E"/>
    <w:rsid w:val="001672C3"/>
    <w:rsid w:val="0016783C"/>
    <w:rsid w:val="001678FA"/>
    <w:rsid w:val="001708C3"/>
    <w:rsid w:val="00170AE1"/>
    <w:rsid w:val="00170E55"/>
    <w:rsid w:val="00170F9A"/>
    <w:rsid w:val="00171381"/>
    <w:rsid w:val="001719D7"/>
    <w:rsid w:val="00172A27"/>
    <w:rsid w:val="00172A7E"/>
    <w:rsid w:val="00175E3A"/>
    <w:rsid w:val="001777B6"/>
    <w:rsid w:val="0017792A"/>
    <w:rsid w:val="00180E2F"/>
    <w:rsid w:val="00181A4E"/>
    <w:rsid w:val="001820F3"/>
    <w:rsid w:val="00182803"/>
    <w:rsid w:val="00183BF5"/>
    <w:rsid w:val="00183C38"/>
    <w:rsid w:val="00186AF5"/>
    <w:rsid w:val="00193FCE"/>
    <w:rsid w:val="001941B8"/>
    <w:rsid w:val="00194451"/>
    <w:rsid w:val="001949DF"/>
    <w:rsid w:val="00194D1C"/>
    <w:rsid w:val="00195036"/>
    <w:rsid w:val="0019595A"/>
    <w:rsid w:val="00195D3C"/>
    <w:rsid w:val="0019697C"/>
    <w:rsid w:val="001A0309"/>
    <w:rsid w:val="001A0470"/>
    <w:rsid w:val="001A1620"/>
    <w:rsid w:val="001A1BB5"/>
    <w:rsid w:val="001A1D5B"/>
    <w:rsid w:val="001A246D"/>
    <w:rsid w:val="001A47BB"/>
    <w:rsid w:val="001A6EC8"/>
    <w:rsid w:val="001A733E"/>
    <w:rsid w:val="001A786E"/>
    <w:rsid w:val="001B399F"/>
    <w:rsid w:val="001B3DD4"/>
    <w:rsid w:val="001B50D6"/>
    <w:rsid w:val="001B5626"/>
    <w:rsid w:val="001B6072"/>
    <w:rsid w:val="001B63AC"/>
    <w:rsid w:val="001B7873"/>
    <w:rsid w:val="001B7DDD"/>
    <w:rsid w:val="001C050D"/>
    <w:rsid w:val="001C2D34"/>
    <w:rsid w:val="001C397C"/>
    <w:rsid w:val="001C6505"/>
    <w:rsid w:val="001C71F2"/>
    <w:rsid w:val="001D0621"/>
    <w:rsid w:val="001D0DA4"/>
    <w:rsid w:val="001D14A1"/>
    <w:rsid w:val="001D17A7"/>
    <w:rsid w:val="001D23F7"/>
    <w:rsid w:val="001D2F63"/>
    <w:rsid w:val="001D3921"/>
    <w:rsid w:val="001D3B0B"/>
    <w:rsid w:val="001D4968"/>
    <w:rsid w:val="001D57AD"/>
    <w:rsid w:val="001D5C73"/>
    <w:rsid w:val="001D6398"/>
    <w:rsid w:val="001E04F2"/>
    <w:rsid w:val="001E0A3F"/>
    <w:rsid w:val="001E1A46"/>
    <w:rsid w:val="001E30AE"/>
    <w:rsid w:val="001E45BE"/>
    <w:rsid w:val="001E58CE"/>
    <w:rsid w:val="001E66B1"/>
    <w:rsid w:val="001E7368"/>
    <w:rsid w:val="001F0376"/>
    <w:rsid w:val="001F0470"/>
    <w:rsid w:val="001F1A30"/>
    <w:rsid w:val="001F1AC5"/>
    <w:rsid w:val="001F370F"/>
    <w:rsid w:val="001F4C70"/>
    <w:rsid w:val="001F5DAF"/>
    <w:rsid w:val="001F6921"/>
    <w:rsid w:val="001F6D7D"/>
    <w:rsid w:val="00200A06"/>
    <w:rsid w:val="00200B9A"/>
    <w:rsid w:val="00200E90"/>
    <w:rsid w:val="002011F8"/>
    <w:rsid w:val="00201E27"/>
    <w:rsid w:val="00202132"/>
    <w:rsid w:val="002052BF"/>
    <w:rsid w:val="002053C1"/>
    <w:rsid w:val="00205670"/>
    <w:rsid w:val="00205DC9"/>
    <w:rsid w:val="0020635B"/>
    <w:rsid w:val="002064E1"/>
    <w:rsid w:val="00207035"/>
    <w:rsid w:val="00207173"/>
    <w:rsid w:val="00207193"/>
    <w:rsid w:val="00210346"/>
    <w:rsid w:val="002106F1"/>
    <w:rsid w:val="00212022"/>
    <w:rsid w:val="002146E7"/>
    <w:rsid w:val="002149A3"/>
    <w:rsid w:val="00214DD7"/>
    <w:rsid w:val="00214F54"/>
    <w:rsid w:val="00215479"/>
    <w:rsid w:val="002155C5"/>
    <w:rsid w:val="00216409"/>
    <w:rsid w:val="00217326"/>
    <w:rsid w:val="0022149C"/>
    <w:rsid w:val="00221561"/>
    <w:rsid w:val="00221997"/>
    <w:rsid w:val="00222752"/>
    <w:rsid w:val="002228C6"/>
    <w:rsid w:val="0022294E"/>
    <w:rsid w:val="00223237"/>
    <w:rsid w:val="002238AE"/>
    <w:rsid w:val="002243D1"/>
    <w:rsid w:val="00225DB3"/>
    <w:rsid w:val="0023012A"/>
    <w:rsid w:val="00230C43"/>
    <w:rsid w:val="00231D21"/>
    <w:rsid w:val="0023255F"/>
    <w:rsid w:val="00232CD0"/>
    <w:rsid w:val="002341A2"/>
    <w:rsid w:val="00237A15"/>
    <w:rsid w:val="00240733"/>
    <w:rsid w:val="00240FF8"/>
    <w:rsid w:val="002414E5"/>
    <w:rsid w:val="00241D3A"/>
    <w:rsid w:val="0024269B"/>
    <w:rsid w:val="00244532"/>
    <w:rsid w:val="00246DB1"/>
    <w:rsid w:val="00247523"/>
    <w:rsid w:val="00247993"/>
    <w:rsid w:val="002511FE"/>
    <w:rsid w:val="00252113"/>
    <w:rsid w:val="002529D6"/>
    <w:rsid w:val="002551E0"/>
    <w:rsid w:val="0025530F"/>
    <w:rsid w:val="002558EA"/>
    <w:rsid w:val="00255F14"/>
    <w:rsid w:val="002574D7"/>
    <w:rsid w:val="00257B22"/>
    <w:rsid w:val="002602F6"/>
    <w:rsid w:val="002661D7"/>
    <w:rsid w:val="002665E4"/>
    <w:rsid w:val="00266EB2"/>
    <w:rsid w:val="002673AF"/>
    <w:rsid w:val="00267440"/>
    <w:rsid w:val="0027067C"/>
    <w:rsid w:val="002706CD"/>
    <w:rsid w:val="00270EED"/>
    <w:rsid w:val="00270FE1"/>
    <w:rsid w:val="00271ABB"/>
    <w:rsid w:val="00272723"/>
    <w:rsid w:val="00272B6B"/>
    <w:rsid w:val="00272DEC"/>
    <w:rsid w:val="002751DF"/>
    <w:rsid w:val="002759A2"/>
    <w:rsid w:val="00276204"/>
    <w:rsid w:val="00280E45"/>
    <w:rsid w:val="002810F8"/>
    <w:rsid w:val="00281565"/>
    <w:rsid w:val="00283074"/>
    <w:rsid w:val="00285049"/>
    <w:rsid w:val="00290B53"/>
    <w:rsid w:val="00290D50"/>
    <w:rsid w:val="00293F3F"/>
    <w:rsid w:val="0029442F"/>
    <w:rsid w:val="00294BA9"/>
    <w:rsid w:val="002954F0"/>
    <w:rsid w:val="0029595B"/>
    <w:rsid w:val="00295A34"/>
    <w:rsid w:val="0029613E"/>
    <w:rsid w:val="00296501"/>
    <w:rsid w:val="002975BF"/>
    <w:rsid w:val="002A0347"/>
    <w:rsid w:val="002A2B5C"/>
    <w:rsid w:val="002A4442"/>
    <w:rsid w:val="002A4898"/>
    <w:rsid w:val="002A4B93"/>
    <w:rsid w:val="002A4F6F"/>
    <w:rsid w:val="002A5411"/>
    <w:rsid w:val="002A7325"/>
    <w:rsid w:val="002A7814"/>
    <w:rsid w:val="002B07DD"/>
    <w:rsid w:val="002B1EC7"/>
    <w:rsid w:val="002B5E0D"/>
    <w:rsid w:val="002C00FF"/>
    <w:rsid w:val="002C11FF"/>
    <w:rsid w:val="002C13E7"/>
    <w:rsid w:val="002C13ED"/>
    <w:rsid w:val="002C1681"/>
    <w:rsid w:val="002C1888"/>
    <w:rsid w:val="002C3330"/>
    <w:rsid w:val="002C6208"/>
    <w:rsid w:val="002C6933"/>
    <w:rsid w:val="002D0379"/>
    <w:rsid w:val="002D14BE"/>
    <w:rsid w:val="002D272C"/>
    <w:rsid w:val="002D35EE"/>
    <w:rsid w:val="002D40A9"/>
    <w:rsid w:val="002D5868"/>
    <w:rsid w:val="002D62A9"/>
    <w:rsid w:val="002D6349"/>
    <w:rsid w:val="002D6B6F"/>
    <w:rsid w:val="002D7623"/>
    <w:rsid w:val="002D7628"/>
    <w:rsid w:val="002D7A77"/>
    <w:rsid w:val="002D7AB6"/>
    <w:rsid w:val="002D7BE8"/>
    <w:rsid w:val="002E098C"/>
    <w:rsid w:val="002E15EE"/>
    <w:rsid w:val="002E2367"/>
    <w:rsid w:val="002E3E40"/>
    <w:rsid w:val="002E5245"/>
    <w:rsid w:val="002E60E6"/>
    <w:rsid w:val="002E650E"/>
    <w:rsid w:val="002E76EF"/>
    <w:rsid w:val="002E7E70"/>
    <w:rsid w:val="002F08C6"/>
    <w:rsid w:val="002F24F3"/>
    <w:rsid w:val="002F2754"/>
    <w:rsid w:val="002F32BA"/>
    <w:rsid w:val="002F37CB"/>
    <w:rsid w:val="002F4ADA"/>
    <w:rsid w:val="002F5465"/>
    <w:rsid w:val="002F7AD0"/>
    <w:rsid w:val="002F7EF3"/>
    <w:rsid w:val="00300192"/>
    <w:rsid w:val="00300564"/>
    <w:rsid w:val="0030169A"/>
    <w:rsid w:val="00302091"/>
    <w:rsid w:val="00306123"/>
    <w:rsid w:val="00307CF1"/>
    <w:rsid w:val="0031007D"/>
    <w:rsid w:val="00311B9B"/>
    <w:rsid w:val="003144F4"/>
    <w:rsid w:val="003157D1"/>
    <w:rsid w:val="003167BE"/>
    <w:rsid w:val="00316A48"/>
    <w:rsid w:val="00317222"/>
    <w:rsid w:val="003214B1"/>
    <w:rsid w:val="00322799"/>
    <w:rsid w:val="0032321A"/>
    <w:rsid w:val="003241F1"/>
    <w:rsid w:val="0032467A"/>
    <w:rsid w:val="0032568F"/>
    <w:rsid w:val="0032749E"/>
    <w:rsid w:val="00332B99"/>
    <w:rsid w:val="003343B3"/>
    <w:rsid w:val="00334CC7"/>
    <w:rsid w:val="0033552B"/>
    <w:rsid w:val="003355B7"/>
    <w:rsid w:val="00336881"/>
    <w:rsid w:val="00336AAB"/>
    <w:rsid w:val="00340B42"/>
    <w:rsid w:val="00341021"/>
    <w:rsid w:val="00341F13"/>
    <w:rsid w:val="003429CA"/>
    <w:rsid w:val="00342D18"/>
    <w:rsid w:val="003431FD"/>
    <w:rsid w:val="00343634"/>
    <w:rsid w:val="00343A1D"/>
    <w:rsid w:val="00343D9C"/>
    <w:rsid w:val="003445EE"/>
    <w:rsid w:val="00344CFC"/>
    <w:rsid w:val="003500BA"/>
    <w:rsid w:val="0035121B"/>
    <w:rsid w:val="00351933"/>
    <w:rsid w:val="00352D4E"/>
    <w:rsid w:val="00355DB8"/>
    <w:rsid w:val="00357F64"/>
    <w:rsid w:val="0036067C"/>
    <w:rsid w:val="003612D6"/>
    <w:rsid w:val="003634F4"/>
    <w:rsid w:val="00363B02"/>
    <w:rsid w:val="003642B6"/>
    <w:rsid w:val="00364E6B"/>
    <w:rsid w:val="00365BD8"/>
    <w:rsid w:val="00371760"/>
    <w:rsid w:val="00372115"/>
    <w:rsid w:val="00372702"/>
    <w:rsid w:val="003738EA"/>
    <w:rsid w:val="00374310"/>
    <w:rsid w:val="00374E90"/>
    <w:rsid w:val="00376869"/>
    <w:rsid w:val="00380598"/>
    <w:rsid w:val="00381B01"/>
    <w:rsid w:val="003829D9"/>
    <w:rsid w:val="003832F9"/>
    <w:rsid w:val="00383B07"/>
    <w:rsid w:val="00383B17"/>
    <w:rsid w:val="00384A92"/>
    <w:rsid w:val="003854F3"/>
    <w:rsid w:val="00386518"/>
    <w:rsid w:val="0038748E"/>
    <w:rsid w:val="00391A61"/>
    <w:rsid w:val="0039316A"/>
    <w:rsid w:val="0039491D"/>
    <w:rsid w:val="00397B1C"/>
    <w:rsid w:val="00397E86"/>
    <w:rsid w:val="003A092F"/>
    <w:rsid w:val="003A1388"/>
    <w:rsid w:val="003A139A"/>
    <w:rsid w:val="003A1D20"/>
    <w:rsid w:val="003A258C"/>
    <w:rsid w:val="003A40E7"/>
    <w:rsid w:val="003A4472"/>
    <w:rsid w:val="003A4DC3"/>
    <w:rsid w:val="003A5C2B"/>
    <w:rsid w:val="003A78B7"/>
    <w:rsid w:val="003B095A"/>
    <w:rsid w:val="003B0AE9"/>
    <w:rsid w:val="003B2F1D"/>
    <w:rsid w:val="003B30E9"/>
    <w:rsid w:val="003B4EE5"/>
    <w:rsid w:val="003B5D7B"/>
    <w:rsid w:val="003B5F19"/>
    <w:rsid w:val="003B638F"/>
    <w:rsid w:val="003B67A0"/>
    <w:rsid w:val="003B70F6"/>
    <w:rsid w:val="003B72E5"/>
    <w:rsid w:val="003C0C7E"/>
    <w:rsid w:val="003C0E0B"/>
    <w:rsid w:val="003C1220"/>
    <w:rsid w:val="003C2DA4"/>
    <w:rsid w:val="003C3607"/>
    <w:rsid w:val="003C3ADB"/>
    <w:rsid w:val="003C47B5"/>
    <w:rsid w:val="003C5626"/>
    <w:rsid w:val="003C58B5"/>
    <w:rsid w:val="003C6339"/>
    <w:rsid w:val="003C6B76"/>
    <w:rsid w:val="003C779C"/>
    <w:rsid w:val="003D1F56"/>
    <w:rsid w:val="003D1FCD"/>
    <w:rsid w:val="003D3512"/>
    <w:rsid w:val="003D3B92"/>
    <w:rsid w:val="003D4056"/>
    <w:rsid w:val="003D415D"/>
    <w:rsid w:val="003D46D1"/>
    <w:rsid w:val="003D5A77"/>
    <w:rsid w:val="003E0C29"/>
    <w:rsid w:val="003E4A4E"/>
    <w:rsid w:val="003E4AEB"/>
    <w:rsid w:val="003E58E5"/>
    <w:rsid w:val="003E5EE1"/>
    <w:rsid w:val="003E6A13"/>
    <w:rsid w:val="003E7C9B"/>
    <w:rsid w:val="003E7D25"/>
    <w:rsid w:val="003F0417"/>
    <w:rsid w:val="003F180D"/>
    <w:rsid w:val="003F404C"/>
    <w:rsid w:val="003F6764"/>
    <w:rsid w:val="0040196C"/>
    <w:rsid w:val="00402F4C"/>
    <w:rsid w:val="00403958"/>
    <w:rsid w:val="004075E0"/>
    <w:rsid w:val="00407C0B"/>
    <w:rsid w:val="004128F3"/>
    <w:rsid w:val="00412960"/>
    <w:rsid w:val="00412A5D"/>
    <w:rsid w:val="00412CA6"/>
    <w:rsid w:val="00413557"/>
    <w:rsid w:val="004137F3"/>
    <w:rsid w:val="00415470"/>
    <w:rsid w:val="00415CFA"/>
    <w:rsid w:val="00415E18"/>
    <w:rsid w:val="00416388"/>
    <w:rsid w:val="00416EA9"/>
    <w:rsid w:val="0041769D"/>
    <w:rsid w:val="00417D4F"/>
    <w:rsid w:val="00421D4D"/>
    <w:rsid w:val="00421EEA"/>
    <w:rsid w:val="00422027"/>
    <w:rsid w:val="004221B2"/>
    <w:rsid w:val="004223F4"/>
    <w:rsid w:val="0042390E"/>
    <w:rsid w:val="00425B45"/>
    <w:rsid w:val="00425C82"/>
    <w:rsid w:val="00425D4D"/>
    <w:rsid w:val="004300B5"/>
    <w:rsid w:val="00430F93"/>
    <w:rsid w:val="00433AB6"/>
    <w:rsid w:val="004342C9"/>
    <w:rsid w:val="004352CF"/>
    <w:rsid w:val="004374D0"/>
    <w:rsid w:val="00440412"/>
    <w:rsid w:val="00443935"/>
    <w:rsid w:val="00443D5A"/>
    <w:rsid w:val="004442B3"/>
    <w:rsid w:val="0044471A"/>
    <w:rsid w:val="0044498E"/>
    <w:rsid w:val="0044541C"/>
    <w:rsid w:val="004460B8"/>
    <w:rsid w:val="00447613"/>
    <w:rsid w:val="00447654"/>
    <w:rsid w:val="00450A1C"/>
    <w:rsid w:val="004513F9"/>
    <w:rsid w:val="00451F87"/>
    <w:rsid w:val="00452DB9"/>
    <w:rsid w:val="00452F36"/>
    <w:rsid w:val="00453130"/>
    <w:rsid w:val="0045394E"/>
    <w:rsid w:val="004543BF"/>
    <w:rsid w:val="00454B5D"/>
    <w:rsid w:val="00455B44"/>
    <w:rsid w:val="00456FA3"/>
    <w:rsid w:val="0045706F"/>
    <w:rsid w:val="0045754E"/>
    <w:rsid w:val="004575C3"/>
    <w:rsid w:val="00460ADB"/>
    <w:rsid w:val="00460E98"/>
    <w:rsid w:val="00461AA0"/>
    <w:rsid w:val="0046225F"/>
    <w:rsid w:val="004640E1"/>
    <w:rsid w:val="00465462"/>
    <w:rsid w:val="004666B5"/>
    <w:rsid w:val="004669E3"/>
    <w:rsid w:val="00467112"/>
    <w:rsid w:val="00467B60"/>
    <w:rsid w:val="00467ECF"/>
    <w:rsid w:val="0047305B"/>
    <w:rsid w:val="004736BA"/>
    <w:rsid w:val="00475A0F"/>
    <w:rsid w:val="004760DD"/>
    <w:rsid w:val="004771A7"/>
    <w:rsid w:val="00477DF1"/>
    <w:rsid w:val="00480562"/>
    <w:rsid w:val="004805E1"/>
    <w:rsid w:val="004808DB"/>
    <w:rsid w:val="0048194E"/>
    <w:rsid w:val="00481A68"/>
    <w:rsid w:val="00481D33"/>
    <w:rsid w:val="004830D3"/>
    <w:rsid w:val="00483137"/>
    <w:rsid w:val="004832D3"/>
    <w:rsid w:val="004833C3"/>
    <w:rsid w:val="00483BCD"/>
    <w:rsid w:val="00484BA8"/>
    <w:rsid w:val="004851E7"/>
    <w:rsid w:val="00486BD8"/>
    <w:rsid w:val="00486D4E"/>
    <w:rsid w:val="00487F50"/>
    <w:rsid w:val="004905D0"/>
    <w:rsid w:val="0049352F"/>
    <w:rsid w:val="00494A80"/>
    <w:rsid w:val="00496C53"/>
    <w:rsid w:val="004A07AF"/>
    <w:rsid w:val="004A3232"/>
    <w:rsid w:val="004A465C"/>
    <w:rsid w:val="004A5A5E"/>
    <w:rsid w:val="004A5AA9"/>
    <w:rsid w:val="004A64A5"/>
    <w:rsid w:val="004A791C"/>
    <w:rsid w:val="004B10CD"/>
    <w:rsid w:val="004B2765"/>
    <w:rsid w:val="004B672E"/>
    <w:rsid w:val="004B67C9"/>
    <w:rsid w:val="004B6984"/>
    <w:rsid w:val="004B74ED"/>
    <w:rsid w:val="004B7B30"/>
    <w:rsid w:val="004C05F2"/>
    <w:rsid w:val="004C110D"/>
    <w:rsid w:val="004C2800"/>
    <w:rsid w:val="004C3306"/>
    <w:rsid w:val="004C407E"/>
    <w:rsid w:val="004C40F4"/>
    <w:rsid w:val="004C506F"/>
    <w:rsid w:val="004C77D9"/>
    <w:rsid w:val="004C7A15"/>
    <w:rsid w:val="004D11B7"/>
    <w:rsid w:val="004D2778"/>
    <w:rsid w:val="004D4274"/>
    <w:rsid w:val="004D57A0"/>
    <w:rsid w:val="004D5F36"/>
    <w:rsid w:val="004E0791"/>
    <w:rsid w:val="004E0F8E"/>
    <w:rsid w:val="004E1013"/>
    <w:rsid w:val="004E2848"/>
    <w:rsid w:val="004E44CC"/>
    <w:rsid w:val="004E5CA5"/>
    <w:rsid w:val="004E7529"/>
    <w:rsid w:val="004F16A1"/>
    <w:rsid w:val="004F2DDA"/>
    <w:rsid w:val="004F352D"/>
    <w:rsid w:val="004F4CDB"/>
    <w:rsid w:val="004F568A"/>
    <w:rsid w:val="004F581C"/>
    <w:rsid w:val="004F68CE"/>
    <w:rsid w:val="004F718A"/>
    <w:rsid w:val="0050062C"/>
    <w:rsid w:val="005021E6"/>
    <w:rsid w:val="005034FC"/>
    <w:rsid w:val="00503F67"/>
    <w:rsid w:val="005044B9"/>
    <w:rsid w:val="005055E2"/>
    <w:rsid w:val="00506583"/>
    <w:rsid w:val="00507D74"/>
    <w:rsid w:val="00510644"/>
    <w:rsid w:val="005106D5"/>
    <w:rsid w:val="005112F3"/>
    <w:rsid w:val="0051190D"/>
    <w:rsid w:val="00514849"/>
    <w:rsid w:val="0051562D"/>
    <w:rsid w:val="00517BF1"/>
    <w:rsid w:val="00517FDD"/>
    <w:rsid w:val="00520645"/>
    <w:rsid w:val="00520920"/>
    <w:rsid w:val="00521C05"/>
    <w:rsid w:val="00521F50"/>
    <w:rsid w:val="00524D6D"/>
    <w:rsid w:val="00524D76"/>
    <w:rsid w:val="00524D8B"/>
    <w:rsid w:val="005252C0"/>
    <w:rsid w:val="00525E8C"/>
    <w:rsid w:val="00526708"/>
    <w:rsid w:val="00527F92"/>
    <w:rsid w:val="00530CE7"/>
    <w:rsid w:val="00530D4A"/>
    <w:rsid w:val="00530DC4"/>
    <w:rsid w:val="00530E45"/>
    <w:rsid w:val="00530E9D"/>
    <w:rsid w:val="00531312"/>
    <w:rsid w:val="005316A8"/>
    <w:rsid w:val="00531FA9"/>
    <w:rsid w:val="00533B7E"/>
    <w:rsid w:val="00534227"/>
    <w:rsid w:val="00535C65"/>
    <w:rsid w:val="00535ECA"/>
    <w:rsid w:val="0053682D"/>
    <w:rsid w:val="00540FEC"/>
    <w:rsid w:val="005414D6"/>
    <w:rsid w:val="00541F83"/>
    <w:rsid w:val="005430C7"/>
    <w:rsid w:val="00543312"/>
    <w:rsid w:val="00543809"/>
    <w:rsid w:val="005439BF"/>
    <w:rsid w:val="00543CB6"/>
    <w:rsid w:val="00543D6B"/>
    <w:rsid w:val="005446B0"/>
    <w:rsid w:val="00545349"/>
    <w:rsid w:val="00546183"/>
    <w:rsid w:val="005475A9"/>
    <w:rsid w:val="005478E2"/>
    <w:rsid w:val="00547E4F"/>
    <w:rsid w:val="00551DFC"/>
    <w:rsid w:val="0055211A"/>
    <w:rsid w:val="0055216F"/>
    <w:rsid w:val="005605F8"/>
    <w:rsid w:val="0056183F"/>
    <w:rsid w:val="005622D1"/>
    <w:rsid w:val="00563224"/>
    <w:rsid w:val="005633AF"/>
    <w:rsid w:val="0056380E"/>
    <w:rsid w:val="005645A9"/>
    <w:rsid w:val="005650C2"/>
    <w:rsid w:val="00565A8C"/>
    <w:rsid w:val="00567720"/>
    <w:rsid w:val="00570BBA"/>
    <w:rsid w:val="005723C2"/>
    <w:rsid w:val="00572B88"/>
    <w:rsid w:val="00572F0A"/>
    <w:rsid w:val="00573012"/>
    <w:rsid w:val="00573562"/>
    <w:rsid w:val="00574068"/>
    <w:rsid w:val="00575306"/>
    <w:rsid w:val="005773BE"/>
    <w:rsid w:val="00577C90"/>
    <w:rsid w:val="00580954"/>
    <w:rsid w:val="00580F4C"/>
    <w:rsid w:val="005824F8"/>
    <w:rsid w:val="00583A5C"/>
    <w:rsid w:val="005850D6"/>
    <w:rsid w:val="00586357"/>
    <w:rsid w:val="0058643C"/>
    <w:rsid w:val="00586EDA"/>
    <w:rsid w:val="00586F03"/>
    <w:rsid w:val="00587114"/>
    <w:rsid w:val="005927CD"/>
    <w:rsid w:val="00593176"/>
    <w:rsid w:val="0059343A"/>
    <w:rsid w:val="00593CA2"/>
    <w:rsid w:val="00595B4A"/>
    <w:rsid w:val="005964EC"/>
    <w:rsid w:val="005A0661"/>
    <w:rsid w:val="005A1FDF"/>
    <w:rsid w:val="005A285F"/>
    <w:rsid w:val="005A2B40"/>
    <w:rsid w:val="005A2DB1"/>
    <w:rsid w:val="005A3025"/>
    <w:rsid w:val="005A4192"/>
    <w:rsid w:val="005A4ED9"/>
    <w:rsid w:val="005A4F1F"/>
    <w:rsid w:val="005A5A1C"/>
    <w:rsid w:val="005A6732"/>
    <w:rsid w:val="005B0C74"/>
    <w:rsid w:val="005B1C02"/>
    <w:rsid w:val="005B1F53"/>
    <w:rsid w:val="005B1F8F"/>
    <w:rsid w:val="005B33DC"/>
    <w:rsid w:val="005B4FF7"/>
    <w:rsid w:val="005B5511"/>
    <w:rsid w:val="005B6269"/>
    <w:rsid w:val="005B6A2F"/>
    <w:rsid w:val="005B6E58"/>
    <w:rsid w:val="005C31C8"/>
    <w:rsid w:val="005C4416"/>
    <w:rsid w:val="005C4D85"/>
    <w:rsid w:val="005C6CE7"/>
    <w:rsid w:val="005D184D"/>
    <w:rsid w:val="005D1BF1"/>
    <w:rsid w:val="005D2C74"/>
    <w:rsid w:val="005D2CB5"/>
    <w:rsid w:val="005D32D1"/>
    <w:rsid w:val="005D386F"/>
    <w:rsid w:val="005D5929"/>
    <w:rsid w:val="005D6D46"/>
    <w:rsid w:val="005D6DB1"/>
    <w:rsid w:val="005D72C1"/>
    <w:rsid w:val="005D7663"/>
    <w:rsid w:val="005D7DF5"/>
    <w:rsid w:val="005E15ED"/>
    <w:rsid w:val="005E31E2"/>
    <w:rsid w:val="005E3AEE"/>
    <w:rsid w:val="005E3DC5"/>
    <w:rsid w:val="005E3E03"/>
    <w:rsid w:val="005E4813"/>
    <w:rsid w:val="005E4FE7"/>
    <w:rsid w:val="005E6E82"/>
    <w:rsid w:val="005F0E56"/>
    <w:rsid w:val="005F1007"/>
    <w:rsid w:val="005F6167"/>
    <w:rsid w:val="006005D4"/>
    <w:rsid w:val="00600B40"/>
    <w:rsid w:val="006011FA"/>
    <w:rsid w:val="0060178F"/>
    <w:rsid w:val="00602576"/>
    <w:rsid w:val="00602663"/>
    <w:rsid w:val="006031DC"/>
    <w:rsid w:val="00604A07"/>
    <w:rsid w:val="0060535C"/>
    <w:rsid w:val="00607400"/>
    <w:rsid w:val="006120D5"/>
    <w:rsid w:val="00613D71"/>
    <w:rsid w:val="00614767"/>
    <w:rsid w:val="00615523"/>
    <w:rsid w:val="006159BC"/>
    <w:rsid w:val="006167BD"/>
    <w:rsid w:val="006173BB"/>
    <w:rsid w:val="00617D6A"/>
    <w:rsid w:val="006206B9"/>
    <w:rsid w:val="00620BD0"/>
    <w:rsid w:val="00622459"/>
    <w:rsid w:val="00623CBC"/>
    <w:rsid w:val="006243E7"/>
    <w:rsid w:val="00625C51"/>
    <w:rsid w:val="006301F8"/>
    <w:rsid w:val="0063027F"/>
    <w:rsid w:val="00630D29"/>
    <w:rsid w:val="006313EC"/>
    <w:rsid w:val="00631AFB"/>
    <w:rsid w:val="0063261A"/>
    <w:rsid w:val="0063473B"/>
    <w:rsid w:val="0063507E"/>
    <w:rsid w:val="006359D2"/>
    <w:rsid w:val="006369CC"/>
    <w:rsid w:val="006374EF"/>
    <w:rsid w:val="00641153"/>
    <w:rsid w:val="00643E16"/>
    <w:rsid w:val="00644832"/>
    <w:rsid w:val="00645028"/>
    <w:rsid w:val="00646631"/>
    <w:rsid w:val="00647F26"/>
    <w:rsid w:val="00650587"/>
    <w:rsid w:val="00652372"/>
    <w:rsid w:val="00653480"/>
    <w:rsid w:val="006536D6"/>
    <w:rsid w:val="00654B00"/>
    <w:rsid w:val="0065532F"/>
    <w:rsid w:val="006560FF"/>
    <w:rsid w:val="00656196"/>
    <w:rsid w:val="00656CC4"/>
    <w:rsid w:val="00657039"/>
    <w:rsid w:val="00657569"/>
    <w:rsid w:val="00657C0D"/>
    <w:rsid w:val="00657C6F"/>
    <w:rsid w:val="00662875"/>
    <w:rsid w:val="00663399"/>
    <w:rsid w:val="0066466F"/>
    <w:rsid w:val="00664915"/>
    <w:rsid w:val="006656A2"/>
    <w:rsid w:val="00665738"/>
    <w:rsid w:val="00666247"/>
    <w:rsid w:val="00667933"/>
    <w:rsid w:val="006679EB"/>
    <w:rsid w:val="006726B9"/>
    <w:rsid w:val="00674F5E"/>
    <w:rsid w:val="006763B3"/>
    <w:rsid w:val="00680631"/>
    <w:rsid w:val="00681E1D"/>
    <w:rsid w:val="00682F0F"/>
    <w:rsid w:val="00683222"/>
    <w:rsid w:val="006841FA"/>
    <w:rsid w:val="006849DD"/>
    <w:rsid w:val="00685608"/>
    <w:rsid w:val="00685CFC"/>
    <w:rsid w:val="00686774"/>
    <w:rsid w:val="00686A7A"/>
    <w:rsid w:val="00686F46"/>
    <w:rsid w:val="00687755"/>
    <w:rsid w:val="00687B51"/>
    <w:rsid w:val="006900BC"/>
    <w:rsid w:val="006907CD"/>
    <w:rsid w:val="00691002"/>
    <w:rsid w:val="0069218D"/>
    <w:rsid w:val="006924FD"/>
    <w:rsid w:val="00692DD7"/>
    <w:rsid w:val="00692DDF"/>
    <w:rsid w:val="0069376A"/>
    <w:rsid w:val="00694936"/>
    <w:rsid w:val="00694F25"/>
    <w:rsid w:val="00695074"/>
    <w:rsid w:val="00695709"/>
    <w:rsid w:val="00695CAA"/>
    <w:rsid w:val="00696321"/>
    <w:rsid w:val="00697007"/>
    <w:rsid w:val="00697FCE"/>
    <w:rsid w:val="006A077D"/>
    <w:rsid w:val="006A08EF"/>
    <w:rsid w:val="006A1725"/>
    <w:rsid w:val="006A1DAF"/>
    <w:rsid w:val="006A211F"/>
    <w:rsid w:val="006A2156"/>
    <w:rsid w:val="006A5AD0"/>
    <w:rsid w:val="006A5E4F"/>
    <w:rsid w:val="006A5EAE"/>
    <w:rsid w:val="006A72B3"/>
    <w:rsid w:val="006A7652"/>
    <w:rsid w:val="006A76FE"/>
    <w:rsid w:val="006B1F2E"/>
    <w:rsid w:val="006B34CD"/>
    <w:rsid w:val="006B46DC"/>
    <w:rsid w:val="006B53A6"/>
    <w:rsid w:val="006B666A"/>
    <w:rsid w:val="006B69D8"/>
    <w:rsid w:val="006B78F3"/>
    <w:rsid w:val="006B7F89"/>
    <w:rsid w:val="006C1199"/>
    <w:rsid w:val="006C1CDA"/>
    <w:rsid w:val="006C1DCC"/>
    <w:rsid w:val="006C3846"/>
    <w:rsid w:val="006C3BF0"/>
    <w:rsid w:val="006C4725"/>
    <w:rsid w:val="006C568D"/>
    <w:rsid w:val="006C7DEE"/>
    <w:rsid w:val="006D0174"/>
    <w:rsid w:val="006D221B"/>
    <w:rsid w:val="006D3D69"/>
    <w:rsid w:val="006D4845"/>
    <w:rsid w:val="006D5657"/>
    <w:rsid w:val="006D6C4A"/>
    <w:rsid w:val="006D7839"/>
    <w:rsid w:val="006E02B1"/>
    <w:rsid w:val="006E14ED"/>
    <w:rsid w:val="006E157D"/>
    <w:rsid w:val="006E19C5"/>
    <w:rsid w:val="006E3E44"/>
    <w:rsid w:val="006E44E3"/>
    <w:rsid w:val="006E4EF6"/>
    <w:rsid w:val="006E6DDB"/>
    <w:rsid w:val="006F0078"/>
    <w:rsid w:val="006F0296"/>
    <w:rsid w:val="006F0AC4"/>
    <w:rsid w:val="006F2CEE"/>
    <w:rsid w:val="006F3DF9"/>
    <w:rsid w:val="006F5195"/>
    <w:rsid w:val="006F5D51"/>
    <w:rsid w:val="006F61C3"/>
    <w:rsid w:val="006F7546"/>
    <w:rsid w:val="00700495"/>
    <w:rsid w:val="00700AEC"/>
    <w:rsid w:val="00701194"/>
    <w:rsid w:val="007016B1"/>
    <w:rsid w:val="0070375B"/>
    <w:rsid w:val="007052D8"/>
    <w:rsid w:val="00705564"/>
    <w:rsid w:val="007064D1"/>
    <w:rsid w:val="00707342"/>
    <w:rsid w:val="007112AF"/>
    <w:rsid w:val="00713691"/>
    <w:rsid w:val="0071564F"/>
    <w:rsid w:val="00720556"/>
    <w:rsid w:val="00721ECC"/>
    <w:rsid w:val="00721FF0"/>
    <w:rsid w:val="00722DD9"/>
    <w:rsid w:val="0072548B"/>
    <w:rsid w:val="00725682"/>
    <w:rsid w:val="007269A4"/>
    <w:rsid w:val="00727285"/>
    <w:rsid w:val="00730182"/>
    <w:rsid w:val="00732018"/>
    <w:rsid w:val="007333DB"/>
    <w:rsid w:val="00733A0C"/>
    <w:rsid w:val="00733E60"/>
    <w:rsid w:val="00734BF0"/>
    <w:rsid w:val="00734E14"/>
    <w:rsid w:val="007358D4"/>
    <w:rsid w:val="00736CC9"/>
    <w:rsid w:val="00737A72"/>
    <w:rsid w:val="00737D3F"/>
    <w:rsid w:val="007400E0"/>
    <w:rsid w:val="00740D11"/>
    <w:rsid w:val="007420CC"/>
    <w:rsid w:val="007420E8"/>
    <w:rsid w:val="00742808"/>
    <w:rsid w:val="00743C96"/>
    <w:rsid w:val="00745FC7"/>
    <w:rsid w:val="00746653"/>
    <w:rsid w:val="00746699"/>
    <w:rsid w:val="00746BCB"/>
    <w:rsid w:val="00747E14"/>
    <w:rsid w:val="007506CA"/>
    <w:rsid w:val="00753442"/>
    <w:rsid w:val="00754000"/>
    <w:rsid w:val="0075584E"/>
    <w:rsid w:val="007569C0"/>
    <w:rsid w:val="00756EFF"/>
    <w:rsid w:val="00757282"/>
    <w:rsid w:val="0075758D"/>
    <w:rsid w:val="00757D7F"/>
    <w:rsid w:val="00757E2B"/>
    <w:rsid w:val="00760447"/>
    <w:rsid w:val="00760C76"/>
    <w:rsid w:val="00760FA3"/>
    <w:rsid w:val="00761DD0"/>
    <w:rsid w:val="007623A6"/>
    <w:rsid w:val="00763CB4"/>
    <w:rsid w:val="00765019"/>
    <w:rsid w:val="007661B4"/>
    <w:rsid w:val="00770F20"/>
    <w:rsid w:val="00771BDB"/>
    <w:rsid w:val="00776C9E"/>
    <w:rsid w:val="00780B22"/>
    <w:rsid w:val="00780C3A"/>
    <w:rsid w:val="0078114B"/>
    <w:rsid w:val="00781799"/>
    <w:rsid w:val="007830DD"/>
    <w:rsid w:val="00784AE6"/>
    <w:rsid w:val="00784CA4"/>
    <w:rsid w:val="00784D51"/>
    <w:rsid w:val="0078521D"/>
    <w:rsid w:val="00785C40"/>
    <w:rsid w:val="00785CC6"/>
    <w:rsid w:val="00786F43"/>
    <w:rsid w:val="007870AB"/>
    <w:rsid w:val="00787769"/>
    <w:rsid w:val="0079060C"/>
    <w:rsid w:val="00792F17"/>
    <w:rsid w:val="00794E0D"/>
    <w:rsid w:val="00795740"/>
    <w:rsid w:val="007957E4"/>
    <w:rsid w:val="00797162"/>
    <w:rsid w:val="007A0742"/>
    <w:rsid w:val="007A2DB4"/>
    <w:rsid w:val="007A31E6"/>
    <w:rsid w:val="007A3201"/>
    <w:rsid w:val="007A4951"/>
    <w:rsid w:val="007A5EC1"/>
    <w:rsid w:val="007A5F2E"/>
    <w:rsid w:val="007A6334"/>
    <w:rsid w:val="007A69E3"/>
    <w:rsid w:val="007A727D"/>
    <w:rsid w:val="007A78B2"/>
    <w:rsid w:val="007A7D92"/>
    <w:rsid w:val="007B1943"/>
    <w:rsid w:val="007B1D8C"/>
    <w:rsid w:val="007B2424"/>
    <w:rsid w:val="007B39B5"/>
    <w:rsid w:val="007B76CF"/>
    <w:rsid w:val="007C0637"/>
    <w:rsid w:val="007C06DB"/>
    <w:rsid w:val="007C07F2"/>
    <w:rsid w:val="007C3666"/>
    <w:rsid w:val="007C442F"/>
    <w:rsid w:val="007C4873"/>
    <w:rsid w:val="007C52C9"/>
    <w:rsid w:val="007C6B13"/>
    <w:rsid w:val="007C7289"/>
    <w:rsid w:val="007C7F1C"/>
    <w:rsid w:val="007D26D0"/>
    <w:rsid w:val="007D2F6E"/>
    <w:rsid w:val="007D3256"/>
    <w:rsid w:val="007D502C"/>
    <w:rsid w:val="007D542C"/>
    <w:rsid w:val="007D55F3"/>
    <w:rsid w:val="007D6DE9"/>
    <w:rsid w:val="007D71B9"/>
    <w:rsid w:val="007E01BD"/>
    <w:rsid w:val="007E03DA"/>
    <w:rsid w:val="007E12B5"/>
    <w:rsid w:val="007E21C1"/>
    <w:rsid w:val="007E35AA"/>
    <w:rsid w:val="007E5DC0"/>
    <w:rsid w:val="007E6E61"/>
    <w:rsid w:val="007E7CC7"/>
    <w:rsid w:val="007F12B7"/>
    <w:rsid w:val="007F228D"/>
    <w:rsid w:val="007F25A9"/>
    <w:rsid w:val="007F27D7"/>
    <w:rsid w:val="007F33A7"/>
    <w:rsid w:val="007F7311"/>
    <w:rsid w:val="008002E6"/>
    <w:rsid w:val="00800944"/>
    <w:rsid w:val="00801036"/>
    <w:rsid w:val="00801575"/>
    <w:rsid w:val="008016E7"/>
    <w:rsid w:val="00803C35"/>
    <w:rsid w:val="00804F81"/>
    <w:rsid w:val="0080764D"/>
    <w:rsid w:val="008106CA"/>
    <w:rsid w:val="008107B2"/>
    <w:rsid w:val="00810E4C"/>
    <w:rsid w:val="00811D7A"/>
    <w:rsid w:val="008132FD"/>
    <w:rsid w:val="00813D21"/>
    <w:rsid w:val="00813D5B"/>
    <w:rsid w:val="00815D71"/>
    <w:rsid w:val="00816D5E"/>
    <w:rsid w:val="00820836"/>
    <w:rsid w:val="0082164E"/>
    <w:rsid w:val="00821E9A"/>
    <w:rsid w:val="008231BA"/>
    <w:rsid w:val="008236C3"/>
    <w:rsid w:val="00823CAB"/>
    <w:rsid w:val="00824E2B"/>
    <w:rsid w:val="00826779"/>
    <w:rsid w:val="00826980"/>
    <w:rsid w:val="008302D6"/>
    <w:rsid w:val="00830674"/>
    <w:rsid w:val="008306DE"/>
    <w:rsid w:val="00830CE7"/>
    <w:rsid w:val="008313B2"/>
    <w:rsid w:val="008317AE"/>
    <w:rsid w:val="00831D28"/>
    <w:rsid w:val="00831E17"/>
    <w:rsid w:val="008321F6"/>
    <w:rsid w:val="00832B98"/>
    <w:rsid w:val="00833627"/>
    <w:rsid w:val="00834FEF"/>
    <w:rsid w:val="0083592F"/>
    <w:rsid w:val="008361BE"/>
    <w:rsid w:val="0083769F"/>
    <w:rsid w:val="00837F0A"/>
    <w:rsid w:val="00840199"/>
    <w:rsid w:val="008401D7"/>
    <w:rsid w:val="008405A7"/>
    <w:rsid w:val="008406C7"/>
    <w:rsid w:val="0084130A"/>
    <w:rsid w:val="0084171E"/>
    <w:rsid w:val="00841C1C"/>
    <w:rsid w:val="00842423"/>
    <w:rsid w:val="0084599E"/>
    <w:rsid w:val="008477B5"/>
    <w:rsid w:val="0085224F"/>
    <w:rsid w:val="00852A75"/>
    <w:rsid w:val="00853B1B"/>
    <w:rsid w:val="008577D4"/>
    <w:rsid w:val="00860BCB"/>
    <w:rsid w:val="00860DDC"/>
    <w:rsid w:val="00862065"/>
    <w:rsid w:val="00863DB6"/>
    <w:rsid w:val="00863FD0"/>
    <w:rsid w:val="008648A4"/>
    <w:rsid w:val="008651BA"/>
    <w:rsid w:val="00865A6D"/>
    <w:rsid w:val="00865FC5"/>
    <w:rsid w:val="00867539"/>
    <w:rsid w:val="00870BB3"/>
    <w:rsid w:val="00870FE9"/>
    <w:rsid w:val="00871B0F"/>
    <w:rsid w:val="008720D8"/>
    <w:rsid w:val="0087367F"/>
    <w:rsid w:val="00873A06"/>
    <w:rsid w:val="00874D70"/>
    <w:rsid w:val="00875555"/>
    <w:rsid w:val="00875F47"/>
    <w:rsid w:val="00882331"/>
    <w:rsid w:val="00883E6C"/>
    <w:rsid w:val="00883FAB"/>
    <w:rsid w:val="0088440C"/>
    <w:rsid w:val="00885810"/>
    <w:rsid w:val="008862B5"/>
    <w:rsid w:val="00886462"/>
    <w:rsid w:val="0088721E"/>
    <w:rsid w:val="0088740B"/>
    <w:rsid w:val="00887544"/>
    <w:rsid w:val="00890490"/>
    <w:rsid w:val="008908F5"/>
    <w:rsid w:val="00890A4C"/>
    <w:rsid w:val="00890DDA"/>
    <w:rsid w:val="00891914"/>
    <w:rsid w:val="00892224"/>
    <w:rsid w:val="00892271"/>
    <w:rsid w:val="008937DA"/>
    <w:rsid w:val="008945FD"/>
    <w:rsid w:val="008951AC"/>
    <w:rsid w:val="008961B7"/>
    <w:rsid w:val="0089637A"/>
    <w:rsid w:val="0089677E"/>
    <w:rsid w:val="00896C73"/>
    <w:rsid w:val="00897096"/>
    <w:rsid w:val="008971A9"/>
    <w:rsid w:val="008974E7"/>
    <w:rsid w:val="008978CC"/>
    <w:rsid w:val="00897A5B"/>
    <w:rsid w:val="008A027A"/>
    <w:rsid w:val="008A1032"/>
    <w:rsid w:val="008A1053"/>
    <w:rsid w:val="008A2418"/>
    <w:rsid w:val="008A377A"/>
    <w:rsid w:val="008A51A7"/>
    <w:rsid w:val="008A6931"/>
    <w:rsid w:val="008B01CC"/>
    <w:rsid w:val="008B1D55"/>
    <w:rsid w:val="008B5987"/>
    <w:rsid w:val="008B67D7"/>
    <w:rsid w:val="008B6FE5"/>
    <w:rsid w:val="008B76D2"/>
    <w:rsid w:val="008B776F"/>
    <w:rsid w:val="008C04EC"/>
    <w:rsid w:val="008C097F"/>
    <w:rsid w:val="008C2312"/>
    <w:rsid w:val="008C2A3C"/>
    <w:rsid w:val="008C2E65"/>
    <w:rsid w:val="008C34BC"/>
    <w:rsid w:val="008C37C8"/>
    <w:rsid w:val="008C392B"/>
    <w:rsid w:val="008C4474"/>
    <w:rsid w:val="008C4EB9"/>
    <w:rsid w:val="008C5E38"/>
    <w:rsid w:val="008D0652"/>
    <w:rsid w:val="008D0BF5"/>
    <w:rsid w:val="008D114B"/>
    <w:rsid w:val="008D5E04"/>
    <w:rsid w:val="008D7DDB"/>
    <w:rsid w:val="008E08F8"/>
    <w:rsid w:val="008E1F19"/>
    <w:rsid w:val="008F11E2"/>
    <w:rsid w:val="008F2097"/>
    <w:rsid w:val="008F3660"/>
    <w:rsid w:val="008F3F09"/>
    <w:rsid w:val="008F60F9"/>
    <w:rsid w:val="008F7B87"/>
    <w:rsid w:val="00901CCF"/>
    <w:rsid w:val="00902C55"/>
    <w:rsid w:val="00905802"/>
    <w:rsid w:val="00905F64"/>
    <w:rsid w:val="00906098"/>
    <w:rsid w:val="0090707A"/>
    <w:rsid w:val="00907206"/>
    <w:rsid w:val="0090744F"/>
    <w:rsid w:val="00907611"/>
    <w:rsid w:val="00907D5A"/>
    <w:rsid w:val="00910EC6"/>
    <w:rsid w:val="00911C69"/>
    <w:rsid w:val="009129DD"/>
    <w:rsid w:val="00912DEC"/>
    <w:rsid w:val="0091364C"/>
    <w:rsid w:val="009149A9"/>
    <w:rsid w:val="00914C10"/>
    <w:rsid w:val="00914CB6"/>
    <w:rsid w:val="00915D80"/>
    <w:rsid w:val="00916308"/>
    <w:rsid w:val="00917556"/>
    <w:rsid w:val="009175E5"/>
    <w:rsid w:val="009205BD"/>
    <w:rsid w:val="009209E2"/>
    <w:rsid w:val="00920AD0"/>
    <w:rsid w:val="00920B88"/>
    <w:rsid w:val="00923923"/>
    <w:rsid w:val="009258F6"/>
    <w:rsid w:val="0092595A"/>
    <w:rsid w:val="00926BBA"/>
    <w:rsid w:val="00927F3E"/>
    <w:rsid w:val="00930562"/>
    <w:rsid w:val="0093084B"/>
    <w:rsid w:val="00930A46"/>
    <w:rsid w:val="00930D8F"/>
    <w:rsid w:val="0093157A"/>
    <w:rsid w:val="009322A7"/>
    <w:rsid w:val="009322EF"/>
    <w:rsid w:val="00933FEE"/>
    <w:rsid w:val="00934A69"/>
    <w:rsid w:val="00936722"/>
    <w:rsid w:val="009376A3"/>
    <w:rsid w:val="00937836"/>
    <w:rsid w:val="00937CD1"/>
    <w:rsid w:val="009405F0"/>
    <w:rsid w:val="009410CF"/>
    <w:rsid w:val="0094210A"/>
    <w:rsid w:val="00942356"/>
    <w:rsid w:val="00945079"/>
    <w:rsid w:val="00945087"/>
    <w:rsid w:val="009451C2"/>
    <w:rsid w:val="0094536D"/>
    <w:rsid w:val="00946F8D"/>
    <w:rsid w:val="00947449"/>
    <w:rsid w:val="0095018E"/>
    <w:rsid w:val="00950C28"/>
    <w:rsid w:val="00951409"/>
    <w:rsid w:val="0095143A"/>
    <w:rsid w:val="0095144D"/>
    <w:rsid w:val="00952605"/>
    <w:rsid w:val="009528ED"/>
    <w:rsid w:val="009548FE"/>
    <w:rsid w:val="00954B36"/>
    <w:rsid w:val="009557C0"/>
    <w:rsid w:val="009558BD"/>
    <w:rsid w:val="009601E0"/>
    <w:rsid w:val="00964509"/>
    <w:rsid w:val="00965A62"/>
    <w:rsid w:val="00965A8D"/>
    <w:rsid w:val="00966C54"/>
    <w:rsid w:val="0096730B"/>
    <w:rsid w:val="009678FD"/>
    <w:rsid w:val="0097267E"/>
    <w:rsid w:val="00972CB3"/>
    <w:rsid w:val="00975828"/>
    <w:rsid w:val="00975DA4"/>
    <w:rsid w:val="0097649D"/>
    <w:rsid w:val="00976EC3"/>
    <w:rsid w:val="00977588"/>
    <w:rsid w:val="00977987"/>
    <w:rsid w:val="0098287F"/>
    <w:rsid w:val="00982A30"/>
    <w:rsid w:val="00984601"/>
    <w:rsid w:val="00984F86"/>
    <w:rsid w:val="009853EE"/>
    <w:rsid w:val="00986463"/>
    <w:rsid w:val="009867FF"/>
    <w:rsid w:val="00990627"/>
    <w:rsid w:val="00990A28"/>
    <w:rsid w:val="00990D29"/>
    <w:rsid w:val="009916C7"/>
    <w:rsid w:val="00991817"/>
    <w:rsid w:val="00991914"/>
    <w:rsid w:val="00992276"/>
    <w:rsid w:val="009922CD"/>
    <w:rsid w:val="009944E0"/>
    <w:rsid w:val="009965A7"/>
    <w:rsid w:val="009A0A5F"/>
    <w:rsid w:val="009A0F15"/>
    <w:rsid w:val="009A14E1"/>
    <w:rsid w:val="009A1567"/>
    <w:rsid w:val="009A32F5"/>
    <w:rsid w:val="009A4397"/>
    <w:rsid w:val="009A4B80"/>
    <w:rsid w:val="009A5462"/>
    <w:rsid w:val="009A58EC"/>
    <w:rsid w:val="009A5BBB"/>
    <w:rsid w:val="009A6C21"/>
    <w:rsid w:val="009A70F0"/>
    <w:rsid w:val="009A7DF7"/>
    <w:rsid w:val="009B0310"/>
    <w:rsid w:val="009B09C6"/>
    <w:rsid w:val="009B13D3"/>
    <w:rsid w:val="009B1ACA"/>
    <w:rsid w:val="009B2112"/>
    <w:rsid w:val="009B3566"/>
    <w:rsid w:val="009B4A2A"/>
    <w:rsid w:val="009B5780"/>
    <w:rsid w:val="009C08A0"/>
    <w:rsid w:val="009C0A02"/>
    <w:rsid w:val="009C11F4"/>
    <w:rsid w:val="009C1522"/>
    <w:rsid w:val="009C2FC2"/>
    <w:rsid w:val="009C3782"/>
    <w:rsid w:val="009C3BD8"/>
    <w:rsid w:val="009C4B02"/>
    <w:rsid w:val="009D0B61"/>
    <w:rsid w:val="009D1313"/>
    <w:rsid w:val="009D182C"/>
    <w:rsid w:val="009D21C8"/>
    <w:rsid w:val="009D2960"/>
    <w:rsid w:val="009D4ED5"/>
    <w:rsid w:val="009D5869"/>
    <w:rsid w:val="009D6BC0"/>
    <w:rsid w:val="009D6D9F"/>
    <w:rsid w:val="009D7CE9"/>
    <w:rsid w:val="009E031E"/>
    <w:rsid w:val="009E1DFA"/>
    <w:rsid w:val="009E40DD"/>
    <w:rsid w:val="009E56B5"/>
    <w:rsid w:val="009E585B"/>
    <w:rsid w:val="009E6BFC"/>
    <w:rsid w:val="009E74C5"/>
    <w:rsid w:val="009E776F"/>
    <w:rsid w:val="009F0104"/>
    <w:rsid w:val="009F0482"/>
    <w:rsid w:val="009F0C2E"/>
    <w:rsid w:val="009F0DB1"/>
    <w:rsid w:val="009F2104"/>
    <w:rsid w:val="009F2584"/>
    <w:rsid w:val="009F2800"/>
    <w:rsid w:val="009F29AD"/>
    <w:rsid w:val="009F31A1"/>
    <w:rsid w:val="009F32DB"/>
    <w:rsid w:val="009F378B"/>
    <w:rsid w:val="009F439D"/>
    <w:rsid w:val="009F6808"/>
    <w:rsid w:val="009F703D"/>
    <w:rsid w:val="00A00717"/>
    <w:rsid w:val="00A00951"/>
    <w:rsid w:val="00A012FF"/>
    <w:rsid w:val="00A016C0"/>
    <w:rsid w:val="00A034E8"/>
    <w:rsid w:val="00A03655"/>
    <w:rsid w:val="00A03BF8"/>
    <w:rsid w:val="00A04FA7"/>
    <w:rsid w:val="00A056EE"/>
    <w:rsid w:val="00A066EA"/>
    <w:rsid w:val="00A06CEB"/>
    <w:rsid w:val="00A1300D"/>
    <w:rsid w:val="00A145FC"/>
    <w:rsid w:val="00A17418"/>
    <w:rsid w:val="00A209E3"/>
    <w:rsid w:val="00A21B6A"/>
    <w:rsid w:val="00A22797"/>
    <w:rsid w:val="00A2594E"/>
    <w:rsid w:val="00A2673F"/>
    <w:rsid w:val="00A30F8F"/>
    <w:rsid w:val="00A32C0E"/>
    <w:rsid w:val="00A32EFD"/>
    <w:rsid w:val="00A3358B"/>
    <w:rsid w:val="00A35F40"/>
    <w:rsid w:val="00A36004"/>
    <w:rsid w:val="00A40524"/>
    <w:rsid w:val="00A409A4"/>
    <w:rsid w:val="00A4131F"/>
    <w:rsid w:val="00A45004"/>
    <w:rsid w:val="00A46853"/>
    <w:rsid w:val="00A46EF7"/>
    <w:rsid w:val="00A47342"/>
    <w:rsid w:val="00A5278B"/>
    <w:rsid w:val="00A529C0"/>
    <w:rsid w:val="00A52E90"/>
    <w:rsid w:val="00A53896"/>
    <w:rsid w:val="00A53900"/>
    <w:rsid w:val="00A5500C"/>
    <w:rsid w:val="00A55D15"/>
    <w:rsid w:val="00A56C27"/>
    <w:rsid w:val="00A56DA2"/>
    <w:rsid w:val="00A60D25"/>
    <w:rsid w:val="00A64632"/>
    <w:rsid w:val="00A6575E"/>
    <w:rsid w:val="00A65E12"/>
    <w:rsid w:val="00A66021"/>
    <w:rsid w:val="00A66A79"/>
    <w:rsid w:val="00A66FC6"/>
    <w:rsid w:val="00A67467"/>
    <w:rsid w:val="00A7088F"/>
    <w:rsid w:val="00A7196F"/>
    <w:rsid w:val="00A71D48"/>
    <w:rsid w:val="00A72CDF"/>
    <w:rsid w:val="00A73361"/>
    <w:rsid w:val="00A7462E"/>
    <w:rsid w:val="00A74B2E"/>
    <w:rsid w:val="00A758F4"/>
    <w:rsid w:val="00A75B56"/>
    <w:rsid w:val="00A76A82"/>
    <w:rsid w:val="00A77BB3"/>
    <w:rsid w:val="00A81F6C"/>
    <w:rsid w:val="00A91660"/>
    <w:rsid w:val="00A9411B"/>
    <w:rsid w:val="00A943CA"/>
    <w:rsid w:val="00A94A12"/>
    <w:rsid w:val="00A95ABA"/>
    <w:rsid w:val="00A9668B"/>
    <w:rsid w:val="00AA0391"/>
    <w:rsid w:val="00AA0E28"/>
    <w:rsid w:val="00AA118E"/>
    <w:rsid w:val="00AA1FDC"/>
    <w:rsid w:val="00AA347C"/>
    <w:rsid w:val="00AA51FF"/>
    <w:rsid w:val="00AA63E7"/>
    <w:rsid w:val="00AA66A4"/>
    <w:rsid w:val="00AA6CAA"/>
    <w:rsid w:val="00AA7061"/>
    <w:rsid w:val="00AB039D"/>
    <w:rsid w:val="00AB0A4C"/>
    <w:rsid w:val="00AB1709"/>
    <w:rsid w:val="00AB1AA8"/>
    <w:rsid w:val="00AB3041"/>
    <w:rsid w:val="00AB3BDD"/>
    <w:rsid w:val="00AB3D2E"/>
    <w:rsid w:val="00AB4415"/>
    <w:rsid w:val="00AB46FD"/>
    <w:rsid w:val="00AB4D1E"/>
    <w:rsid w:val="00AB54F9"/>
    <w:rsid w:val="00AB694F"/>
    <w:rsid w:val="00AB6C79"/>
    <w:rsid w:val="00AB7905"/>
    <w:rsid w:val="00AB7B74"/>
    <w:rsid w:val="00AC0346"/>
    <w:rsid w:val="00AC078F"/>
    <w:rsid w:val="00AC0C1D"/>
    <w:rsid w:val="00AC1068"/>
    <w:rsid w:val="00AC1D75"/>
    <w:rsid w:val="00AC298F"/>
    <w:rsid w:val="00AC2E7C"/>
    <w:rsid w:val="00AC3ADB"/>
    <w:rsid w:val="00AC4054"/>
    <w:rsid w:val="00AC424B"/>
    <w:rsid w:val="00AC6612"/>
    <w:rsid w:val="00AC777E"/>
    <w:rsid w:val="00AD067A"/>
    <w:rsid w:val="00AD0EAF"/>
    <w:rsid w:val="00AD1007"/>
    <w:rsid w:val="00AD5870"/>
    <w:rsid w:val="00AD5C4D"/>
    <w:rsid w:val="00AD5E53"/>
    <w:rsid w:val="00AD6DC2"/>
    <w:rsid w:val="00AD7175"/>
    <w:rsid w:val="00AD7394"/>
    <w:rsid w:val="00AE02C3"/>
    <w:rsid w:val="00AE09B8"/>
    <w:rsid w:val="00AE35E2"/>
    <w:rsid w:val="00AE407C"/>
    <w:rsid w:val="00AE40AD"/>
    <w:rsid w:val="00AE4B00"/>
    <w:rsid w:val="00AE5259"/>
    <w:rsid w:val="00AE5BDE"/>
    <w:rsid w:val="00AE61A5"/>
    <w:rsid w:val="00AE6B15"/>
    <w:rsid w:val="00AE7150"/>
    <w:rsid w:val="00AF062E"/>
    <w:rsid w:val="00AF0B6C"/>
    <w:rsid w:val="00AF1245"/>
    <w:rsid w:val="00AF153D"/>
    <w:rsid w:val="00AF15AB"/>
    <w:rsid w:val="00AF2763"/>
    <w:rsid w:val="00AF5E03"/>
    <w:rsid w:val="00AF7161"/>
    <w:rsid w:val="00B000FF"/>
    <w:rsid w:val="00B00C34"/>
    <w:rsid w:val="00B02A63"/>
    <w:rsid w:val="00B0328B"/>
    <w:rsid w:val="00B03A54"/>
    <w:rsid w:val="00B03E26"/>
    <w:rsid w:val="00B04181"/>
    <w:rsid w:val="00B04CE3"/>
    <w:rsid w:val="00B0583F"/>
    <w:rsid w:val="00B0669C"/>
    <w:rsid w:val="00B06B06"/>
    <w:rsid w:val="00B07121"/>
    <w:rsid w:val="00B0728F"/>
    <w:rsid w:val="00B07CB5"/>
    <w:rsid w:val="00B101F6"/>
    <w:rsid w:val="00B11C68"/>
    <w:rsid w:val="00B11E69"/>
    <w:rsid w:val="00B124E4"/>
    <w:rsid w:val="00B12C19"/>
    <w:rsid w:val="00B12E1D"/>
    <w:rsid w:val="00B133A1"/>
    <w:rsid w:val="00B15AE4"/>
    <w:rsid w:val="00B165E3"/>
    <w:rsid w:val="00B17419"/>
    <w:rsid w:val="00B222C9"/>
    <w:rsid w:val="00B235AE"/>
    <w:rsid w:val="00B24207"/>
    <w:rsid w:val="00B24A9B"/>
    <w:rsid w:val="00B308A3"/>
    <w:rsid w:val="00B31078"/>
    <w:rsid w:val="00B3268E"/>
    <w:rsid w:val="00B33815"/>
    <w:rsid w:val="00B33D16"/>
    <w:rsid w:val="00B341C1"/>
    <w:rsid w:val="00B347DC"/>
    <w:rsid w:val="00B35E7F"/>
    <w:rsid w:val="00B36160"/>
    <w:rsid w:val="00B36561"/>
    <w:rsid w:val="00B400EA"/>
    <w:rsid w:val="00B40306"/>
    <w:rsid w:val="00B41904"/>
    <w:rsid w:val="00B423C8"/>
    <w:rsid w:val="00B448A6"/>
    <w:rsid w:val="00B46129"/>
    <w:rsid w:val="00B46ADD"/>
    <w:rsid w:val="00B50649"/>
    <w:rsid w:val="00B50F48"/>
    <w:rsid w:val="00B52694"/>
    <w:rsid w:val="00B52B03"/>
    <w:rsid w:val="00B535E8"/>
    <w:rsid w:val="00B57631"/>
    <w:rsid w:val="00B630CF"/>
    <w:rsid w:val="00B6328F"/>
    <w:rsid w:val="00B63F49"/>
    <w:rsid w:val="00B65358"/>
    <w:rsid w:val="00B65ACE"/>
    <w:rsid w:val="00B65C97"/>
    <w:rsid w:val="00B65EA9"/>
    <w:rsid w:val="00B65EC2"/>
    <w:rsid w:val="00B6616F"/>
    <w:rsid w:val="00B66FE1"/>
    <w:rsid w:val="00B7007B"/>
    <w:rsid w:val="00B7023D"/>
    <w:rsid w:val="00B708B1"/>
    <w:rsid w:val="00B7110D"/>
    <w:rsid w:val="00B711FB"/>
    <w:rsid w:val="00B72BAD"/>
    <w:rsid w:val="00B73982"/>
    <w:rsid w:val="00B73ECE"/>
    <w:rsid w:val="00B74DFB"/>
    <w:rsid w:val="00B7597B"/>
    <w:rsid w:val="00B75D74"/>
    <w:rsid w:val="00B77029"/>
    <w:rsid w:val="00B77183"/>
    <w:rsid w:val="00B77A25"/>
    <w:rsid w:val="00B77F7F"/>
    <w:rsid w:val="00B815A9"/>
    <w:rsid w:val="00B817E0"/>
    <w:rsid w:val="00B818C8"/>
    <w:rsid w:val="00B82738"/>
    <w:rsid w:val="00B83416"/>
    <w:rsid w:val="00B843CD"/>
    <w:rsid w:val="00B84AE8"/>
    <w:rsid w:val="00B86B09"/>
    <w:rsid w:val="00B86B3C"/>
    <w:rsid w:val="00B86B7A"/>
    <w:rsid w:val="00B87418"/>
    <w:rsid w:val="00B876EF"/>
    <w:rsid w:val="00B90BF3"/>
    <w:rsid w:val="00B92014"/>
    <w:rsid w:val="00B92767"/>
    <w:rsid w:val="00B94616"/>
    <w:rsid w:val="00B951EF"/>
    <w:rsid w:val="00B96979"/>
    <w:rsid w:val="00B97946"/>
    <w:rsid w:val="00BA0E76"/>
    <w:rsid w:val="00BA19EC"/>
    <w:rsid w:val="00BA1E39"/>
    <w:rsid w:val="00BA2225"/>
    <w:rsid w:val="00BA30A1"/>
    <w:rsid w:val="00BA39C4"/>
    <w:rsid w:val="00BA3BB4"/>
    <w:rsid w:val="00BA474B"/>
    <w:rsid w:val="00BA510E"/>
    <w:rsid w:val="00BB3926"/>
    <w:rsid w:val="00BB3AEE"/>
    <w:rsid w:val="00BB6334"/>
    <w:rsid w:val="00BC2097"/>
    <w:rsid w:val="00BC2AA4"/>
    <w:rsid w:val="00BC2EB0"/>
    <w:rsid w:val="00BC375A"/>
    <w:rsid w:val="00BC4470"/>
    <w:rsid w:val="00BC55A1"/>
    <w:rsid w:val="00BC618A"/>
    <w:rsid w:val="00BD25BF"/>
    <w:rsid w:val="00BD32FA"/>
    <w:rsid w:val="00BD5667"/>
    <w:rsid w:val="00BD6D7C"/>
    <w:rsid w:val="00BE0054"/>
    <w:rsid w:val="00BE0F2C"/>
    <w:rsid w:val="00BE0F82"/>
    <w:rsid w:val="00BE11C4"/>
    <w:rsid w:val="00BE1CB8"/>
    <w:rsid w:val="00BE1DE5"/>
    <w:rsid w:val="00BE2B2B"/>
    <w:rsid w:val="00BE309E"/>
    <w:rsid w:val="00BE3476"/>
    <w:rsid w:val="00BE3942"/>
    <w:rsid w:val="00BE41DE"/>
    <w:rsid w:val="00BE51FD"/>
    <w:rsid w:val="00BE5796"/>
    <w:rsid w:val="00BE5D49"/>
    <w:rsid w:val="00BE79B4"/>
    <w:rsid w:val="00BF0778"/>
    <w:rsid w:val="00BF13A5"/>
    <w:rsid w:val="00BF1DA5"/>
    <w:rsid w:val="00BF243B"/>
    <w:rsid w:val="00BF2441"/>
    <w:rsid w:val="00BF2689"/>
    <w:rsid w:val="00BF283C"/>
    <w:rsid w:val="00BF2914"/>
    <w:rsid w:val="00BF3213"/>
    <w:rsid w:val="00BF3F63"/>
    <w:rsid w:val="00BF44BF"/>
    <w:rsid w:val="00BF464E"/>
    <w:rsid w:val="00BF5896"/>
    <w:rsid w:val="00BF760E"/>
    <w:rsid w:val="00C00872"/>
    <w:rsid w:val="00C02243"/>
    <w:rsid w:val="00C0266B"/>
    <w:rsid w:val="00C0489E"/>
    <w:rsid w:val="00C04C66"/>
    <w:rsid w:val="00C04E48"/>
    <w:rsid w:val="00C05EBE"/>
    <w:rsid w:val="00C06F93"/>
    <w:rsid w:val="00C07061"/>
    <w:rsid w:val="00C0725D"/>
    <w:rsid w:val="00C10437"/>
    <w:rsid w:val="00C107BE"/>
    <w:rsid w:val="00C10B14"/>
    <w:rsid w:val="00C116D2"/>
    <w:rsid w:val="00C11A77"/>
    <w:rsid w:val="00C126FA"/>
    <w:rsid w:val="00C12952"/>
    <w:rsid w:val="00C14230"/>
    <w:rsid w:val="00C1633A"/>
    <w:rsid w:val="00C1648A"/>
    <w:rsid w:val="00C167AC"/>
    <w:rsid w:val="00C220E7"/>
    <w:rsid w:val="00C22229"/>
    <w:rsid w:val="00C22776"/>
    <w:rsid w:val="00C2476B"/>
    <w:rsid w:val="00C250DA"/>
    <w:rsid w:val="00C25E5D"/>
    <w:rsid w:val="00C27EF5"/>
    <w:rsid w:val="00C3000A"/>
    <w:rsid w:val="00C30101"/>
    <w:rsid w:val="00C32997"/>
    <w:rsid w:val="00C3386A"/>
    <w:rsid w:val="00C34AF3"/>
    <w:rsid w:val="00C35333"/>
    <w:rsid w:val="00C374B1"/>
    <w:rsid w:val="00C40CEC"/>
    <w:rsid w:val="00C424C7"/>
    <w:rsid w:val="00C42C0F"/>
    <w:rsid w:val="00C43038"/>
    <w:rsid w:val="00C430E3"/>
    <w:rsid w:val="00C43613"/>
    <w:rsid w:val="00C45F57"/>
    <w:rsid w:val="00C46500"/>
    <w:rsid w:val="00C50250"/>
    <w:rsid w:val="00C50F3C"/>
    <w:rsid w:val="00C51EDF"/>
    <w:rsid w:val="00C5250C"/>
    <w:rsid w:val="00C559EA"/>
    <w:rsid w:val="00C55A7D"/>
    <w:rsid w:val="00C56917"/>
    <w:rsid w:val="00C56936"/>
    <w:rsid w:val="00C62CB0"/>
    <w:rsid w:val="00C63ECE"/>
    <w:rsid w:val="00C64F66"/>
    <w:rsid w:val="00C671F1"/>
    <w:rsid w:val="00C700AE"/>
    <w:rsid w:val="00C72DC4"/>
    <w:rsid w:val="00C72E1E"/>
    <w:rsid w:val="00C74B7D"/>
    <w:rsid w:val="00C75296"/>
    <w:rsid w:val="00C75E32"/>
    <w:rsid w:val="00C764DA"/>
    <w:rsid w:val="00C767EA"/>
    <w:rsid w:val="00C8145D"/>
    <w:rsid w:val="00C81DFC"/>
    <w:rsid w:val="00C854EB"/>
    <w:rsid w:val="00C8592B"/>
    <w:rsid w:val="00C85EA8"/>
    <w:rsid w:val="00C86BD4"/>
    <w:rsid w:val="00C86DF3"/>
    <w:rsid w:val="00C94DF9"/>
    <w:rsid w:val="00C96E35"/>
    <w:rsid w:val="00CA1552"/>
    <w:rsid w:val="00CA19A4"/>
    <w:rsid w:val="00CA279F"/>
    <w:rsid w:val="00CA3DA2"/>
    <w:rsid w:val="00CA652B"/>
    <w:rsid w:val="00CA6FFD"/>
    <w:rsid w:val="00CA7199"/>
    <w:rsid w:val="00CB001B"/>
    <w:rsid w:val="00CB0540"/>
    <w:rsid w:val="00CB12E3"/>
    <w:rsid w:val="00CB2BAE"/>
    <w:rsid w:val="00CB303B"/>
    <w:rsid w:val="00CB481B"/>
    <w:rsid w:val="00CB6EAC"/>
    <w:rsid w:val="00CB6F73"/>
    <w:rsid w:val="00CB732D"/>
    <w:rsid w:val="00CB7F74"/>
    <w:rsid w:val="00CC14C1"/>
    <w:rsid w:val="00CC157B"/>
    <w:rsid w:val="00CC172B"/>
    <w:rsid w:val="00CC206B"/>
    <w:rsid w:val="00CC25EB"/>
    <w:rsid w:val="00CC3232"/>
    <w:rsid w:val="00CC3309"/>
    <w:rsid w:val="00CC4269"/>
    <w:rsid w:val="00CC4E5C"/>
    <w:rsid w:val="00CC5A84"/>
    <w:rsid w:val="00CC5EE7"/>
    <w:rsid w:val="00CC70DC"/>
    <w:rsid w:val="00CC7CE2"/>
    <w:rsid w:val="00CD1819"/>
    <w:rsid w:val="00CD2896"/>
    <w:rsid w:val="00CD2CCE"/>
    <w:rsid w:val="00CD40C4"/>
    <w:rsid w:val="00CD44D2"/>
    <w:rsid w:val="00CD57D3"/>
    <w:rsid w:val="00CD6149"/>
    <w:rsid w:val="00CD69B2"/>
    <w:rsid w:val="00CD6FD1"/>
    <w:rsid w:val="00CD7D98"/>
    <w:rsid w:val="00CE06EC"/>
    <w:rsid w:val="00CE19AF"/>
    <w:rsid w:val="00CE1D8D"/>
    <w:rsid w:val="00CE3598"/>
    <w:rsid w:val="00CE4A50"/>
    <w:rsid w:val="00CE64BC"/>
    <w:rsid w:val="00CE6A45"/>
    <w:rsid w:val="00CF1C30"/>
    <w:rsid w:val="00CF224A"/>
    <w:rsid w:val="00CF230E"/>
    <w:rsid w:val="00CF23E3"/>
    <w:rsid w:val="00CF328E"/>
    <w:rsid w:val="00CF380C"/>
    <w:rsid w:val="00CF3CDC"/>
    <w:rsid w:val="00CF6310"/>
    <w:rsid w:val="00CF6CE9"/>
    <w:rsid w:val="00CF7CD6"/>
    <w:rsid w:val="00D00C66"/>
    <w:rsid w:val="00D01253"/>
    <w:rsid w:val="00D01398"/>
    <w:rsid w:val="00D03688"/>
    <w:rsid w:val="00D0476F"/>
    <w:rsid w:val="00D056BF"/>
    <w:rsid w:val="00D06DA1"/>
    <w:rsid w:val="00D101B1"/>
    <w:rsid w:val="00D102B9"/>
    <w:rsid w:val="00D14E9B"/>
    <w:rsid w:val="00D14F79"/>
    <w:rsid w:val="00D1584D"/>
    <w:rsid w:val="00D15B80"/>
    <w:rsid w:val="00D16651"/>
    <w:rsid w:val="00D20263"/>
    <w:rsid w:val="00D21F09"/>
    <w:rsid w:val="00D22E03"/>
    <w:rsid w:val="00D238E8"/>
    <w:rsid w:val="00D24A23"/>
    <w:rsid w:val="00D25CA2"/>
    <w:rsid w:val="00D2737B"/>
    <w:rsid w:val="00D27A78"/>
    <w:rsid w:val="00D27F51"/>
    <w:rsid w:val="00D31467"/>
    <w:rsid w:val="00D3579F"/>
    <w:rsid w:val="00D363F6"/>
    <w:rsid w:val="00D36DD6"/>
    <w:rsid w:val="00D37B8E"/>
    <w:rsid w:val="00D400B5"/>
    <w:rsid w:val="00D4118C"/>
    <w:rsid w:val="00D41FA1"/>
    <w:rsid w:val="00D42C43"/>
    <w:rsid w:val="00D43C91"/>
    <w:rsid w:val="00D44FF9"/>
    <w:rsid w:val="00D45775"/>
    <w:rsid w:val="00D46228"/>
    <w:rsid w:val="00D4654C"/>
    <w:rsid w:val="00D46AC3"/>
    <w:rsid w:val="00D46CB0"/>
    <w:rsid w:val="00D46DF1"/>
    <w:rsid w:val="00D51C9A"/>
    <w:rsid w:val="00D52C13"/>
    <w:rsid w:val="00D531DF"/>
    <w:rsid w:val="00D541DC"/>
    <w:rsid w:val="00D56733"/>
    <w:rsid w:val="00D56AFD"/>
    <w:rsid w:val="00D6227C"/>
    <w:rsid w:val="00D62402"/>
    <w:rsid w:val="00D63C60"/>
    <w:rsid w:val="00D63FF1"/>
    <w:rsid w:val="00D64231"/>
    <w:rsid w:val="00D64683"/>
    <w:rsid w:val="00D651DD"/>
    <w:rsid w:val="00D66ACF"/>
    <w:rsid w:val="00D70984"/>
    <w:rsid w:val="00D70A5D"/>
    <w:rsid w:val="00D70BC5"/>
    <w:rsid w:val="00D71800"/>
    <w:rsid w:val="00D7300E"/>
    <w:rsid w:val="00D74FDA"/>
    <w:rsid w:val="00D7649C"/>
    <w:rsid w:val="00D82AD9"/>
    <w:rsid w:val="00D83165"/>
    <w:rsid w:val="00D8376F"/>
    <w:rsid w:val="00D8659D"/>
    <w:rsid w:val="00D8702B"/>
    <w:rsid w:val="00D87E6F"/>
    <w:rsid w:val="00D9279B"/>
    <w:rsid w:val="00D92A8A"/>
    <w:rsid w:val="00D9387B"/>
    <w:rsid w:val="00D94630"/>
    <w:rsid w:val="00D94BD4"/>
    <w:rsid w:val="00D94E6E"/>
    <w:rsid w:val="00D96227"/>
    <w:rsid w:val="00D9633C"/>
    <w:rsid w:val="00D96679"/>
    <w:rsid w:val="00D97347"/>
    <w:rsid w:val="00D97BD6"/>
    <w:rsid w:val="00DA19BC"/>
    <w:rsid w:val="00DA4AE2"/>
    <w:rsid w:val="00DA5380"/>
    <w:rsid w:val="00DA5895"/>
    <w:rsid w:val="00DA6ACF"/>
    <w:rsid w:val="00DA79F6"/>
    <w:rsid w:val="00DB11F4"/>
    <w:rsid w:val="00DB2FF3"/>
    <w:rsid w:val="00DB552A"/>
    <w:rsid w:val="00DB5B36"/>
    <w:rsid w:val="00DB6685"/>
    <w:rsid w:val="00DB6850"/>
    <w:rsid w:val="00DB6C15"/>
    <w:rsid w:val="00DB74DE"/>
    <w:rsid w:val="00DC1CA3"/>
    <w:rsid w:val="00DC224F"/>
    <w:rsid w:val="00DC25CB"/>
    <w:rsid w:val="00DC2706"/>
    <w:rsid w:val="00DC393D"/>
    <w:rsid w:val="00DC511E"/>
    <w:rsid w:val="00DC5DD9"/>
    <w:rsid w:val="00DD091C"/>
    <w:rsid w:val="00DD26B1"/>
    <w:rsid w:val="00DD427D"/>
    <w:rsid w:val="00DD4C82"/>
    <w:rsid w:val="00DD5786"/>
    <w:rsid w:val="00DD66B5"/>
    <w:rsid w:val="00DE3DFD"/>
    <w:rsid w:val="00DE584B"/>
    <w:rsid w:val="00DE6F54"/>
    <w:rsid w:val="00DE794D"/>
    <w:rsid w:val="00DE7C24"/>
    <w:rsid w:val="00DF02D6"/>
    <w:rsid w:val="00DF0390"/>
    <w:rsid w:val="00DF102A"/>
    <w:rsid w:val="00DF2D6D"/>
    <w:rsid w:val="00DF2E49"/>
    <w:rsid w:val="00DF4116"/>
    <w:rsid w:val="00DF5D49"/>
    <w:rsid w:val="00DF6A98"/>
    <w:rsid w:val="00E032D8"/>
    <w:rsid w:val="00E0344B"/>
    <w:rsid w:val="00E0405E"/>
    <w:rsid w:val="00E05182"/>
    <w:rsid w:val="00E0520E"/>
    <w:rsid w:val="00E054BB"/>
    <w:rsid w:val="00E05DE6"/>
    <w:rsid w:val="00E06CC8"/>
    <w:rsid w:val="00E107B3"/>
    <w:rsid w:val="00E10DF0"/>
    <w:rsid w:val="00E10F19"/>
    <w:rsid w:val="00E114DC"/>
    <w:rsid w:val="00E1181B"/>
    <w:rsid w:val="00E11E49"/>
    <w:rsid w:val="00E14272"/>
    <w:rsid w:val="00E1457C"/>
    <w:rsid w:val="00E14D21"/>
    <w:rsid w:val="00E15791"/>
    <w:rsid w:val="00E1750C"/>
    <w:rsid w:val="00E200B1"/>
    <w:rsid w:val="00E20784"/>
    <w:rsid w:val="00E20CA3"/>
    <w:rsid w:val="00E23D18"/>
    <w:rsid w:val="00E240A5"/>
    <w:rsid w:val="00E245B2"/>
    <w:rsid w:val="00E247F0"/>
    <w:rsid w:val="00E24E94"/>
    <w:rsid w:val="00E25817"/>
    <w:rsid w:val="00E25A3C"/>
    <w:rsid w:val="00E25E6E"/>
    <w:rsid w:val="00E26336"/>
    <w:rsid w:val="00E266D4"/>
    <w:rsid w:val="00E307AD"/>
    <w:rsid w:val="00E308A5"/>
    <w:rsid w:val="00E3091B"/>
    <w:rsid w:val="00E3153D"/>
    <w:rsid w:val="00E3482E"/>
    <w:rsid w:val="00E3722F"/>
    <w:rsid w:val="00E37912"/>
    <w:rsid w:val="00E37B70"/>
    <w:rsid w:val="00E4194D"/>
    <w:rsid w:val="00E43F01"/>
    <w:rsid w:val="00E449A7"/>
    <w:rsid w:val="00E45DEC"/>
    <w:rsid w:val="00E465EC"/>
    <w:rsid w:val="00E46B33"/>
    <w:rsid w:val="00E515EB"/>
    <w:rsid w:val="00E523EB"/>
    <w:rsid w:val="00E530DB"/>
    <w:rsid w:val="00E54A2A"/>
    <w:rsid w:val="00E617CE"/>
    <w:rsid w:val="00E62F3C"/>
    <w:rsid w:val="00E63478"/>
    <w:rsid w:val="00E63CFB"/>
    <w:rsid w:val="00E63EA7"/>
    <w:rsid w:val="00E644E0"/>
    <w:rsid w:val="00E65E72"/>
    <w:rsid w:val="00E6627D"/>
    <w:rsid w:val="00E665AA"/>
    <w:rsid w:val="00E679D7"/>
    <w:rsid w:val="00E701BC"/>
    <w:rsid w:val="00E70F72"/>
    <w:rsid w:val="00E7671D"/>
    <w:rsid w:val="00E76C6F"/>
    <w:rsid w:val="00E77246"/>
    <w:rsid w:val="00E80091"/>
    <w:rsid w:val="00E80344"/>
    <w:rsid w:val="00E80B46"/>
    <w:rsid w:val="00E80CCF"/>
    <w:rsid w:val="00E818AD"/>
    <w:rsid w:val="00E81ABF"/>
    <w:rsid w:val="00E83342"/>
    <w:rsid w:val="00E83763"/>
    <w:rsid w:val="00E848FF"/>
    <w:rsid w:val="00E84974"/>
    <w:rsid w:val="00E85EB4"/>
    <w:rsid w:val="00E8611D"/>
    <w:rsid w:val="00E87817"/>
    <w:rsid w:val="00E8794D"/>
    <w:rsid w:val="00E91520"/>
    <w:rsid w:val="00E917E6"/>
    <w:rsid w:val="00E92021"/>
    <w:rsid w:val="00E92980"/>
    <w:rsid w:val="00E933F2"/>
    <w:rsid w:val="00E93838"/>
    <w:rsid w:val="00E95BF3"/>
    <w:rsid w:val="00E96D6B"/>
    <w:rsid w:val="00E97229"/>
    <w:rsid w:val="00EA1510"/>
    <w:rsid w:val="00EA21C9"/>
    <w:rsid w:val="00EA3FCF"/>
    <w:rsid w:val="00EA4294"/>
    <w:rsid w:val="00EA42E9"/>
    <w:rsid w:val="00EA499B"/>
    <w:rsid w:val="00EA4F20"/>
    <w:rsid w:val="00EA6050"/>
    <w:rsid w:val="00EA6552"/>
    <w:rsid w:val="00EA73DB"/>
    <w:rsid w:val="00EA77E5"/>
    <w:rsid w:val="00EB0C2C"/>
    <w:rsid w:val="00EB0E5E"/>
    <w:rsid w:val="00EB1EBB"/>
    <w:rsid w:val="00EB23AB"/>
    <w:rsid w:val="00EB30F1"/>
    <w:rsid w:val="00EB32EB"/>
    <w:rsid w:val="00EB4D7D"/>
    <w:rsid w:val="00EB5E0E"/>
    <w:rsid w:val="00EB6BC3"/>
    <w:rsid w:val="00EB70CD"/>
    <w:rsid w:val="00EB736F"/>
    <w:rsid w:val="00EC0FD7"/>
    <w:rsid w:val="00EC2F5A"/>
    <w:rsid w:val="00EC5B6B"/>
    <w:rsid w:val="00ED02A1"/>
    <w:rsid w:val="00ED1498"/>
    <w:rsid w:val="00ED1FF5"/>
    <w:rsid w:val="00ED4A57"/>
    <w:rsid w:val="00ED6410"/>
    <w:rsid w:val="00ED6CEC"/>
    <w:rsid w:val="00EE04A5"/>
    <w:rsid w:val="00EE04CD"/>
    <w:rsid w:val="00EE1F40"/>
    <w:rsid w:val="00EE28AB"/>
    <w:rsid w:val="00EE326E"/>
    <w:rsid w:val="00EE34E9"/>
    <w:rsid w:val="00EE4348"/>
    <w:rsid w:val="00EE5CB2"/>
    <w:rsid w:val="00EE650F"/>
    <w:rsid w:val="00EF08E2"/>
    <w:rsid w:val="00EF14CF"/>
    <w:rsid w:val="00EF2A9D"/>
    <w:rsid w:val="00EF2EED"/>
    <w:rsid w:val="00EF3306"/>
    <w:rsid w:val="00EF36C8"/>
    <w:rsid w:val="00EF3AE1"/>
    <w:rsid w:val="00EF41DC"/>
    <w:rsid w:val="00EF5D3F"/>
    <w:rsid w:val="00EF712B"/>
    <w:rsid w:val="00EF77E5"/>
    <w:rsid w:val="00EF7D5A"/>
    <w:rsid w:val="00F008F3"/>
    <w:rsid w:val="00F00E6D"/>
    <w:rsid w:val="00F012F0"/>
    <w:rsid w:val="00F020DD"/>
    <w:rsid w:val="00F03617"/>
    <w:rsid w:val="00F04EF2"/>
    <w:rsid w:val="00F05860"/>
    <w:rsid w:val="00F05FA7"/>
    <w:rsid w:val="00F06535"/>
    <w:rsid w:val="00F06DF4"/>
    <w:rsid w:val="00F06EAB"/>
    <w:rsid w:val="00F101C0"/>
    <w:rsid w:val="00F10503"/>
    <w:rsid w:val="00F112EA"/>
    <w:rsid w:val="00F127BA"/>
    <w:rsid w:val="00F13519"/>
    <w:rsid w:val="00F16C66"/>
    <w:rsid w:val="00F17781"/>
    <w:rsid w:val="00F2325E"/>
    <w:rsid w:val="00F23E3D"/>
    <w:rsid w:val="00F24853"/>
    <w:rsid w:val="00F25C21"/>
    <w:rsid w:val="00F25F07"/>
    <w:rsid w:val="00F26B4C"/>
    <w:rsid w:val="00F26EB0"/>
    <w:rsid w:val="00F2797A"/>
    <w:rsid w:val="00F34C3E"/>
    <w:rsid w:val="00F34DA5"/>
    <w:rsid w:val="00F35EC8"/>
    <w:rsid w:val="00F36D1D"/>
    <w:rsid w:val="00F377A4"/>
    <w:rsid w:val="00F37BF1"/>
    <w:rsid w:val="00F4091A"/>
    <w:rsid w:val="00F41368"/>
    <w:rsid w:val="00F41834"/>
    <w:rsid w:val="00F44056"/>
    <w:rsid w:val="00F44420"/>
    <w:rsid w:val="00F44877"/>
    <w:rsid w:val="00F45CFC"/>
    <w:rsid w:val="00F45F68"/>
    <w:rsid w:val="00F469BA"/>
    <w:rsid w:val="00F47C18"/>
    <w:rsid w:val="00F50437"/>
    <w:rsid w:val="00F5134A"/>
    <w:rsid w:val="00F52628"/>
    <w:rsid w:val="00F530D1"/>
    <w:rsid w:val="00F54BAD"/>
    <w:rsid w:val="00F5502C"/>
    <w:rsid w:val="00F55FA6"/>
    <w:rsid w:val="00F5774B"/>
    <w:rsid w:val="00F60480"/>
    <w:rsid w:val="00F61FE9"/>
    <w:rsid w:val="00F63C90"/>
    <w:rsid w:val="00F64C5A"/>
    <w:rsid w:val="00F64D99"/>
    <w:rsid w:val="00F678E0"/>
    <w:rsid w:val="00F67CEC"/>
    <w:rsid w:val="00F703CA"/>
    <w:rsid w:val="00F7122C"/>
    <w:rsid w:val="00F715E6"/>
    <w:rsid w:val="00F715FD"/>
    <w:rsid w:val="00F7263B"/>
    <w:rsid w:val="00F732B5"/>
    <w:rsid w:val="00F733ED"/>
    <w:rsid w:val="00F743FE"/>
    <w:rsid w:val="00F75D94"/>
    <w:rsid w:val="00F76B51"/>
    <w:rsid w:val="00F774B6"/>
    <w:rsid w:val="00F7751C"/>
    <w:rsid w:val="00F779CD"/>
    <w:rsid w:val="00F80A6A"/>
    <w:rsid w:val="00F80E1A"/>
    <w:rsid w:val="00F8149C"/>
    <w:rsid w:val="00F82F40"/>
    <w:rsid w:val="00F831C9"/>
    <w:rsid w:val="00F837B8"/>
    <w:rsid w:val="00F8430C"/>
    <w:rsid w:val="00F84D96"/>
    <w:rsid w:val="00F8690D"/>
    <w:rsid w:val="00F90229"/>
    <w:rsid w:val="00F91422"/>
    <w:rsid w:val="00F9167A"/>
    <w:rsid w:val="00F91DBB"/>
    <w:rsid w:val="00F92866"/>
    <w:rsid w:val="00F9293F"/>
    <w:rsid w:val="00F961B9"/>
    <w:rsid w:val="00F97E5C"/>
    <w:rsid w:val="00FA145E"/>
    <w:rsid w:val="00FA20CA"/>
    <w:rsid w:val="00FA3EAA"/>
    <w:rsid w:val="00FA49AE"/>
    <w:rsid w:val="00FA4B6A"/>
    <w:rsid w:val="00FA594A"/>
    <w:rsid w:val="00FB094D"/>
    <w:rsid w:val="00FB1BE3"/>
    <w:rsid w:val="00FB202B"/>
    <w:rsid w:val="00FB2256"/>
    <w:rsid w:val="00FB2595"/>
    <w:rsid w:val="00FB2B62"/>
    <w:rsid w:val="00FB3398"/>
    <w:rsid w:val="00FB38B9"/>
    <w:rsid w:val="00FB3EF3"/>
    <w:rsid w:val="00FB497C"/>
    <w:rsid w:val="00FB4B0F"/>
    <w:rsid w:val="00FB4FC4"/>
    <w:rsid w:val="00FB50D6"/>
    <w:rsid w:val="00FB665C"/>
    <w:rsid w:val="00FB668B"/>
    <w:rsid w:val="00FC072E"/>
    <w:rsid w:val="00FC388D"/>
    <w:rsid w:val="00FC4DF9"/>
    <w:rsid w:val="00FC5AEE"/>
    <w:rsid w:val="00FC656E"/>
    <w:rsid w:val="00FC69C3"/>
    <w:rsid w:val="00FD46D1"/>
    <w:rsid w:val="00FD54DB"/>
    <w:rsid w:val="00FD58F2"/>
    <w:rsid w:val="00FD5E24"/>
    <w:rsid w:val="00FD6B91"/>
    <w:rsid w:val="00FE1080"/>
    <w:rsid w:val="00FE133D"/>
    <w:rsid w:val="00FE44E8"/>
    <w:rsid w:val="00FE4D17"/>
    <w:rsid w:val="00FE4E04"/>
    <w:rsid w:val="00FE5427"/>
    <w:rsid w:val="00FE63A1"/>
    <w:rsid w:val="00FE71C5"/>
    <w:rsid w:val="00FF1DF1"/>
    <w:rsid w:val="00FF23BD"/>
    <w:rsid w:val="00FF25E8"/>
    <w:rsid w:val="00FF4CA5"/>
    <w:rsid w:val="00FF536D"/>
    <w:rsid w:val="00FF5408"/>
    <w:rsid w:val="00FF5B07"/>
    <w:rsid w:val="00FF623A"/>
    <w:rsid w:val="00FF6240"/>
    <w:rsid w:val="00FF6644"/>
    <w:rsid w:val="00FF680E"/>
    <w:rsid w:val="00FF6975"/>
    <w:rsid w:val="029F0571"/>
    <w:rsid w:val="0306285F"/>
    <w:rsid w:val="045625A1"/>
    <w:rsid w:val="05972FDC"/>
    <w:rsid w:val="07F832D5"/>
    <w:rsid w:val="104208F6"/>
    <w:rsid w:val="104D2A05"/>
    <w:rsid w:val="14BD72BF"/>
    <w:rsid w:val="16463906"/>
    <w:rsid w:val="18554F9B"/>
    <w:rsid w:val="19992884"/>
    <w:rsid w:val="1D7032E5"/>
    <w:rsid w:val="1F1225CF"/>
    <w:rsid w:val="22EC3DEA"/>
    <w:rsid w:val="236C49D9"/>
    <w:rsid w:val="292918EB"/>
    <w:rsid w:val="2BA924ED"/>
    <w:rsid w:val="2BC674CC"/>
    <w:rsid w:val="2D6418C1"/>
    <w:rsid w:val="2E1132D2"/>
    <w:rsid w:val="2EBF3A83"/>
    <w:rsid w:val="361F687F"/>
    <w:rsid w:val="364729FF"/>
    <w:rsid w:val="3B9241ED"/>
    <w:rsid w:val="3C470799"/>
    <w:rsid w:val="3E7503C3"/>
    <w:rsid w:val="402B7018"/>
    <w:rsid w:val="4C8B5357"/>
    <w:rsid w:val="4D632788"/>
    <w:rsid w:val="4D7202BF"/>
    <w:rsid w:val="4EA50F9A"/>
    <w:rsid w:val="5BC9637E"/>
    <w:rsid w:val="5E7E6CBA"/>
    <w:rsid w:val="6C2B4727"/>
    <w:rsid w:val="6F140F6E"/>
    <w:rsid w:val="73C54FAE"/>
    <w:rsid w:val="76326389"/>
    <w:rsid w:val="797C4518"/>
    <w:rsid w:val="79C63C7A"/>
    <w:rsid w:val="7AC92FA9"/>
    <w:rsid w:val="7B4B69B2"/>
    <w:rsid w:val="7BA67C97"/>
    <w:rsid w:val="7FB16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0"/>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1"/>
    <w:next w:val="1"/>
    <w:link w:val="21"/>
    <w:qFormat/>
    <w:uiPriority w:val="99"/>
    <w:pPr>
      <w:keepNext/>
      <w:keepLines/>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2"/>
    <w:qFormat/>
    <w:uiPriority w:val="99"/>
    <w:pPr>
      <w:widowControl w:val="0"/>
      <w:snapToGrid w:val="0"/>
      <w:spacing w:before="283" w:line="560" w:lineRule="exact"/>
      <w:ind w:firstLine="510"/>
    </w:pPr>
    <w:rPr>
      <w:sz w:val="28"/>
    </w:rPr>
  </w:style>
  <w:style w:type="paragraph" w:styleId="5">
    <w:name w:val="Plain Text"/>
    <w:basedOn w:val="1"/>
    <w:link w:val="51"/>
    <w:qFormat/>
    <w:uiPriority w:val="99"/>
    <w:pPr>
      <w:widowControl w:val="0"/>
      <w:spacing w:line="240" w:lineRule="auto"/>
      <w:textAlignment w:val="auto"/>
    </w:pPr>
    <w:rPr>
      <w:rFonts w:ascii="宋体" w:hAnsi="Courier New"/>
      <w:color w:val="auto"/>
      <w:kern w:val="2"/>
    </w:rPr>
  </w:style>
  <w:style w:type="paragraph" w:styleId="6">
    <w:name w:val="Date"/>
    <w:basedOn w:val="1"/>
    <w:next w:val="1"/>
    <w:link w:val="24"/>
    <w:qFormat/>
    <w:uiPriority w:val="99"/>
    <w:pPr>
      <w:ind w:left="100" w:leftChars="2500"/>
    </w:pPr>
  </w:style>
  <w:style w:type="paragraph" w:styleId="7">
    <w:name w:val="Balloon Text"/>
    <w:basedOn w:val="1"/>
    <w:link w:val="25"/>
    <w:qFormat/>
    <w:uiPriority w:val="99"/>
    <w:pPr>
      <w:spacing w:line="240" w:lineRule="auto"/>
    </w:pPr>
    <w:rPr>
      <w:sz w:val="18"/>
      <w:szCs w:val="18"/>
    </w:rPr>
  </w:style>
  <w:style w:type="paragraph" w:styleId="8">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2"/>
    <w:basedOn w:val="1"/>
    <w:link w:val="28"/>
    <w:qFormat/>
    <w:uiPriority w:val="99"/>
    <w:pPr>
      <w:spacing w:after="120" w:line="480" w:lineRule="auto"/>
    </w:pPr>
  </w:style>
  <w:style w:type="paragraph" w:styleId="13">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page number"/>
    <w:qFormat/>
    <w:uiPriority w:val="99"/>
    <w:rPr>
      <w:rFonts w:cs="Times New Roman"/>
    </w:rPr>
  </w:style>
  <w:style w:type="character" w:styleId="19">
    <w:name w:val="Hyperlink"/>
    <w:qFormat/>
    <w:uiPriority w:val="99"/>
    <w:rPr>
      <w:rFonts w:cs="Times New Roman"/>
      <w:color w:val="0368A8"/>
      <w:u w:val="none"/>
    </w:rPr>
  </w:style>
  <w:style w:type="character" w:customStyle="1" w:styleId="20">
    <w:name w:val="标题 1 Char"/>
    <w:link w:val="2"/>
    <w:qFormat/>
    <w:locked/>
    <w:uiPriority w:val="99"/>
    <w:rPr>
      <w:rFonts w:cs="Times New Roman"/>
      <w:b/>
      <w:bCs/>
      <w:color w:val="000000"/>
      <w:kern w:val="44"/>
      <w:sz w:val="44"/>
      <w:szCs w:val="44"/>
      <w:u w:val="none" w:color="000000"/>
    </w:rPr>
  </w:style>
  <w:style w:type="character" w:customStyle="1" w:styleId="21">
    <w:name w:val="标题 3 Char"/>
    <w:link w:val="3"/>
    <w:semiHidden/>
    <w:qFormat/>
    <w:locked/>
    <w:uiPriority w:val="99"/>
    <w:rPr>
      <w:rFonts w:cs="Times New Roman"/>
      <w:b/>
      <w:bCs/>
      <w:color w:val="000000"/>
      <w:sz w:val="32"/>
      <w:szCs w:val="32"/>
      <w:u w:val="none" w:color="000000"/>
    </w:rPr>
  </w:style>
  <w:style w:type="character" w:customStyle="1" w:styleId="22">
    <w:name w:val="正文文本缩进 Char"/>
    <w:link w:val="4"/>
    <w:semiHidden/>
    <w:qFormat/>
    <w:locked/>
    <w:uiPriority w:val="99"/>
    <w:rPr>
      <w:rFonts w:cs="Times New Roman"/>
      <w:color w:val="000000"/>
      <w:kern w:val="0"/>
      <w:sz w:val="20"/>
      <w:szCs w:val="20"/>
      <w:u w:val="none" w:color="000000"/>
    </w:rPr>
  </w:style>
  <w:style w:type="character" w:customStyle="1" w:styleId="23">
    <w:name w:val="Plain Text Char"/>
    <w:qFormat/>
    <w:locked/>
    <w:uiPriority w:val="99"/>
    <w:rPr>
      <w:rFonts w:ascii="宋体" w:hAnsi="Courier New" w:eastAsia="宋体" w:cs="Times New Roman"/>
      <w:kern w:val="2"/>
      <w:sz w:val="21"/>
      <w:lang w:val="en-US" w:eastAsia="zh-CN"/>
    </w:rPr>
  </w:style>
  <w:style w:type="character" w:customStyle="1" w:styleId="24">
    <w:name w:val="日期 Char"/>
    <w:link w:val="6"/>
    <w:qFormat/>
    <w:locked/>
    <w:uiPriority w:val="99"/>
    <w:rPr>
      <w:rFonts w:cs="Times New Roman"/>
      <w:color w:val="000000"/>
      <w:sz w:val="21"/>
      <w:u w:val="none" w:color="000000"/>
    </w:rPr>
  </w:style>
  <w:style w:type="character" w:customStyle="1" w:styleId="25">
    <w:name w:val="批注框文本 Char"/>
    <w:link w:val="7"/>
    <w:qFormat/>
    <w:locked/>
    <w:uiPriority w:val="99"/>
    <w:rPr>
      <w:rFonts w:cs="Times New Roman"/>
      <w:color w:val="000000"/>
      <w:sz w:val="18"/>
      <w:szCs w:val="18"/>
      <w:u w:val="none" w:color="000000"/>
    </w:rPr>
  </w:style>
  <w:style w:type="character" w:customStyle="1" w:styleId="26">
    <w:name w:val="页脚 Char"/>
    <w:link w:val="8"/>
    <w:semiHidden/>
    <w:qFormat/>
    <w:locked/>
    <w:uiPriority w:val="99"/>
    <w:rPr>
      <w:rFonts w:cs="Times New Roman"/>
      <w:color w:val="000000"/>
      <w:kern w:val="0"/>
      <w:sz w:val="18"/>
      <w:szCs w:val="18"/>
      <w:u w:val="none" w:color="000000"/>
    </w:rPr>
  </w:style>
  <w:style w:type="character" w:customStyle="1" w:styleId="27">
    <w:name w:val="页眉 Char"/>
    <w:link w:val="9"/>
    <w:semiHidden/>
    <w:qFormat/>
    <w:locked/>
    <w:uiPriority w:val="99"/>
    <w:rPr>
      <w:rFonts w:cs="Times New Roman"/>
      <w:color w:val="000000"/>
      <w:kern w:val="0"/>
      <w:sz w:val="18"/>
      <w:szCs w:val="18"/>
      <w:u w:val="none" w:color="000000"/>
    </w:rPr>
  </w:style>
  <w:style w:type="character" w:customStyle="1" w:styleId="28">
    <w:name w:val="正文文本 2 Char"/>
    <w:link w:val="12"/>
    <w:semiHidden/>
    <w:qFormat/>
    <w:locked/>
    <w:uiPriority w:val="99"/>
    <w:rPr>
      <w:rFonts w:cs="Times New Roman"/>
      <w:color w:val="000000"/>
      <w:kern w:val="0"/>
      <w:sz w:val="20"/>
      <w:szCs w:val="20"/>
      <w:u w:val="none" w:color="000000"/>
    </w:rPr>
  </w:style>
  <w:style w:type="paragraph" w:customStyle="1" w:styleId="29">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0">
    <w:name w:val="章标题"/>
    <w:basedOn w:val="1"/>
    <w:next w:val="31"/>
    <w:qFormat/>
    <w:uiPriority w:val="99"/>
    <w:pPr>
      <w:spacing w:before="158" w:after="153" w:line="323" w:lineRule="atLeast"/>
      <w:jc w:val="center"/>
    </w:pPr>
    <w:rPr>
      <w:rFonts w:ascii="Arial" w:eastAsia="黑体"/>
      <w:sz w:val="31"/>
    </w:rPr>
  </w:style>
  <w:style w:type="paragraph" w:customStyle="1" w:styleId="31">
    <w:name w:val="节标题"/>
    <w:basedOn w:val="1"/>
    <w:next w:val="32"/>
    <w:qFormat/>
    <w:uiPriority w:val="99"/>
    <w:pPr>
      <w:spacing w:line="289" w:lineRule="atLeast"/>
      <w:jc w:val="center"/>
    </w:pPr>
    <w:rPr>
      <w:sz w:val="28"/>
    </w:rPr>
  </w:style>
  <w:style w:type="paragraph" w:customStyle="1" w:styleId="32">
    <w:name w:val="小节标题"/>
    <w:basedOn w:val="1"/>
    <w:next w:val="1"/>
    <w:qFormat/>
    <w:uiPriority w:val="99"/>
    <w:pPr>
      <w:spacing w:before="175" w:after="102" w:line="351" w:lineRule="atLeast"/>
    </w:pPr>
    <w:rPr>
      <w:rFonts w:eastAsia="黑体"/>
    </w:rPr>
  </w:style>
  <w:style w:type="paragraph" w:customStyle="1" w:styleId="33">
    <w:name w:val="目录2"/>
    <w:basedOn w:val="1"/>
    <w:next w:val="1"/>
    <w:qFormat/>
    <w:uiPriority w:val="99"/>
    <w:pPr>
      <w:tabs>
        <w:tab w:val="left" w:leader="dot" w:pos="8503"/>
      </w:tabs>
      <w:spacing w:line="317" w:lineRule="atLeast"/>
      <w:ind w:firstLine="209"/>
    </w:pPr>
  </w:style>
  <w:style w:type="paragraph" w:customStyle="1" w:styleId="34">
    <w:name w:val="目录4"/>
    <w:basedOn w:val="1"/>
    <w:next w:val="1"/>
    <w:qFormat/>
    <w:uiPriority w:val="99"/>
    <w:pPr>
      <w:tabs>
        <w:tab w:val="left" w:leader="dot" w:pos="8503"/>
      </w:tabs>
      <w:spacing w:line="317" w:lineRule="atLeast"/>
      <w:ind w:firstLine="629"/>
    </w:pPr>
  </w:style>
  <w:style w:type="paragraph" w:customStyle="1" w:styleId="35">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36">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37">
    <w:name w:val="目录3"/>
    <w:basedOn w:val="1"/>
    <w:next w:val="1"/>
    <w:qFormat/>
    <w:uiPriority w:val="99"/>
    <w:pPr>
      <w:tabs>
        <w:tab w:val="left" w:leader="dot" w:pos="8503"/>
      </w:tabs>
      <w:spacing w:line="317" w:lineRule="atLeast"/>
      <w:ind w:firstLine="419"/>
    </w:pPr>
  </w:style>
  <w:style w:type="paragraph" w:customStyle="1" w:styleId="38">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9">
    <w:name w:val="文章总标题"/>
    <w:basedOn w:val="1"/>
    <w:next w:val="40"/>
    <w:qFormat/>
    <w:uiPriority w:val="99"/>
    <w:pPr>
      <w:spacing w:before="566" w:after="544" w:line="566" w:lineRule="atLeast"/>
      <w:jc w:val="center"/>
    </w:pPr>
    <w:rPr>
      <w:rFonts w:ascii="Arial" w:eastAsia="黑体"/>
      <w:sz w:val="54"/>
    </w:rPr>
  </w:style>
  <w:style w:type="paragraph" w:customStyle="1" w:styleId="40">
    <w:name w:val="文章附标题"/>
    <w:basedOn w:val="1"/>
    <w:next w:val="30"/>
    <w:qFormat/>
    <w:uiPriority w:val="99"/>
    <w:pPr>
      <w:spacing w:before="187" w:after="175" w:line="374" w:lineRule="atLeast"/>
      <w:jc w:val="center"/>
    </w:pPr>
    <w:rPr>
      <w:sz w:val="36"/>
    </w:rPr>
  </w:style>
  <w:style w:type="paragraph" w:customStyle="1" w:styleId="41">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2">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43">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44">
    <w:name w:val="WPS Plain"/>
    <w:qFormat/>
    <w:uiPriority w:val="99"/>
    <w:rPr>
      <w:rFonts w:ascii="Times New Roman" w:hAnsi="Times New Roman" w:eastAsia="宋体" w:cs="Times New Roman"/>
      <w:lang w:val="en-US" w:eastAsia="zh-CN" w:bidi="ar-SA"/>
    </w:rPr>
  </w:style>
  <w:style w:type="paragraph" w:customStyle="1" w:styleId="45">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6">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8">
    <w:name w:val="链接"/>
    <w:qFormat/>
    <w:uiPriority w:val="99"/>
    <w:rPr>
      <w:rFonts w:ascii="Times New Roman" w:eastAsia="宋体"/>
      <w:color w:val="0000FF"/>
      <w:sz w:val="21"/>
      <w:u w:val="single" w:color="0000FF"/>
      <w:lang w:val="en-US" w:eastAsia="zh-CN"/>
    </w:rPr>
  </w:style>
  <w:style w:type="character" w:customStyle="1" w:styleId="49">
    <w:name w:val="超级链接"/>
    <w:qFormat/>
    <w:uiPriority w:val="99"/>
    <w:rPr>
      <w:rFonts w:ascii="Times New Roman" w:eastAsia="宋体"/>
      <w:color w:val="0000FF"/>
      <w:sz w:val="21"/>
      <w:u w:val="single" w:color="0000FF"/>
      <w:lang w:val="en-US" w:eastAsia="zh-CN"/>
    </w:rPr>
  </w:style>
  <w:style w:type="character" w:customStyle="1" w:styleId="50">
    <w:name w:val="param_td12"/>
    <w:qFormat/>
    <w:uiPriority w:val="99"/>
    <w:rPr>
      <w:rFonts w:cs="Times New Roman"/>
    </w:rPr>
  </w:style>
  <w:style w:type="character" w:customStyle="1" w:styleId="51">
    <w:name w:val="纯文本 Char"/>
    <w:link w:val="5"/>
    <w:semiHidden/>
    <w:qFormat/>
    <w:locked/>
    <w:uiPriority w:val="99"/>
    <w:rPr>
      <w:rFonts w:ascii="宋体" w:hAnsi="Courier New" w:cs="Courier New"/>
      <w:color w:val="000000"/>
      <w:kern w:val="0"/>
      <w:sz w:val="21"/>
      <w:szCs w:val="21"/>
      <w:u w:val="none" w:color="000000"/>
    </w:rPr>
  </w:style>
  <w:style w:type="character" w:customStyle="1" w:styleId="52">
    <w:name w:val="纯文本 Char Char"/>
    <w:qFormat/>
    <w:uiPriority w:val="99"/>
    <w:rPr>
      <w:rFonts w:ascii="宋体" w:hAnsi="Courier New" w:eastAsia="宋体"/>
      <w:kern w:val="2"/>
      <w:sz w:val="21"/>
      <w:lang w:val="en-US" w:eastAsia="zh-CN"/>
    </w:rPr>
  </w:style>
  <w:style w:type="character" w:customStyle="1" w:styleId="53">
    <w:name w:val="Char Char4"/>
    <w:qFormat/>
    <w:uiPriority w:val="99"/>
    <w:rPr>
      <w:rFonts w:ascii="宋体" w:eastAsia="宋体"/>
      <w:kern w:val="2"/>
      <w:sz w:val="28"/>
    </w:rPr>
  </w:style>
  <w:style w:type="character" w:customStyle="1" w:styleId="54">
    <w:name w:val="纯文本 Char1"/>
    <w:qFormat/>
    <w:locked/>
    <w:uiPriority w:val="99"/>
    <w:rPr>
      <w:rFonts w:ascii="宋体" w:hAnsi="Courier New" w:cs="Times New Roman"/>
      <w:color w:val="000000"/>
      <w:kern w:val="0"/>
      <w:sz w:val="21"/>
      <w:u w:val="none" w:color="000000"/>
    </w:rPr>
  </w:style>
  <w:style w:type="character" w:customStyle="1" w:styleId="55">
    <w:name w:val="样式 首行缩进:  0 字符 Char"/>
    <w:link w:val="56"/>
    <w:qFormat/>
    <w:locked/>
    <w:uiPriority w:val="0"/>
    <w:rPr>
      <w:sz w:val="24"/>
    </w:rPr>
  </w:style>
  <w:style w:type="paragraph" w:customStyle="1" w:styleId="56">
    <w:name w:val="样式 首行缩进:  0 字符"/>
    <w:basedOn w:val="1"/>
    <w:link w:val="55"/>
    <w:qFormat/>
    <w:uiPriority w:val="0"/>
    <w:pPr>
      <w:widowControl w:val="0"/>
      <w:spacing w:line="360" w:lineRule="auto"/>
      <w:ind w:firstLine="200" w:firstLineChars="200"/>
      <w:textAlignment w:val="auto"/>
    </w:pPr>
    <w:rPr>
      <w:color w:val="auto"/>
      <w:sz w:val="24"/>
    </w:rPr>
  </w:style>
  <w:style w:type="paragraph" w:customStyle="1" w:styleId="57">
    <w:name w:val="正文文本 (2)"/>
    <w:basedOn w:val="1"/>
    <w:link w:val="61"/>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58">
    <w:name w:val="正文文本 (2) + 斜体"/>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59">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0">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61">
    <w:name w:val="正文文本 (2)_"/>
    <w:link w:val="57"/>
    <w:qFormat/>
    <w:uiPriority w:val="0"/>
    <w:rPr>
      <w:rFonts w:ascii="MingLiU" w:hAnsi="MingLiU" w:eastAsia="MingLiU" w:cs="MingLiU"/>
      <w:spacing w:val="30"/>
      <w:sz w:val="30"/>
      <w:szCs w:val="30"/>
      <w:u w:color="00000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33005</Words>
  <Characters>34978</Characters>
  <Lines>281</Lines>
  <Paragraphs>79</Paragraphs>
  <TotalTime>35</TotalTime>
  <ScaleCrop>false</ScaleCrop>
  <LinksUpToDate>false</LinksUpToDate>
  <CharactersWithSpaces>36130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2015-09-10T13:42:00Z</dcterms:created>
  <dc:creator>ZM</dc:creator>
  <cp:lastModifiedBy>Administrator</cp:lastModifiedBy>
  <cp:lastPrinted>2024-08-30T07:26:00Z</cp:lastPrinted>
  <dcterms:modified xsi:type="dcterms:W3CDTF">2024-09-20T07:32:13Z</dcterms:modified>
  <dc:title>内黄县第一高级中学所需多媒体教室设备项目</dc:title>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F8C8304F0A254C0E8C212EB91154BEBC_12</vt:lpwstr>
  </property>
</Properties>
</file>