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3" Type="http://schemas.openxmlformats.org/package/2006/relationships/metadata/core-properties" Target="docProps/core.xml"/><Relationship Id="rId4" Type="http://schemas.openxmlformats.org/officeDocument/2006/relationships/extended-properties" Target="docProps/app.xml"/><Relationship Id="rId2" Type="http://schemas.openxmlformats.org/officeDocument/2006/relationships/custom-properties" Target="docProps/custom.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body>
    <w:p>
      <w:pPr>
        <w:ind w:left="95"/>
        <w:spacing w:before="228" w:line="221" w:lineRule="auto"/>
        <w:rPr>
          <w:rFonts w:ascii="SimHei" w:hAnsi="SimHei" w:eastAsia="SimHei" w:cs="SimHei"/>
          <w:sz w:val="31"/>
          <w:szCs w:val="31"/>
        </w:rPr>
      </w:pPr>
      <w:r>
        <w:drawing>
          <wp:anchor distT="0" distB="0" distL="0" distR="0" simplePos="0" relativeHeight="251659264" behindDoc="0" locked="0" layoutInCell="0" allowOverlap="1">
            <wp:simplePos x="0" y="0"/>
            <wp:positionH relativeFrom="page">
              <wp:posOffset>7320312</wp:posOffset>
            </wp:positionH>
            <wp:positionV relativeFrom="page">
              <wp:posOffset>4590691</wp:posOffset>
            </wp:positionV>
            <wp:extent cx="337822" cy="1200571"/>
            <wp:effectExtent l="0" t="0" r="0" b="0"/>
            <wp:wrapNone/>
            <wp:docPr id="2" name="IM 2"/>
            <wp:cNvGraphicFramePr/>
            <a:graphic>
              <a:graphicData uri="http://schemas.openxmlformats.org/drawingml/2006/picture">
                <pic:pic>
                  <pic:nvPicPr>
                    <pic:cNvPr id="2" name="IM 2"/>
                    <pic:cNvPicPr/>
                  </pic:nvPicPr>
                  <pic:blipFill>
                    <a:blip r:embed="rId1"/>
                    <a:stretch>
                      <a:fillRect/>
                    </a:stretch>
                  </pic:blipFill>
                  <pic:spPr>
                    <a:xfrm rot="0">
                      <a:off x="0" y="0"/>
                      <a:ext cx="337822" cy="1200571"/>
                    </a:xfrm>
                    <a:prstGeom prst="rect">
                      <a:avLst/>
                    </a:prstGeom>
                  </pic:spPr>
                </pic:pic>
              </a:graphicData>
            </a:graphic>
          </wp:anchor>
        </w:drawing>
      </w:r>
      <w:r>
        <w:drawing>
          <wp:anchor distT="0" distB="0" distL="0" distR="0" simplePos="0" relativeHeight="251658240" behindDoc="0" locked="0" layoutInCell="0" allowOverlap="1">
            <wp:simplePos x="0" y="0"/>
            <wp:positionH relativeFrom="page">
              <wp:posOffset>7345701</wp:posOffset>
            </wp:positionH>
            <wp:positionV relativeFrom="page">
              <wp:posOffset>6749732</wp:posOffset>
            </wp:positionV>
            <wp:extent cx="325757" cy="1251390"/>
            <wp:effectExtent l="0" t="0" r="0" b="0"/>
            <wp:wrapNone/>
            <wp:docPr id="4" name="IM 4"/>
            <wp:cNvGraphicFramePr/>
            <a:graphic>
              <a:graphicData uri="http://schemas.openxmlformats.org/drawingml/2006/picture">
                <pic:pic>
                  <pic:nvPicPr>
                    <pic:cNvPr id="4" name="IM 4"/>
                    <pic:cNvPicPr/>
                  </pic:nvPicPr>
                  <pic:blipFill>
                    <a:blip r:embed="rId2"/>
                    <a:stretch>
                      <a:fillRect/>
                    </a:stretch>
                  </pic:blipFill>
                  <pic:spPr>
                    <a:xfrm rot="0">
                      <a:off x="0" y="0"/>
                      <a:ext cx="325757" cy="1251390"/>
                    </a:xfrm>
                    <a:prstGeom prst="rect">
                      <a:avLst/>
                    </a:prstGeom>
                  </pic:spPr>
                </pic:pic>
              </a:graphicData>
            </a:graphic>
          </wp:anchor>
        </w:drawing>
      </w:r>
      <w:r>
        <w:rPr>
          <w:rFonts w:ascii="SimHei" w:hAnsi="SimHei" w:eastAsia="SimHei" w:cs="SimHei"/>
          <w:sz w:val="31"/>
          <w:szCs w:val="31"/>
          <w:b/>
          <w:bCs/>
          <w:spacing w:val="-31"/>
        </w:rPr>
        <w:t>合同编号：</w:t>
      </w:r>
    </w:p>
    <w:p>
      <w:pPr>
        <w:pStyle w:val="BodyText"/>
        <w:spacing w:line="264" w:lineRule="auto"/>
        <w:rPr/>
      </w:pPr>
      <w:r/>
    </w:p>
    <w:p>
      <w:pPr>
        <w:pStyle w:val="BodyText"/>
        <w:spacing w:line="264" w:lineRule="auto"/>
        <w:rPr/>
      </w:pPr>
      <w:r/>
    </w:p>
    <w:p>
      <w:pPr>
        <w:pStyle w:val="BodyText"/>
        <w:spacing w:line="265" w:lineRule="auto"/>
        <w:rPr/>
      </w:pPr>
      <w:r/>
    </w:p>
    <w:p>
      <w:pPr>
        <w:ind w:left="2775"/>
        <w:spacing w:before="101" w:line="222" w:lineRule="auto"/>
        <w:outlineLvl w:val="0"/>
        <w:rPr>
          <w:rFonts w:ascii="SimHei" w:hAnsi="SimHei" w:eastAsia="SimHei" w:cs="SimHei"/>
          <w:sz w:val="31"/>
          <w:szCs w:val="31"/>
        </w:rPr>
      </w:pPr>
      <w:r>
        <w:rPr>
          <w:rFonts w:ascii="SimHei" w:hAnsi="SimHei" w:eastAsia="SimHei" w:cs="SimHei"/>
          <w:sz w:val="31"/>
          <w:szCs w:val="31"/>
          <w:b/>
          <w:bCs/>
          <w:spacing w:val="10"/>
        </w:rPr>
        <w:t>货物(</w:t>
      </w:r>
      <w:r>
        <w:rPr>
          <w:rFonts w:ascii="SimHei" w:hAnsi="SimHei" w:eastAsia="SimHei" w:cs="SimHei"/>
          <w:sz w:val="31"/>
          <w:szCs w:val="31"/>
          <w:b/>
          <w:bCs/>
          <w:u w:val="single" w:color="auto"/>
          <w:spacing w:val="10"/>
        </w:rPr>
        <w:t>设备</w:t>
      </w:r>
      <w:r>
        <w:rPr>
          <w:rFonts w:ascii="SimHei" w:hAnsi="SimHei" w:eastAsia="SimHei" w:cs="SimHei"/>
          <w:sz w:val="31"/>
          <w:szCs w:val="31"/>
          <w:b/>
          <w:bCs/>
          <w:spacing w:val="10"/>
        </w:rPr>
        <w:t>)采购合同</w:t>
      </w:r>
    </w:p>
    <w:p>
      <w:pPr>
        <w:pStyle w:val="BodyText"/>
        <w:spacing w:line="279" w:lineRule="auto"/>
        <w:rPr/>
      </w:pPr>
      <w:r/>
    </w:p>
    <w:p>
      <w:pPr>
        <w:pStyle w:val="BodyText"/>
        <w:spacing w:line="279" w:lineRule="auto"/>
        <w:rPr/>
      </w:pPr>
      <w:r/>
    </w:p>
    <w:p>
      <w:pPr>
        <w:pStyle w:val="BodyText"/>
        <w:spacing w:line="279" w:lineRule="auto"/>
        <w:rPr/>
      </w:pPr>
      <w:r/>
    </w:p>
    <w:p>
      <w:pPr>
        <w:pStyle w:val="BodyText"/>
        <w:spacing w:line="280" w:lineRule="auto"/>
        <w:rPr/>
      </w:pPr>
      <w:r/>
    </w:p>
    <w:p>
      <w:pPr>
        <w:pStyle w:val="BodyText"/>
        <w:spacing w:line="280" w:lineRule="auto"/>
        <w:rPr/>
      </w:pPr>
      <w:r/>
    </w:p>
    <w:p>
      <w:pPr>
        <w:ind w:left="95"/>
        <w:spacing w:before="101" w:line="219" w:lineRule="auto"/>
        <w:rPr>
          <w:rFonts w:ascii="SimSun" w:hAnsi="SimSun" w:eastAsia="SimSun" w:cs="SimSun"/>
          <w:sz w:val="31"/>
          <w:szCs w:val="31"/>
        </w:rPr>
      </w:pPr>
      <w:r>
        <w:rPr>
          <w:rFonts w:ascii="SimSun" w:hAnsi="SimSun" w:eastAsia="SimSun" w:cs="SimSun"/>
          <w:sz w:val="31"/>
          <w:szCs w:val="31"/>
          <w:b/>
          <w:bCs/>
          <w:spacing w:val="-29"/>
        </w:rPr>
        <w:t>项目名称：河南省地质局地质灾害防治中心专用仪器设备采购项目</w:t>
      </w:r>
    </w:p>
    <w:p>
      <w:pPr>
        <w:pStyle w:val="BodyText"/>
        <w:spacing w:line="281" w:lineRule="auto"/>
        <w:rPr/>
      </w:pPr>
      <w:r/>
    </w:p>
    <w:p>
      <w:pPr>
        <w:pStyle w:val="BodyText"/>
        <w:spacing w:line="282" w:lineRule="auto"/>
        <w:rPr/>
      </w:pPr>
      <w:r/>
    </w:p>
    <w:p>
      <w:pPr>
        <w:pStyle w:val="BodyText"/>
        <w:spacing w:line="282" w:lineRule="auto"/>
        <w:rPr/>
      </w:pPr>
      <w:r/>
    </w:p>
    <w:p>
      <w:pPr>
        <w:pStyle w:val="BodyText"/>
        <w:spacing w:line="282" w:lineRule="auto"/>
        <w:rPr/>
      </w:pPr>
      <w:r/>
    </w:p>
    <w:p>
      <w:pPr>
        <w:pStyle w:val="BodyText"/>
        <w:spacing w:line="282" w:lineRule="auto"/>
        <w:rPr/>
      </w:pPr>
      <w:r/>
    </w:p>
    <w:p>
      <w:pPr>
        <w:ind w:left="91"/>
        <w:spacing w:before="101" w:line="219" w:lineRule="auto"/>
        <w:rPr>
          <w:rFonts w:ascii="SimSun" w:hAnsi="SimSun" w:eastAsia="SimSun" w:cs="SimSun"/>
          <w:sz w:val="31"/>
          <w:szCs w:val="31"/>
        </w:rPr>
      </w:pPr>
      <w:r>
        <w:drawing>
          <wp:anchor distT="0" distB="0" distL="0" distR="0" simplePos="0" relativeHeight="251661312" behindDoc="0" locked="0" layoutInCell="1" allowOverlap="1">
            <wp:simplePos x="0" y="0"/>
            <wp:positionH relativeFrom="column">
              <wp:posOffset>1861471</wp:posOffset>
            </wp:positionH>
            <wp:positionV relativeFrom="paragraph">
              <wp:posOffset>-515060</wp:posOffset>
            </wp:positionV>
            <wp:extent cx="1492242" cy="1460437"/>
            <wp:effectExtent l="0" t="0" r="0" b="0"/>
            <wp:wrapNone/>
            <wp:docPr id="6" name="IM 6"/>
            <wp:cNvGraphicFramePr/>
            <a:graphic>
              <a:graphicData uri="http://schemas.openxmlformats.org/drawingml/2006/picture">
                <pic:pic>
                  <pic:nvPicPr>
                    <pic:cNvPr id="6" name="IM 6"/>
                    <pic:cNvPicPr/>
                  </pic:nvPicPr>
                  <pic:blipFill>
                    <a:blip r:embed="rId3"/>
                    <a:stretch>
                      <a:fillRect/>
                    </a:stretch>
                  </pic:blipFill>
                  <pic:spPr>
                    <a:xfrm rot="0">
                      <a:off x="0" y="0"/>
                      <a:ext cx="1492242" cy="1460437"/>
                    </a:xfrm>
                    <a:prstGeom prst="rect">
                      <a:avLst/>
                    </a:prstGeom>
                  </pic:spPr>
                </pic:pic>
              </a:graphicData>
            </a:graphic>
          </wp:anchor>
        </w:drawing>
      </w:r>
      <w:r>
        <w:rPr>
          <w:rFonts w:ascii="SimSun" w:hAnsi="SimSun" w:eastAsia="SimSun" w:cs="SimSun"/>
          <w:sz w:val="31"/>
          <w:szCs w:val="31"/>
          <w:spacing w:val="-6"/>
        </w:rPr>
        <w:t>买方(甲方):河南省地质局地质灾害防治中心</w:t>
      </w:r>
    </w:p>
    <w:p>
      <w:pPr>
        <w:pStyle w:val="BodyText"/>
        <w:spacing w:line="280" w:lineRule="auto"/>
        <w:rPr/>
      </w:pPr>
      <w:r/>
    </w:p>
    <w:p>
      <w:pPr>
        <w:pStyle w:val="BodyText"/>
        <w:spacing w:line="280" w:lineRule="auto"/>
        <w:rPr/>
      </w:pPr>
      <w:r/>
    </w:p>
    <w:p>
      <w:pPr>
        <w:pStyle w:val="BodyText"/>
        <w:spacing w:line="280" w:lineRule="auto"/>
        <w:rPr/>
      </w:pPr>
      <w:r/>
    </w:p>
    <w:p>
      <w:pPr>
        <w:pStyle w:val="BodyText"/>
        <w:spacing w:line="281" w:lineRule="auto"/>
        <w:rPr/>
      </w:pPr>
      <w:r/>
    </w:p>
    <w:p>
      <w:pPr>
        <w:pStyle w:val="BodyText"/>
        <w:spacing w:line="281" w:lineRule="auto"/>
        <w:rPr/>
      </w:pPr>
      <w:r/>
    </w:p>
    <w:p>
      <w:pPr>
        <w:ind w:left="91"/>
        <w:spacing w:before="101" w:line="219" w:lineRule="auto"/>
        <w:rPr>
          <w:rFonts w:ascii="SimSun" w:hAnsi="SimSun" w:eastAsia="SimSun" w:cs="SimSun"/>
          <w:sz w:val="31"/>
          <w:szCs w:val="31"/>
        </w:rPr>
      </w:pPr>
      <w:r>
        <w:drawing>
          <wp:anchor distT="0" distB="0" distL="0" distR="0" simplePos="0" relativeHeight="251660288" behindDoc="0" locked="0" layoutInCell="1" allowOverlap="1">
            <wp:simplePos x="0" y="0"/>
            <wp:positionH relativeFrom="column">
              <wp:posOffset>1696440</wp:posOffset>
            </wp:positionH>
            <wp:positionV relativeFrom="paragraph">
              <wp:posOffset>-457772</wp:posOffset>
            </wp:positionV>
            <wp:extent cx="1663698" cy="1670121"/>
            <wp:effectExtent l="0" t="0" r="0" b="0"/>
            <wp:wrapNone/>
            <wp:docPr id="8" name="IM 8"/>
            <wp:cNvGraphicFramePr/>
            <a:graphic>
              <a:graphicData uri="http://schemas.openxmlformats.org/drawingml/2006/picture">
                <pic:pic>
                  <pic:nvPicPr>
                    <pic:cNvPr id="8" name="IM 8"/>
                    <pic:cNvPicPr/>
                  </pic:nvPicPr>
                  <pic:blipFill>
                    <a:blip r:embed="rId4"/>
                    <a:stretch>
                      <a:fillRect/>
                    </a:stretch>
                  </pic:blipFill>
                  <pic:spPr>
                    <a:xfrm rot="0">
                      <a:off x="0" y="0"/>
                      <a:ext cx="1663698" cy="1670121"/>
                    </a:xfrm>
                    <a:prstGeom prst="rect">
                      <a:avLst/>
                    </a:prstGeom>
                  </pic:spPr>
                </pic:pic>
              </a:graphicData>
            </a:graphic>
          </wp:anchor>
        </w:drawing>
      </w:r>
      <w:r>
        <w:rPr>
          <w:rFonts w:ascii="SimSun" w:hAnsi="SimSun" w:eastAsia="SimSun" w:cs="SimSun"/>
          <w:sz w:val="31"/>
          <w:szCs w:val="31"/>
          <w:spacing w:val="8"/>
        </w:rPr>
        <w:t>卖方(乙方):河南立畅仪器设备有限公司</w:t>
      </w:r>
    </w:p>
    <w:p>
      <w:pPr>
        <w:pStyle w:val="BodyText"/>
        <w:spacing w:line="280" w:lineRule="auto"/>
        <w:rPr/>
      </w:pPr>
      <w:r/>
    </w:p>
    <w:p>
      <w:pPr>
        <w:pStyle w:val="BodyText"/>
        <w:spacing w:line="280" w:lineRule="auto"/>
        <w:rPr/>
      </w:pPr>
      <w:r/>
    </w:p>
    <w:p>
      <w:pPr>
        <w:pStyle w:val="BodyText"/>
        <w:spacing w:line="280" w:lineRule="auto"/>
        <w:rPr/>
      </w:pPr>
      <w:r/>
    </w:p>
    <w:p>
      <w:pPr>
        <w:pStyle w:val="BodyText"/>
        <w:spacing w:line="281" w:lineRule="auto"/>
        <w:rPr/>
      </w:pPr>
      <w:r/>
    </w:p>
    <w:p>
      <w:pPr>
        <w:pStyle w:val="BodyText"/>
        <w:spacing w:line="281" w:lineRule="auto"/>
        <w:rPr/>
      </w:pPr>
      <w:r/>
    </w:p>
    <w:p>
      <w:pPr>
        <w:ind w:left="91"/>
        <w:spacing w:before="101" w:line="219" w:lineRule="auto"/>
        <w:rPr>
          <w:rFonts w:ascii="SimSun" w:hAnsi="SimSun" w:eastAsia="SimSun" w:cs="SimSun"/>
          <w:sz w:val="31"/>
          <w:szCs w:val="31"/>
        </w:rPr>
      </w:pPr>
      <w:r>
        <w:rPr>
          <w:rFonts w:ascii="SimSun" w:hAnsi="SimSun" w:eastAsia="SimSun" w:cs="SimSun"/>
          <w:sz w:val="31"/>
          <w:szCs w:val="31"/>
          <w:spacing w:val="34"/>
        </w:rPr>
        <w:t>签订时间：2024年6月25日</w:t>
      </w:r>
    </w:p>
    <w:p>
      <w:pPr>
        <w:ind w:left="91"/>
        <w:spacing w:before="241" w:line="622" w:lineRule="exact"/>
        <w:rPr>
          <w:rFonts w:ascii="SimSun" w:hAnsi="SimSun" w:eastAsia="SimSun" w:cs="SimSun"/>
          <w:sz w:val="31"/>
          <w:szCs w:val="31"/>
        </w:rPr>
      </w:pPr>
      <w:r>
        <w:rPr>
          <w:rFonts w:ascii="SimSun" w:hAnsi="SimSun" w:eastAsia="SimSun" w:cs="SimSun"/>
          <w:sz w:val="31"/>
          <w:szCs w:val="31"/>
          <w:spacing w:val="8"/>
          <w:position w:val="23"/>
        </w:rPr>
        <w:t>签订地点：郑州市</w:t>
      </w:r>
    </w:p>
    <w:p>
      <w:pPr>
        <w:ind w:left="91"/>
        <w:spacing w:line="220" w:lineRule="auto"/>
        <w:rPr>
          <w:rFonts w:ascii="SimSun" w:hAnsi="SimSun" w:eastAsia="SimSun" w:cs="SimSun"/>
          <w:sz w:val="31"/>
          <w:szCs w:val="31"/>
        </w:rPr>
      </w:pPr>
      <w:r>
        <w:rPr>
          <w:rFonts w:ascii="SimSun" w:hAnsi="SimSun" w:eastAsia="SimSun" w:cs="SimSun"/>
          <w:sz w:val="31"/>
          <w:szCs w:val="31"/>
          <w:spacing w:val="-1"/>
        </w:rPr>
        <w:t>有效期限：</w:t>
      </w:r>
    </w:p>
    <w:p>
      <w:pPr>
        <w:spacing w:line="220" w:lineRule="auto"/>
        <w:sectPr>
          <w:pgSz w:w="12190" w:h="17030"/>
          <w:pgMar w:top="1447" w:right="108" w:bottom="0" w:left="1828" w:header="0" w:footer="0" w:gutter="0"/>
        </w:sectPr>
        <w:rPr>
          <w:rFonts w:ascii="SimSun" w:hAnsi="SimSun" w:eastAsia="SimSun" w:cs="SimSun"/>
          <w:sz w:val="31"/>
          <w:szCs w:val="31"/>
        </w:rPr>
      </w:pPr>
    </w:p>
    <w:p>
      <w:pPr>
        <w:ind w:left="3428"/>
        <w:spacing w:before="291" w:line="219" w:lineRule="auto"/>
        <w:rPr>
          <w:rFonts w:ascii="SimSun" w:hAnsi="SimSun" w:eastAsia="SimSun" w:cs="SimSun"/>
          <w:sz w:val="26"/>
          <w:szCs w:val="26"/>
        </w:rPr>
      </w:pPr>
      <w:r>
        <w:drawing>
          <wp:anchor distT="0" distB="0" distL="0" distR="0" simplePos="0" relativeHeight="251662336" behindDoc="0" locked="0" layoutInCell="0" allowOverlap="1">
            <wp:simplePos x="0" y="0"/>
            <wp:positionH relativeFrom="page">
              <wp:posOffset>7439754</wp:posOffset>
            </wp:positionH>
            <wp:positionV relativeFrom="page">
              <wp:posOffset>6749760</wp:posOffset>
            </wp:positionV>
            <wp:extent cx="193547" cy="1505387"/>
            <wp:effectExtent l="0" t="0" r="0" b="0"/>
            <wp:wrapNone/>
            <wp:docPr id="10" name="IM 10"/>
            <wp:cNvGraphicFramePr/>
            <a:graphic>
              <a:graphicData uri="http://schemas.openxmlformats.org/drawingml/2006/picture">
                <pic:pic>
                  <pic:nvPicPr>
                    <pic:cNvPr id="10" name="IM 10"/>
                    <pic:cNvPicPr/>
                  </pic:nvPicPr>
                  <pic:blipFill>
                    <a:blip r:embed="rId5"/>
                    <a:stretch>
                      <a:fillRect/>
                    </a:stretch>
                  </pic:blipFill>
                  <pic:spPr>
                    <a:xfrm rot="0">
                      <a:off x="0" y="0"/>
                      <a:ext cx="193547" cy="1505387"/>
                    </a:xfrm>
                    <a:prstGeom prst="rect">
                      <a:avLst/>
                    </a:prstGeom>
                  </pic:spPr>
                </pic:pic>
              </a:graphicData>
            </a:graphic>
          </wp:anchor>
        </w:drawing>
      </w:r>
      <w:r>
        <w:rPr>
          <w:rFonts w:ascii="SimSun" w:hAnsi="SimSun" w:eastAsia="SimSun" w:cs="SimSun"/>
          <w:sz w:val="26"/>
          <w:szCs w:val="26"/>
          <w:b/>
          <w:bCs/>
          <w:spacing w:val="43"/>
        </w:rPr>
        <w:t>货物(设备)采购合同</w:t>
      </w:r>
    </w:p>
    <w:p>
      <w:pPr>
        <w:pStyle w:val="BodyText"/>
        <w:spacing w:line="254" w:lineRule="auto"/>
        <w:rPr/>
      </w:pPr>
      <w:r/>
    </w:p>
    <w:p>
      <w:pPr>
        <w:pStyle w:val="BodyText"/>
        <w:spacing w:line="254" w:lineRule="auto"/>
        <w:rPr/>
      </w:pPr>
      <w:r/>
    </w:p>
    <w:p>
      <w:pPr>
        <w:pStyle w:val="BodyText"/>
        <w:spacing w:line="255" w:lineRule="auto"/>
        <w:rPr/>
      </w:pPr>
      <w:r/>
    </w:p>
    <w:p>
      <w:pPr>
        <w:ind w:left="688"/>
        <w:spacing w:before="85" w:line="470" w:lineRule="exact"/>
        <w:rPr>
          <w:rFonts w:ascii="SimSun" w:hAnsi="SimSun" w:eastAsia="SimSun" w:cs="SimSun"/>
          <w:sz w:val="26"/>
          <w:szCs w:val="26"/>
        </w:rPr>
      </w:pPr>
      <w:r>
        <w:rPr>
          <w:rFonts w:ascii="SimSun" w:hAnsi="SimSun" w:eastAsia="SimSun" w:cs="SimSun"/>
          <w:sz w:val="26"/>
          <w:szCs w:val="26"/>
          <w:b/>
          <w:bCs/>
          <w:spacing w:val="-10"/>
          <w:position w:val="15"/>
        </w:rPr>
        <w:t>买方(甲方):河南省地质局地质灾害防治中心</w:t>
      </w:r>
    </w:p>
    <w:p>
      <w:pPr>
        <w:ind w:left="688"/>
        <w:spacing w:line="219" w:lineRule="auto"/>
        <w:rPr>
          <w:rFonts w:ascii="SimSun" w:hAnsi="SimSun" w:eastAsia="SimSun" w:cs="SimSun"/>
          <w:sz w:val="26"/>
          <w:szCs w:val="26"/>
        </w:rPr>
      </w:pPr>
      <w:r>
        <w:rPr>
          <w:rFonts w:ascii="SimSun" w:hAnsi="SimSun" w:eastAsia="SimSun" w:cs="SimSun"/>
          <w:sz w:val="26"/>
          <w:szCs w:val="26"/>
          <w:b/>
          <w:bCs/>
          <w:spacing w:val="-10"/>
        </w:rPr>
        <w:t>卖方(乙方):河南立畅仪器设备有限公司</w:t>
      </w:r>
    </w:p>
    <w:p>
      <w:pPr>
        <w:ind w:left="685"/>
        <w:spacing w:before="153" w:line="219" w:lineRule="auto"/>
        <w:rPr>
          <w:rFonts w:ascii="SimSun" w:hAnsi="SimSun" w:eastAsia="SimSun" w:cs="SimSun"/>
          <w:sz w:val="26"/>
          <w:szCs w:val="26"/>
        </w:rPr>
      </w:pPr>
      <w:r>
        <w:rPr>
          <w:rFonts w:ascii="SimSun" w:hAnsi="SimSun" w:eastAsia="SimSun" w:cs="SimSun"/>
          <w:sz w:val="26"/>
          <w:szCs w:val="26"/>
          <w:spacing w:val="-17"/>
        </w:rPr>
        <w:t>签订地点：郑州</w:t>
      </w:r>
    </w:p>
    <w:p>
      <w:pPr>
        <w:ind w:left="685"/>
        <w:spacing w:before="163" w:line="226" w:lineRule="auto"/>
        <w:rPr>
          <w:rFonts w:ascii="SimSun" w:hAnsi="SimSun" w:eastAsia="SimSun" w:cs="SimSun"/>
          <w:sz w:val="26"/>
          <w:szCs w:val="26"/>
        </w:rPr>
      </w:pPr>
      <w:r>
        <w:rPr>
          <w:rFonts w:ascii="SimSun" w:hAnsi="SimSun" w:eastAsia="SimSun" w:cs="SimSun"/>
          <w:sz w:val="26"/>
          <w:szCs w:val="26"/>
          <w:spacing w:val="-10"/>
        </w:rPr>
        <w:t>签订时间：</w:t>
      </w:r>
      <w:r>
        <w:rPr>
          <w:rFonts w:ascii="Times New Roman" w:hAnsi="Times New Roman" w:eastAsia="Times New Roman" w:cs="Times New Roman"/>
          <w:sz w:val="26"/>
          <w:szCs w:val="26"/>
          <w:u w:val="single" w:color="auto"/>
          <w:spacing w:val="-10"/>
        </w:rPr>
        <w:t>2024</w:t>
      </w:r>
      <w:r>
        <w:rPr>
          <w:rFonts w:ascii="Times New Roman" w:hAnsi="Times New Roman" w:eastAsia="Times New Roman" w:cs="Times New Roman"/>
          <w:sz w:val="26"/>
          <w:szCs w:val="26"/>
          <w:spacing w:val="-10"/>
        </w:rPr>
        <w:t xml:space="preserve">      </w:t>
      </w:r>
      <w:r>
        <w:rPr>
          <w:rFonts w:ascii="SimSun" w:hAnsi="SimSun" w:eastAsia="SimSun" w:cs="SimSun"/>
          <w:sz w:val="26"/>
          <w:szCs w:val="26"/>
          <w:spacing w:val="-10"/>
        </w:rPr>
        <w:t>年</w:t>
      </w:r>
      <w:r>
        <w:rPr>
          <w:rFonts w:ascii="SimSun" w:hAnsi="SimSun" w:eastAsia="SimSun" w:cs="SimSun"/>
          <w:sz w:val="26"/>
          <w:szCs w:val="26"/>
          <w:spacing w:val="-69"/>
        </w:rPr>
        <w:t xml:space="preserve"> </w:t>
      </w:r>
      <w:r>
        <w:rPr>
          <w:rFonts w:ascii="Times New Roman" w:hAnsi="Times New Roman" w:eastAsia="Times New Roman" w:cs="Times New Roman"/>
          <w:sz w:val="26"/>
          <w:szCs w:val="26"/>
          <w:u w:val="single" w:color="auto"/>
          <w:spacing w:val="-10"/>
        </w:rPr>
        <w:t>06     </w:t>
      </w:r>
      <w:r>
        <w:rPr>
          <w:rFonts w:ascii="Times New Roman" w:hAnsi="Times New Roman" w:eastAsia="Times New Roman" w:cs="Times New Roman"/>
          <w:sz w:val="26"/>
          <w:szCs w:val="26"/>
          <w:spacing w:val="-45"/>
        </w:rPr>
        <w:t xml:space="preserve"> </w:t>
      </w:r>
      <w:r>
        <w:rPr>
          <w:rFonts w:ascii="SimSun" w:hAnsi="SimSun" w:eastAsia="SimSun" w:cs="SimSun"/>
          <w:sz w:val="26"/>
          <w:szCs w:val="26"/>
          <w:u w:val="single" w:color="auto"/>
          <w:spacing w:val="-10"/>
        </w:rPr>
        <w:t>月</w:t>
      </w:r>
      <w:r>
        <w:rPr>
          <w:rFonts w:ascii="Times New Roman" w:hAnsi="Times New Roman" w:eastAsia="Times New Roman" w:cs="Times New Roman"/>
          <w:sz w:val="26"/>
          <w:szCs w:val="26"/>
          <w:u w:val="single" w:color="auto"/>
          <w:spacing w:val="-11"/>
        </w:rPr>
        <w:t>25</w:t>
      </w:r>
      <w:r>
        <w:rPr>
          <w:rFonts w:ascii="Times New Roman" w:hAnsi="Times New Roman" w:eastAsia="Times New Roman" w:cs="Times New Roman"/>
          <w:sz w:val="26"/>
          <w:szCs w:val="26"/>
          <w:spacing w:val="3"/>
        </w:rPr>
        <w:t xml:space="preserve">    </w:t>
      </w:r>
      <w:r>
        <w:rPr>
          <w:rFonts w:ascii="SimSun" w:hAnsi="SimSun" w:eastAsia="SimSun" w:cs="SimSun"/>
          <w:sz w:val="26"/>
          <w:szCs w:val="26"/>
          <w:spacing w:val="-11"/>
        </w:rPr>
        <w:t>日</w:t>
      </w:r>
    </w:p>
    <w:p>
      <w:pPr>
        <w:ind w:left="685" w:right="1751" w:firstLine="479"/>
        <w:spacing w:before="140" w:line="334" w:lineRule="auto"/>
        <w:jc w:val="both"/>
        <w:rPr>
          <w:rFonts w:ascii="SimSun" w:hAnsi="SimSun" w:eastAsia="SimSun" w:cs="SimSun"/>
          <w:sz w:val="26"/>
          <w:szCs w:val="26"/>
        </w:rPr>
      </w:pPr>
      <w:r>
        <w:rPr>
          <w:rFonts w:ascii="SimSun" w:hAnsi="SimSun" w:eastAsia="SimSun" w:cs="SimSun"/>
          <w:sz w:val="26"/>
          <w:szCs w:val="26"/>
          <w:spacing w:val="-27"/>
        </w:rPr>
        <w:t>根据《中华人民共和国民法典》等国家法律法规，就甲方向乙方购买商品(设 </w:t>
      </w:r>
      <w:r>
        <w:rPr>
          <w:rFonts w:ascii="SimSun" w:hAnsi="SimSun" w:eastAsia="SimSun" w:cs="SimSun"/>
          <w:sz w:val="26"/>
          <w:szCs w:val="26"/>
          <w:spacing w:val="-17"/>
        </w:rPr>
        <w:t>备)的型号、数量、质量、包装、运输、价款、税金、保险、验</w:t>
      </w:r>
      <w:r>
        <w:rPr>
          <w:rFonts w:ascii="SimSun" w:hAnsi="SimSun" w:eastAsia="SimSun" w:cs="SimSun"/>
          <w:sz w:val="26"/>
          <w:szCs w:val="26"/>
          <w:spacing w:val="-18"/>
        </w:rPr>
        <w:t>收、技术服务、</w:t>
      </w:r>
      <w:r>
        <w:rPr>
          <w:rFonts w:ascii="SimSun" w:hAnsi="SimSun" w:eastAsia="SimSun" w:cs="SimSun"/>
          <w:sz w:val="26"/>
          <w:szCs w:val="26"/>
        </w:rPr>
        <w:t xml:space="preserve"> </w:t>
      </w:r>
      <w:r>
        <w:rPr>
          <w:rFonts w:ascii="SimSun" w:hAnsi="SimSun" w:eastAsia="SimSun" w:cs="SimSun"/>
          <w:sz w:val="26"/>
          <w:szCs w:val="26"/>
          <w:spacing w:val="-21"/>
        </w:rPr>
        <w:t>售后服务、违约责任、争议解决方式等合同内容，经双方</w:t>
      </w:r>
      <w:r>
        <w:rPr>
          <w:rFonts w:ascii="SimSun" w:hAnsi="SimSun" w:eastAsia="SimSun" w:cs="SimSun"/>
          <w:sz w:val="26"/>
          <w:szCs w:val="26"/>
          <w:spacing w:val="-22"/>
        </w:rPr>
        <w:t>协商一致，签订合同，</w:t>
      </w:r>
    </w:p>
    <w:p>
      <w:pPr>
        <w:ind w:left="685"/>
        <w:spacing w:line="219" w:lineRule="auto"/>
        <w:rPr>
          <w:rFonts w:ascii="SimSun" w:hAnsi="SimSun" w:eastAsia="SimSun" w:cs="SimSun"/>
          <w:sz w:val="26"/>
          <w:szCs w:val="26"/>
        </w:rPr>
      </w:pPr>
      <w:r>
        <w:rPr>
          <w:rFonts w:ascii="SimSun" w:hAnsi="SimSun" w:eastAsia="SimSun" w:cs="SimSun"/>
          <w:sz w:val="26"/>
          <w:szCs w:val="26"/>
          <w:spacing w:val="-23"/>
        </w:rPr>
        <w:t>以兹共同遵守。</w:t>
      </w:r>
    </w:p>
    <w:p>
      <w:pPr>
        <w:ind w:left="1168"/>
        <w:spacing w:before="165" w:line="218" w:lineRule="auto"/>
        <w:outlineLvl w:val="0"/>
        <w:rPr>
          <w:rFonts w:ascii="SimSun" w:hAnsi="SimSun" w:eastAsia="SimSun" w:cs="SimSun"/>
          <w:sz w:val="26"/>
          <w:szCs w:val="26"/>
        </w:rPr>
      </w:pPr>
      <w:r>
        <w:rPr>
          <w:rFonts w:ascii="SimSun" w:hAnsi="SimSun" w:eastAsia="SimSun" w:cs="SimSun"/>
          <w:sz w:val="26"/>
          <w:szCs w:val="26"/>
          <w:b/>
          <w:bCs/>
          <w:spacing w:val="-23"/>
        </w:rPr>
        <w:t>一、合同价款</w:t>
      </w:r>
    </w:p>
    <w:p>
      <w:pPr>
        <w:ind w:left="685" w:right="1720" w:firstLine="479"/>
        <w:spacing w:before="158" w:line="334" w:lineRule="auto"/>
        <w:jc w:val="both"/>
        <w:rPr>
          <w:rFonts w:ascii="SimSun" w:hAnsi="SimSun" w:eastAsia="SimSun" w:cs="SimSun"/>
          <w:sz w:val="26"/>
          <w:szCs w:val="26"/>
        </w:rPr>
      </w:pPr>
      <w:r>
        <w:rPr>
          <w:rFonts w:ascii="SimSun" w:hAnsi="SimSun" w:eastAsia="SimSun" w:cs="SimSun"/>
          <w:sz w:val="26"/>
          <w:szCs w:val="26"/>
          <w:spacing w:val="-13"/>
        </w:rPr>
        <w:t>本合同的总金额为人民币：壹佰贰拾玖万柒仟伍佰元整(¥1297500.00</w:t>
      </w:r>
      <w:r>
        <w:rPr>
          <w:rFonts w:ascii="SimSun" w:hAnsi="SimSun" w:eastAsia="SimSun" w:cs="SimSun"/>
          <w:sz w:val="26"/>
          <w:szCs w:val="26"/>
          <w:spacing w:val="-14"/>
        </w:rPr>
        <w:t>元);</w:t>
      </w:r>
      <w:r>
        <w:rPr>
          <w:rFonts w:ascii="SimSun" w:hAnsi="SimSun" w:eastAsia="SimSun" w:cs="SimSun"/>
          <w:sz w:val="26"/>
          <w:szCs w:val="26"/>
        </w:rPr>
        <w:t xml:space="preserve"> </w:t>
      </w:r>
      <w:r>
        <w:rPr>
          <w:rFonts w:ascii="SimSun" w:hAnsi="SimSun" w:eastAsia="SimSun" w:cs="SimSun"/>
          <w:sz w:val="26"/>
          <w:szCs w:val="26"/>
          <w:spacing w:val="-27"/>
        </w:rPr>
        <w:t>该价格已经包含制造生产、安装、调试、保险、培训、运输、装卸、税金、利润、</w:t>
      </w:r>
    </w:p>
    <w:p>
      <w:pPr>
        <w:ind w:left="685"/>
        <w:spacing w:before="1" w:line="219" w:lineRule="auto"/>
        <w:rPr>
          <w:rFonts w:ascii="SimSun" w:hAnsi="SimSun" w:eastAsia="SimSun" w:cs="SimSun"/>
          <w:sz w:val="26"/>
          <w:szCs w:val="26"/>
        </w:rPr>
      </w:pPr>
      <w:r>
        <w:rPr>
          <w:rFonts w:ascii="SimSun" w:hAnsi="SimSun" w:eastAsia="SimSun" w:cs="SimSun"/>
          <w:sz w:val="26"/>
          <w:szCs w:val="26"/>
          <w:spacing w:val="-20"/>
        </w:rPr>
        <w:t>保修及乙方人员差旅费用等全部费用。</w:t>
      </w:r>
    </w:p>
    <w:p>
      <w:pPr>
        <w:ind w:left="1168"/>
        <w:spacing w:before="155" w:line="218" w:lineRule="auto"/>
        <w:outlineLvl w:val="0"/>
        <w:rPr>
          <w:rFonts w:ascii="SimSun" w:hAnsi="SimSun" w:eastAsia="SimSun" w:cs="SimSun"/>
          <w:sz w:val="26"/>
          <w:szCs w:val="26"/>
        </w:rPr>
      </w:pPr>
      <w:r>
        <w:rPr>
          <w:rFonts w:ascii="SimSun" w:hAnsi="SimSun" w:eastAsia="SimSun" w:cs="SimSun"/>
          <w:sz w:val="26"/>
          <w:szCs w:val="26"/>
          <w:b/>
          <w:bCs/>
          <w:spacing w:val="-11"/>
        </w:rPr>
        <w:t>二、货物(设备)的名称、型号、制造单位、单价、数量和合同价数量及</w:t>
      </w:r>
    </w:p>
    <w:p>
      <w:pPr>
        <w:ind w:left="685"/>
        <w:spacing w:before="180" w:line="220" w:lineRule="auto"/>
        <w:rPr>
          <w:rFonts w:ascii="SimSun" w:hAnsi="SimSun" w:eastAsia="SimSun" w:cs="SimSun"/>
          <w:sz w:val="26"/>
          <w:szCs w:val="26"/>
        </w:rPr>
      </w:pPr>
      <w:r>
        <w:rPr>
          <w:rFonts w:ascii="SimSun" w:hAnsi="SimSun" w:eastAsia="SimSun" w:cs="SimSun"/>
          <w:sz w:val="26"/>
          <w:szCs w:val="26"/>
          <w:spacing w:val="-19"/>
        </w:rPr>
        <w:t>质量要求</w:t>
      </w:r>
    </w:p>
    <w:p>
      <w:pPr>
        <w:ind w:left="685" w:right="1770" w:firstLine="479"/>
        <w:spacing w:before="139" w:line="327" w:lineRule="auto"/>
        <w:jc w:val="both"/>
        <w:rPr>
          <w:rFonts w:ascii="SimSun" w:hAnsi="SimSun" w:eastAsia="SimSun" w:cs="SimSun"/>
          <w:sz w:val="26"/>
          <w:szCs w:val="26"/>
        </w:rPr>
      </w:pPr>
      <w:r>
        <w:rPr>
          <w:rFonts w:ascii="SimSun" w:hAnsi="SimSun" w:eastAsia="SimSun" w:cs="SimSun"/>
          <w:sz w:val="26"/>
          <w:szCs w:val="26"/>
          <w:spacing w:val="-2"/>
        </w:rPr>
        <w:t>1、乙方提供的货物(设备)是未有使用过(包括零部件)的商品(设备)、</w:t>
      </w:r>
      <w:r>
        <w:rPr>
          <w:rFonts w:ascii="SimSun" w:hAnsi="SimSun" w:eastAsia="SimSun" w:cs="SimSun"/>
          <w:sz w:val="26"/>
          <w:szCs w:val="26"/>
          <w:spacing w:val="7"/>
        </w:rPr>
        <w:t xml:space="preserve"> </w:t>
      </w:r>
      <w:r>
        <w:rPr>
          <w:rFonts w:ascii="SimSun" w:hAnsi="SimSun" w:eastAsia="SimSun" w:cs="SimSun"/>
          <w:sz w:val="26"/>
          <w:szCs w:val="26"/>
          <w:spacing w:val="-8"/>
        </w:rPr>
        <w:t>符合国家相关部门制定的生产(制造)标准和检测标准以及该商品(设备)的出</w:t>
      </w:r>
    </w:p>
    <w:p>
      <w:pPr>
        <w:ind w:left="685"/>
        <w:spacing w:line="220" w:lineRule="auto"/>
        <w:rPr>
          <w:rFonts w:ascii="SimSun" w:hAnsi="SimSun" w:eastAsia="SimSun" w:cs="SimSun"/>
          <w:sz w:val="26"/>
          <w:szCs w:val="26"/>
        </w:rPr>
      </w:pPr>
      <w:r>
        <w:rPr>
          <w:rFonts w:ascii="SimSun" w:hAnsi="SimSun" w:eastAsia="SimSun" w:cs="SimSun"/>
          <w:sz w:val="26"/>
          <w:szCs w:val="26"/>
          <w:spacing w:val="-17"/>
        </w:rPr>
        <w:t>厂标准。</w:t>
      </w:r>
    </w:p>
    <w:p>
      <w:pPr>
        <w:ind w:left="1164"/>
        <w:spacing w:before="177" w:line="218" w:lineRule="auto"/>
        <w:rPr>
          <w:rFonts w:ascii="SimSun" w:hAnsi="SimSun" w:eastAsia="SimSun" w:cs="SimSun"/>
          <w:sz w:val="26"/>
          <w:szCs w:val="26"/>
        </w:rPr>
      </w:pPr>
      <w:r>
        <w:rPr>
          <w:rFonts w:ascii="SimSun" w:hAnsi="SimSun" w:eastAsia="SimSun" w:cs="SimSun"/>
          <w:sz w:val="26"/>
          <w:szCs w:val="26"/>
          <w:spacing w:val="-13"/>
        </w:rPr>
        <w:t>2、购买货物(设备)的名称、型号、制造单位、单价、数量和合同价：</w:t>
      </w:r>
    </w:p>
    <w:p>
      <w:pPr>
        <w:spacing w:line="70" w:lineRule="exact"/>
        <w:rPr/>
      </w:pPr>
      <w:r/>
    </w:p>
    <w:tbl>
      <w:tblPr>
        <w:tblStyle w:val="TableNormal"/>
        <w:tblW w:w="9729" w:type="dxa"/>
        <w:tblInd w:w="5" w:type="dxa"/>
        <w:tblLayout w:type="fixed"/>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tblGrid>
        <w:gridCol w:w="614"/>
        <w:gridCol w:w="1429"/>
        <w:gridCol w:w="1209"/>
        <w:gridCol w:w="1718"/>
        <w:gridCol w:w="849"/>
        <w:gridCol w:w="899"/>
        <w:gridCol w:w="1528"/>
        <w:gridCol w:w="1483"/>
      </w:tblGrid>
      <w:tr>
        <w:trPr>
          <w:trHeight w:val="942" w:hRule="atLeast"/>
        </w:trPr>
        <w:tc>
          <w:tcPr>
            <w:tcW w:w="614" w:type="dxa"/>
            <w:vAlign w:val="top"/>
            <w:textDirection w:val="tbRlV"/>
          </w:tcPr>
          <w:p>
            <w:pPr>
              <w:pStyle w:val="TableText"/>
              <w:ind w:left="72"/>
              <w:spacing w:before="289" w:line="217" w:lineRule="auto"/>
              <w:rPr/>
            </w:pPr>
            <w:r>
              <w:rPr/>
              <w:t>序</w:t>
            </w:r>
            <w:r>
              <w:rPr>
                <w:spacing w:val="44"/>
              </w:rPr>
              <w:t xml:space="preserve">  </w:t>
            </w:r>
            <w:r>
              <w:rPr/>
              <w:t>号</w:t>
            </w:r>
          </w:p>
        </w:tc>
        <w:tc>
          <w:tcPr>
            <w:tcW w:w="1429" w:type="dxa"/>
            <w:vAlign w:val="top"/>
          </w:tcPr>
          <w:p>
            <w:pPr>
              <w:spacing w:line="290" w:lineRule="auto"/>
              <w:rPr>
                <w:rFonts w:ascii="Arial"/>
                <w:sz w:val="21"/>
              </w:rPr>
            </w:pPr>
            <w:r/>
          </w:p>
          <w:p>
            <w:pPr>
              <w:pStyle w:val="TableText"/>
              <w:ind w:left="110"/>
              <w:spacing w:before="75" w:line="221" w:lineRule="auto"/>
              <w:rPr/>
            </w:pPr>
            <w:r>
              <w:rPr>
                <w:spacing w:val="5"/>
              </w:rPr>
              <w:t>名称</w:t>
            </w:r>
          </w:p>
        </w:tc>
        <w:tc>
          <w:tcPr>
            <w:tcW w:w="1209" w:type="dxa"/>
            <w:vAlign w:val="top"/>
          </w:tcPr>
          <w:p>
            <w:pPr>
              <w:spacing w:line="287" w:lineRule="auto"/>
              <w:rPr>
                <w:rFonts w:ascii="Arial"/>
                <w:sz w:val="21"/>
              </w:rPr>
            </w:pPr>
            <w:r/>
          </w:p>
          <w:p>
            <w:pPr>
              <w:pStyle w:val="TableText"/>
              <w:ind w:left="132"/>
              <w:spacing w:before="75" w:line="219" w:lineRule="auto"/>
              <w:rPr/>
            </w:pPr>
            <w:r>
              <w:rPr>
                <w:spacing w:val="3"/>
              </w:rPr>
              <w:t>品牌型号</w:t>
            </w:r>
          </w:p>
        </w:tc>
        <w:tc>
          <w:tcPr>
            <w:tcW w:w="1718" w:type="dxa"/>
            <w:vAlign w:val="top"/>
          </w:tcPr>
          <w:p>
            <w:pPr>
              <w:spacing w:line="288" w:lineRule="auto"/>
              <w:rPr>
                <w:rFonts w:ascii="Arial"/>
                <w:sz w:val="21"/>
              </w:rPr>
            </w:pPr>
            <w:r/>
          </w:p>
          <w:p>
            <w:pPr>
              <w:pStyle w:val="TableText"/>
              <w:ind w:left="502"/>
              <w:spacing w:before="75" w:line="220" w:lineRule="auto"/>
              <w:rPr/>
            </w:pPr>
            <w:r>
              <w:rPr>
                <w:spacing w:val="5"/>
              </w:rPr>
              <w:t>制造商</w:t>
            </w:r>
          </w:p>
        </w:tc>
        <w:tc>
          <w:tcPr>
            <w:tcW w:w="849" w:type="dxa"/>
            <w:vAlign w:val="top"/>
          </w:tcPr>
          <w:p>
            <w:pPr>
              <w:spacing w:line="288" w:lineRule="auto"/>
              <w:rPr>
                <w:rFonts w:ascii="Arial"/>
                <w:sz w:val="21"/>
              </w:rPr>
            </w:pPr>
            <w:r/>
          </w:p>
          <w:p>
            <w:pPr>
              <w:pStyle w:val="TableText"/>
              <w:ind w:left="114"/>
              <w:spacing w:before="75" w:line="220" w:lineRule="auto"/>
              <w:rPr/>
            </w:pPr>
            <w:r>
              <w:rPr>
                <w:spacing w:val="-3"/>
              </w:rPr>
              <w:t>单位</w:t>
            </w:r>
          </w:p>
        </w:tc>
        <w:tc>
          <w:tcPr>
            <w:tcW w:w="899" w:type="dxa"/>
            <w:vAlign w:val="top"/>
          </w:tcPr>
          <w:p>
            <w:pPr>
              <w:spacing w:line="287" w:lineRule="auto"/>
              <w:rPr>
                <w:rFonts w:ascii="Arial"/>
                <w:sz w:val="21"/>
              </w:rPr>
            </w:pPr>
            <w:r/>
          </w:p>
          <w:p>
            <w:pPr>
              <w:pStyle w:val="TableText"/>
              <w:ind w:left="95"/>
              <w:spacing w:before="75" w:line="219" w:lineRule="auto"/>
              <w:rPr/>
            </w:pPr>
            <w:r>
              <w:rPr>
                <w:spacing w:val="-3"/>
              </w:rPr>
              <w:t>数量</w:t>
            </w:r>
          </w:p>
        </w:tc>
        <w:tc>
          <w:tcPr>
            <w:tcW w:w="1528" w:type="dxa"/>
            <w:vAlign w:val="top"/>
          </w:tcPr>
          <w:p>
            <w:pPr>
              <w:spacing w:line="285" w:lineRule="auto"/>
              <w:rPr>
                <w:rFonts w:ascii="Arial"/>
                <w:sz w:val="21"/>
              </w:rPr>
            </w:pPr>
            <w:r/>
          </w:p>
          <w:p>
            <w:pPr>
              <w:pStyle w:val="TableText"/>
              <w:ind w:left="96"/>
              <w:spacing w:before="75" w:line="218" w:lineRule="auto"/>
              <w:rPr/>
            </w:pPr>
            <w:r>
              <w:rPr>
                <w:spacing w:val="10"/>
              </w:rPr>
              <w:t>单价(元)</w:t>
            </w:r>
          </w:p>
        </w:tc>
        <w:tc>
          <w:tcPr>
            <w:tcW w:w="1483" w:type="dxa"/>
            <w:vAlign w:val="top"/>
          </w:tcPr>
          <w:p>
            <w:pPr>
              <w:spacing w:line="288" w:lineRule="auto"/>
              <w:rPr>
                <w:rFonts w:ascii="Arial"/>
                <w:sz w:val="21"/>
              </w:rPr>
            </w:pPr>
            <w:r/>
          </w:p>
          <w:p>
            <w:pPr>
              <w:pStyle w:val="TableText"/>
              <w:ind w:left="108"/>
              <w:spacing w:before="75" w:line="220" w:lineRule="auto"/>
              <w:rPr/>
            </w:pPr>
            <w:r>
              <w:rPr>
                <w:spacing w:val="10"/>
              </w:rPr>
              <w:t>小计(元)</w:t>
            </w:r>
          </w:p>
        </w:tc>
      </w:tr>
      <w:tr>
        <w:trPr>
          <w:trHeight w:val="977" w:hRule="atLeast"/>
        </w:trPr>
        <w:tc>
          <w:tcPr>
            <w:tcW w:w="614" w:type="dxa"/>
            <w:vAlign w:val="top"/>
          </w:tcPr>
          <w:p>
            <w:pPr>
              <w:spacing w:line="363" w:lineRule="auto"/>
              <w:rPr>
                <w:rFonts w:ascii="Arial"/>
                <w:sz w:val="21"/>
              </w:rPr>
            </w:pPr>
            <w:r/>
          </w:p>
          <w:p>
            <w:pPr>
              <w:pStyle w:val="TableText"/>
              <w:ind w:left="85"/>
              <w:spacing w:before="75" w:line="184" w:lineRule="auto"/>
              <w:rPr/>
            </w:pPr>
            <w:r>
              <w:rPr/>
              <w:t>1</w:t>
            </w:r>
          </w:p>
        </w:tc>
        <w:tc>
          <w:tcPr>
            <w:tcW w:w="1429" w:type="dxa"/>
            <w:vAlign w:val="top"/>
          </w:tcPr>
          <w:p>
            <w:pPr>
              <w:pStyle w:val="TableText"/>
              <w:ind w:left="130"/>
              <w:spacing w:before="52" w:line="219" w:lineRule="auto"/>
              <w:rPr/>
            </w:pPr>
            <w:r>
              <w:rPr>
                <w:spacing w:val="2"/>
              </w:rPr>
              <w:t>电感耦合等</w:t>
            </w:r>
          </w:p>
          <w:p>
            <w:pPr>
              <w:pStyle w:val="TableText"/>
              <w:ind w:left="130"/>
              <w:spacing w:before="67" w:line="220" w:lineRule="auto"/>
              <w:rPr/>
            </w:pPr>
            <w:r>
              <w:rPr>
                <w:spacing w:val="1"/>
              </w:rPr>
              <w:t>离子体发射</w:t>
            </w:r>
          </w:p>
          <w:p>
            <w:pPr>
              <w:pStyle w:val="TableText"/>
              <w:ind w:left="360"/>
              <w:spacing w:before="44" w:line="205" w:lineRule="auto"/>
              <w:rPr/>
            </w:pPr>
            <w:r>
              <w:rPr>
                <w:spacing w:val="3"/>
              </w:rPr>
              <w:t>光谱仪</w:t>
            </w:r>
          </w:p>
        </w:tc>
        <w:tc>
          <w:tcPr>
            <w:tcW w:w="1209" w:type="dxa"/>
            <w:vAlign w:val="top"/>
          </w:tcPr>
          <w:p>
            <w:pPr>
              <w:pStyle w:val="TableText"/>
              <w:ind w:left="132"/>
              <w:spacing w:before="299" w:line="344" w:lineRule="exact"/>
              <w:rPr/>
            </w:pPr>
            <w:r>
              <w:rPr>
                <w:spacing w:val="-4"/>
                <w:position w:val="11"/>
              </w:rPr>
              <w:t>iCAP</w:t>
            </w:r>
            <w:r>
              <w:rPr>
                <w:spacing w:val="35"/>
                <w:position w:val="11"/>
              </w:rPr>
              <w:t xml:space="preserve"> </w:t>
            </w:r>
            <w:r>
              <w:rPr>
                <w:spacing w:val="-4"/>
                <w:position w:val="11"/>
              </w:rPr>
              <w:t>PRO</w:t>
            </w:r>
          </w:p>
          <w:p>
            <w:pPr>
              <w:pStyle w:val="TableText"/>
              <w:ind w:left="301"/>
              <w:spacing w:line="181" w:lineRule="auto"/>
              <w:rPr/>
            </w:pPr>
            <w:r>
              <w:rPr>
                <w:spacing w:val="-3"/>
              </w:rPr>
              <w:t>X</w:t>
            </w:r>
            <w:r>
              <w:rPr>
                <w:spacing w:val="28"/>
              </w:rPr>
              <w:t xml:space="preserve"> </w:t>
            </w:r>
            <w:r>
              <w:rPr>
                <w:spacing w:val="-3"/>
              </w:rPr>
              <w:t>Duo</w:t>
            </w:r>
          </w:p>
        </w:tc>
        <w:tc>
          <w:tcPr>
            <w:tcW w:w="1718" w:type="dxa"/>
            <w:vAlign w:val="top"/>
          </w:tcPr>
          <w:p>
            <w:pPr>
              <w:spacing w:line="304" w:lineRule="auto"/>
              <w:rPr>
                <w:rFonts w:ascii="Arial"/>
                <w:sz w:val="21"/>
              </w:rPr>
            </w:pPr>
            <w:r/>
          </w:p>
          <w:p>
            <w:pPr>
              <w:pStyle w:val="TableText"/>
              <w:ind w:left="272"/>
              <w:spacing w:before="75" w:line="219" w:lineRule="auto"/>
              <w:rPr/>
            </w:pPr>
            <w:r>
              <w:rPr>
                <w:spacing w:val="3"/>
              </w:rPr>
              <w:t>赛默飞世尔</w:t>
            </w:r>
          </w:p>
        </w:tc>
        <w:tc>
          <w:tcPr>
            <w:tcW w:w="849" w:type="dxa"/>
            <w:vAlign w:val="top"/>
          </w:tcPr>
          <w:p>
            <w:pPr>
              <w:spacing w:line="306" w:lineRule="auto"/>
              <w:rPr>
                <w:rFonts w:ascii="Arial"/>
                <w:sz w:val="21"/>
              </w:rPr>
            </w:pPr>
            <w:r/>
          </w:p>
          <w:p>
            <w:pPr>
              <w:pStyle w:val="TableText"/>
              <w:ind w:left="304"/>
              <w:spacing w:before="75" w:line="220" w:lineRule="auto"/>
              <w:rPr/>
            </w:pPr>
            <w:r>
              <w:rPr/>
              <w:t>套</w:t>
            </w:r>
          </w:p>
        </w:tc>
        <w:tc>
          <w:tcPr>
            <w:tcW w:w="899" w:type="dxa"/>
            <w:vAlign w:val="top"/>
          </w:tcPr>
          <w:p>
            <w:pPr>
              <w:spacing w:line="363" w:lineRule="auto"/>
              <w:rPr>
                <w:rFonts w:ascii="Arial"/>
                <w:sz w:val="21"/>
              </w:rPr>
            </w:pPr>
            <w:r/>
          </w:p>
          <w:p>
            <w:pPr>
              <w:pStyle w:val="TableText"/>
              <w:ind w:left="385"/>
              <w:spacing w:before="75" w:line="184" w:lineRule="auto"/>
              <w:rPr/>
            </w:pPr>
            <w:r>
              <w:rPr/>
              <w:t>1</w:t>
            </w:r>
          </w:p>
        </w:tc>
        <w:tc>
          <w:tcPr>
            <w:tcW w:w="1528" w:type="dxa"/>
            <w:vAlign w:val="top"/>
          </w:tcPr>
          <w:p>
            <w:pPr>
              <w:spacing w:line="364" w:lineRule="auto"/>
              <w:rPr>
                <w:rFonts w:ascii="Arial"/>
                <w:sz w:val="21"/>
              </w:rPr>
            </w:pPr>
            <w:r/>
          </w:p>
          <w:p>
            <w:pPr>
              <w:pStyle w:val="TableText"/>
              <w:ind w:left="236"/>
              <w:spacing w:before="75" w:line="183" w:lineRule="auto"/>
              <w:rPr/>
            </w:pPr>
            <w:r>
              <w:rPr>
                <w:spacing w:val="-1"/>
              </w:rPr>
              <w:t>498000.00</w:t>
            </w:r>
          </w:p>
        </w:tc>
        <w:tc>
          <w:tcPr>
            <w:tcW w:w="1483" w:type="dxa"/>
            <w:vAlign w:val="top"/>
          </w:tcPr>
          <w:p>
            <w:pPr>
              <w:spacing w:line="364" w:lineRule="auto"/>
              <w:rPr>
                <w:rFonts w:ascii="Arial"/>
                <w:sz w:val="21"/>
              </w:rPr>
            </w:pPr>
            <w:r/>
          </w:p>
          <w:p>
            <w:pPr>
              <w:pStyle w:val="TableText"/>
              <w:ind w:left="219"/>
              <w:spacing w:before="75" w:line="183" w:lineRule="auto"/>
              <w:rPr/>
            </w:pPr>
            <w:r>
              <w:rPr>
                <w:spacing w:val="-1"/>
              </w:rPr>
              <w:t>498000.00</w:t>
            </w:r>
          </w:p>
        </w:tc>
      </w:tr>
      <w:tr>
        <w:trPr>
          <w:trHeight w:val="957" w:hRule="atLeast"/>
        </w:trPr>
        <w:tc>
          <w:tcPr>
            <w:tcW w:w="614" w:type="dxa"/>
            <w:vAlign w:val="top"/>
          </w:tcPr>
          <w:p>
            <w:pPr>
              <w:spacing w:line="357" w:lineRule="auto"/>
              <w:rPr>
                <w:rFonts w:ascii="Arial"/>
                <w:sz w:val="21"/>
              </w:rPr>
            </w:pPr>
            <w:r/>
          </w:p>
          <w:p>
            <w:pPr>
              <w:pStyle w:val="TableText"/>
              <w:ind w:left="85"/>
              <w:spacing w:before="75" w:line="183" w:lineRule="auto"/>
              <w:rPr/>
            </w:pPr>
            <w:r>
              <w:rPr/>
              <w:t>2</w:t>
            </w:r>
          </w:p>
        </w:tc>
        <w:tc>
          <w:tcPr>
            <w:tcW w:w="1429" w:type="dxa"/>
            <w:vAlign w:val="top"/>
          </w:tcPr>
          <w:p>
            <w:pPr>
              <w:pStyle w:val="TableText"/>
              <w:ind w:left="130"/>
              <w:spacing w:before="65" w:line="219" w:lineRule="auto"/>
              <w:rPr/>
            </w:pPr>
            <w:r>
              <w:rPr>
                <w:spacing w:val="2"/>
              </w:rPr>
              <w:t>电感耦合等</w:t>
            </w:r>
          </w:p>
          <w:p>
            <w:pPr>
              <w:pStyle w:val="TableText"/>
              <w:ind w:left="130"/>
              <w:spacing w:before="47" w:line="220" w:lineRule="auto"/>
              <w:rPr/>
            </w:pPr>
            <w:r>
              <w:rPr>
                <w:spacing w:val="1"/>
              </w:rPr>
              <w:t>离子体质谱</w:t>
            </w:r>
          </w:p>
          <w:p>
            <w:pPr>
              <w:pStyle w:val="TableText"/>
              <w:ind w:left="590"/>
              <w:spacing w:before="55" w:line="186" w:lineRule="auto"/>
              <w:rPr/>
            </w:pPr>
            <w:r>
              <w:rPr/>
              <w:t>仪</w:t>
            </w:r>
          </w:p>
        </w:tc>
        <w:tc>
          <w:tcPr>
            <w:tcW w:w="1209" w:type="dxa"/>
            <w:vAlign w:val="top"/>
          </w:tcPr>
          <w:p>
            <w:pPr>
              <w:pStyle w:val="TableText"/>
              <w:ind w:left="361" w:right="199" w:hanging="170"/>
              <w:spacing w:before="265" w:line="225" w:lineRule="auto"/>
              <w:rPr/>
            </w:pPr>
            <w:r>
              <w:rPr>
                <w:spacing w:val="-6"/>
              </w:rPr>
              <w:t>iCAP</w:t>
            </w:r>
            <w:r>
              <w:rPr>
                <w:spacing w:val="37"/>
              </w:rPr>
              <w:t xml:space="preserve"> </w:t>
            </w:r>
            <w:r>
              <w:rPr>
                <w:spacing w:val="-6"/>
              </w:rPr>
              <w:t>RQ</w:t>
            </w:r>
            <w:r>
              <w:rPr/>
              <w:t xml:space="preserve"> </w:t>
            </w:r>
            <w:r>
              <w:rPr>
                <w:spacing w:val="-2"/>
              </w:rPr>
              <w:t>plus</w:t>
            </w:r>
          </w:p>
        </w:tc>
        <w:tc>
          <w:tcPr>
            <w:tcW w:w="1718" w:type="dxa"/>
            <w:vAlign w:val="top"/>
          </w:tcPr>
          <w:p>
            <w:pPr>
              <w:spacing w:line="297" w:lineRule="auto"/>
              <w:rPr>
                <w:rFonts w:ascii="Arial"/>
                <w:sz w:val="21"/>
              </w:rPr>
            </w:pPr>
            <w:r/>
          </w:p>
          <w:p>
            <w:pPr>
              <w:pStyle w:val="TableText"/>
              <w:ind w:left="272"/>
              <w:spacing w:before="75" w:line="219" w:lineRule="auto"/>
              <w:rPr/>
            </w:pPr>
            <w:r>
              <w:rPr>
                <w:spacing w:val="3"/>
              </w:rPr>
              <w:t>赛默飞世尔</w:t>
            </w:r>
          </w:p>
        </w:tc>
        <w:tc>
          <w:tcPr>
            <w:tcW w:w="849" w:type="dxa"/>
            <w:vAlign w:val="top"/>
          </w:tcPr>
          <w:p>
            <w:pPr>
              <w:spacing w:line="299" w:lineRule="auto"/>
              <w:rPr>
                <w:rFonts w:ascii="Arial"/>
                <w:sz w:val="21"/>
              </w:rPr>
            </w:pPr>
            <w:r/>
          </w:p>
          <w:p>
            <w:pPr>
              <w:pStyle w:val="TableText"/>
              <w:ind w:left="304"/>
              <w:spacing w:before="75" w:line="220" w:lineRule="auto"/>
              <w:rPr/>
            </w:pPr>
            <w:r>
              <w:rPr/>
              <w:t>套</w:t>
            </w:r>
          </w:p>
        </w:tc>
        <w:tc>
          <w:tcPr>
            <w:tcW w:w="899" w:type="dxa"/>
            <w:vAlign w:val="top"/>
          </w:tcPr>
          <w:p>
            <w:pPr>
              <w:spacing w:line="356" w:lineRule="auto"/>
              <w:rPr>
                <w:rFonts w:ascii="Arial"/>
                <w:sz w:val="21"/>
              </w:rPr>
            </w:pPr>
            <w:r/>
          </w:p>
          <w:p>
            <w:pPr>
              <w:pStyle w:val="TableText"/>
              <w:ind w:left="385"/>
              <w:spacing w:before="75" w:line="184" w:lineRule="auto"/>
              <w:rPr/>
            </w:pPr>
            <w:r>
              <w:rPr/>
              <w:t>1</w:t>
            </w:r>
          </w:p>
        </w:tc>
        <w:tc>
          <w:tcPr>
            <w:tcW w:w="1528" w:type="dxa"/>
            <w:vAlign w:val="top"/>
          </w:tcPr>
          <w:p>
            <w:pPr>
              <w:spacing w:line="357" w:lineRule="auto"/>
              <w:rPr>
                <w:rFonts w:ascii="Arial"/>
                <w:sz w:val="21"/>
              </w:rPr>
            </w:pPr>
            <w:r/>
          </w:p>
          <w:p>
            <w:pPr>
              <w:pStyle w:val="TableText"/>
              <w:ind w:left="236"/>
              <w:spacing w:before="75" w:line="183" w:lineRule="auto"/>
              <w:rPr/>
            </w:pPr>
            <w:r>
              <w:rPr>
                <w:spacing w:val="-2"/>
              </w:rPr>
              <w:t>799500.00</w:t>
            </w:r>
          </w:p>
        </w:tc>
        <w:tc>
          <w:tcPr>
            <w:tcW w:w="1483" w:type="dxa"/>
            <w:vAlign w:val="top"/>
          </w:tcPr>
          <w:p>
            <w:pPr>
              <w:spacing w:line="357" w:lineRule="auto"/>
              <w:rPr>
                <w:rFonts w:ascii="Arial"/>
                <w:sz w:val="21"/>
              </w:rPr>
            </w:pPr>
            <w:r/>
          </w:p>
          <w:p>
            <w:pPr>
              <w:pStyle w:val="TableText"/>
              <w:ind w:left="219"/>
              <w:spacing w:before="75" w:line="183" w:lineRule="auto"/>
              <w:rPr/>
            </w:pPr>
            <w:r>
              <w:rPr>
                <w:spacing w:val="-2"/>
              </w:rPr>
              <w:t>799500.00</w:t>
            </w:r>
          </w:p>
        </w:tc>
      </w:tr>
      <w:tr>
        <w:trPr>
          <w:trHeight w:val="473" w:hRule="atLeast"/>
        </w:trPr>
        <w:tc>
          <w:tcPr>
            <w:tcW w:w="614" w:type="dxa"/>
            <w:vAlign w:val="top"/>
          </w:tcPr>
          <w:p>
            <w:pPr>
              <w:rPr>
                <w:rFonts w:ascii="Arial"/>
                <w:sz w:val="21"/>
              </w:rPr>
            </w:pPr>
            <w:r/>
          </w:p>
        </w:tc>
        <w:tc>
          <w:tcPr>
            <w:tcW w:w="9115" w:type="dxa"/>
            <w:vAlign w:val="top"/>
            <w:gridSpan w:val="7"/>
          </w:tcPr>
          <w:p>
            <w:pPr>
              <w:pStyle w:val="TableText"/>
              <w:ind w:left="84"/>
              <w:spacing w:before="123" w:line="218" w:lineRule="auto"/>
              <w:rPr/>
            </w:pPr>
            <w:r>
              <w:rPr>
                <w:b/>
                <w:bCs/>
                <w:spacing w:val="1"/>
              </w:rPr>
              <w:t>总价(大写):壹佰贰拾玖万柒仟伍佰元整(小写):¥1297500.00</w:t>
            </w:r>
          </w:p>
        </w:tc>
      </w:tr>
    </w:tbl>
    <w:p>
      <w:pPr>
        <w:ind w:left="1164"/>
        <w:spacing w:before="104" w:line="219" w:lineRule="auto"/>
        <w:rPr>
          <w:rFonts w:ascii="SimSun" w:hAnsi="SimSun" w:eastAsia="SimSun" w:cs="SimSun"/>
          <w:sz w:val="26"/>
          <w:szCs w:val="26"/>
        </w:rPr>
      </w:pPr>
      <w:r>
        <w:rPr>
          <w:rFonts w:ascii="SimSun" w:hAnsi="SimSun" w:eastAsia="SimSun" w:cs="SimSun"/>
          <w:sz w:val="26"/>
          <w:szCs w:val="26"/>
          <w:spacing w:val="-20"/>
        </w:rPr>
        <w:t>3、详细的技术规格、质保方案及售后服务标准见附件。</w:t>
      </w:r>
    </w:p>
    <w:p>
      <w:pPr>
        <w:ind w:left="1168"/>
        <w:spacing w:before="150" w:line="220" w:lineRule="auto"/>
        <w:outlineLvl w:val="0"/>
        <w:rPr>
          <w:rFonts w:ascii="SimSun" w:hAnsi="SimSun" w:eastAsia="SimSun" w:cs="SimSun"/>
          <w:sz w:val="26"/>
          <w:szCs w:val="26"/>
        </w:rPr>
      </w:pPr>
      <w:r>
        <w:rPr>
          <w:rFonts w:ascii="SimSun" w:hAnsi="SimSun" w:eastAsia="SimSun" w:cs="SimSun"/>
          <w:sz w:val="26"/>
          <w:szCs w:val="26"/>
          <w:b/>
          <w:bCs/>
          <w:spacing w:val="-21"/>
        </w:rPr>
        <w:t>三、安装调试</w:t>
      </w:r>
    </w:p>
    <w:p>
      <w:pPr>
        <w:spacing w:line="220" w:lineRule="auto"/>
        <w:sectPr>
          <w:pgSz w:w="12130" w:h="16990"/>
          <w:pgMar w:top="1444" w:right="109" w:bottom="0" w:left="1215" w:header="0" w:footer="0" w:gutter="0"/>
        </w:sectPr>
        <w:rPr>
          <w:rFonts w:ascii="SimSun" w:hAnsi="SimSun" w:eastAsia="SimSun" w:cs="SimSun"/>
          <w:sz w:val="26"/>
          <w:szCs w:val="26"/>
        </w:rPr>
      </w:pPr>
    </w:p>
    <w:p>
      <w:pPr>
        <w:ind w:left="536"/>
        <w:spacing w:before="277" w:line="461" w:lineRule="exact"/>
        <w:rPr>
          <w:rFonts w:ascii="SimSun" w:hAnsi="SimSun" w:eastAsia="SimSun" w:cs="SimSun"/>
          <w:sz w:val="25"/>
          <w:szCs w:val="25"/>
        </w:rPr>
      </w:pPr>
      <w:r>
        <w:rPr>
          <w:rFonts w:ascii="SimSun" w:hAnsi="SimSun" w:eastAsia="SimSun" w:cs="SimSun"/>
          <w:sz w:val="25"/>
          <w:szCs w:val="25"/>
          <w:spacing w:val="-6"/>
          <w:position w:val="15"/>
        </w:rPr>
        <w:t>乙方负责对货物(设备)免费进行安装调试，并使其投入正常运行，并经双</w:t>
      </w:r>
    </w:p>
    <w:p>
      <w:pPr>
        <w:ind w:left="46"/>
        <w:spacing w:line="219" w:lineRule="auto"/>
        <w:rPr>
          <w:rFonts w:ascii="SimSun" w:hAnsi="SimSun" w:eastAsia="SimSun" w:cs="SimSun"/>
          <w:sz w:val="25"/>
          <w:szCs w:val="25"/>
        </w:rPr>
      </w:pPr>
      <w:r>
        <w:rPr>
          <w:rFonts w:ascii="SimSun" w:hAnsi="SimSun" w:eastAsia="SimSun" w:cs="SimSun"/>
          <w:sz w:val="25"/>
          <w:szCs w:val="25"/>
          <w:spacing w:val="-14"/>
        </w:rPr>
        <w:t>方人员签字验收。</w:t>
      </w:r>
    </w:p>
    <w:p>
      <w:pPr>
        <w:ind w:left="540"/>
        <w:spacing w:before="189" w:line="219" w:lineRule="auto"/>
        <w:outlineLvl w:val="0"/>
        <w:rPr>
          <w:rFonts w:ascii="SimSun" w:hAnsi="SimSun" w:eastAsia="SimSun" w:cs="SimSun"/>
          <w:sz w:val="25"/>
          <w:szCs w:val="25"/>
        </w:rPr>
      </w:pPr>
      <w:r>
        <w:rPr>
          <w:rFonts w:ascii="SimSun" w:hAnsi="SimSun" w:eastAsia="SimSun" w:cs="SimSun"/>
          <w:sz w:val="25"/>
          <w:szCs w:val="25"/>
          <w:b/>
          <w:bCs/>
          <w:spacing w:val="-27"/>
        </w:rPr>
        <w:t>四</w:t>
      </w:r>
      <w:r>
        <w:rPr>
          <w:rFonts w:ascii="SimSun" w:hAnsi="SimSun" w:eastAsia="SimSun" w:cs="SimSun"/>
          <w:sz w:val="25"/>
          <w:szCs w:val="25"/>
          <w:spacing w:val="-27"/>
        </w:rPr>
        <w:t xml:space="preserve"> </w:t>
      </w:r>
      <w:r>
        <w:rPr>
          <w:rFonts w:ascii="SimSun" w:hAnsi="SimSun" w:eastAsia="SimSun" w:cs="SimSun"/>
          <w:sz w:val="25"/>
          <w:szCs w:val="25"/>
          <w:b/>
          <w:bCs/>
          <w:spacing w:val="-27"/>
        </w:rPr>
        <w:t>、人员技术培训</w:t>
      </w:r>
    </w:p>
    <w:p>
      <w:pPr>
        <w:ind w:left="536"/>
        <w:spacing w:before="176" w:line="459" w:lineRule="exact"/>
        <w:rPr>
          <w:rFonts w:ascii="SimSun" w:hAnsi="SimSun" w:eastAsia="SimSun" w:cs="SimSun"/>
          <w:sz w:val="25"/>
          <w:szCs w:val="25"/>
        </w:rPr>
      </w:pPr>
      <w:r>
        <w:rPr>
          <w:rFonts w:ascii="SimSun" w:hAnsi="SimSun" w:eastAsia="SimSun" w:cs="SimSun"/>
          <w:sz w:val="25"/>
          <w:szCs w:val="25"/>
          <w:spacing w:val="-14"/>
          <w:position w:val="15"/>
        </w:rPr>
        <w:t>乙方应当安排技术人员免费为甲方人员进行技术培训和现场指导，使购买的</w:t>
      </w:r>
    </w:p>
    <w:p>
      <w:pPr>
        <w:ind w:left="46"/>
        <w:spacing w:before="1" w:line="218" w:lineRule="auto"/>
        <w:rPr>
          <w:rFonts w:ascii="SimSun" w:hAnsi="SimSun" w:eastAsia="SimSun" w:cs="SimSun"/>
          <w:sz w:val="25"/>
          <w:szCs w:val="25"/>
        </w:rPr>
      </w:pPr>
      <w:r>
        <w:rPr>
          <w:rFonts w:ascii="SimSun" w:hAnsi="SimSun" w:eastAsia="SimSun" w:cs="SimSun"/>
          <w:sz w:val="25"/>
          <w:szCs w:val="25"/>
          <w:spacing w:val="1"/>
        </w:rPr>
        <w:t>货物(设备)国家规定运行标准和使用要求。</w:t>
      </w:r>
    </w:p>
    <w:p>
      <w:pPr>
        <w:ind w:left="539"/>
        <w:spacing w:before="171" w:line="219" w:lineRule="auto"/>
        <w:outlineLvl w:val="0"/>
        <w:rPr>
          <w:rFonts w:ascii="SimSun" w:hAnsi="SimSun" w:eastAsia="SimSun" w:cs="SimSun"/>
          <w:sz w:val="25"/>
          <w:szCs w:val="25"/>
        </w:rPr>
      </w:pPr>
      <w:r>
        <w:rPr>
          <w:rFonts w:ascii="SimSun" w:hAnsi="SimSun" w:eastAsia="SimSun" w:cs="SimSun"/>
          <w:sz w:val="25"/>
          <w:szCs w:val="25"/>
          <w:b/>
          <w:bCs/>
          <w:spacing w:val="-14"/>
        </w:rPr>
        <w:t>五、交付的时间、地点、运输方式、运输费用及风险承担</w:t>
      </w:r>
    </w:p>
    <w:p>
      <w:pPr>
        <w:ind w:left="46" w:right="122" w:firstLine="490"/>
        <w:spacing w:before="173" w:line="348" w:lineRule="auto"/>
        <w:rPr>
          <w:rFonts w:ascii="SimSun" w:hAnsi="SimSun" w:eastAsia="SimSun" w:cs="SimSun"/>
          <w:sz w:val="25"/>
          <w:szCs w:val="25"/>
        </w:rPr>
      </w:pPr>
      <w:r>
        <w:rPr>
          <w:rFonts w:ascii="SimSun" w:hAnsi="SimSun" w:eastAsia="SimSun" w:cs="SimSun"/>
          <w:sz w:val="25"/>
          <w:szCs w:val="25"/>
          <w:spacing w:val="-8"/>
        </w:rPr>
        <w:t>1、交货时间、地点：于合同生效之日</w:t>
      </w:r>
      <w:r>
        <w:rPr>
          <w:rFonts w:ascii="SimSun" w:hAnsi="SimSun" w:eastAsia="SimSun" w:cs="SimSun"/>
          <w:sz w:val="25"/>
          <w:szCs w:val="25"/>
          <w:u w:val="single" w:color="auto"/>
          <w:spacing w:val="-8"/>
        </w:rPr>
        <w:t>起 9 0</w:t>
      </w:r>
      <w:r>
        <w:rPr>
          <w:rFonts w:ascii="SimSun" w:hAnsi="SimSun" w:eastAsia="SimSun" w:cs="SimSun"/>
          <w:sz w:val="25"/>
          <w:szCs w:val="25"/>
          <w:spacing w:val="-8"/>
        </w:rPr>
        <w:t>日历日内(按投标</w:t>
      </w:r>
      <w:r>
        <w:rPr>
          <w:rFonts w:ascii="SimSun" w:hAnsi="SimSun" w:eastAsia="SimSun" w:cs="SimSun"/>
          <w:sz w:val="25"/>
          <w:szCs w:val="25"/>
          <w:spacing w:val="-9"/>
        </w:rPr>
        <w:t>承诺时间), </w:t>
      </w:r>
      <w:r>
        <w:rPr>
          <w:rFonts w:ascii="SimSun" w:hAnsi="SimSun" w:eastAsia="SimSun" w:cs="SimSun"/>
          <w:sz w:val="25"/>
          <w:szCs w:val="25"/>
          <w:spacing w:val="-14"/>
        </w:rPr>
        <w:t>乙方按甲方指定地点将货物免费送达。甲方或最终用户在</w:t>
      </w:r>
      <w:r>
        <w:rPr>
          <w:rFonts w:ascii="SimSun" w:hAnsi="SimSun" w:eastAsia="SimSun" w:cs="SimSun"/>
          <w:sz w:val="25"/>
          <w:szCs w:val="25"/>
          <w:spacing w:val="-15"/>
        </w:rPr>
        <w:t>乙方收货确认单签字盖</w:t>
      </w:r>
      <w:r>
        <w:rPr>
          <w:rFonts w:ascii="SimSun" w:hAnsi="SimSun" w:eastAsia="SimSun" w:cs="SimSun"/>
          <w:sz w:val="25"/>
          <w:szCs w:val="25"/>
        </w:rPr>
        <w:t xml:space="preserve"> </w:t>
      </w:r>
      <w:r>
        <w:rPr>
          <w:rFonts w:ascii="SimSun" w:hAnsi="SimSun" w:eastAsia="SimSun" w:cs="SimSun"/>
          <w:sz w:val="25"/>
          <w:szCs w:val="25"/>
          <w:spacing w:val="-13"/>
        </w:rPr>
        <w:t>章，或者甲方或最终用户在乙方的物流配送单据上予以签字或盖章，作为</w:t>
      </w:r>
      <w:r>
        <w:rPr>
          <w:rFonts w:ascii="SimSun" w:hAnsi="SimSun" w:eastAsia="SimSun" w:cs="SimSun"/>
          <w:sz w:val="25"/>
          <w:szCs w:val="25"/>
          <w:spacing w:val="-14"/>
        </w:rPr>
        <w:t>双方结</w:t>
      </w:r>
    </w:p>
    <w:p>
      <w:pPr>
        <w:ind w:left="46"/>
        <w:spacing w:line="218" w:lineRule="auto"/>
        <w:rPr>
          <w:rFonts w:ascii="SimSun" w:hAnsi="SimSun" w:eastAsia="SimSun" w:cs="SimSun"/>
          <w:sz w:val="25"/>
          <w:szCs w:val="25"/>
        </w:rPr>
      </w:pPr>
      <w:r>
        <w:rPr>
          <w:rFonts w:ascii="SimSun" w:hAnsi="SimSun" w:eastAsia="SimSun" w:cs="SimSun"/>
          <w:sz w:val="25"/>
          <w:szCs w:val="25"/>
          <w:spacing w:val="-8"/>
        </w:rPr>
        <w:t>算的依据。</w:t>
      </w:r>
    </w:p>
    <w:p>
      <w:pPr>
        <w:ind w:right="21"/>
        <w:spacing w:before="184" w:line="461" w:lineRule="exact"/>
        <w:jc w:val="right"/>
        <w:rPr>
          <w:rFonts w:ascii="SimSun" w:hAnsi="SimSun" w:eastAsia="SimSun" w:cs="SimSun"/>
          <w:sz w:val="25"/>
          <w:szCs w:val="25"/>
        </w:rPr>
      </w:pPr>
      <w:r>
        <w:rPr>
          <w:rFonts w:ascii="SimSun" w:hAnsi="SimSun" w:eastAsia="SimSun" w:cs="SimSun"/>
          <w:sz w:val="25"/>
          <w:szCs w:val="25"/>
          <w:spacing w:val="-14"/>
          <w:position w:val="15"/>
        </w:rPr>
        <w:t>2、产品运输过程中由乙方按国家有关设备供应的规定标准进行包装、供应，</w:t>
      </w:r>
    </w:p>
    <w:p>
      <w:pPr>
        <w:ind w:left="46"/>
        <w:spacing w:line="219" w:lineRule="auto"/>
        <w:rPr>
          <w:rFonts w:ascii="SimSun" w:hAnsi="SimSun" w:eastAsia="SimSun" w:cs="SimSun"/>
          <w:sz w:val="25"/>
          <w:szCs w:val="25"/>
        </w:rPr>
      </w:pPr>
      <w:r>
        <w:rPr>
          <w:rFonts w:ascii="SimSun" w:hAnsi="SimSun" w:eastAsia="SimSun" w:cs="SimSun"/>
          <w:sz w:val="25"/>
          <w:szCs w:val="25"/>
          <w:spacing w:val="-13"/>
        </w:rPr>
        <w:t>产生的相关费用由乙方承担。</w:t>
      </w:r>
    </w:p>
    <w:p>
      <w:pPr>
        <w:ind w:left="536"/>
        <w:spacing w:before="173" w:line="470" w:lineRule="exact"/>
        <w:rPr>
          <w:rFonts w:ascii="SimSun" w:hAnsi="SimSun" w:eastAsia="SimSun" w:cs="SimSun"/>
          <w:sz w:val="25"/>
          <w:szCs w:val="25"/>
        </w:rPr>
      </w:pPr>
      <w:r>
        <w:rPr>
          <w:rFonts w:ascii="SimSun" w:hAnsi="SimSun" w:eastAsia="SimSun" w:cs="SimSun"/>
          <w:sz w:val="25"/>
          <w:szCs w:val="25"/>
          <w:spacing w:val="-3"/>
          <w:position w:val="16"/>
        </w:rPr>
        <w:t>3、乙方应在交货时向甲方提供货物(设备)生产制造标准、使用说明</w:t>
      </w:r>
      <w:r>
        <w:rPr>
          <w:rFonts w:ascii="SimSun" w:hAnsi="SimSun" w:eastAsia="SimSun" w:cs="SimSun"/>
          <w:sz w:val="25"/>
          <w:szCs w:val="25"/>
          <w:spacing w:val="-4"/>
          <w:position w:val="16"/>
        </w:rPr>
        <w:t>书、</w:t>
      </w:r>
    </w:p>
    <w:p>
      <w:pPr>
        <w:ind w:left="46"/>
        <w:spacing w:before="1" w:line="218" w:lineRule="auto"/>
        <w:rPr>
          <w:rFonts w:ascii="SimSun" w:hAnsi="SimSun" w:eastAsia="SimSun" w:cs="SimSun"/>
          <w:sz w:val="25"/>
          <w:szCs w:val="25"/>
        </w:rPr>
      </w:pPr>
      <w:r>
        <w:rPr>
          <w:rFonts w:ascii="SimSun" w:hAnsi="SimSun" w:eastAsia="SimSun" w:cs="SimSun"/>
          <w:sz w:val="25"/>
          <w:szCs w:val="25"/>
          <w:spacing w:val="-11"/>
        </w:rPr>
        <w:t>检验合格证明及相关的随机备品备件、配件、工具、</w:t>
      </w:r>
      <w:r>
        <w:rPr>
          <w:rFonts w:ascii="SimSun" w:hAnsi="SimSun" w:eastAsia="SimSun" w:cs="SimSun"/>
          <w:sz w:val="25"/>
          <w:szCs w:val="25"/>
          <w:spacing w:val="-12"/>
        </w:rPr>
        <w:t>软件等资料。</w:t>
      </w:r>
    </w:p>
    <w:p>
      <w:pPr>
        <w:ind w:left="46" w:right="107" w:firstLine="490"/>
        <w:spacing w:before="173" w:line="340" w:lineRule="auto"/>
        <w:rPr>
          <w:rFonts w:ascii="SimSun" w:hAnsi="SimSun" w:eastAsia="SimSun" w:cs="SimSun"/>
          <w:sz w:val="25"/>
          <w:szCs w:val="25"/>
        </w:rPr>
      </w:pPr>
      <w:r>
        <w:rPr>
          <w:rFonts w:ascii="SimSun" w:hAnsi="SimSun" w:eastAsia="SimSun" w:cs="SimSun"/>
          <w:sz w:val="25"/>
          <w:szCs w:val="25"/>
          <w:spacing w:val="-2"/>
        </w:rPr>
        <w:t>4、合同货物(设备)验收前的货物毁损、灭失的风险由乙方承担，验收合</w:t>
      </w:r>
      <w:r>
        <w:rPr>
          <w:rFonts w:ascii="SimSun" w:hAnsi="SimSun" w:eastAsia="SimSun" w:cs="SimSun"/>
          <w:sz w:val="25"/>
          <w:szCs w:val="25"/>
          <w:spacing w:val="9"/>
        </w:rPr>
        <w:t xml:space="preserve"> </w:t>
      </w:r>
      <w:r>
        <w:rPr>
          <w:rFonts w:ascii="SimSun" w:hAnsi="SimSun" w:eastAsia="SimSun" w:cs="SimSun"/>
          <w:sz w:val="25"/>
          <w:szCs w:val="25"/>
          <w:spacing w:val="-13"/>
        </w:rPr>
        <w:t>格后的货物灭失的风险由甲方承担。如合同商品参加保险，保险赔偿款由风险承</w:t>
      </w:r>
    </w:p>
    <w:p>
      <w:pPr>
        <w:ind w:left="46"/>
        <w:spacing w:before="1" w:line="219" w:lineRule="auto"/>
        <w:rPr>
          <w:rFonts w:ascii="SimSun" w:hAnsi="SimSun" w:eastAsia="SimSun" w:cs="SimSun"/>
          <w:sz w:val="25"/>
          <w:szCs w:val="25"/>
        </w:rPr>
      </w:pPr>
      <w:r>
        <w:rPr>
          <w:rFonts w:ascii="SimSun" w:hAnsi="SimSun" w:eastAsia="SimSun" w:cs="SimSun"/>
          <w:sz w:val="25"/>
          <w:szCs w:val="25"/>
          <w:spacing w:val="-8"/>
        </w:rPr>
        <w:t>担者享有。</w:t>
      </w:r>
    </w:p>
    <w:p>
      <w:pPr>
        <w:ind w:left="540"/>
        <w:spacing w:before="178" w:line="219" w:lineRule="auto"/>
        <w:outlineLvl w:val="0"/>
        <w:rPr>
          <w:rFonts w:ascii="SimSun" w:hAnsi="SimSun" w:eastAsia="SimSun" w:cs="SimSun"/>
          <w:sz w:val="25"/>
          <w:szCs w:val="25"/>
        </w:rPr>
      </w:pPr>
      <w:r>
        <w:rPr>
          <w:rFonts w:ascii="SimSun" w:hAnsi="SimSun" w:eastAsia="SimSun" w:cs="SimSun"/>
          <w:sz w:val="25"/>
          <w:szCs w:val="25"/>
          <w:b/>
          <w:bCs/>
          <w:spacing w:val="1"/>
        </w:rPr>
        <w:t>六、货物(设备)验收标准、验收方式</w:t>
      </w:r>
    </w:p>
    <w:p>
      <w:pPr>
        <w:ind w:left="536"/>
        <w:spacing w:before="178" w:line="470" w:lineRule="exact"/>
        <w:rPr>
          <w:rFonts w:ascii="SimSun" w:hAnsi="SimSun" w:eastAsia="SimSun" w:cs="SimSun"/>
          <w:sz w:val="25"/>
          <w:szCs w:val="25"/>
        </w:rPr>
      </w:pPr>
      <w:r>
        <w:rPr>
          <w:rFonts w:ascii="SimSun" w:hAnsi="SimSun" w:eastAsia="SimSun" w:cs="SimSun"/>
          <w:sz w:val="25"/>
          <w:szCs w:val="25"/>
          <w:spacing w:val="-5"/>
          <w:position w:val="16"/>
        </w:rPr>
        <w:t>1、按国家现行验收标准、规范等有关规定执行，甲方在收到货</w:t>
      </w:r>
      <w:r>
        <w:rPr>
          <w:rFonts w:ascii="SimSun" w:hAnsi="SimSun" w:eastAsia="SimSun" w:cs="SimSun"/>
          <w:sz w:val="25"/>
          <w:szCs w:val="25"/>
          <w:spacing w:val="-6"/>
          <w:position w:val="16"/>
        </w:rPr>
        <w:t>物(设备)</w:t>
      </w:r>
    </w:p>
    <w:p>
      <w:pPr>
        <w:ind w:left="46"/>
        <w:spacing w:before="1" w:line="219" w:lineRule="auto"/>
        <w:rPr>
          <w:rFonts w:ascii="SimSun" w:hAnsi="SimSun" w:eastAsia="SimSun" w:cs="SimSun"/>
          <w:sz w:val="25"/>
          <w:szCs w:val="25"/>
        </w:rPr>
      </w:pPr>
      <w:r>
        <w:rPr>
          <w:rFonts w:ascii="SimSun" w:hAnsi="SimSun" w:eastAsia="SimSun" w:cs="SimSun"/>
          <w:sz w:val="25"/>
          <w:szCs w:val="25"/>
          <w:spacing w:val="-14"/>
        </w:rPr>
        <w:t>后可以在合理期限内提出异议。</w:t>
      </w:r>
    </w:p>
    <w:p>
      <w:pPr>
        <w:ind w:left="536"/>
        <w:spacing w:before="172" w:line="450" w:lineRule="exact"/>
        <w:rPr>
          <w:rFonts w:ascii="SimSun" w:hAnsi="SimSun" w:eastAsia="SimSun" w:cs="SimSun"/>
          <w:sz w:val="25"/>
          <w:szCs w:val="25"/>
        </w:rPr>
      </w:pPr>
      <w:r>
        <w:rPr>
          <w:rFonts w:ascii="SimSun" w:hAnsi="SimSun" w:eastAsia="SimSun" w:cs="SimSun"/>
          <w:sz w:val="25"/>
          <w:szCs w:val="25"/>
          <w:spacing w:val="5"/>
          <w:position w:val="15"/>
        </w:rPr>
        <w:t>2、货物(设备)使用单位应在货物(设备)交付后，根据初验结果以及安</w:t>
      </w:r>
    </w:p>
    <w:p>
      <w:pPr>
        <w:ind w:left="46"/>
        <w:spacing w:before="1" w:line="218" w:lineRule="auto"/>
        <w:rPr>
          <w:rFonts w:ascii="SimSun" w:hAnsi="SimSun" w:eastAsia="SimSun" w:cs="SimSun"/>
          <w:sz w:val="25"/>
          <w:szCs w:val="25"/>
        </w:rPr>
      </w:pPr>
      <w:r>
        <w:rPr>
          <w:rFonts w:ascii="SimSun" w:hAnsi="SimSun" w:eastAsia="SimSun" w:cs="SimSun"/>
          <w:sz w:val="25"/>
          <w:szCs w:val="25"/>
          <w:spacing w:val="-3"/>
        </w:rPr>
        <w:t>装、调试、培训等情况正常运行一段时间后向甲方提出货物(</w:t>
      </w:r>
      <w:r>
        <w:rPr>
          <w:rFonts w:ascii="SimSun" w:hAnsi="SimSun" w:eastAsia="SimSun" w:cs="SimSun"/>
          <w:sz w:val="25"/>
          <w:szCs w:val="25"/>
          <w:spacing w:val="-4"/>
        </w:rPr>
        <w:t>设备)验收申请。</w:t>
      </w:r>
    </w:p>
    <w:p>
      <w:pPr>
        <w:ind w:left="46" w:right="115" w:firstLine="490"/>
        <w:spacing w:before="165" w:line="347" w:lineRule="auto"/>
        <w:rPr>
          <w:rFonts w:ascii="SimSun" w:hAnsi="SimSun" w:eastAsia="SimSun" w:cs="SimSun"/>
          <w:sz w:val="25"/>
          <w:szCs w:val="25"/>
        </w:rPr>
      </w:pPr>
      <w:r>
        <w:rPr>
          <w:rFonts w:ascii="SimSun" w:hAnsi="SimSun" w:eastAsia="SimSun" w:cs="SimSun"/>
          <w:sz w:val="25"/>
          <w:szCs w:val="25"/>
          <w:spacing w:val="-10"/>
        </w:rPr>
        <w:t>3、根据验收申请，甲方组织相关人员进行正式验收，也可以根据实际需要</w:t>
      </w:r>
      <w:r>
        <w:rPr>
          <w:rFonts w:ascii="SimSun" w:hAnsi="SimSun" w:eastAsia="SimSun" w:cs="SimSun"/>
          <w:sz w:val="25"/>
          <w:szCs w:val="25"/>
          <w:spacing w:val="6"/>
        </w:rPr>
        <w:t xml:space="preserve"> </w:t>
      </w:r>
      <w:r>
        <w:rPr>
          <w:rFonts w:ascii="SimSun" w:hAnsi="SimSun" w:eastAsia="SimSun" w:cs="SimSun"/>
          <w:sz w:val="25"/>
          <w:szCs w:val="25"/>
          <w:spacing w:val="-13"/>
        </w:rPr>
        <w:t>增加出厂检验、安装调试检验等多种验收环节，特殊情况下可以组织第三方共同</w:t>
      </w:r>
    </w:p>
    <w:p>
      <w:pPr>
        <w:ind w:left="46"/>
        <w:spacing w:line="219" w:lineRule="auto"/>
        <w:rPr>
          <w:rFonts w:ascii="SimSun" w:hAnsi="SimSun" w:eastAsia="SimSun" w:cs="SimSun"/>
          <w:sz w:val="25"/>
          <w:szCs w:val="25"/>
        </w:rPr>
      </w:pPr>
      <w:r>
        <w:rPr>
          <w:rFonts w:ascii="SimSun" w:hAnsi="SimSun" w:eastAsia="SimSun" w:cs="SimSun"/>
          <w:sz w:val="25"/>
          <w:szCs w:val="25"/>
          <w:spacing w:val="-11"/>
        </w:rPr>
        <w:t>验收。</w:t>
      </w:r>
    </w:p>
    <w:p>
      <w:pPr>
        <w:ind w:left="540"/>
        <w:spacing w:before="178" w:line="219" w:lineRule="auto"/>
        <w:outlineLvl w:val="0"/>
        <w:rPr>
          <w:rFonts w:ascii="SimSun" w:hAnsi="SimSun" w:eastAsia="SimSun" w:cs="SimSun"/>
          <w:sz w:val="25"/>
          <w:szCs w:val="25"/>
        </w:rPr>
      </w:pPr>
      <w:r>
        <w:rPr>
          <w:rFonts w:ascii="SimSun" w:hAnsi="SimSun" w:eastAsia="SimSun" w:cs="SimSun"/>
          <w:sz w:val="25"/>
          <w:szCs w:val="25"/>
          <w:b/>
          <w:bCs/>
          <w:spacing w:val="-1"/>
        </w:rPr>
        <w:t>七、货物(设备)付款时间、支付方式和支付条件</w:t>
      </w:r>
    </w:p>
    <w:p>
      <w:pPr>
        <w:ind w:left="46" w:right="107" w:firstLine="490"/>
        <w:spacing w:before="158" w:line="346" w:lineRule="auto"/>
        <w:jc w:val="both"/>
        <w:rPr>
          <w:rFonts w:ascii="SimSun" w:hAnsi="SimSun" w:eastAsia="SimSun" w:cs="SimSun"/>
          <w:sz w:val="25"/>
          <w:szCs w:val="25"/>
        </w:rPr>
      </w:pPr>
      <w:r>
        <w:rPr>
          <w:rFonts w:ascii="SimSun" w:hAnsi="SimSun" w:eastAsia="SimSun" w:cs="SimSun"/>
          <w:sz w:val="25"/>
          <w:szCs w:val="25"/>
          <w:spacing w:val="-9"/>
        </w:rPr>
        <w:t>1、合同签订后中标方支付合同总金额的5%为履约保证金，中标的货物送达</w:t>
      </w:r>
      <w:r>
        <w:rPr>
          <w:rFonts w:ascii="SimSun" w:hAnsi="SimSun" w:eastAsia="SimSun" w:cs="SimSun"/>
          <w:sz w:val="25"/>
          <w:szCs w:val="25"/>
        </w:rPr>
        <w:t xml:space="preserve"> </w:t>
      </w:r>
      <w:r>
        <w:rPr>
          <w:rFonts w:ascii="SimSun" w:hAnsi="SimSun" w:eastAsia="SimSun" w:cs="SimSun"/>
          <w:sz w:val="25"/>
          <w:szCs w:val="25"/>
          <w:spacing w:val="-13"/>
        </w:rPr>
        <w:t>指定地点后，经中标方、采购方组织有关人员及使用单位联合验收后，验收合格</w:t>
      </w:r>
    </w:p>
    <w:p>
      <w:pPr>
        <w:ind w:left="46"/>
        <w:spacing w:line="216" w:lineRule="auto"/>
        <w:rPr>
          <w:rFonts w:ascii="SimSun" w:hAnsi="SimSun" w:eastAsia="SimSun" w:cs="SimSun"/>
          <w:sz w:val="25"/>
          <w:szCs w:val="25"/>
        </w:rPr>
      </w:pPr>
      <w:r>
        <w:rPr>
          <w:rFonts w:ascii="SimSun" w:hAnsi="SimSun" w:eastAsia="SimSun" w:cs="SimSun"/>
          <w:sz w:val="25"/>
          <w:szCs w:val="25"/>
          <w:spacing w:val="-7"/>
        </w:rPr>
        <w:t>7日内付合同总额的100%,履约保证金自验收之日起6个月内如无质量问题，</w:t>
      </w:r>
      <w:r>
        <w:rPr>
          <w:rFonts w:ascii="SimSun" w:hAnsi="SimSun" w:eastAsia="SimSun" w:cs="SimSun"/>
          <w:sz w:val="25"/>
          <w:szCs w:val="25"/>
          <w:spacing w:val="67"/>
        </w:rPr>
        <w:t xml:space="preserve"> </w:t>
      </w:r>
      <w:r>
        <w:rPr>
          <w:rFonts w:ascii="SimSun" w:hAnsi="SimSun" w:eastAsia="SimSun" w:cs="SimSun"/>
          <w:sz w:val="25"/>
          <w:szCs w:val="25"/>
          <w:spacing w:val="-7"/>
        </w:rPr>
        <w:t>一</w:t>
      </w:r>
    </w:p>
    <w:p>
      <w:pPr>
        <w:spacing w:line="216" w:lineRule="auto"/>
        <w:sectPr>
          <w:pgSz w:w="12090" w:h="16960"/>
          <w:pgMar w:top="1441" w:right="1813" w:bottom="0" w:left="1813" w:header="0" w:footer="0" w:gutter="0"/>
        </w:sectPr>
        <w:rPr>
          <w:rFonts w:ascii="SimSun" w:hAnsi="SimSun" w:eastAsia="SimSun" w:cs="SimSun"/>
          <w:sz w:val="25"/>
          <w:szCs w:val="25"/>
        </w:rPr>
      </w:pPr>
    </w:p>
    <w:p>
      <w:pPr>
        <w:ind w:left="55"/>
        <w:spacing w:before="248" w:line="219" w:lineRule="auto"/>
        <w:rPr>
          <w:rFonts w:ascii="SimSun" w:hAnsi="SimSun" w:eastAsia="SimSun" w:cs="SimSun"/>
          <w:sz w:val="25"/>
          <w:szCs w:val="25"/>
        </w:rPr>
      </w:pPr>
      <w:r>
        <w:rPr>
          <w:rFonts w:ascii="SimSun" w:hAnsi="SimSun" w:eastAsia="SimSun" w:cs="SimSun"/>
          <w:sz w:val="25"/>
          <w:szCs w:val="25"/>
          <w:spacing w:val="-12"/>
        </w:rPr>
        <w:t>次无息付清。</w:t>
      </w:r>
    </w:p>
    <w:p>
      <w:pPr>
        <w:ind w:left="534"/>
        <w:spacing w:before="182" w:line="469" w:lineRule="exact"/>
        <w:rPr>
          <w:rFonts w:ascii="SimSun" w:hAnsi="SimSun" w:eastAsia="SimSun" w:cs="SimSun"/>
          <w:sz w:val="25"/>
          <w:szCs w:val="25"/>
        </w:rPr>
      </w:pPr>
      <w:r>
        <w:rPr>
          <w:rFonts w:ascii="SimSun" w:hAnsi="SimSun" w:eastAsia="SimSun" w:cs="SimSun"/>
          <w:sz w:val="25"/>
          <w:szCs w:val="25"/>
          <w:spacing w:val="-5"/>
          <w:position w:val="16"/>
        </w:rPr>
        <w:t>付款条件：申请付款时必须提交以下文件和资料：1.资金支付申请书；2.</w:t>
      </w:r>
    </w:p>
    <w:p>
      <w:pPr>
        <w:ind w:left="55"/>
        <w:spacing w:before="1" w:line="217" w:lineRule="auto"/>
        <w:rPr>
          <w:rFonts w:ascii="SimSun" w:hAnsi="SimSun" w:eastAsia="SimSun" w:cs="SimSun"/>
          <w:sz w:val="25"/>
          <w:szCs w:val="25"/>
        </w:rPr>
      </w:pPr>
      <w:r>
        <w:rPr>
          <w:rFonts w:ascii="SimSun" w:hAnsi="SimSun" w:eastAsia="SimSun" w:cs="SimSun"/>
          <w:sz w:val="25"/>
          <w:szCs w:val="25"/>
          <w:spacing w:val="-12"/>
        </w:rPr>
        <w:t>由需方签字的验收报告；3.商业发票。</w:t>
      </w:r>
    </w:p>
    <w:p>
      <w:pPr>
        <w:ind w:left="534"/>
        <w:spacing w:before="167" w:line="219" w:lineRule="auto"/>
        <w:rPr>
          <w:rFonts w:ascii="SimSun" w:hAnsi="SimSun" w:eastAsia="SimSun" w:cs="SimSun"/>
          <w:sz w:val="25"/>
          <w:szCs w:val="25"/>
        </w:rPr>
      </w:pPr>
      <w:r>
        <w:rPr>
          <w:rFonts w:ascii="SimSun" w:hAnsi="SimSun" w:eastAsia="SimSun" w:cs="SimSun"/>
          <w:sz w:val="25"/>
          <w:szCs w:val="25"/>
          <w:spacing w:val="-17"/>
        </w:rPr>
        <w:t>2、支付方式：</w:t>
      </w:r>
    </w:p>
    <w:p>
      <w:pPr>
        <w:ind w:left="55" w:right="120" w:firstLine="589"/>
        <w:spacing w:before="183" w:line="347" w:lineRule="auto"/>
        <w:rPr>
          <w:rFonts w:ascii="SimSun" w:hAnsi="SimSun" w:eastAsia="SimSun" w:cs="SimSun"/>
          <w:sz w:val="25"/>
          <w:szCs w:val="25"/>
        </w:rPr>
      </w:pPr>
      <w:r>
        <w:rPr>
          <w:rFonts w:ascii="SimSun" w:hAnsi="SimSun" w:eastAsia="SimSun" w:cs="SimSun"/>
          <w:sz w:val="25"/>
          <w:szCs w:val="25"/>
          <w:spacing w:val="-2"/>
        </w:rPr>
        <w:t>本合同项下所有政府采购结算款全部支付至乙方(中标方)在招商银行河</w:t>
      </w:r>
      <w:r>
        <w:rPr>
          <w:rFonts w:ascii="SimSun" w:hAnsi="SimSun" w:eastAsia="SimSun" w:cs="SimSun"/>
          <w:sz w:val="25"/>
          <w:szCs w:val="25"/>
          <w:spacing w:val="15"/>
        </w:rPr>
        <w:t xml:space="preserve"> </w:t>
      </w:r>
      <w:r>
        <w:rPr>
          <w:rFonts w:ascii="SimSun" w:hAnsi="SimSun" w:eastAsia="SimSun" w:cs="SimSun"/>
          <w:sz w:val="25"/>
          <w:szCs w:val="25"/>
          <w:spacing w:val="-13"/>
        </w:rPr>
        <w:t>南立畅仪器设备有限公司在郑州分行开立的监管账户，该回款账户未经河南</w:t>
      </w:r>
      <w:r>
        <w:rPr>
          <w:rFonts w:ascii="SimSun" w:hAnsi="SimSun" w:eastAsia="SimSun" w:cs="SimSun"/>
          <w:sz w:val="25"/>
          <w:szCs w:val="25"/>
          <w:spacing w:val="-14"/>
        </w:rPr>
        <w:t>立场</w:t>
      </w:r>
    </w:p>
    <w:p>
      <w:pPr>
        <w:ind w:left="55"/>
        <w:spacing w:line="219" w:lineRule="auto"/>
        <w:rPr>
          <w:rFonts w:ascii="SimSun" w:hAnsi="SimSun" w:eastAsia="SimSun" w:cs="SimSun"/>
          <w:sz w:val="25"/>
          <w:szCs w:val="25"/>
        </w:rPr>
      </w:pPr>
      <w:r>
        <w:rPr>
          <w:rFonts w:ascii="SimSun" w:hAnsi="SimSun" w:eastAsia="SimSun" w:cs="SimSun"/>
          <w:sz w:val="25"/>
          <w:szCs w:val="25"/>
          <w:spacing w:val="-12"/>
        </w:rPr>
        <w:t>仪器设备有限公司公司同意后不得更改，具体账户信息如下：</w:t>
      </w:r>
    </w:p>
    <w:p>
      <w:pPr>
        <w:ind w:left="645"/>
        <w:spacing w:before="172" w:line="471" w:lineRule="exact"/>
        <w:rPr>
          <w:rFonts w:ascii="SimSun" w:hAnsi="SimSun" w:eastAsia="SimSun" w:cs="SimSun"/>
          <w:sz w:val="25"/>
          <w:szCs w:val="25"/>
        </w:rPr>
      </w:pPr>
      <w:r>
        <w:rPr>
          <w:rFonts w:ascii="SimSun" w:hAnsi="SimSun" w:eastAsia="SimSun" w:cs="SimSun"/>
          <w:sz w:val="25"/>
          <w:szCs w:val="25"/>
          <w:spacing w:val="-3"/>
          <w:position w:val="16"/>
        </w:rPr>
        <w:t>统一社会信用代码：914101056609452887</w:t>
      </w:r>
    </w:p>
    <w:p>
      <w:pPr>
        <w:ind w:left="645"/>
        <w:spacing w:line="219" w:lineRule="auto"/>
        <w:rPr>
          <w:rFonts w:ascii="SimSun" w:hAnsi="SimSun" w:eastAsia="SimSun" w:cs="SimSun"/>
          <w:sz w:val="25"/>
          <w:szCs w:val="25"/>
        </w:rPr>
      </w:pPr>
      <w:r>
        <w:rPr>
          <w:rFonts w:ascii="SimSun" w:hAnsi="SimSun" w:eastAsia="SimSun" w:cs="SimSun"/>
          <w:sz w:val="25"/>
          <w:szCs w:val="25"/>
          <w:spacing w:val="-10"/>
        </w:rPr>
        <w:t>账户名称：河南立畅仪器设备有限公司</w:t>
      </w:r>
    </w:p>
    <w:p>
      <w:pPr>
        <w:ind w:left="645"/>
        <w:spacing w:before="126" w:line="221" w:lineRule="auto"/>
        <w:rPr>
          <w:rFonts w:ascii="SimSun" w:hAnsi="SimSun" w:eastAsia="SimSun" w:cs="SimSun"/>
          <w:sz w:val="29"/>
          <w:szCs w:val="29"/>
        </w:rPr>
      </w:pPr>
      <w:r>
        <w:rPr>
          <w:rFonts w:ascii="SimSun" w:hAnsi="SimSun" w:eastAsia="SimSun" w:cs="SimSun"/>
          <w:sz w:val="29"/>
          <w:szCs w:val="29"/>
          <w:spacing w:val="-30"/>
        </w:rPr>
        <w:t>账号：371902449310601</w:t>
      </w:r>
    </w:p>
    <w:p>
      <w:pPr>
        <w:ind w:left="645"/>
        <w:spacing w:before="168" w:line="219" w:lineRule="auto"/>
        <w:rPr>
          <w:rFonts w:ascii="SimSun" w:hAnsi="SimSun" w:eastAsia="SimSun" w:cs="SimSun"/>
          <w:sz w:val="25"/>
          <w:szCs w:val="25"/>
        </w:rPr>
      </w:pPr>
      <w:r>
        <w:rPr>
          <w:rFonts w:ascii="SimSun" w:hAnsi="SimSun" w:eastAsia="SimSun" w:cs="SimSun"/>
          <w:sz w:val="25"/>
          <w:szCs w:val="25"/>
          <w:spacing w:val="-13"/>
        </w:rPr>
        <w:t>开户银行：招商银行郑州未来支行</w:t>
      </w:r>
    </w:p>
    <w:p>
      <w:pPr>
        <w:ind w:left="55" w:right="113" w:firstLine="479"/>
        <w:spacing w:before="175" w:line="339" w:lineRule="auto"/>
        <w:rPr>
          <w:rFonts w:ascii="SimSun" w:hAnsi="SimSun" w:eastAsia="SimSun" w:cs="SimSun"/>
          <w:sz w:val="25"/>
          <w:szCs w:val="25"/>
        </w:rPr>
      </w:pPr>
      <w:r>
        <w:rPr>
          <w:rFonts w:ascii="SimSun" w:hAnsi="SimSun" w:eastAsia="SimSun" w:cs="SimSun"/>
          <w:sz w:val="25"/>
          <w:szCs w:val="25"/>
          <w:spacing w:val="-10"/>
        </w:rPr>
        <w:t>3、甲方每次付款前，乙方需按每次付款金额开具符合国家规定的发票，甲</w:t>
      </w:r>
      <w:r>
        <w:rPr>
          <w:rFonts w:ascii="SimSun" w:hAnsi="SimSun" w:eastAsia="SimSun" w:cs="SimSun"/>
          <w:sz w:val="25"/>
          <w:szCs w:val="25"/>
          <w:spacing w:val="4"/>
        </w:rPr>
        <w:t xml:space="preserve"> </w:t>
      </w:r>
      <w:r>
        <w:rPr>
          <w:rFonts w:ascii="SimSun" w:hAnsi="SimSun" w:eastAsia="SimSun" w:cs="SimSun"/>
          <w:sz w:val="25"/>
          <w:szCs w:val="25"/>
          <w:spacing w:val="-6"/>
        </w:rPr>
        <w:t>方收到发票并通过国家税务部门官方网站检验发票真伪后按付款流程支付合同</w:t>
      </w:r>
    </w:p>
    <w:p>
      <w:pPr>
        <w:ind w:left="55"/>
        <w:spacing w:before="1" w:line="217" w:lineRule="auto"/>
        <w:rPr>
          <w:rFonts w:ascii="SimSun" w:hAnsi="SimSun" w:eastAsia="SimSun" w:cs="SimSun"/>
          <w:sz w:val="25"/>
          <w:szCs w:val="25"/>
        </w:rPr>
      </w:pPr>
      <w:r>
        <w:rPr>
          <w:rFonts w:ascii="SimSun" w:hAnsi="SimSun" w:eastAsia="SimSun" w:cs="SimSun"/>
          <w:sz w:val="25"/>
          <w:szCs w:val="25"/>
          <w:spacing w:val="-11"/>
        </w:rPr>
        <w:t>价款。</w:t>
      </w:r>
    </w:p>
    <w:p>
      <w:pPr>
        <w:ind w:left="55" w:right="123" w:firstLine="479"/>
        <w:spacing w:before="195" w:line="344" w:lineRule="auto"/>
        <w:rPr>
          <w:rFonts w:ascii="SimSun" w:hAnsi="SimSun" w:eastAsia="SimSun" w:cs="SimSun"/>
          <w:sz w:val="25"/>
          <w:szCs w:val="25"/>
        </w:rPr>
      </w:pPr>
      <w:r>
        <w:rPr>
          <w:rFonts w:ascii="SimSun" w:hAnsi="SimSun" w:eastAsia="SimSun" w:cs="SimSun"/>
          <w:sz w:val="25"/>
          <w:szCs w:val="25"/>
          <w:spacing w:val="-10"/>
        </w:rPr>
        <w:t>4、乙方必须提供真实、合法的发票。若乙方提供虚假发票，自发现之日起</w:t>
      </w:r>
      <w:r>
        <w:rPr>
          <w:rFonts w:ascii="SimSun" w:hAnsi="SimSun" w:eastAsia="SimSun" w:cs="SimSun"/>
          <w:sz w:val="25"/>
          <w:szCs w:val="25"/>
          <w:spacing w:val="14"/>
        </w:rPr>
        <w:t xml:space="preserve"> </w:t>
      </w:r>
      <w:r>
        <w:rPr>
          <w:rFonts w:ascii="SimSun" w:hAnsi="SimSun" w:eastAsia="SimSun" w:cs="SimSun"/>
          <w:sz w:val="25"/>
          <w:szCs w:val="25"/>
          <w:spacing w:val="-13"/>
        </w:rPr>
        <w:t>三日内乙方应无条件提供正规发票并承担甲方因此所遭受的所有损失</w:t>
      </w:r>
      <w:r>
        <w:rPr>
          <w:rFonts w:ascii="SimSun" w:hAnsi="SimSun" w:eastAsia="SimSun" w:cs="SimSun"/>
          <w:sz w:val="25"/>
          <w:szCs w:val="25"/>
          <w:spacing w:val="-14"/>
        </w:rPr>
        <w:t>。发票上记</w:t>
      </w:r>
    </w:p>
    <w:p>
      <w:pPr>
        <w:ind w:left="55"/>
        <w:spacing w:line="219" w:lineRule="auto"/>
        <w:rPr>
          <w:rFonts w:ascii="SimSun" w:hAnsi="SimSun" w:eastAsia="SimSun" w:cs="SimSun"/>
          <w:sz w:val="25"/>
          <w:szCs w:val="25"/>
        </w:rPr>
      </w:pPr>
      <w:r>
        <w:rPr>
          <w:rFonts w:ascii="SimSun" w:hAnsi="SimSun" w:eastAsia="SimSun" w:cs="SimSun"/>
          <w:sz w:val="25"/>
          <w:szCs w:val="25"/>
          <w:spacing w:val="-11"/>
        </w:rPr>
        <w:t>载的款项甲方有权不再支付，从合同款中扣减。</w:t>
      </w:r>
    </w:p>
    <w:p>
      <w:pPr>
        <w:ind w:left="55" w:right="115" w:firstLine="479"/>
        <w:spacing w:before="162" w:line="347" w:lineRule="auto"/>
        <w:rPr>
          <w:rFonts w:ascii="SimSun" w:hAnsi="SimSun" w:eastAsia="SimSun" w:cs="SimSun"/>
          <w:sz w:val="25"/>
          <w:szCs w:val="25"/>
        </w:rPr>
      </w:pPr>
      <w:r>
        <w:rPr>
          <w:rFonts w:ascii="SimSun" w:hAnsi="SimSun" w:eastAsia="SimSun" w:cs="SimSun"/>
          <w:sz w:val="25"/>
          <w:szCs w:val="25"/>
          <w:spacing w:val="-10"/>
        </w:rPr>
        <w:t>5、本合同为固定单价合同，总价以实际提供合格货品数量乘以清单单价结</w:t>
      </w:r>
      <w:r>
        <w:rPr>
          <w:rFonts w:ascii="SimSun" w:hAnsi="SimSun" w:eastAsia="SimSun" w:cs="SimSun"/>
          <w:sz w:val="25"/>
          <w:szCs w:val="25"/>
          <w:spacing w:val="18"/>
        </w:rPr>
        <w:t xml:space="preserve"> </w:t>
      </w:r>
      <w:r>
        <w:rPr>
          <w:rFonts w:ascii="SimSun" w:hAnsi="SimSun" w:eastAsia="SimSun" w:cs="SimSun"/>
          <w:sz w:val="25"/>
          <w:szCs w:val="25"/>
          <w:spacing w:val="-13"/>
        </w:rPr>
        <w:t>算。甲方可根据实际需求，调整合同清单内的品种、数量，乙方须予以配合，调</w:t>
      </w:r>
    </w:p>
    <w:p>
      <w:pPr>
        <w:ind w:left="55"/>
        <w:spacing w:before="1" w:line="217" w:lineRule="auto"/>
        <w:rPr>
          <w:rFonts w:ascii="SimSun" w:hAnsi="SimSun" w:eastAsia="SimSun" w:cs="SimSun"/>
          <w:sz w:val="25"/>
          <w:szCs w:val="25"/>
        </w:rPr>
      </w:pPr>
      <w:r>
        <w:rPr>
          <w:rFonts w:ascii="SimSun" w:hAnsi="SimSun" w:eastAsia="SimSun" w:cs="SimSun"/>
          <w:sz w:val="25"/>
          <w:szCs w:val="25"/>
          <w:spacing w:val="-7"/>
        </w:rPr>
        <w:t>整部分的价款不应超出合同价款的10%。</w:t>
      </w:r>
    </w:p>
    <w:p>
      <w:pPr>
        <w:ind w:left="538"/>
        <w:spacing w:before="163" w:line="219" w:lineRule="auto"/>
        <w:outlineLvl w:val="0"/>
        <w:rPr>
          <w:rFonts w:ascii="SimSun" w:hAnsi="SimSun" w:eastAsia="SimSun" w:cs="SimSun"/>
          <w:sz w:val="25"/>
          <w:szCs w:val="25"/>
        </w:rPr>
      </w:pPr>
      <w:r>
        <w:rPr>
          <w:rFonts w:ascii="SimSun" w:hAnsi="SimSun" w:eastAsia="SimSun" w:cs="SimSun"/>
          <w:sz w:val="25"/>
          <w:szCs w:val="25"/>
          <w:b/>
          <w:bCs/>
          <w:spacing w:val="-21"/>
        </w:rPr>
        <w:t>八</w:t>
      </w:r>
      <w:r>
        <w:rPr>
          <w:rFonts w:ascii="SimSun" w:hAnsi="SimSun" w:eastAsia="SimSun" w:cs="SimSun"/>
          <w:sz w:val="25"/>
          <w:szCs w:val="25"/>
          <w:spacing w:val="-66"/>
        </w:rPr>
        <w:t xml:space="preserve"> </w:t>
      </w:r>
      <w:r>
        <w:rPr>
          <w:rFonts w:ascii="SimSun" w:hAnsi="SimSun" w:eastAsia="SimSun" w:cs="SimSun"/>
          <w:sz w:val="25"/>
          <w:szCs w:val="25"/>
          <w:b/>
          <w:bCs/>
          <w:spacing w:val="-21"/>
        </w:rPr>
        <w:t>、违约责任</w:t>
      </w:r>
    </w:p>
    <w:p>
      <w:pPr>
        <w:ind w:left="55" w:right="124" w:firstLine="479"/>
        <w:spacing w:before="174" w:line="344" w:lineRule="auto"/>
        <w:rPr>
          <w:rFonts w:ascii="SimSun" w:hAnsi="SimSun" w:eastAsia="SimSun" w:cs="SimSun"/>
          <w:sz w:val="25"/>
          <w:szCs w:val="25"/>
        </w:rPr>
      </w:pPr>
      <w:r>
        <w:rPr>
          <w:rFonts w:ascii="SimSun" w:hAnsi="SimSun" w:eastAsia="SimSun" w:cs="SimSun"/>
          <w:sz w:val="25"/>
          <w:szCs w:val="25"/>
          <w:spacing w:val="-10"/>
        </w:rPr>
        <w:t>1、乙方未按期限、地点履行卖方义务，每延迟一日，乙方应</w:t>
      </w:r>
      <w:r>
        <w:rPr>
          <w:rFonts w:ascii="SimSun" w:hAnsi="SimSun" w:eastAsia="SimSun" w:cs="SimSun"/>
          <w:sz w:val="25"/>
          <w:szCs w:val="25"/>
          <w:spacing w:val="-11"/>
        </w:rPr>
        <w:t>当按本合同总</w:t>
      </w:r>
      <w:r>
        <w:rPr>
          <w:rFonts w:ascii="SimSun" w:hAnsi="SimSun" w:eastAsia="SimSun" w:cs="SimSun"/>
          <w:sz w:val="25"/>
          <w:szCs w:val="25"/>
        </w:rPr>
        <w:t xml:space="preserve"> </w:t>
      </w:r>
      <w:r>
        <w:rPr>
          <w:rFonts w:ascii="SimSun" w:hAnsi="SimSun" w:eastAsia="SimSun" w:cs="SimSun"/>
          <w:sz w:val="25"/>
          <w:szCs w:val="25"/>
          <w:spacing w:val="-2"/>
        </w:rPr>
        <w:t>金额的0.5%向甲方支付违约金；乙方逾期交</w:t>
      </w:r>
      <w:r>
        <w:rPr>
          <w:rFonts w:ascii="SimSun" w:hAnsi="SimSun" w:eastAsia="SimSun" w:cs="SimSun"/>
          <w:sz w:val="25"/>
          <w:szCs w:val="25"/>
          <w:spacing w:val="-3"/>
        </w:rPr>
        <w:t>货时间超过7日的或违约金累积达</w:t>
      </w:r>
      <w:r>
        <w:rPr>
          <w:rFonts w:ascii="SimSun" w:hAnsi="SimSun" w:eastAsia="SimSun" w:cs="SimSun"/>
          <w:sz w:val="25"/>
          <w:szCs w:val="25"/>
        </w:rPr>
        <w:t xml:space="preserve"> </w:t>
      </w:r>
      <w:r>
        <w:rPr>
          <w:rFonts w:ascii="SimSun" w:hAnsi="SimSun" w:eastAsia="SimSun" w:cs="SimSun"/>
          <w:sz w:val="25"/>
          <w:szCs w:val="25"/>
          <w:spacing w:val="-9"/>
        </w:rPr>
        <w:t>到合同总金额的10%时，甲方有权不经通知解除与乙</w:t>
      </w:r>
      <w:r>
        <w:rPr>
          <w:rFonts w:ascii="SimSun" w:hAnsi="SimSun" w:eastAsia="SimSun" w:cs="SimSun"/>
          <w:sz w:val="25"/>
          <w:szCs w:val="25"/>
          <w:spacing w:val="-10"/>
        </w:rPr>
        <w:t>方的合同，要求乙方支付合</w:t>
      </w:r>
      <w:r>
        <w:rPr>
          <w:rFonts w:ascii="SimSun" w:hAnsi="SimSun" w:eastAsia="SimSun" w:cs="SimSun"/>
          <w:sz w:val="25"/>
          <w:szCs w:val="25"/>
        </w:rPr>
        <w:t xml:space="preserve"> </w:t>
      </w:r>
      <w:r>
        <w:rPr>
          <w:rFonts w:ascii="SimSun" w:hAnsi="SimSun" w:eastAsia="SimSun" w:cs="SimSun"/>
          <w:sz w:val="25"/>
          <w:szCs w:val="25"/>
          <w:spacing w:val="-10"/>
        </w:rPr>
        <w:t>同金额30%的违约金。同时，乙方应赔偿由于逾期供货给甲方造成的全部损失；</w:t>
      </w:r>
    </w:p>
    <w:p>
      <w:pPr>
        <w:ind w:left="55"/>
        <w:spacing w:line="219" w:lineRule="auto"/>
        <w:rPr>
          <w:rFonts w:ascii="SimSun" w:hAnsi="SimSun" w:eastAsia="SimSun" w:cs="SimSun"/>
          <w:sz w:val="25"/>
          <w:szCs w:val="25"/>
        </w:rPr>
      </w:pPr>
      <w:r>
        <w:rPr>
          <w:rFonts w:ascii="SimSun" w:hAnsi="SimSun" w:eastAsia="SimSun" w:cs="SimSun"/>
          <w:sz w:val="25"/>
          <w:szCs w:val="25"/>
          <w:spacing w:val="-10"/>
        </w:rPr>
        <w:t>如违约金不足以赔偿甲方损失的，乙方还应当赔偿全部损失。</w:t>
      </w:r>
    </w:p>
    <w:p>
      <w:pPr>
        <w:ind w:left="55" w:right="124" w:firstLine="479"/>
        <w:spacing w:before="172" w:line="340" w:lineRule="auto"/>
        <w:rPr>
          <w:rFonts w:ascii="SimSun" w:hAnsi="SimSun" w:eastAsia="SimSun" w:cs="SimSun"/>
          <w:sz w:val="25"/>
          <w:szCs w:val="25"/>
        </w:rPr>
      </w:pPr>
      <w:r>
        <w:rPr>
          <w:rFonts w:ascii="SimSun" w:hAnsi="SimSun" w:eastAsia="SimSun" w:cs="SimSun"/>
          <w:sz w:val="25"/>
          <w:szCs w:val="25"/>
          <w:spacing w:val="-10"/>
        </w:rPr>
        <w:t>2、乙方所提供的设备品种、型号、规格、质量不符合国家规定及本合同规</w:t>
      </w:r>
      <w:r>
        <w:rPr>
          <w:rFonts w:ascii="SimSun" w:hAnsi="SimSun" w:eastAsia="SimSun" w:cs="SimSun"/>
          <w:sz w:val="25"/>
          <w:szCs w:val="25"/>
          <w:spacing w:val="14"/>
        </w:rPr>
        <w:t xml:space="preserve"> </w:t>
      </w:r>
      <w:r>
        <w:rPr>
          <w:rFonts w:ascii="SimSun" w:hAnsi="SimSun" w:eastAsia="SimSun" w:cs="SimSun"/>
          <w:sz w:val="25"/>
          <w:szCs w:val="25"/>
          <w:spacing w:val="-13"/>
        </w:rPr>
        <w:t>定标准的，甲方有权拒收设备，并有权单方解除合同，乙方应向</w:t>
      </w:r>
      <w:r>
        <w:rPr>
          <w:rFonts w:ascii="SimSun" w:hAnsi="SimSun" w:eastAsia="SimSun" w:cs="SimSun"/>
          <w:sz w:val="25"/>
          <w:szCs w:val="25"/>
          <w:spacing w:val="-14"/>
        </w:rPr>
        <w:t>甲方支付不超过</w:t>
      </w:r>
    </w:p>
    <w:p>
      <w:pPr>
        <w:ind w:left="55"/>
        <w:spacing w:before="1" w:line="219" w:lineRule="auto"/>
        <w:rPr>
          <w:rFonts w:ascii="SimSun" w:hAnsi="SimSun" w:eastAsia="SimSun" w:cs="SimSun"/>
          <w:sz w:val="25"/>
          <w:szCs w:val="25"/>
        </w:rPr>
      </w:pPr>
      <w:r>
        <w:rPr>
          <w:rFonts w:ascii="SimSun" w:hAnsi="SimSun" w:eastAsia="SimSun" w:cs="SimSun"/>
          <w:sz w:val="25"/>
          <w:szCs w:val="25"/>
          <w:spacing w:val="-13"/>
        </w:rPr>
        <w:t>设备款总值30%的违约金。甲方不解除合同的，除乙方按前述约定</w:t>
      </w:r>
      <w:r>
        <w:rPr>
          <w:rFonts w:ascii="SimSun" w:hAnsi="SimSun" w:eastAsia="SimSun" w:cs="SimSun"/>
          <w:sz w:val="25"/>
          <w:szCs w:val="25"/>
          <w:spacing w:val="-14"/>
        </w:rPr>
        <w:t>支付违约金外，</w:t>
      </w:r>
    </w:p>
    <w:p>
      <w:pPr>
        <w:spacing w:line="219" w:lineRule="auto"/>
        <w:sectPr>
          <w:pgSz w:w="12100" w:h="16970"/>
          <w:pgMar w:top="1442" w:right="1815" w:bottom="0" w:left="1815" w:header="0" w:footer="0" w:gutter="0"/>
        </w:sectPr>
        <w:rPr>
          <w:rFonts w:ascii="SimSun" w:hAnsi="SimSun" w:eastAsia="SimSun" w:cs="SimSun"/>
          <w:sz w:val="25"/>
          <w:szCs w:val="25"/>
        </w:rPr>
      </w:pPr>
    </w:p>
    <w:p>
      <w:pPr>
        <w:ind w:right="84"/>
        <w:spacing w:before="196" w:line="335" w:lineRule="auto"/>
        <w:jc w:val="both"/>
        <w:rPr>
          <w:rFonts w:ascii="SimSun" w:hAnsi="SimSun" w:eastAsia="SimSun" w:cs="SimSun"/>
          <w:sz w:val="25"/>
          <w:szCs w:val="25"/>
        </w:rPr>
      </w:pPr>
      <w:r>
        <w:rPr>
          <w:rFonts w:ascii="SimSun" w:hAnsi="SimSun" w:eastAsia="SimSun" w:cs="SimSun"/>
          <w:sz w:val="25"/>
          <w:szCs w:val="25"/>
          <w:spacing w:val="-14"/>
        </w:rPr>
        <w:t>乙方应在本合同约定的期限内换货、补货，超出本合同第五条约定期限的，乙方</w:t>
      </w:r>
      <w:r>
        <w:rPr>
          <w:rFonts w:ascii="SimSun" w:hAnsi="SimSun" w:eastAsia="SimSun" w:cs="SimSun"/>
          <w:sz w:val="25"/>
          <w:szCs w:val="25"/>
          <w:spacing w:val="18"/>
        </w:rPr>
        <w:t xml:space="preserve"> </w:t>
      </w:r>
      <w:r>
        <w:rPr>
          <w:rFonts w:ascii="SimSun" w:hAnsi="SimSun" w:eastAsia="SimSun" w:cs="SimSun"/>
          <w:sz w:val="25"/>
          <w:szCs w:val="25"/>
          <w:spacing w:val="-14"/>
        </w:rPr>
        <w:t>应按第八条第一款的约定承担违约责任，换货、补货的费用由乙方承担。如果根</w:t>
      </w:r>
      <w:r>
        <w:rPr>
          <w:rFonts w:ascii="SimSun" w:hAnsi="SimSun" w:eastAsia="SimSun" w:cs="SimSun"/>
          <w:sz w:val="25"/>
          <w:szCs w:val="25"/>
          <w:spacing w:val="18"/>
        </w:rPr>
        <w:t xml:space="preserve"> </w:t>
      </w:r>
      <w:r>
        <w:rPr>
          <w:rFonts w:ascii="SimSun" w:hAnsi="SimSun" w:eastAsia="SimSun" w:cs="SimSun"/>
          <w:sz w:val="25"/>
          <w:szCs w:val="25"/>
          <w:spacing w:val="-10"/>
        </w:rPr>
        <w:t>据合同标的和履行的情况不具备更换条件的，乙方应向甲方支付不超过设备(货</w:t>
      </w:r>
      <w:r>
        <w:rPr>
          <w:rFonts w:ascii="SimSun" w:hAnsi="SimSun" w:eastAsia="SimSun" w:cs="SimSun"/>
          <w:sz w:val="25"/>
          <w:szCs w:val="25"/>
          <w:spacing w:val="12"/>
        </w:rPr>
        <w:t xml:space="preserve"> </w:t>
      </w:r>
      <w:r>
        <w:rPr>
          <w:rFonts w:ascii="SimSun" w:hAnsi="SimSun" w:eastAsia="SimSun" w:cs="SimSun"/>
          <w:sz w:val="25"/>
          <w:szCs w:val="25"/>
          <w:spacing w:val="-5"/>
        </w:rPr>
        <w:t>物)合同款总值30%的违约金，并按二种商品之间差价</w:t>
      </w:r>
      <w:r>
        <w:rPr>
          <w:rFonts w:ascii="SimSun" w:hAnsi="SimSun" w:eastAsia="SimSun" w:cs="SimSun"/>
          <w:sz w:val="25"/>
          <w:szCs w:val="25"/>
          <w:spacing w:val="-6"/>
        </w:rPr>
        <w:t>的二倍金额赔偿甲方的损</w:t>
      </w:r>
    </w:p>
    <w:p>
      <w:pPr>
        <w:spacing w:before="1" w:line="220" w:lineRule="auto"/>
        <w:rPr>
          <w:rFonts w:ascii="SimSun" w:hAnsi="SimSun" w:eastAsia="SimSun" w:cs="SimSun"/>
          <w:sz w:val="25"/>
          <w:szCs w:val="25"/>
        </w:rPr>
      </w:pPr>
      <w:r>
        <w:rPr>
          <w:rFonts w:ascii="SimSun" w:hAnsi="SimSun" w:eastAsia="SimSun" w:cs="SimSun"/>
          <w:sz w:val="25"/>
          <w:szCs w:val="25"/>
          <w:spacing w:val="-13"/>
        </w:rPr>
        <w:t>失。</w:t>
      </w:r>
    </w:p>
    <w:p>
      <w:pPr>
        <w:ind w:left="490"/>
        <w:spacing w:before="228" w:line="480" w:lineRule="exact"/>
        <w:rPr>
          <w:rFonts w:ascii="SimSun" w:hAnsi="SimSun" w:eastAsia="SimSun" w:cs="SimSun"/>
          <w:sz w:val="25"/>
          <w:szCs w:val="25"/>
        </w:rPr>
      </w:pPr>
      <w:r>
        <w:rPr>
          <w:rFonts w:ascii="SimSun" w:hAnsi="SimSun" w:eastAsia="SimSun" w:cs="SimSun"/>
          <w:sz w:val="25"/>
          <w:szCs w:val="25"/>
          <w:spacing w:val="-4"/>
          <w:position w:val="17"/>
        </w:rPr>
        <w:t>3、乙方提供的货物(设备)是由于在装卸、运输或包装造成的产品破损，</w:t>
      </w:r>
    </w:p>
    <w:p>
      <w:pPr>
        <w:spacing w:line="219" w:lineRule="auto"/>
        <w:rPr>
          <w:rFonts w:ascii="SimSun" w:hAnsi="SimSun" w:eastAsia="SimSun" w:cs="SimSun"/>
          <w:sz w:val="25"/>
          <w:szCs w:val="25"/>
        </w:rPr>
      </w:pPr>
      <w:r>
        <w:rPr>
          <w:rFonts w:ascii="SimSun" w:hAnsi="SimSun" w:eastAsia="SimSun" w:cs="SimSun"/>
          <w:sz w:val="25"/>
          <w:szCs w:val="25"/>
          <w:spacing w:val="-12"/>
        </w:rPr>
        <w:t>乙方应负责补足合格产品数量并承担相应费用。</w:t>
      </w:r>
    </w:p>
    <w:p>
      <w:pPr>
        <w:ind w:left="490"/>
        <w:spacing w:before="162" w:line="451" w:lineRule="exact"/>
        <w:rPr>
          <w:rFonts w:ascii="SimSun" w:hAnsi="SimSun" w:eastAsia="SimSun" w:cs="SimSun"/>
          <w:sz w:val="25"/>
          <w:szCs w:val="25"/>
        </w:rPr>
      </w:pPr>
      <w:r>
        <w:rPr>
          <w:rFonts w:ascii="SimSun" w:hAnsi="SimSun" w:eastAsia="SimSun" w:cs="SimSun"/>
          <w:sz w:val="25"/>
          <w:szCs w:val="25"/>
          <w:spacing w:val="-2"/>
          <w:position w:val="15"/>
        </w:rPr>
        <w:t>4、乙方应对提供的货物(设备)在使用过程中给甲方或任何第</w:t>
      </w:r>
      <w:r>
        <w:rPr>
          <w:rFonts w:ascii="SimSun" w:hAnsi="SimSun" w:eastAsia="SimSun" w:cs="SimSun"/>
          <w:sz w:val="25"/>
          <w:szCs w:val="25"/>
          <w:spacing w:val="-3"/>
          <w:position w:val="15"/>
        </w:rPr>
        <w:t>三方造成的</w:t>
      </w:r>
    </w:p>
    <w:p>
      <w:pPr>
        <w:spacing w:line="219" w:lineRule="auto"/>
        <w:rPr>
          <w:rFonts w:ascii="SimSun" w:hAnsi="SimSun" w:eastAsia="SimSun" w:cs="SimSun"/>
          <w:sz w:val="25"/>
          <w:szCs w:val="25"/>
        </w:rPr>
      </w:pPr>
      <w:r>
        <w:rPr>
          <w:rFonts w:ascii="SimSun" w:hAnsi="SimSun" w:eastAsia="SimSun" w:cs="SimSun"/>
          <w:sz w:val="25"/>
          <w:szCs w:val="25"/>
          <w:spacing w:val="-12"/>
        </w:rPr>
        <w:t>人身伤害或财产损失应当承担全部责任。</w:t>
      </w:r>
    </w:p>
    <w:p>
      <w:pPr>
        <w:ind w:right="39" w:firstLine="490"/>
        <w:spacing w:before="193" w:line="342" w:lineRule="auto"/>
        <w:rPr>
          <w:rFonts w:ascii="SimSun" w:hAnsi="SimSun" w:eastAsia="SimSun" w:cs="SimSun"/>
          <w:sz w:val="25"/>
          <w:szCs w:val="25"/>
        </w:rPr>
      </w:pPr>
      <w:r>
        <w:rPr>
          <w:rFonts w:ascii="SimSun" w:hAnsi="SimSun" w:eastAsia="SimSun" w:cs="SimSun"/>
          <w:sz w:val="25"/>
          <w:szCs w:val="25"/>
          <w:spacing w:val="-4"/>
        </w:rPr>
        <w:t>5、本货物(设备)的质保期</w:t>
      </w:r>
      <w:r>
        <w:rPr>
          <w:rFonts w:ascii="SimSun" w:hAnsi="SimSun" w:eastAsia="SimSun" w:cs="SimSun"/>
          <w:sz w:val="25"/>
          <w:szCs w:val="25"/>
          <w:spacing w:val="-92"/>
        </w:rPr>
        <w:t xml:space="preserve"> </w:t>
      </w:r>
      <w:r>
        <w:rPr>
          <w:rFonts w:ascii="Times New Roman" w:hAnsi="Times New Roman" w:eastAsia="Times New Roman" w:cs="Times New Roman"/>
          <w:sz w:val="25"/>
          <w:szCs w:val="25"/>
          <w:u w:val="single" w:color="auto"/>
          <w:spacing w:val="-4"/>
        </w:rPr>
        <w:t xml:space="preserve">        3    </w:t>
      </w:r>
      <w:r>
        <w:rPr>
          <w:rFonts w:ascii="Times New Roman" w:hAnsi="Times New Roman" w:eastAsia="Times New Roman" w:cs="Times New Roman"/>
          <w:sz w:val="25"/>
          <w:szCs w:val="25"/>
          <w:spacing w:val="-42"/>
        </w:rPr>
        <w:t xml:space="preserve"> </w:t>
      </w:r>
      <w:r>
        <w:rPr>
          <w:rFonts w:ascii="SimSun" w:hAnsi="SimSun" w:eastAsia="SimSun" w:cs="SimSun"/>
          <w:sz w:val="25"/>
          <w:szCs w:val="25"/>
          <w:spacing w:val="-5"/>
        </w:rPr>
        <w:t>年，如乙方违反《售后服务计划》约定</w:t>
      </w:r>
      <w:r>
        <w:rPr>
          <w:rFonts w:ascii="SimSun" w:hAnsi="SimSun" w:eastAsia="SimSun" w:cs="SimSun"/>
          <w:sz w:val="25"/>
          <w:szCs w:val="25"/>
        </w:rPr>
        <w:t xml:space="preserve"> </w:t>
      </w:r>
      <w:r>
        <w:rPr>
          <w:rFonts w:ascii="SimSun" w:hAnsi="SimSun" w:eastAsia="SimSun" w:cs="SimSun"/>
          <w:sz w:val="25"/>
          <w:szCs w:val="25"/>
          <w:spacing w:val="-9"/>
        </w:rPr>
        <w:t>未及时履行保修义务的，每发生一次，乙方应向甲方支付违约金</w:t>
      </w:r>
      <w:r>
        <w:rPr>
          <w:rFonts w:ascii="SimSun" w:hAnsi="SimSun" w:eastAsia="SimSun" w:cs="SimSun"/>
          <w:sz w:val="25"/>
          <w:szCs w:val="25"/>
          <w:spacing w:val="-10"/>
        </w:rPr>
        <w:t>500元。甲方因</w:t>
      </w:r>
      <w:r>
        <w:rPr>
          <w:rFonts w:ascii="SimSun" w:hAnsi="SimSun" w:eastAsia="SimSun" w:cs="SimSun"/>
          <w:sz w:val="25"/>
          <w:szCs w:val="25"/>
        </w:rPr>
        <w:t xml:space="preserve"> </w:t>
      </w:r>
      <w:r>
        <w:rPr>
          <w:rFonts w:ascii="SimSun" w:hAnsi="SimSun" w:eastAsia="SimSun" w:cs="SimSun"/>
          <w:sz w:val="25"/>
          <w:szCs w:val="25"/>
          <w:spacing w:val="-13"/>
        </w:rPr>
        <w:t>乙方违约而委托第三方进行维修所产生的相应维修费用，乙方无条件同意并</w:t>
      </w:r>
      <w:r>
        <w:rPr>
          <w:rFonts w:ascii="SimSun" w:hAnsi="SimSun" w:eastAsia="SimSun" w:cs="SimSun"/>
          <w:sz w:val="25"/>
          <w:szCs w:val="25"/>
          <w:spacing w:val="-14"/>
        </w:rPr>
        <w:t>承担</w:t>
      </w:r>
    </w:p>
    <w:p>
      <w:pPr>
        <w:spacing w:before="1" w:line="219" w:lineRule="auto"/>
        <w:rPr>
          <w:rFonts w:ascii="SimSun" w:hAnsi="SimSun" w:eastAsia="SimSun" w:cs="SimSun"/>
          <w:sz w:val="25"/>
          <w:szCs w:val="25"/>
        </w:rPr>
      </w:pPr>
      <w:r>
        <w:rPr>
          <w:rFonts w:ascii="SimSun" w:hAnsi="SimSun" w:eastAsia="SimSun" w:cs="SimSun"/>
          <w:sz w:val="25"/>
          <w:szCs w:val="25"/>
          <w:spacing w:val="-13"/>
        </w:rPr>
        <w:t>由此产生的所有费用和责任。</w:t>
      </w:r>
    </w:p>
    <w:p>
      <w:pPr>
        <w:ind w:right="93" w:firstLine="490"/>
        <w:spacing w:before="200" w:line="333" w:lineRule="auto"/>
        <w:rPr>
          <w:rFonts w:ascii="SimSun" w:hAnsi="SimSun" w:eastAsia="SimSun" w:cs="SimSun"/>
          <w:sz w:val="25"/>
          <w:szCs w:val="25"/>
        </w:rPr>
      </w:pPr>
      <w:r>
        <w:rPr>
          <w:rFonts w:ascii="SimSun" w:hAnsi="SimSun" w:eastAsia="SimSun" w:cs="SimSun"/>
          <w:sz w:val="25"/>
          <w:szCs w:val="25"/>
          <w:spacing w:val="-6"/>
        </w:rPr>
        <w:t>6.货物(设备)经验收合格、乙方不存在违约责任的情形下，甲方未按照本</w:t>
      </w:r>
      <w:r>
        <w:rPr>
          <w:rFonts w:ascii="SimSun" w:hAnsi="SimSun" w:eastAsia="SimSun" w:cs="SimSun"/>
          <w:sz w:val="25"/>
          <w:szCs w:val="25"/>
          <w:spacing w:val="14"/>
        </w:rPr>
        <w:t xml:space="preserve"> </w:t>
      </w:r>
      <w:r>
        <w:rPr>
          <w:rFonts w:ascii="SimSun" w:hAnsi="SimSun" w:eastAsia="SimSun" w:cs="SimSun"/>
          <w:sz w:val="25"/>
          <w:szCs w:val="25"/>
          <w:spacing w:val="-13"/>
        </w:rPr>
        <w:t>合同约定付款方式支付货款，每逾期一日，未付货款甲方按照本合同订立时</w:t>
      </w:r>
      <w:r>
        <w:rPr>
          <w:rFonts w:ascii="SimSun" w:hAnsi="SimSun" w:eastAsia="SimSun" w:cs="SimSun"/>
          <w:sz w:val="25"/>
          <w:szCs w:val="25"/>
          <w:spacing w:val="-14"/>
        </w:rPr>
        <w:t>中国</w:t>
      </w:r>
      <w:r>
        <w:rPr>
          <w:rFonts w:ascii="SimSun" w:hAnsi="SimSun" w:eastAsia="SimSun" w:cs="SimSun"/>
          <w:sz w:val="25"/>
          <w:szCs w:val="25"/>
        </w:rPr>
        <w:t xml:space="preserve"> </w:t>
      </w:r>
      <w:r>
        <w:rPr>
          <w:rFonts w:ascii="SimSun" w:hAnsi="SimSun" w:eastAsia="SimSun" w:cs="SimSun"/>
          <w:sz w:val="25"/>
          <w:szCs w:val="25"/>
          <w:spacing w:val="-4"/>
        </w:rPr>
        <w:t>人民银行授权全国银行间同业拆借中心公布1年期贷款市场报价利率</w:t>
      </w:r>
      <w:r>
        <w:rPr>
          <w:rFonts w:ascii="Times New Roman" w:hAnsi="Times New Roman" w:eastAsia="Times New Roman" w:cs="Times New Roman"/>
          <w:sz w:val="25"/>
          <w:szCs w:val="25"/>
          <w:spacing w:val="-4"/>
        </w:rPr>
        <w:t>(LPR)</w:t>
      </w:r>
      <w:r>
        <w:rPr>
          <w:rFonts w:ascii="Times New Roman" w:hAnsi="Times New Roman" w:eastAsia="Times New Roman" w:cs="Times New Roman"/>
          <w:sz w:val="25"/>
          <w:szCs w:val="25"/>
          <w:spacing w:val="70"/>
        </w:rPr>
        <w:t xml:space="preserve"> </w:t>
      </w:r>
      <w:r>
        <w:rPr>
          <w:rFonts w:ascii="SimSun" w:hAnsi="SimSun" w:eastAsia="SimSun" w:cs="SimSun"/>
          <w:sz w:val="25"/>
          <w:szCs w:val="25"/>
          <w:spacing w:val="-4"/>
        </w:rPr>
        <w:t>向</w:t>
      </w:r>
    </w:p>
    <w:p>
      <w:pPr>
        <w:spacing w:line="219" w:lineRule="auto"/>
        <w:rPr>
          <w:rFonts w:ascii="SimSun" w:hAnsi="SimSun" w:eastAsia="SimSun" w:cs="SimSun"/>
          <w:sz w:val="25"/>
          <w:szCs w:val="25"/>
        </w:rPr>
      </w:pPr>
      <w:r>
        <w:rPr>
          <w:rFonts w:ascii="SimSun" w:hAnsi="SimSun" w:eastAsia="SimSun" w:cs="SimSun"/>
          <w:sz w:val="25"/>
          <w:szCs w:val="25"/>
          <w:spacing w:val="-15"/>
        </w:rPr>
        <w:t>乙方支付逾期利息。</w:t>
      </w:r>
    </w:p>
    <w:p>
      <w:pPr>
        <w:ind w:left="493"/>
        <w:spacing w:before="120" w:line="219" w:lineRule="auto"/>
        <w:outlineLvl w:val="0"/>
        <w:rPr>
          <w:rFonts w:ascii="SimSun" w:hAnsi="SimSun" w:eastAsia="SimSun" w:cs="SimSun"/>
          <w:sz w:val="25"/>
          <w:szCs w:val="25"/>
        </w:rPr>
      </w:pPr>
      <w:r>
        <w:rPr>
          <w:rFonts w:ascii="SimSun" w:hAnsi="SimSun" w:eastAsia="SimSun" w:cs="SimSun"/>
          <w:sz w:val="25"/>
          <w:szCs w:val="25"/>
          <w:b/>
          <w:bCs/>
          <w:spacing w:val="-15"/>
        </w:rPr>
        <w:t>九、特别约定</w:t>
      </w:r>
    </w:p>
    <w:p>
      <w:pPr>
        <w:ind w:right="109" w:firstLine="490"/>
        <w:spacing w:before="198" w:line="332" w:lineRule="auto"/>
        <w:jc w:val="both"/>
        <w:rPr>
          <w:rFonts w:ascii="SimSun" w:hAnsi="SimSun" w:eastAsia="SimSun" w:cs="SimSun"/>
          <w:sz w:val="25"/>
          <w:szCs w:val="25"/>
        </w:rPr>
      </w:pPr>
      <w:r>
        <w:rPr>
          <w:rFonts w:ascii="SimSun" w:hAnsi="SimSun" w:eastAsia="SimSun" w:cs="SimSun"/>
          <w:sz w:val="25"/>
          <w:szCs w:val="25"/>
          <w:spacing w:val="-11"/>
        </w:rPr>
        <w:t>1、甲、乙双方应严格遵守投标要求和投标人须知，如有违反，按投标要求</w:t>
      </w:r>
      <w:r>
        <w:rPr>
          <w:rFonts w:ascii="SimSun" w:hAnsi="SimSun" w:eastAsia="SimSun" w:cs="SimSun"/>
          <w:sz w:val="25"/>
          <w:szCs w:val="25"/>
          <w:spacing w:val="8"/>
        </w:rPr>
        <w:t xml:space="preserve"> </w:t>
      </w:r>
      <w:r>
        <w:rPr>
          <w:rFonts w:ascii="SimSun" w:hAnsi="SimSun" w:eastAsia="SimSun" w:cs="SimSun"/>
          <w:sz w:val="25"/>
          <w:szCs w:val="25"/>
          <w:spacing w:val="-13"/>
        </w:rPr>
        <w:t>和投标人须知规定予以处理。因设备的质量问题发生争</w:t>
      </w:r>
      <w:r>
        <w:rPr>
          <w:rFonts w:ascii="SimSun" w:hAnsi="SimSun" w:eastAsia="SimSun" w:cs="SimSun"/>
          <w:sz w:val="25"/>
          <w:szCs w:val="25"/>
          <w:spacing w:val="-14"/>
        </w:rPr>
        <w:t>议，可由法定的技术鉴定</w:t>
      </w:r>
      <w:r>
        <w:rPr>
          <w:rFonts w:ascii="SimSun" w:hAnsi="SimSun" w:eastAsia="SimSun" w:cs="SimSun"/>
          <w:sz w:val="25"/>
          <w:szCs w:val="25"/>
        </w:rPr>
        <w:t xml:space="preserve"> </w:t>
      </w:r>
      <w:r>
        <w:rPr>
          <w:rFonts w:ascii="SimSun" w:hAnsi="SimSun" w:eastAsia="SimSun" w:cs="SimSun"/>
          <w:sz w:val="25"/>
          <w:szCs w:val="25"/>
          <w:spacing w:val="-13"/>
        </w:rPr>
        <w:t>单位进行质量鉴定，经鉴定产品设备存在质</w:t>
      </w:r>
      <w:r>
        <w:rPr>
          <w:rFonts w:ascii="SimSun" w:hAnsi="SimSun" w:eastAsia="SimSun" w:cs="SimSun"/>
          <w:sz w:val="25"/>
          <w:szCs w:val="25"/>
          <w:spacing w:val="-14"/>
        </w:rPr>
        <w:t>量问题的，因此发生的鉴定费用及其</w:t>
      </w:r>
    </w:p>
    <w:p>
      <w:pPr>
        <w:spacing w:line="219" w:lineRule="auto"/>
        <w:rPr>
          <w:rFonts w:ascii="SimSun" w:hAnsi="SimSun" w:eastAsia="SimSun" w:cs="SimSun"/>
          <w:sz w:val="25"/>
          <w:szCs w:val="25"/>
        </w:rPr>
      </w:pPr>
      <w:r>
        <w:rPr>
          <w:rFonts w:ascii="SimSun" w:hAnsi="SimSun" w:eastAsia="SimSun" w:cs="SimSun"/>
          <w:sz w:val="25"/>
          <w:szCs w:val="25"/>
          <w:spacing w:val="-13"/>
        </w:rPr>
        <w:t>他合理费用由乙方全部承担。</w:t>
      </w:r>
    </w:p>
    <w:p>
      <w:pPr>
        <w:ind w:left="490"/>
        <w:spacing w:before="183" w:line="480" w:lineRule="exact"/>
        <w:rPr>
          <w:rFonts w:ascii="SimSun" w:hAnsi="SimSun" w:eastAsia="SimSun" w:cs="SimSun"/>
          <w:sz w:val="25"/>
          <w:szCs w:val="25"/>
        </w:rPr>
      </w:pPr>
      <w:r>
        <w:rPr>
          <w:rFonts w:ascii="SimSun" w:hAnsi="SimSun" w:eastAsia="SimSun" w:cs="SimSun"/>
          <w:sz w:val="25"/>
          <w:szCs w:val="25"/>
          <w:spacing w:val="-10"/>
          <w:position w:val="17"/>
        </w:rPr>
        <w:t>2、本合同采购文件及其修改、投标文件及其修改、澄清、合同附件均为本</w:t>
      </w:r>
    </w:p>
    <w:p>
      <w:pPr>
        <w:spacing w:line="218" w:lineRule="auto"/>
        <w:jc w:val="right"/>
        <w:rPr>
          <w:rFonts w:ascii="SimSun" w:hAnsi="SimSun" w:eastAsia="SimSun" w:cs="SimSun"/>
          <w:sz w:val="25"/>
          <w:szCs w:val="25"/>
        </w:rPr>
      </w:pPr>
      <w:r>
        <w:rPr>
          <w:rFonts w:ascii="SimSun" w:hAnsi="SimSun" w:eastAsia="SimSun" w:cs="SimSun"/>
          <w:sz w:val="25"/>
          <w:szCs w:val="25"/>
          <w:spacing w:val="-17"/>
        </w:rPr>
        <w:t>合同的组成部分，具有同等法律效力；与本合同约定不一致之处，以本合同为准。</w:t>
      </w:r>
    </w:p>
    <w:p>
      <w:pPr>
        <w:ind w:left="490"/>
        <w:spacing w:before="254" w:line="450" w:lineRule="exact"/>
        <w:rPr>
          <w:rFonts w:ascii="SimSun" w:hAnsi="SimSun" w:eastAsia="SimSun" w:cs="SimSun"/>
          <w:sz w:val="25"/>
          <w:szCs w:val="25"/>
        </w:rPr>
      </w:pPr>
      <w:r>
        <w:rPr>
          <w:rFonts w:ascii="SimSun" w:hAnsi="SimSun" w:eastAsia="SimSun" w:cs="SimSun"/>
          <w:sz w:val="25"/>
          <w:szCs w:val="25"/>
          <w:spacing w:val="-10"/>
          <w:position w:val="15"/>
        </w:rPr>
        <w:t>3、本合同的任何修改、补充应以书面形式进行，并经双方的授权代表签字</w:t>
      </w:r>
    </w:p>
    <w:p>
      <w:pPr>
        <w:spacing w:before="1" w:line="218" w:lineRule="auto"/>
        <w:rPr>
          <w:rFonts w:ascii="SimSun" w:hAnsi="SimSun" w:eastAsia="SimSun" w:cs="SimSun"/>
          <w:sz w:val="25"/>
          <w:szCs w:val="25"/>
        </w:rPr>
      </w:pPr>
      <w:r>
        <w:rPr>
          <w:rFonts w:ascii="SimSun" w:hAnsi="SimSun" w:eastAsia="SimSun" w:cs="SimSun"/>
          <w:sz w:val="25"/>
          <w:szCs w:val="25"/>
          <w:spacing w:val="-12"/>
        </w:rPr>
        <w:t>并加盖公章后方为有效。</w:t>
      </w:r>
    </w:p>
    <w:p>
      <w:pPr>
        <w:ind w:left="493"/>
        <w:spacing w:before="170" w:line="219" w:lineRule="auto"/>
        <w:rPr>
          <w:rFonts w:ascii="SimSun" w:hAnsi="SimSun" w:eastAsia="SimSun" w:cs="SimSun"/>
          <w:sz w:val="25"/>
          <w:szCs w:val="25"/>
        </w:rPr>
      </w:pPr>
      <w:r>
        <w:rPr>
          <w:rFonts w:ascii="SimSun" w:hAnsi="SimSun" w:eastAsia="SimSun" w:cs="SimSun"/>
          <w:sz w:val="25"/>
          <w:szCs w:val="25"/>
          <w:b/>
          <w:bCs/>
          <w:spacing w:val="-14"/>
        </w:rPr>
        <w:t>十、争议解决方式和管辖</w:t>
      </w:r>
    </w:p>
    <w:p>
      <w:pPr>
        <w:ind w:right="94" w:firstLine="490"/>
        <w:spacing w:before="178" w:line="333" w:lineRule="auto"/>
        <w:jc w:val="both"/>
        <w:rPr>
          <w:rFonts w:ascii="SimSun" w:hAnsi="SimSun" w:eastAsia="SimSun" w:cs="SimSun"/>
          <w:sz w:val="25"/>
          <w:szCs w:val="25"/>
        </w:rPr>
      </w:pPr>
      <w:r>
        <w:rPr>
          <w:rFonts w:ascii="SimSun" w:hAnsi="SimSun" w:eastAsia="SimSun" w:cs="SimSun"/>
          <w:sz w:val="25"/>
          <w:szCs w:val="25"/>
          <w:spacing w:val="-6"/>
        </w:rPr>
        <w:t>因货物(设备)的质量问题发生争议以及履行本合同发生争议的，以本</w:t>
      </w:r>
      <w:r>
        <w:rPr>
          <w:rFonts w:ascii="SimSun" w:hAnsi="SimSun" w:eastAsia="SimSun" w:cs="SimSun"/>
          <w:sz w:val="25"/>
          <w:szCs w:val="25"/>
          <w:spacing w:val="-7"/>
        </w:rPr>
        <w:t>合同</w:t>
      </w:r>
      <w:r>
        <w:rPr>
          <w:rFonts w:ascii="SimSun" w:hAnsi="SimSun" w:eastAsia="SimSun" w:cs="SimSun"/>
          <w:sz w:val="25"/>
          <w:szCs w:val="25"/>
        </w:rPr>
        <w:t xml:space="preserve"> </w:t>
      </w:r>
      <w:r>
        <w:rPr>
          <w:rFonts w:ascii="SimSun" w:hAnsi="SimSun" w:eastAsia="SimSun" w:cs="SimSun"/>
          <w:sz w:val="25"/>
          <w:szCs w:val="25"/>
          <w:spacing w:val="-13"/>
        </w:rPr>
        <w:t>条款为标准协商解决，若协商无果，任何一方均可向合同签订地的人民法院提起</w:t>
      </w:r>
    </w:p>
    <w:p>
      <w:pPr>
        <w:spacing w:line="220" w:lineRule="auto"/>
        <w:rPr>
          <w:rFonts w:ascii="SimSun" w:hAnsi="SimSun" w:eastAsia="SimSun" w:cs="SimSun"/>
          <w:sz w:val="25"/>
          <w:szCs w:val="25"/>
        </w:rPr>
      </w:pPr>
      <w:r>
        <w:rPr>
          <w:rFonts w:ascii="SimSun" w:hAnsi="SimSun" w:eastAsia="SimSun" w:cs="SimSun"/>
          <w:sz w:val="25"/>
          <w:szCs w:val="25"/>
          <w:spacing w:val="-10"/>
        </w:rPr>
        <w:t>诉讼。</w:t>
      </w:r>
    </w:p>
    <w:p>
      <w:pPr>
        <w:spacing w:line="220" w:lineRule="auto"/>
        <w:sectPr>
          <w:pgSz w:w="11920" w:h="16840"/>
          <w:pgMar w:top="1431" w:right="1765" w:bottom="0" w:left="1759" w:header="0" w:footer="0" w:gutter="0"/>
        </w:sectPr>
        <w:rPr>
          <w:rFonts w:ascii="SimSun" w:hAnsi="SimSun" w:eastAsia="SimSun" w:cs="SimSun"/>
          <w:sz w:val="25"/>
          <w:szCs w:val="25"/>
        </w:rPr>
      </w:pPr>
    </w:p>
    <w:p>
      <w:pPr>
        <w:ind w:left="509"/>
        <w:spacing w:before="225" w:line="220" w:lineRule="auto"/>
        <w:rPr>
          <w:rFonts w:ascii="SimSun" w:hAnsi="SimSun" w:eastAsia="SimSun" w:cs="SimSun"/>
          <w:sz w:val="24"/>
          <w:szCs w:val="24"/>
        </w:rPr>
      </w:pPr>
      <w:r>
        <w:rPr>
          <w:rFonts w:ascii="SimSun" w:hAnsi="SimSun" w:eastAsia="SimSun" w:cs="SimSun"/>
          <w:sz w:val="24"/>
          <w:szCs w:val="24"/>
          <w:b/>
          <w:bCs/>
          <w:spacing w:val="-9"/>
        </w:rPr>
        <w:t>十</w:t>
      </w:r>
      <w:r>
        <w:rPr>
          <w:rFonts w:ascii="SimSun" w:hAnsi="SimSun" w:eastAsia="SimSun" w:cs="SimSun"/>
          <w:sz w:val="24"/>
          <w:szCs w:val="24"/>
          <w:spacing w:val="-68"/>
        </w:rPr>
        <w:t xml:space="preserve"> </w:t>
      </w:r>
      <w:r>
        <w:rPr>
          <w:rFonts w:ascii="SimSun" w:hAnsi="SimSun" w:eastAsia="SimSun" w:cs="SimSun"/>
          <w:sz w:val="24"/>
          <w:szCs w:val="24"/>
          <w:b/>
          <w:bCs/>
          <w:spacing w:val="-9"/>
        </w:rPr>
        <w:t>一、生效及其它</w:t>
      </w:r>
    </w:p>
    <w:p>
      <w:pPr>
        <w:ind w:left="506"/>
        <w:spacing w:before="205" w:line="219" w:lineRule="auto"/>
        <w:rPr>
          <w:rFonts w:ascii="SimSun" w:hAnsi="SimSun" w:eastAsia="SimSun" w:cs="SimSun"/>
          <w:sz w:val="24"/>
          <w:szCs w:val="24"/>
        </w:rPr>
      </w:pPr>
      <w:r>
        <w:rPr>
          <w:rFonts w:ascii="SimSun" w:hAnsi="SimSun" w:eastAsia="SimSun" w:cs="SimSun"/>
          <w:sz w:val="24"/>
          <w:szCs w:val="24"/>
          <w:spacing w:val="-2"/>
        </w:rPr>
        <w:t>1、本合同自甲、乙双方签字、盖章之日起生效。</w:t>
      </w:r>
    </w:p>
    <w:p>
      <w:pPr>
        <w:ind w:left="506"/>
        <w:spacing w:before="177" w:line="478" w:lineRule="exact"/>
        <w:rPr>
          <w:rFonts w:ascii="SimSun" w:hAnsi="SimSun" w:eastAsia="SimSun" w:cs="SimSun"/>
          <w:sz w:val="24"/>
          <w:szCs w:val="24"/>
        </w:rPr>
      </w:pPr>
      <w:r>
        <w:rPr>
          <w:rFonts w:ascii="SimSun" w:hAnsi="SimSun" w:eastAsia="SimSun" w:cs="SimSun"/>
          <w:sz w:val="24"/>
          <w:szCs w:val="24"/>
          <w:position w:val="18"/>
        </w:rPr>
        <w:t>2、如有未尽事宜，甲、乙双方可另行协商签订</w:t>
      </w:r>
      <w:r>
        <w:rPr>
          <w:rFonts w:ascii="SimSun" w:hAnsi="SimSun" w:eastAsia="SimSun" w:cs="SimSun"/>
          <w:sz w:val="24"/>
          <w:szCs w:val="24"/>
          <w:spacing w:val="-1"/>
          <w:position w:val="18"/>
        </w:rPr>
        <w:t>补充协议，补充协议及招、</w:t>
      </w:r>
    </w:p>
    <w:p>
      <w:pPr>
        <w:ind w:left="36"/>
        <w:spacing w:line="218" w:lineRule="auto"/>
        <w:rPr>
          <w:rFonts w:ascii="SimSun" w:hAnsi="SimSun" w:eastAsia="SimSun" w:cs="SimSun"/>
          <w:sz w:val="24"/>
          <w:szCs w:val="24"/>
        </w:rPr>
      </w:pPr>
      <w:r>
        <w:rPr>
          <w:rFonts w:ascii="SimSun" w:hAnsi="SimSun" w:eastAsia="SimSun" w:cs="SimSun"/>
          <w:sz w:val="24"/>
          <w:szCs w:val="24"/>
          <w:spacing w:val="-2"/>
        </w:rPr>
        <w:t>投标文件、质疑答复、附件和本合同具有同等法律效力。</w:t>
      </w:r>
    </w:p>
    <w:p>
      <w:pPr>
        <w:ind w:left="506"/>
        <w:spacing w:before="155" w:line="219" w:lineRule="auto"/>
        <w:rPr>
          <w:rFonts w:ascii="SimSun" w:hAnsi="SimSun" w:eastAsia="SimSun" w:cs="SimSun"/>
          <w:sz w:val="24"/>
          <w:szCs w:val="24"/>
        </w:rPr>
      </w:pPr>
      <w:r>
        <w:rPr>
          <w:rFonts w:ascii="SimSun" w:hAnsi="SimSun" w:eastAsia="SimSun" w:cs="SimSun"/>
          <w:sz w:val="24"/>
          <w:szCs w:val="24"/>
        </w:rPr>
        <w:t>3、本合同一式七份，甲方四份、乙方二份、招标公司二份，具有同等法律</w:t>
      </w:r>
    </w:p>
    <w:p>
      <w:pPr>
        <w:spacing w:line="149" w:lineRule="exact"/>
        <w:rPr/>
      </w:pPr>
      <w:r/>
    </w:p>
    <w:p>
      <w:pPr>
        <w:spacing w:line="149" w:lineRule="exact"/>
        <w:sectPr>
          <w:pgSz w:w="12090" w:h="16960"/>
          <w:pgMar w:top="1441" w:right="1813" w:bottom="0" w:left="1813" w:header="0" w:footer="0" w:gutter="0"/>
          <w:cols w:equalWidth="0" w:num="1">
            <w:col w:w="8464" w:space="0"/>
          </w:cols>
        </w:sectPr>
        <w:rPr/>
      </w:pPr>
    </w:p>
    <w:p>
      <w:pPr>
        <w:ind w:left="36"/>
        <w:spacing w:before="48" w:line="219" w:lineRule="auto"/>
        <w:rPr>
          <w:rFonts w:ascii="SimSun" w:hAnsi="SimSun" w:eastAsia="SimSun" w:cs="SimSun"/>
          <w:sz w:val="24"/>
          <w:szCs w:val="24"/>
        </w:rPr>
      </w:pPr>
      <w:r>
        <w:rPr>
          <w:rFonts w:ascii="SimSun" w:hAnsi="SimSun" w:eastAsia="SimSun" w:cs="SimSun"/>
          <w:sz w:val="24"/>
          <w:szCs w:val="24"/>
        </w:rPr>
        <w:t>效力。</w:t>
      </w:r>
    </w:p>
    <w:p>
      <w:pPr>
        <w:ind w:left="166"/>
        <w:spacing w:before="206" w:line="220" w:lineRule="auto"/>
        <w:rPr>
          <w:rFonts w:ascii="SimSun" w:hAnsi="SimSun" w:eastAsia="SimSun" w:cs="SimSun"/>
          <w:sz w:val="24"/>
          <w:szCs w:val="24"/>
        </w:rPr>
      </w:pPr>
      <w:r>
        <w:drawing>
          <wp:anchor distT="0" distB="0" distL="0" distR="0" simplePos="0" relativeHeight="251678720" behindDoc="0" locked="0" layoutInCell="1" allowOverlap="1">
            <wp:simplePos x="0" y="0"/>
            <wp:positionH relativeFrom="column">
              <wp:posOffset>975688</wp:posOffset>
            </wp:positionH>
            <wp:positionV relativeFrom="paragraph">
              <wp:posOffset>187573</wp:posOffset>
            </wp:positionV>
            <wp:extent cx="1485912" cy="1498589"/>
            <wp:effectExtent l="0" t="0" r="0" b="0"/>
            <wp:wrapNone/>
            <wp:docPr id="12" name="IM 12"/>
            <wp:cNvGraphicFramePr/>
            <a:graphic>
              <a:graphicData uri="http://schemas.openxmlformats.org/drawingml/2006/picture">
                <pic:pic>
                  <pic:nvPicPr>
                    <pic:cNvPr id="12" name="IM 12"/>
                    <pic:cNvPicPr/>
                  </pic:nvPicPr>
                  <pic:blipFill>
                    <a:blip r:embed="rId6"/>
                    <a:stretch>
                      <a:fillRect/>
                    </a:stretch>
                  </pic:blipFill>
                  <pic:spPr>
                    <a:xfrm rot="0">
                      <a:off x="0" y="0"/>
                      <a:ext cx="1485912" cy="1498589"/>
                    </a:xfrm>
                    <a:prstGeom prst="rect">
                      <a:avLst/>
                    </a:prstGeom>
                  </pic:spPr>
                </pic:pic>
              </a:graphicData>
            </a:graphic>
          </wp:anchor>
        </w:drawing>
      </w:r>
      <w:r>
        <w:rPr>
          <w:rFonts w:ascii="SimSun" w:hAnsi="SimSun" w:eastAsia="SimSun" w:cs="SimSun"/>
          <w:sz w:val="24"/>
          <w:szCs w:val="24"/>
          <w:spacing w:val="3"/>
        </w:rPr>
        <w:t>(以下无正文，为合同签署页)</w:t>
      </w:r>
    </w:p>
    <w:p>
      <w:pPr>
        <w:pStyle w:val="BodyText"/>
        <w:spacing w:line="281" w:lineRule="auto"/>
        <w:rPr/>
      </w:pPr>
      <w:r/>
    </w:p>
    <w:p>
      <w:pPr>
        <w:pStyle w:val="BodyText"/>
        <w:spacing w:line="281" w:lineRule="auto"/>
        <w:rPr/>
      </w:pPr>
      <w:r/>
    </w:p>
    <w:p>
      <w:pPr>
        <w:ind w:left="36"/>
        <w:spacing w:before="78" w:line="219" w:lineRule="auto"/>
        <w:rPr>
          <w:rFonts w:ascii="SimSun" w:hAnsi="SimSun" w:eastAsia="SimSun" w:cs="SimSun"/>
          <w:sz w:val="24"/>
          <w:szCs w:val="24"/>
        </w:rPr>
      </w:pPr>
      <w:r>
        <w:rPr>
          <w:rFonts w:ascii="SimSun" w:hAnsi="SimSun" w:eastAsia="SimSun" w:cs="SimSun"/>
          <w:sz w:val="24"/>
          <w:szCs w:val="24"/>
          <w:spacing w:val="1"/>
        </w:rPr>
        <w:t>甲方：河南省地质局地质灾害防治中心</w:t>
      </w:r>
    </w:p>
    <w:p>
      <w:pPr>
        <w:ind w:left="36"/>
        <w:spacing w:before="194" w:line="219" w:lineRule="auto"/>
        <w:rPr>
          <w:rFonts w:ascii="SimSun" w:hAnsi="SimSun" w:eastAsia="SimSun" w:cs="SimSun"/>
          <w:sz w:val="24"/>
          <w:szCs w:val="24"/>
        </w:rPr>
      </w:pPr>
      <w:r>
        <w:rPr>
          <w:rFonts w:ascii="SimSun" w:hAnsi="SimSun" w:eastAsia="SimSun" w:cs="SimSun"/>
          <w:sz w:val="24"/>
          <w:szCs w:val="24"/>
          <w:spacing w:val="3"/>
        </w:rPr>
        <w:t>委托代理人：陈冲科</w:t>
      </w:r>
    </w:p>
    <w:p>
      <w:pPr>
        <w:ind w:left="36"/>
        <w:spacing w:before="175" w:line="219" w:lineRule="auto"/>
        <w:rPr>
          <w:rFonts w:ascii="SimSun" w:hAnsi="SimSun" w:eastAsia="SimSun" w:cs="SimSun"/>
          <w:sz w:val="24"/>
          <w:szCs w:val="24"/>
        </w:rPr>
      </w:pPr>
      <w:r>
        <w:rPr>
          <w:rFonts w:ascii="SimSun" w:hAnsi="SimSun" w:eastAsia="SimSun" w:cs="SimSun"/>
          <w:sz w:val="24"/>
          <w:szCs w:val="24"/>
          <w:spacing w:val="8"/>
        </w:rPr>
        <w:t>地址：河南省郑州市金水路28号</w:t>
      </w:r>
    </w:p>
    <w:p>
      <w:pPr>
        <w:pStyle w:val="BodyText"/>
        <w:spacing w:line="284" w:lineRule="auto"/>
        <w:rPr/>
      </w:pPr>
      <w:r/>
    </w:p>
    <w:p>
      <w:pPr>
        <w:pStyle w:val="BodyText"/>
        <w:spacing w:line="284" w:lineRule="auto"/>
        <w:rPr/>
      </w:pPr>
      <w:r/>
    </w:p>
    <w:p>
      <w:pPr>
        <w:ind w:left="96"/>
        <w:spacing w:before="78" w:line="184" w:lineRule="auto"/>
        <w:rPr>
          <w:rFonts w:ascii="SimSun" w:hAnsi="SimSun" w:eastAsia="SimSun" w:cs="SimSun"/>
          <w:sz w:val="24"/>
          <w:szCs w:val="24"/>
        </w:rPr>
      </w:pPr>
      <w:r>
        <w:rPr>
          <w:rFonts w:ascii="SimSun" w:hAnsi="SimSun" w:eastAsia="SimSun" w:cs="SimSun"/>
          <w:sz w:val="24"/>
          <w:szCs w:val="24"/>
          <w:spacing w:val="-3"/>
        </w:rPr>
        <w:t>电话：0371-63895009</w:t>
      </w:r>
    </w:p>
    <w:p>
      <w:pPr>
        <w:pStyle w:val="BodyText"/>
        <w:spacing w:line="14" w:lineRule="auto"/>
        <w:rPr>
          <w:sz w:val="2"/>
        </w:rPr>
      </w:pPr>
      <w:r>
        <w:rPr>
          <w:sz w:val="2"/>
          <w:szCs w:val="2"/>
        </w:rPr>
        <w:br w:type="column"/>
      </w:r>
    </w:p>
    <w:p>
      <w:pPr>
        <w:pStyle w:val="BodyText"/>
        <w:spacing w:line="272" w:lineRule="auto"/>
        <w:rPr/>
      </w:pPr>
      <w:r/>
    </w:p>
    <w:p>
      <w:pPr>
        <w:pStyle w:val="BodyText"/>
        <w:spacing w:line="272" w:lineRule="auto"/>
        <w:rPr/>
      </w:pPr>
      <w:r/>
    </w:p>
    <w:p>
      <w:pPr>
        <w:pStyle w:val="BodyText"/>
        <w:spacing w:line="272" w:lineRule="auto"/>
        <w:rPr/>
      </w:pPr>
      <w:r/>
    </w:p>
    <w:p>
      <w:pPr>
        <w:pStyle w:val="BodyText"/>
        <w:spacing w:line="272" w:lineRule="auto"/>
        <w:rPr/>
      </w:pPr>
      <w:r/>
    </w:p>
    <w:p>
      <w:pPr>
        <w:pStyle w:val="BodyText"/>
        <w:spacing w:line="272" w:lineRule="auto"/>
        <w:rPr/>
      </w:pPr>
      <w:r/>
    </w:p>
    <w:p>
      <w:pPr>
        <w:spacing w:before="78" w:line="219" w:lineRule="auto"/>
        <w:rPr>
          <w:rFonts w:ascii="SimSun" w:hAnsi="SimSun" w:eastAsia="SimSun" w:cs="SimSun"/>
          <w:sz w:val="24"/>
          <w:szCs w:val="24"/>
        </w:rPr>
      </w:pPr>
      <w:r>
        <w:drawing>
          <wp:anchor distT="0" distB="0" distL="0" distR="0" simplePos="0" relativeHeight="251679744" behindDoc="0" locked="0" layoutInCell="1" allowOverlap="1">
            <wp:simplePos x="0" y="0"/>
            <wp:positionH relativeFrom="column">
              <wp:posOffset>374644</wp:posOffset>
            </wp:positionH>
            <wp:positionV relativeFrom="paragraph">
              <wp:posOffset>-749957</wp:posOffset>
            </wp:positionV>
            <wp:extent cx="1644675" cy="1650979"/>
            <wp:effectExtent l="0" t="0" r="0" b="0"/>
            <wp:wrapNone/>
            <wp:docPr id="14" name="IM 14"/>
            <wp:cNvGraphicFramePr/>
            <a:graphic>
              <a:graphicData uri="http://schemas.openxmlformats.org/drawingml/2006/picture">
                <pic:pic>
                  <pic:nvPicPr>
                    <pic:cNvPr id="14" name="IM 14"/>
                    <pic:cNvPicPr/>
                  </pic:nvPicPr>
                  <pic:blipFill>
                    <a:blip r:embed="rId7"/>
                    <a:stretch>
                      <a:fillRect/>
                    </a:stretch>
                  </pic:blipFill>
                  <pic:spPr>
                    <a:xfrm rot="0">
                      <a:off x="0" y="0"/>
                      <a:ext cx="1644675" cy="1650979"/>
                    </a:xfrm>
                    <a:prstGeom prst="rect">
                      <a:avLst/>
                    </a:prstGeom>
                  </pic:spPr>
                </pic:pic>
              </a:graphicData>
            </a:graphic>
          </wp:anchor>
        </w:drawing>
      </w:r>
      <w:r>
        <w:rPr>
          <w:rFonts w:ascii="SimSun" w:hAnsi="SimSun" w:eastAsia="SimSun" w:cs="SimSun"/>
          <w:sz w:val="24"/>
          <w:szCs w:val="24"/>
          <w:spacing w:val="1"/>
        </w:rPr>
        <w:t>乙方：河南立畅仪器设备有限公司</w:t>
      </w:r>
    </w:p>
    <w:p>
      <w:pPr>
        <w:spacing w:before="206" w:line="219" w:lineRule="auto"/>
        <w:rPr>
          <w:rFonts w:ascii="SimSun" w:hAnsi="SimSun" w:eastAsia="SimSun" w:cs="SimSun"/>
          <w:sz w:val="24"/>
          <w:szCs w:val="24"/>
        </w:rPr>
      </w:pPr>
      <w:r>
        <w:rPr>
          <w:rFonts w:ascii="SimSun" w:hAnsi="SimSun" w:eastAsia="SimSun" w:cs="SimSun"/>
          <w:sz w:val="24"/>
          <w:szCs w:val="24"/>
          <w:spacing w:val="2"/>
        </w:rPr>
        <w:t>委托代理人：杨娜</w:t>
      </w:r>
    </w:p>
    <w:p>
      <w:pPr>
        <w:spacing w:before="144" w:line="480" w:lineRule="exact"/>
        <w:rPr>
          <w:rFonts w:ascii="SimSun" w:hAnsi="SimSun" w:eastAsia="SimSun" w:cs="SimSun"/>
          <w:sz w:val="24"/>
          <w:szCs w:val="24"/>
        </w:rPr>
      </w:pPr>
      <w:r>
        <w:rPr>
          <w:rFonts w:ascii="SimSun" w:hAnsi="SimSun" w:eastAsia="SimSun" w:cs="SimSun"/>
          <w:sz w:val="24"/>
          <w:szCs w:val="24"/>
          <w:spacing w:val="1"/>
          <w:position w:val="18"/>
        </w:rPr>
        <w:t>地址：河南省郑州市金水区农业路东</w:t>
      </w:r>
    </w:p>
    <w:p>
      <w:pPr>
        <w:ind w:left="110"/>
        <w:spacing w:before="1" w:line="219" w:lineRule="auto"/>
        <w:rPr>
          <w:rFonts w:ascii="SimSun" w:hAnsi="SimSun" w:eastAsia="SimSun" w:cs="SimSun"/>
          <w:sz w:val="24"/>
          <w:szCs w:val="24"/>
        </w:rPr>
      </w:pPr>
      <w:r>
        <w:rPr>
          <w:rFonts w:ascii="SimSun" w:hAnsi="SimSun" w:eastAsia="SimSun" w:cs="SimSun"/>
          <w:sz w:val="24"/>
          <w:szCs w:val="24"/>
          <w:spacing w:val="31"/>
        </w:rPr>
        <w:t>45号2号楼23层2320号</w:t>
      </w:r>
    </w:p>
    <w:p>
      <w:pPr>
        <w:ind w:left="49"/>
        <w:spacing w:before="198" w:line="192" w:lineRule="auto"/>
        <w:rPr>
          <w:rFonts w:ascii="SimSun" w:hAnsi="SimSun" w:eastAsia="SimSun" w:cs="SimSun"/>
          <w:sz w:val="24"/>
          <w:szCs w:val="24"/>
        </w:rPr>
      </w:pPr>
      <w:r>
        <w:rPr>
          <w:rFonts w:ascii="SimSun" w:hAnsi="SimSun" w:eastAsia="SimSun" w:cs="SimSun"/>
          <w:sz w:val="24"/>
          <w:szCs w:val="24"/>
        </w:rPr>
        <w:t>电话：0371-65610750</w:t>
      </w:r>
    </w:p>
    <w:p>
      <w:pPr>
        <w:spacing w:line="192" w:lineRule="auto"/>
        <w:sectPr>
          <w:type w:val="continuous"/>
          <w:pgSz w:w="12090" w:h="16960"/>
          <w:pgMar w:top="1441" w:right="1813" w:bottom="0" w:left="1813" w:header="0" w:footer="0" w:gutter="0"/>
          <w:cols w:equalWidth="0" w:num="2">
            <w:col w:w="4397" w:space="100"/>
            <w:col w:w="3967" w:space="0"/>
          </w:cols>
        </w:sectPr>
        <w:rPr>
          <w:rFonts w:ascii="SimSun" w:hAnsi="SimSun" w:eastAsia="SimSun" w:cs="SimSun"/>
          <w:sz w:val="24"/>
          <w:szCs w:val="24"/>
        </w:rPr>
      </w:pP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pStyle w:val="BodyText"/>
        <w:spacing w:line="245" w:lineRule="auto"/>
        <w:rPr/>
      </w:pPr>
      <w:r/>
    </w:p>
    <w:p>
      <w:pPr>
        <w:ind w:left="136"/>
        <w:spacing w:before="79" w:line="184" w:lineRule="auto"/>
        <w:rPr>
          <w:rFonts w:ascii="SimSun" w:hAnsi="SimSun" w:eastAsia="SimSun" w:cs="SimSun"/>
          <w:sz w:val="24"/>
          <w:szCs w:val="24"/>
        </w:rPr>
      </w:pPr>
      <w:r>
        <w:rPr>
          <w:rFonts w:ascii="SimSun" w:hAnsi="SimSun" w:eastAsia="SimSun" w:cs="SimSun"/>
          <w:sz w:val="24"/>
          <w:szCs w:val="24"/>
          <w:spacing w:val="20"/>
        </w:rPr>
        <w:t>附件(1)设备技术规格</w:t>
      </w:r>
    </w:p>
    <w:p>
      <w:pPr>
        <w:spacing w:line="184" w:lineRule="auto"/>
        <w:sectPr>
          <w:type w:val="continuous"/>
          <w:pgSz w:w="12090" w:h="16960"/>
          <w:pgMar w:top="1441" w:right="1813" w:bottom="0" w:left="1813" w:header="0" w:footer="0" w:gutter="0"/>
          <w:cols w:equalWidth="0" w:num="1">
            <w:col w:w="8464" w:space="0"/>
          </w:cols>
        </w:sectPr>
        <w:rPr>
          <w:rFonts w:ascii="SimSun" w:hAnsi="SimSun" w:eastAsia="SimSun" w:cs="SimSun"/>
          <w:sz w:val="24"/>
          <w:szCs w:val="24"/>
        </w:rPr>
      </w:pPr>
    </w:p>
    <w:p>
      <w:pPr>
        <w:ind w:left="344"/>
        <w:spacing w:before="213" w:line="219" w:lineRule="auto"/>
        <w:rPr>
          <w:rFonts w:ascii="SimSun" w:hAnsi="SimSun" w:eastAsia="SimSun" w:cs="SimSun"/>
          <w:sz w:val="25"/>
          <w:szCs w:val="25"/>
        </w:rPr>
      </w:pPr>
      <w:r>
        <w:rPr>
          <w:rFonts w:ascii="SimSun" w:hAnsi="SimSun" w:eastAsia="SimSun" w:cs="SimSun"/>
          <w:sz w:val="25"/>
          <w:szCs w:val="25"/>
          <w:spacing w:val="-11"/>
        </w:rPr>
        <w:t>项目名称：河南省地质局地质灾害防治中心专用设备购置项目</w:t>
      </w:r>
    </w:p>
    <w:p>
      <w:pPr>
        <w:ind w:left="324"/>
        <w:spacing w:before="171" w:line="219" w:lineRule="auto"/>
        <w:rPr>
          <w:rFonts w:ascii="SimSun" w:hAnsi="SimSun" w:eastAsia="SimSun" w:cs="SimSun"/>
          <w:sz w:val="25"/>
          <w:szCs w:val="25"/>
        </w:rPr>
      </w:pPr>
      <w:r>
        <w:rPr>
          <w:rFonts w:ascii="SimSun" w:hAnsi="SimSun" w:eastAsia="SimSun" w:cs="SimSun"/>
          <w:sz w:val="25"/>
          <w:szCs w:val="25"/>
          <w:spacing w:val="-9"/>
        </w:rPr>
        <w:t>项目编号：豫财磋商采购-2024-431</w:t>
      </w:r>
    </w:p>
    <w:p>
      <w:pPr>
        <w:ind w:left="324"/>
        <w:spacing w:before="143" w:line="219" w:lineRule="auto"/>
        <w:rPr>
          <w:rFonts w:ascii="SimSun" w:hAnsi="SimSun" w:eastAsia="SimSun" w:cs="SimSun"/>
          <w:sz w:val="24"/>
          <w:szCs w:val="24"/>
        </w:rPr>
      </w:pPr>
      <w:r>
        <w:rPr>
          <w:rFonts w:ascii="SimSun" w:hAnsi="SimSun" w:eastAsia="SimSun" w:cs="SimSun"/>
          <w:sz w:val="24"/>
          <w:szCs w:val="24"/>
          <w:spacing w:val="1"/>
        </w:rPr>
        <w:t>包号：豫政采(2)20240671-1</w:t>
      </w:r>
    </w:p>
    <w:p>
      <w:pPr>
        <w:spacing w:line="121" w:lineRule="exact"/>
        <w:rPr/>
      </w:pPr>
      <w:r/>
    </w:p>
    <w:tbl>
      <w:tblPr>
        <w:tblStyle w:val="TableNormal"/>
        <w:tblW w:w="8590" w:type="dxa"/>
        <w:tblInd w:w="24" w:type="dxa"/>
        <w:tblLayout w:type="fixed"/>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tblGrid>
        <w:gridCol w:w="435"/>
        <w:gridCol w:w="629"/>
        <w:gridCol w:w="619"/>
        <w:gridCol w:w="809"/>
        <w:gridCol w:w="4445"/>
        <w:gridCol w:w="799"/>
        <w:gridCol w:w="854"/>
      </w:tblGrid>
      <w:tr>
        <w:trPr>
          <w:trHeight w:val="944" w:hRule="atLeast"/>
        </w:trPr>
        <w:tc>
          <w:tcPr>
            <w:tcW w:w="435" w:type="dxa"/>
            <w:vAlign w:val="top"/>
            <w:textDirection w:val="tbRlV"/>
          </w:tcPr>
          <w:p>
            <w:pPr>
              <w:pStyle w:val="TableText"/>
              <w:ind w:left="243"/>
              <w:spacing w:before="110" w:line="217" w:lineRule="auto"/>
              <w:rPr>
                <w:sz w:val="21"/>
                <w:szCs w:val="21"/>
              </w:rPr>
            </w:pPr>
            <w:r>
              <w:rPr>
                <w:sz w:val="21"/>
                <w:szCs w:val="21"/>
              </w:rPr>
              <w:t>序号</w:t>
            </w:r>
          </w:p>
        </w:tc>
        <w:tc>
          <w:tcPr>
            <w:tcW w:w="629" w:type="dxa"/>
            <w:vAlign w:val="top"/>
            <w:textDirection w:val="tbRlV"/>
          </w:tcPr>
          <w:p>
            <w:pPr>
              <w:pStyle w:val="TableText"/>
              <w:ind w:left="30"/>
              <w:spacing w:before="249" w:line="217" w:lineRule="auto"/>
              <w:rPr>
                <w:sz w:val="21"/>
                <w:szCs w:val="21"/>
              </w:rPr>
            </w:pPr>
            <w:r>
              <w:rPr>
                <w:sz w:val="21"/>
                <w:szCs w:val="21"/>
                <w:spacing w:val="5"/>
              </w:rPr>
              <w:t>设备名称</w:t>
            </w:r>
          </w:p>
        </w:tc>
        <w:tc>
          <w:tcPr>
            <w:tcW w:w="619" w:type="dxa"/>
            <w:vAlign w:val="top"/>
            <w:textDirection w:val="tbRlV"/>
          </w:tcPr>
          <w:p>
            <w:pPr>
              <w:pStyle w:val="TableText"/>
              <w:ind w:left="239"/>
              <w:spacing w:before="228" w:line="216" w:lineRule="auto"/>
              <w:rPr>
                <w:sz w:val="21"/>
                <w:szCs w:val="21"/>
              </w:rPr>
            </w:pPr>
            <w:r>
              <w:rPr>
                <w:sz w:val="21"/>
                <w:szCs w:val="21"/>
              </w:rPr>
              <w:t>品牌</w:t>
            </w:r>
          </w:p>
        </w:tc>
        <w:tc>
          <w:tcPr>
            <w:tcW w:w="809" w:type="dxa"/>
            <w:vAlign w:val="top"/>
          </w:tcPr>
          <w:p>
            <w:pPr>
              <w:spacing w:line="304" w:lineRule="auto"/>
              <w:rPr>
                <w:rFonts w:ascii="Arial"/>
                <w:sz w:val="21"/>
              </w:rPr>
            </w:pPr>
            <w:r/>
          </w:p>
          <w:p>
            <w:pPr>
              <w:pStyle w:val="TableText"/>
              <w:ind w:left="182"/>
              <w:spacing w:before="68" w:line="221" w:lineRule="auto"/>
              <w:rPr>
                <w:sz w:val="21"/>
                <w:szCs w:val="21"/>
              </w:rPr>
            </w:pPr>
            <w:r>
              <w:rPr>
                <w:sz w:val="21"/>
                <w:szCs w:val="21"/>
                <w:spacing w:val="6"/>
              </w:rPr>
              <w:t>型号</w:t>
            </w:r>
          </w:p>
        </w:tc>
        <w:tc>
          <w:tcPr>
            <w:tcW w:w="4445" w:type="dxa"/>
            <w:vAlign w:val="top"/>
          </w:tcPr>
          <w:p>
            <w:pPr>
              <w:spacing w:line="303" w:lineRule="auto"/>
              <w:rPr>
                <w:rFonts w:ascii="Arial"/>
                <w:sz w:val="21"/>
              </w:rPr>
            </w:pPr>
            <w:r/>
          </w:p>
          <w:p>
            <w:pPr>
              <w:pStyle w:val="TableText"/>
              <w:ind w:left="1462"/>
              <w:spacing w:before="68" w:line="219" w:lineRule="auto"/>
              <w:rPr>
                <w:sz w:val="21"/>
                <w:szCs w:val="21"/>
              </w:rPr>
            </w:pPr>
            <w:r>
              <w:rPr>
                <w:sz w:val="21"/>
                <w:szCs w:val="21"/>
                <w:spacing w:val="-2"/>
              </w:rPr>
              <w:t>规格及技术参数</w:t>
            </w:r>
          </w:p>
        </w:tc>
        <w:tc>
          <w:tcPr>
            <w:tcW w:w="799" w:type="dxa"/>
            <w:vAlign w:val="top"/>
          </w:tcPr>
          <w:p>
            <w:pPr>
              <w:pStyle w:val="TableText"/>
              <w:ind w:left="188"/>
              <w:spacing w:before="212" w:line="221" w:lineRule="auto"/>
              <w:rPr>
                <w:sz w:val="21"/>
                <w:szCs w:val="21"/>
              </w:rPr>
            </w:pPr>
            <w:r>
              <w:rPr>
                <w:sz w:val="21"/>
                <w:szCs w:val="21"/>
                <w:spacing w:val="6"/>
              </w:rPr>
              <w:t>生产</w:t>
            </w:r>
          </w:p>
          <w:p>
            <w:pPr>
              <w:pStyle w:val="TableText"/>
              <w:ind w:left="288"/>
              <w:spacing w:line="220" w:lineRule="auto"/>
              <w:rPr>
                <w:sz w:val="21"/>
                <w:szCs w:val="21"/>
              </w:rPr>
            </w:pPr>
            <w:r>
              <w:rPr>
                <w:sz w:val="21"/>
                <w:szCs w:val="21"/>
              </w:rPr>
              <w:t>商</w:t>
            </w:r>
          </w:p>
        </w:tc>
        <w:tc>
          <w:tcPr>
            <w:tcW w:w="854" w:type="dxa"/>
            <w:vAlign w:val="top"/>
          </w:tcPr>
          <w:p>
            <w:pPr>
              <w:pStyle w:val="TableText"/>
              <w:ind w:left="209" w:right="96" w:hanging="100"/>
              <w:spacing w:before="223" w:line="218" w:lineRule="auto"/>
              <w:rPr>
                <w:sz w:val="21"/>
                <w:szCs w:val="21"/>
              </w:rPr>
            </w:pPr>
            <w:r>
              <w:rPr>
                <w:sz w:val="21"/>
                <w:szCs w:val="21"/>
                <w:spacing w:val="2"/>
              </w:rPr>
              <w:t>原产地</w:t>
            </w:r>
            <w:r>
              <w:rPr>
                <w:sz w:val="21"/>
                <w:szCs w:val="21"/>
                <w:spacing w:val="1"/>
              </w:rPr>
              <w:t xml:space="preserve"> </w:t>
            </w:r>
            <w:r>
              <w:rPr>
                <w:sz w:val="21"/>
                <w:szCs w:val="21"/>
                <w:spacing w:val="15"/>
              </w:rPr>
              <w:t>(国)</w:t>
            </w:r>
          </w:p>
        </w:tc>
      </w:tr>
      <w:tr>
        <w:trPr>
          <w:trHeight w:val="11506" w:hRule="atLeast"/>
        </w:trPr>
        <w:tc>
          <w:tcPr>
            <w:tcW w:w="435" w:type="dxa"/>
            <w:vAlign w:val="top"/>
          </w:tcPr>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3"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spacing w:line="244" w:lineRule="auto"/>
              <w:rPr>
                <w:rFonts w:ascii="Arial"/>
                <w:sz w:val="21"/>
              </w:rPr>
            </w:pPr>
            <w:r/>
          </w:p>
          <w:p>
            <w:pPr>
              <w:pStyle w:val="TableText"/>
              <w:ind w:left="155"/>
              <w:spacing w:before="69" w:line="184" w:lineRule="auto"/>
              <w:rPr>
                <w:sz w:val="21"/>
                <w:szCs w:val="21"/>
              </w:rPr>
            </w:pPr>
            <w:r>
              <w:rPr>
                <w:sz w:val="21"/>
                <w:szCs w:val="21"/>
              </w:rPr>
              <w:t>1</w:t>
            </w:r>
          </w:p>
        </w:tc>
        <w:tc>
          <w:tcPr>
            <w:tcW w:w="629" w:type="dxa"/>
            <w:vAlign w:val="top"/>
            <w:textDirection w:val="tbRlV"/>
          </w:tcPr>
          <w:p>
            <w:pPr>
              <w:pStyle w:val="TableText"/>
              <w:ind w:left="4370"/>
              <w:spacing w:before="249" w:line="216" w:lineRule="auto"/>
              <w:rPr>
                <w:sz w:val="21"/>
                <w:szCs w:val="21"/>
              </w:rPr>
            </w:pPr>
            <w:r>
              <w:rPr>
                <w:sz w:val="21"/>
                <w:szCs w:val="21"/>
              </w:rPr>
              <w:t>电感耦合等离子体发射光谱仪</w:t>
            </w:r>
          </w:p>
        </w:tc>
        <w:tc>
          <w:tcPr>
            <w:tcW w:w="619" w:type="dxa"/>
            <w:vAlign w:val="top"/>
            <w:textDirection w:val="tbRlV"/>
          </w:tcPr>
          <w:p>
            <w:pPr>
              <w:pStyle w:val="TableText"/>
              <w:ind w:left="5210"/>
              <w:spacing w:before="228" w:line="215" w:lineRule="auto"/>
              <w:rPr>
                <w:sz w:val="21"/>
                <w:szCs w:val="21"/>
              </w:rPr>
            </w:pPr>
            <w:r>
              <w:rPr>
                <w:sz w:val="21"/>
                <w:szCs w:val="21"/>
              </w:rPr>
              <w:t>赛默飞世尔</w:t>
            </w:r>
          </w:p>
        </w:tc>
        <w:tc>
          <w:tcPr>
            <w:tcW w:w="809" w:type="dxa"/>
            <w:vAlign w:val="top"/>
          </w:tcPr>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spacing w:line="246" w:lineRule="auto"/>
              <w:rPr>
                <w:rFonts w:ascii="Arial"/>
                <w:sz w:val="21"/>
              </w:rPr>
            </w:pPr>
            <w:r/>
          </w:p>
          <w:p>
            <w:pPr>
              <w:pStyle w:val="TableText"/>
              <w:ind w:left="182"/>
              <w:spacing w:before="69" w:line="185" w:lineRule="auto"/>
              <w:rPr>
                <w:sz w:val="21"/>
                <w:szCs w:val="21"/>
              </w:rPr>
            </w:pPr>
            <w:r>
              <w:rPr>
                <w:sz w:val="21"/>
                <w:szCs w:val="21"/>
                <w:spacing w:val="-6"/>
              </w:rPr>
              <w:t>iCAP</w:t>
            </w:r>
          </w:p>
          <w:p>
            <w:pPr>
              <w:pStyle w:val="TableText"/>
              <w:ind w:left="232"/>
              <w:spacing w:before="41" w:line="183" w:lineRule="auto"/>
              <w:rPr>
                <w:sz w:val="21"/>
                <w:szCs w:val="21"/>
              </w:rPr>
            </w:pPr>
            <w:r>
              <w:rPr>
                <w:sz w:val="21"/>
                <w:szCs w:val="21"/>
                <w:spacing w:val="-2"/>
              </w:rPr>
              <w:t>PRO</w:t>
            </w:r>
          </w:p>
          <w:p>
            <w:pPr>
              <w:pStyle w:val="TableText"/>
              <w:ind w:left="132"/>
              <w:spacing w:before="32" w:line="182" w:lineRule="auto"/>
              <w:rPr>
                <w:sz w:val="21"/>
                <w:szCs w:val="21"/>
              </w:rPr>
            </w:pPr>
            <w:r>
              <w:rPr>
                <w:sz w:val="21"/>
                <w:szCs w:val="21"/>
                <w:spacing w:val="-3"/>
              </w:rPr>
              <w:t>X</w:t>
            </w:r>
            <w:r>
              <w:rPr>
                <w:sz w:val="21"/>
                <w:szCs w:val="21"/>
                <w:spacing w:val="6"/>
              </w:rPr>
              <w:t xml:space="preserve"> </w:t>
            </w:r>
            <w:r>
              <w:rPr>
                <w:sz w:val="21"/>
                <w:szCs w:val="21"/>
                <w:spacing w:val="-3"/>
              </w:rPr>
              <w:t>Duo</w:t>
            </w:r>
          </w:p>
        </w:tc>
        <w:tc>
          <w:tcPr>
            <w:tcW w:w="4445" w:type="dxa"/>
            <w:vAlign w:val="top"/>
          </w:tcPr>
          <w:p>
            <w:pPr>
              <w:pStyle w:val="TableText"/>
              <w:ind w:left="102"/>
              <w:spacing w:before="9" w:line="217" w:lineRule="auto"/>
              <w:rPr>
                <w:sz w:val="21"/>
                <w:szCs w:val="21"/>
              </w:rPr>
            </w:pPr>
            <w:r>
              <w:rPr>
                <w:sz w:val="21"/>
                <w:szCs w:val="21"/>
              </w:rPr>
              <w:t>1.应用范围：适用于水、土壤以及矿石等各和</w:t>
            </w:r>
            <w:r>
              <w:rPr>
                <w:sz w:val="21"/>
                <w:szCs w:val="21"/>
                <w:spacing w:val="2"/>
              </w:rPr>
              <w:t xml:space="preserve">  </w:t>
            </w:r>
            <w:r>
              <w:rPr>
                <w:sz w:val="21"/>
                <w:szCs w:val="21"/>
                <w:spacing w:val="-4"/>
              </w:rPr>
              <w:t>基体样品中主量及微量元素的定性、半定量和定</w:t>
            </w:r>
            <w:r>
              <w:rPr>
                <w:sz w:val="21"/>
                <w:szCs w:val="21"/>
                <w:spacing w:val="5"/>
              </w:rPr>
              <w:t xml:space="preserve"> </w:t>
            </w:r>
            <w:r>
              <w:rPr>
                <w:sz w:val="21"/>
                <w:szCs w:val="21"/>
                <w:spacing w:val="-2"/>
              </w:rPr>
              <w:t>量分析。</w:t>
            </w:r>
          </w:p>
          <w:p>
            <w:pPr>
              <w:pStyle w:val="TableText"/>
              <w:ind w:left="93"/>
              <w:spacing w:line="205" w:lineRule="auto"/>
              <w:rPr>
                <w:sz w:val="21"/>
                <w:szCs w:val="21"/>
              </w:rPr>
            </w:pPr>
            <w:r>
              <w:rPr>
                <w:sz w:val="21"/>
                <w:szCs w:val="21"/>
                <w:spacing w:val="-2"/>
              </w:rPr>
              <w:t>2.工作环境</w:t>
            </w:r>
          </w:p>
          <w:p>
            <w:pPr>
              <w:pStyle w:val="TableText"/>
              <w:ind w:left="63"/>
              <w:spacing w:line="205" w:lineRule="auto"/>
              <w:rPr>
                <w:sz w:val="21"/>
                <w:szCs w:val="21"/>
              </w:rPr>
            </w:pPr>
            <w:r>
              <w:rPr>
                <w:sz w:val="21"/>
                <w:szCs w:val="21"/>
                <w:spacing w:val="-1"/>
              </w:rPr>
              <w:t>2.1电压：220VAC±10%</w:t>
            </w:r>
          </w:p>
          <w:p>
            <w:pPr>
              <w:pStyle w:val="TableText"/>
              <w:ind w:left="73"/>
              <w:spacing w:line="213" w:lineRule="auto"/>
              <w:rPr>
                <w:sz w:val="21"/>
                <w:szCs w:val="21"/>
              </w:rPr>
            </w:pPr>
            <w:r>
              <w:rPr>
                <w:sz w:val="21"/>
                <w:szCs w:val="21"/>
                <w:spacing w:val="2"/>
              </w:rPr>
              <w:t>2.2室温：15-35℃</w:t>
            </w:r>
          </w:p>
          <w:p>
            <w:pPr>
              <w:pStyle w:val="TableText"/>
              <w:ind w:left="63"/>
              <w:spacing w:line="219" w:lineRule="auto"/>
              <w:rPr>
                <w:sz w:val="21"/>
                <w:szCs w:val="21"/>
              </w:rPr>
            </w:pPr>
            <w:r>
              <w:rPr>
                <w:sz w:val="21"/>
                <w:szCs w:val="21"/>
                <w:spacing w:val="-1"/>
              </w:rPr>
              <w:t>2.3相对湿度：20%-80%</w:t>
            </w:r>
          </w:p>
          <w:p>
            <w:pPr>
              <w:pStyle w:val="TableText"/>
              <w:ind w:left="102"/>
              <w:spacing w:line="201" w:lineRule="auto"/>
              <w:rPr>
                <w:sz w:val="21"/>
                <w:szCs w:val="21"/>
              </w:rPr>
            </w:pPr>
            <w:r>
              <w:rPr>
                <w:sz w:val="21"/>
                <w:szCs w:val="21"/>
                <w:spacing w:val="1"/>
              </w:rPr>
              <w:t>3.技术指标</w:t>
            </w:r>
          </w:p>
          <w:p>
            <w:pPr>
              <w:pStyle w:val="TableText"/>
              <w:ind w:left="73"/>
              <w:spacing w:before="2" w:line="214" w:lineRule="auto"/>
              <w:jc w:val="both"/>
              <w:rPr>
                <w:sz w:val="21"/>
                <w:szCs w:val="21"/>
              </w:rPr>
            </w:pPr>
            <w:r>
              <w:rPr>
                <w:sz w:val="21"/>
                <w:szCs w:val="21"/>
                <w:spacing w:val="-4"/>
              </w:rPr>
              <w:t>3.1光谱仪采用最新设计，技术先进超前，能快</w:t>
            </w:r>
            <w:r>
              <w:rPr>
                <w:sz w:val="21"/>
                <w:szCs w:val="21"/>
                <w:spacing w:val="1"/>
              </w:rPr>
              <w:t xml:space="preserve">  </w:t>
            </w:r>
            <w:r>
              <w:rPr>
                <w:sz w:val="21"/>
                <w:szCs w:val="21"/>
                <w:spacing w:val="-3"/>
              </w:rPr>
              <w:t>速一分钟内分析几十种元素含量，样品用量少，</w:t>
            </w:r>
            <w:r>
              <w:rPr>
                <w:sz w:val="21"/>
                <w:szCs w:val="21"/>
                <w:spacing w:val="13"/>
              </w:rPr>
              <w:t xml:space="preserve"> </w:t>
            </w:r>
            <w:r>
              <w:rPr>
                <w:sz w:val="21"/>
                <w:szCs w:val="21"/>
                <w:spacing w:val="-6"/>
              </w:rPr>
              <w:t>消耗成本低。仪器必需包括高频发生器、等离子</w:t>
            </w:r>
            <w:r>
              <w:rPr>
                <w:sz w:val="21"/>
                <w:szCs w:val="21"/>
                <w:spacing w:val="12"/>
              </w:rPr>
              <w:t xml:space="preserve"> </w:t>
            </w:r>
            <w:r>
              <w:rPr>
                <w:sz w:val="21"/>
                <w:szCs w:val="21"/>
                <w:spacing w:val="-5"/>
              </w:rPr>
              <w:t>体及进样系统、分光系统、检测器、分析软件和</w:t>
            </w:r>
            <w:r>
              <w:rPr>
                <w:sz w:val="21"/>
                <w:szCs w:val="21"/>
              </w:rPr>
              <w:t xml:space="preserve"> </w:t>
            </w:r>
            <w:r>
              <w:rPr>
                <w:sz w:val="21"/>
                <w:szCs w:val="21"/>
                <w:spacing w:val="-2"/>
              </w:rPr>
              <w:t>计算机系统，全自动控制。</w:t>
            </w:r>
          </w:p>
          <w:p>
            <w:pPr>
              <w:pStyle w:val="TableText"/>
              <w:ind w:left="83"/>
              <w:spacing w:before="3" w:line="201" w:lineRule="auto"/>
              <w:rPr>
                <w:sz w:val="21"/>
                <w:szCs w:val="21"/>
              </w:rPr>
            </w:pPr>
            <w:r>
              <w:rPr>
                <w:sz w:val="21"/>
                <w:szCs w:val="21"/>
                <w:spacing w:val="-1"/>
              </w:rPr>
              <w:t>3.2性能指标：</w:t>
            </w:r>
          </w:p>
          <w:p>
            <w:pPr>
              <w:pStyle w:val="TableText"/>
              <w:ind w:left="93"/>
              <w:spacing w:line="202" w:lineRule="auto"/>
              <w:rPr>
                <w:sz w:val="21"/>
                <w:szCs w:val="21"/>
              </w:rPr>
            </w:pPr>
            <w:r>
              <w:rPr>
                <w:sz w:val="21"/>
                <w:szCs w:val="21"/>
              </w:rPr>
              <w:t>3.2.1检测器：</w:t>
            </w:r>
          </w:p>
          <w:p>
            <w:pPr>
              <w:pStyle w:val="TableText"/>
              <w:ind w:left="82" w:hanging="9"/>
              <w:spacing w:before="3" w:line="213" w:lineRule="auto"/>
              <w:rPr>
                <w:sz w:val="21"/>
                <w:szCs w:val="21"/>
              </w:rPr>
            </w:pPr>
            <w:hyperlink w:history="true" r:id="rId8">
              <w:r>
                <w:rPr>
                  <w:sz w:val="21"/>
                  <w:szCs w:val="21"/>
                  <w:spacing w:val="-8"/>
                </w:rPr>
                <w:t>3.2.1.1</w:t>
              </w:r>
            </w:hyperlink>
            <w:r>
              <w:rPr>
                <w:sz w:val="21"/>
                <w:szCs w:val="21"/>
                <w:spacing w:val="-8"/>
              </w:rPr>
              <w:t>带高效半导体制冷的固体检测器，在光谱</w:t>
            </w:r>
            <w:r>
              <w:rPr>
                <w:sz w:val="21"/>
                <w:szCs w:val="21"/>
              </w:rPr>
              <w:t xml:space="preserve"> </w:t>
            </w:r>
            <w:r>
              <w:rPr>
                <w:sz w:val="21"/>
                <w:szCs w:val="21"/>
                <w:spacing w:val="-3"/>
              </w:rPr>
              <w:t>仪波长范围内具有连续像素，能任意选择波长，</w:t>
            </w:r>
            <w:r>
              <w:rPr>
                <w:sz w:val="21"/>
                <w:szCs w:val="21"/>
                <w:spacing w:val="4"/>
              </w:rPr>
              <w:t xml:space="preserve"> </w:t>
            </w:r>
            <w:r>
              <w:rPr>
                <w:sz w:val="21"/>
                <w:szCs w:val="21"/>
                <w:spacing w:val="5"/>
              </w:rPr>
              <w:t>且具有天然的防溢出功能设计；</w:t>
            </w:r>
          </w:p>
          <w:p>
            <w:pPr>
              <w:pStyle w:val="TableText"/>
              <w:ind w:left="92" w:hanging="19"/>
              <w:spacing w:before="1" w:line="211" w:lineRule="auto"/>
              <w:rPr>
                <w:sz w:val="21"/>
                <w:szCs w:val="21"/>
              </w:rPr>
            </w:pPr>
            <w:hyperlink w:history="true" r:id="rId9">
              <w:r>
                <w:rPr>
                  <w:sz w:val="21"/>
                  <w:szCs w:val="21"/>
                  <w:spacing w:val="-9"/>
                </w:rPr>
                <w:t>3.2.1.2</w:t>
              </w:r>
            </w:hyperlink>
            <w:r>
              <w:rPr>
                <w:sz w:val="21"/>
                <w:szCs w:val="21"/>
                <w:spacing w:val="-9"/>
              </w:rPr>
              <w:t>像素：不小于4.000.000像素，提供具体证</w:t>
            </w:r>
            <w:r>
              <w:rPr>
                <w:sz w:val="21"/>
                <w:szCs w:val="21"/>
                <w:spacing w:val="10"/>
              </w:rPr>
              <w:t xml:space="preserve"> </w:t>
            </w:r>
            <w:r>
              <w:rPr>
                <w:sz w:val="21"/>
                <w:szCs w:val="21"/>
                <w:spacing w:val="23"/>
              </w:rPr>
              <w:t>明材料</w:t>
            </w:r>
            <w:r>
              <w:rPr>
                <w:sz w:val="21"/>
                <w:szCs w:val="21"/>
                <w:spacing w:val="-45"/>
              </w:rPr>
              <w:t xml:space="preserve"> </w:t>
            </w:r>
            <w:r>
              <w:rPr>
                <w:sz w:val="21"/>
                <w:szCs w:val="21"/>
                <w:spacing w:val="23"/>
              </w:rPr>
              <w:t>；</w:t>
            </w:r>
          </w:p>
          <w:p>
            <w:pPr>
              <w:pStyle w:val="TableText"/>
              <w:ind w:left="73"/>
              <w:spacing w:line="202" w:lineRule="auto"/>
              <w:rPr>
                <w:sz w:val="21"/>
                <w:szCs w:val="21"/>
              </w:rPr>
            </w:pPr>
            <w:hyperlink w:history="true" r:id="rId10">
              <w:r>
                <w:rPr>
                  <w:sz w:val="21"/>
                  <w:szCs w:val="21"/>
                  <w:spacing w:val="1"/>
                </w:rPr>
                <w:t>3.2.1.3</w:t>
              </w:r>
            </w:hyperlink>
            <w:r>
              <w:rPr>
                <w:sz w:val="21"/>
                <w:szCs w:val="21"/>
                <w:spacing w:val="1"/>
              </w:rPr>
              <w:t>像素分辨率：≤0.002</w:t>
            </w:r>
            <w:r>
              <w:rPr>
                <w:sz w:val="21"/>
                <w:szCs w:val="21"/>
              </w:rPr>
              <w:t>nm</w:t>
            </w:r>
            <w:r>
              <w:rPr>
                <w:sz w:val="21"/>
                <w:szCs w:val="21"/>
                <w:spacing w:val="1"/>
              </w:rPr>
              <w:t>;</w:t>
            </w:r>
          </w:p>
          <w:p>
            <w:pPr>
              <w:pStyle w:val="TableText"/>
              <w:ind w:left="112" w:hanging="39"/>
              <w:spacing w:line="215" w:lineRule="auto"/>
              <w:rPr>
                <w:sz w:val="21"/>
                <w:szCs w:val="21"/>
              </w:rPr>
            </w:pPr>
            <w:hyperlink w:history="true" r:id="rId11">
              <w:r>
                <w:rPr>
                  <w:sz w:val="21"/>
                  <w:szCs w:val="21"/>
                  <w:spacing w:val="-6"/>
                </w:rPr>
                <w:t>3.2.1.4</w:t>
              </w:r>
            </w:hyperlink>
            <w:r>
              <w:rPr>
                <w:sz w:val="21"/>
                <w:szCs w:val="21"/>
                <w:spacing w:val="-6"/>
              </w:rPr>
              <w:t>检测器制冷系统：为获得最低</w:t>
            </w:r>
            <w:r>
              <w:rPr>
                <w:sz w:val="21"/>
                <w:szCs w:val="21"/>
                <w:spacing w:val="-7"/>
              </w:rPr>
              <w:t>的检测器暗</w:t>
            </w:r>
            <w:r>
              <w:rPr>
                <w:sz w:val="21"/>
                <w:szCs w:val="21"/>
              </w:rPr>
              <w:t xml:space="preserve"> </w:t>
            </w:r>
            <w:r>
              <w:rPr>
                <w:sz w:val="21"/>
                <w:szCs w:val="21"/>
                <w:spacing w:val="-1"/>
              </w:rPr>
              <w:t>电流，采用高效三级半导体制冷，工作温度：</w:t>
            </w:r>
          </w:p>
          <w:p>
            <w:pPr>
              <w:pStyle w:val="TableText"/>
              <w:ind w:left="63"/>
              <w:spacing w:before="1" w:line="211" w:lineRule="auto"/>
              <w:rPr>
                <w:sz w:val="21"/>
                <w:szCs w:val="21"/>
              </w:rPr>
            </w:pPr>
            <w:r>
              <w:rPr>
                <w:sz w:val="21"/>
                <w:szCs w:val="21"/>
                <w:spacing w:val="6"/>
              </w:rPr>
              <w:t>&lt;-45℃.提供具体证明材料；</w:t>
            </w:r>
          </w:p>
          <w:p>
            <w:pPr>
              <w:pStyle w:val="TableText"/>
              <w:ind w:left="83"/>
              <w:spacing w:before="1" w:line="210" w:lineRule="auto"/>
              <w:rPr>
                <w:sz w:val="21"/>
                <w:szCs w:val="21"/>
              </w:rPr>
            </w:pPr>
            <w:r>
              <w:rPr>
                <w:sz w:val="21"/>
                <w:szCs w:val="21"/>
                <w:spacing w:val="-1"/>
              </w:rPr>
              <w:t>3.2.2光学系统：恒温驱气型中阶梯分光系统</w:t>
            </w:r>
          </w:p>
          <w:p>
            <w:pPr>
              <w:pStyle w:val="TableText"/>
              <w:ind w:left="71" w:hanging="19"/>
              <w:spacing w:before="4" w:line="210" w:lineRule="auto"/>
              <w:rPr>
                <w:sz w:val="21"/>
                <w:szCs w:val="21"/>
              </w:rPr>
            </w:pPr>
            <w:hyperlink w:history="true" r:id="rId12">
              <w:r>
                <w:rPr>
                  <w:sz w:val="21"/>
                  <w:szCs w:val="21"/>
                  <w:spacing w:val="-13"/>
                </w:rPr>
                <w:t>3.2.2.1</w:t>
              </w:r>
            </w:hyperlink>
            <w:r>
              <w:rPr>
                <w:sz w:val="21"/>
                <w:szCs w:val="21"/>
                <w:spacing w:val="-13"/>
              </w:rPr>
              <w:t>单色器：中阶梯光栅和棱镜二</w:t>
            </w:r>
            <w:r>
              <w:rPr>
                <w:sz w:val="21"/>
                <w:szCs w:val="21"/>
                <w:spacing w:val="-14"/>
              </w:rPr>
              <w:t>维色散系统，</w:t>
            </w:r>
            <w:r>
              <w:rPr>
                <w:sz w:val="21"/>
                <w:szCs w:val="21"/>
              </w:rPr>
              <w:t xml:space="preserve"> </w:t>
            </w:r>
            <w:r>
              <w:rPr>
                <w:sz w:val="21"/>
                <w:szCs w:val="21"/>
                <w:spacing w:val="-7"/>
              </w:rPr>
              <w:t>高能量，为保证仪器测试的稳定性，光栅和棱镜</w:t>
            </w:r>
            <w:r>
              <w:rPr>
                <w:sz w:val="21"/>
                <w:szCs w:val="21"/>
                <w:spacing w:val="2"/>
              </w:rPr>
              <w:t xml:space="preserve">  </w:t>
            </w:r>
            <w:r>
              <w:rPr>
                <w:sz w:val="21"/>
                <w:szCs w:val="21"/>
                <w:spacing w:val="-7"/>
              </w:rPr>
              <w:t>等内光路部件位置固定不动，在光谱仪全波长范</w:t>
            </w:r>
            <w:r>
              <w:rPr>
                <w:sz w:val="21"/>
                <w:szCs w:val="21"/>
                <w:spacing w:val="3"/>
              </w:rPr>
              <w:t xml:space="preserve">  </w:t>
            </w:r>
            <w:r>
              <w:rPr>
                <w:sz w:val="21"/>
                <w:szCs w:val="21"/>
                <w:spacing w:val="4"/>
              </w:rPr>
              <w:t>围内一次曝光同时测定所有元素；</w:t>
            </w:r>
          </w:p>
          <w:p>
            <w:pPr>
              <w:pStyle w:val="TableText"/>
              <w:ind w:left="73"/>
              <w:spacing w:before="1" w:line="199" w:lineRule="auto"/>
              <w:rPr>
                <w:sz w:val="21"/>
                <w:szCs w:val="21"/>
              </w:rPr>
            </w:pPr>
            <w:hyperlink w:history="true" r:id="rId13">
              <w:r>
                <w:rPr>
                  <w:sz w:val="21"/>
                  <w:szCs w:val="21"/>
                  <w:spacing w:val="1"/>
                </w:rPr>
                <w:t>3.2.2.2</w:t>
              </w:r>
            </w:hyperlink>
            <w:r>
              <w:rPr>
                <w:sz w:val="21"/>
                <w:szCs w:val="21"/>
                <w:spacing w:val="1"/>
              </w:rPr>
              <w:t>光室：带精密光室恒温38℃±0.1℃</w:t>
            </w:r>
          </w:p>
          <w:p>
            <w:pPr>
              <w:pStyle w:val="TableText"/>
              <w:ind w:left="92" w:right="69" w:hanging="19"/>
              <w:spacing w:before="1" w:line="206" w:lineRule="auto"/>
              <w:rPr>
                <w:sz w:val="21"/>
                <w:szCs w:val="21"/>
              </w:rPr>
            </w:pPr>
            <w:hyperlink w:history="true" r:id="rId14">
              <w:r>
                <w:rPr>
                  <w:sz w:val="21"/>
                  <w:szCs w:val="21"/>
                  <w:spacing w:val="-1"/>
                </w:rPr>
                <w:t>3.2.2.3</w:t>
              </w:r>
            </w:hyperlink>
            <w:r>
              <w:rPr>
                <w:sz w:val="21"/>
                <w:szCs w:val="21"/>
                <w:spacing w:val="-1"/>
              </w:rPr>
              <w:t>波长范围：167-820nm,全波长覆盖，可</w:t>
            </w:r>
            <w:r>
              <w:rPr>
                <w:sz w:val="21"/>
                <w:szCs w:val="21"/>
                <w:spacing w:val="15"/>
              </w:rPr>
              <w:t xml:space="preserve"> </w:t>
            </w:r>
            <w:r>
              <w:rPr>
                <w:sz w:val="21"/>
                <w:szCs w:val="21"/>
                <w:spacing w:val="-1"/>
              </w:rPr>
              <w:t>测   Al167.079nm</w:t>
            </w:r>
            <w:r>
              <w:rPr>
                <w:sz w:val="21"/>
                <w:szCs w:val="21"/>
                <w:spacing w:val="5"/>
              </w:rPr>
              <w:t xml:space="preserve">           </w:t>
            </w:r>
            <w:r>
              <w:rPr>
                <w:sz w:val="21"/>
                <w:szCs w:val="21"/>
                <w:spacing w:val="-1"/>
                <w:position w:val="-1"/>
              </w:rPr>
              <w:t>P178.2nm</w:t>
            </w:r>
          </w:p>
          <w:p>
            <w:pPr>
              <w:pStyle w:val="TableText"/>
              <w:ind w:left="73"/>
              <w:spacing w:before="1" w:line="213" w:lineRule="auto"/>
              <w:rPr>
                <w:sz w:val="21"/>
                <w:szCs w:val="21"/>
              </w:rPr>
            </w:pPr>
            <w:r>
              <w:rPr>
                <w:sz w:val="21"/>
                <w:szCs w:val="21"/>
                <w:spacing w:val="4"/>
              </w:rPr>
              <w:t>B182.6</w:t>
            </w:r>
            <w:r>
              <w:rPr>
                <w:sz w:val="21"/>
                <w:szCs w:val="21"/>
              </w:rPr>
              <w:t>nm</w:t>
            </w:r>
            <w:r>
              <w:rPr>
                <w:sz w:val="21"/>
                <w:szCs w:val="21"/>
                <w:spacing w:val="4"/>
              </w:rPr>
              <w:t>,</w:t>
            </w:r>
            <w:r>
              <w:rPr>
                <w:sz w:val="21"/>
                <w:szCs w:val="21"/>
              </w:rPr>
              <w:t>Na</w:t>
            </w:r>
            <w:r>
              <w:rPr>
                <w:sz w:val="21"/>
                <w:szCs w:val="21"/>
                <w:spacing w:val="4"/>
              </w:rPr>
              <w:t>818.326</w:t>
            </w:r>
            <w:r>
              <w:rPr>
                <w:sz w:val="21"/>
                <w:szCs w:val="21"/>
              </w:rPr>
              <w:t>nm</w:t>
            </w:r>
            <w:r>
              <w:rPr>
                <w:sz w:val="21"/>
                <w:szCs w:val="21"/>
                <w:spacing w:val="4"/>
              </w:rPr>
              <w:t>,提供具体证明材料；</w:t>
            </w:r>
          </w:p>
          <w:p>
            <w:pPr>
              <w:pStyle w:val="TableText"/>
              <w:ind w:left="73"/>
              <w:spacing w:line="219" w:lineRule="auto"/>
              <w:rPr>
                <w:sz w:val="21"/>
                <w:szCs w:val="21"/>
              </w:rPr>
            </w:pPr>
            <w:hyperlink w:history="true" r:id="rId15">
              <w:r>
                <w:rPr>
                  <w:sz w:val="21"/>
                  <w:szCs w:val="21"/>
                </w:rPr>
                <w:t>3.2.2.4</w:t>
              </w:r>
            </w:hyperlink>
            <w:r>
              <w:rPr>
                <w:sz w:val="21"/>
                <w:szCs w:val="21"/>
              </w:rPr>
              <w:t>光学分辨率(FHW):As189.042nm半峰</w:t>
            </w:r>
          </w:p>
          <w:p>
            <w:pPr>
              <w:pStyle w:val="TableText"/>
              <w:ind w:left="102"/>
              <w:spacing w:before="8" w:line="196" w:lineRule="auto"/>
              <w:rPr>
                <w:sz w:val="21"/>
                <w:szCs w:val="21"/>
              </w:rPr>
            </w:pPr>
            <w:r>
              <w:rPr>
                <w:sz w:val="21"/>
                <w:szCs w:val="21"/>
                <w:spacing w:val="2"/>
              </w:rPr>
              <w:t>宽&lt;0.007</w:t>
            </w:r>
            <w:r>
              <w:rPr>
                <w:sz w:val="21"/>
                <w:szCs w:val="21"/>
              </w:rPr>
              <w:t>nm</w:t>
            </w:r>
            <w:r>
              <w:rPr>
                <w:sz w:val="21"/>
                <w:szCs w:val="21"/>
                <w:spacing w:val="2"/>
              </w:rPr>
              <w:t>,</w:t>
            </w:r>
            <w:r>
              <w:rPr>
                <w:sz w:val="21"/>
                <w:szCs w:val="21"/>
              </w:rPr>
              <w:t>Ca</w:t>
            </w:r>
            <w:r>
              <w:rPr>
                <w:sz w:val="21"/>
                <w:szCs w:val="21"/>
                <w:spacing w:val="2"/>
              </w:rPr>
              <w:t>393.366</w:t>
            </w:r>
            <w:r>
              <w:rPr>
                <w:sz w:val="21"/>
                <w:szCs w:val="21"/>
              </w:rPr>
              <w:t>nm</w:t>
            </w:r>
            <w:r>
              <w:rPr>
                <w:sz w:val="21"/>
                <w:szCs w:val="21"/>
                <w:spacing w:val="2"/>
              </w:rPr>
              <w:t>半峰宽&lt;0.017</w:t>
            </w:r>
            <w:r>
              <w:rPr>
                <w:sz w:val="21"/>
                <w:szCs w:val="21"/>
              </w:rPr>
              <w:t>nm</w:t>
            </w:r>
            <w:r>
              <w:rPr>
                <w:sz w:val="21"/>
                <w:szCs w:val="21"/>
                <w:spacing w:val="2"/>
              </w:rPr>
              <w:t>,</w:t>
            </w:r>
          </w:p>
          <w:p>
            <w:pPr>
              <w:pStyle w:val="TableText"/>
              <w:ind w:left="73" w:right="70"/>
              <w:spacing w:before="3" w:line="210" w:lineRule="auto"/>
              <w:rPr>
                <w:sz w:val="21"/>
                <w:szCs w:val="21"/>
              </w:rPr>
            </w:pPr>
            <w:r>
              <w:rPr>
                <w:sz w:val="21"/>
                <w:szCs w:val="21"/>
              </w:rPr>
              <w:t>Ba614.172半峰宽&lt;0.024nm.K766.490</w:t>
            </w:r>
            <w:r>
              <w:rPr>
                <w:sz w:val="21"/>
                <w:szCs w:val="21"/>
                <w:spacing w:val="-1"/>
              </w:rPr>
              <w:t>nm半峰宽</w:t>
            </w:r>
            <w:r>
              <w:rPr>
                <w:sz w:val="21"/>
                <w:szCs w:val="21"/>
              </w:rPr>
              <w:t xml:space="preserve">  </w:t>
            </w:r>
            <w:r>
              <w:rPr>
                <w:sz w:val="21"/>
                <w:szCs w:val="21"/>
                <w:spacing w:val="-1"/>
              </w:rPr>
              <w:t>&lt;0.035nm(分辨率和检出限指标须在相同条件获</w:t>
            </w:r>
            <w:r>
              <w:rPr>
                <w:sz w:val="21"/>
                <w:szCs w:val="21"/>
                <w:spacing w:val="10"/>
              </w:rPr>
              <w:t xml:space="preserve"> </w:t>
            </w:r>
            <w:r>
              <w:rPr>
                <w:sz w:val="21"/>
                <w:szCs w:val="21"/>
                <w:spacing w:val="10"/>
              </w:rPr>
              <w:t>得),并提供证明材料；</w:t>
            </w:r>
          </w:p>
          <w:p>
            <w:pPr>
              <w:pStyle w:val="TableText"/>
              <w:ind w:left="92" w:right="69" w:hanging="19"/>
              <w:spacing w:before="1" w:line="215" w:lineRule="auto"/>
              <w:rPr>
                <w:sz w:val="21"/>
                <w:szCs w:val="21"/>
              </w:rPr>
            </w:pPr>
            <w:hyperlink w:history="true" r:id="rId16">
              <w:r>
                <w:rPr>
                  <w:sz w:val="21"/>
                  <w:szCs w:val="21"/>
                  <w:spacing w:val="-1"/>
                </w:rPr>
                <w:t>3.2.2.5</w:t>
              </w:r>
            </w:hyperlink>
            <w:r>
              <w:rPr>
                <w:sz w:val="21"/>
                <w:szCs w:val="21"/>
                <w:spacing w:val="-1"/>
              </w:rPr>
              <w:t>为保证光学系统的稳定性和最佳的光通</w:t>
            </w:r>
            <w:r>
              <w:rPr>
                <w:sz w:val="21"/>
                <w:szCs w:val="21"/>
                <w:spacing w:val="10"/>
              </w:rPr>
              <w:t xml:space="preserve"> </w:t>
            </w:r>
            <w:r>
              <w:rPr>
                <w:sz w:val="21"/>
                <w:szCs w:val="21"/>
                <w:spacing w:val="-1"/>
              </w:rPr>
              <w:t>量，焦距&lt;300mm。</w:t>
            </w:r>
          </w:p>
          <w:p>
            <w:pPr>
              <w:pStyle w:val="TableText"/>
              <w:ind w:left="93"/>
              <w:spacing w:before="1" w:line="193" w:lineRule="auto"/>
              <w:rPr>
                <w:sz w:val="21"/>
                <w:szCs w:val="21"/>
              </w:rPr>
            </w:pPr>
            <w:r>
              <w:rPr>
                <w:sz w:val="21"/>
                <w:szCs w:val="21"/>
              </w:rPr>
              <w:t>3.2.3等离子体：</w:t>
            </w:r>
          </w:p>
          <w:p>
            <w:pPr>
              <w:pStyle w:val="TableText"/>
              <w:ind w:left="73"/>
              <w:spacing w:before="3" w:line="213" w:lineRule="auto"/>
              <w:rPr>
                <w:sz w:val="21"/>
                <w:szCs w:val="21"/>
              </w:rPr>
            </w:pPr>
            <w:hyperlink w:history="true" r:id="rId17">
              <w:r>
                <w:rPr>
                  <w:sz w:val="21"/>
                  <w:szCs w:val="21"/>
                  <w:spacing w:val="-6"/>
                </w:rPr>
                <w:t>3.2.3.1</w:t>
              </w:r>
            </w:hyperlink>
            <w:r>
              <w:rPr>
                <w:sz w:val="21"/>
                <w:szCs w:val="21"/>
                <w:spacing w:val="-6"/>
              </w:rPr>
              <w:t>等离子体观察方式：炬管垂直</w:t>
            </w:r>
            <w:r>
              <w:rPr>
                <w:sz w:val="21"/>
                <w:szCs w:val="21"/>
                <w:spacing w:val="-7"/>
              </w:rPr>
              <w:t>放置，双向</w:t>
            </w:r>
            <w:r>
              <w:rPr>
                <w:sz w:val="21"/>
                <w:szCs w:val="21"/>
              </w:rPr>
              <w:t xml:space="preserve"> </w:t>
            </w:r>
            <w:r>
              <w:rPr>
                <w:sz w:val="21"/>
                <w:szCs w:val="21"/>
                <w:spacing w:val="-3"/>
              </w:rPr>
              <w:t>观测，在一次分析中同时给出水平和垂直观测的</w:t>
            </w:r>
            <w:r>
              <w:rPr>
                <w:sz w:val="21"/>
                <w:szCs w:val="21"/>
                <w:spacing w:val="8"/>
              </w:rPr>
              <w:t xml:space="preserve"> </w:t>
            </w:r>
            <w:r>
              <w:rPr>
                <w:sz w:val="21"/>
                <w:szCs w:val="21"/>
              </w:rPr>
              <w:t>结</w:t>
            </w:r>
            <w:r>
              <w:rPr>
                <w:sz w:val="21"/>
                <w:szCs w:val="21"/>
                <w:spacing w:val="-8"/>
              </w:rPr>
              <w:t xml:space="preserve"> </w:t>
            </w:r>
            <w:r>
              <w:rPr>
                <w:sz w:val="21"/>
                <w:szCs w:val="21"/>
              </w:rPr>
              <w:t>果</w:t>
            </w:r>
            <w:r>
              <w:rPr>
                <w:sz w:val="21"/>
                <w:szCs w:val="21"/>
                <w:spacing w:val="-22"/>
              </w:rPr>
              <w:t xml:space="preserve"> </w:t>
            </w:r>
            <w:r>
              <w:rPr>
                <w:sz w:val="21"/>
                <w:szCs w:val="21"/>
              </w:rPr>
              <w:t>；</w:t>
            </w:r>
          </w:p>
          <w:p>
            <w:pPr>
              <w:pStyle w:val="TableText"/>
              <w:ind w:left="92" w:hanging="19"/>
              <w:spacing w:line="208" w:lineRule="auto"/>
              <w:rPr>
                <w:sz w:val="21"/>
                <w:szCs w:val="21"/>
              </w:rPr>
            </w:pPr>
            <w:hyperlink w:history="true" r:id="rId18">
              <w:r>
                <w:rPr>
                  <w:sz w:val="21"/>
                  <w:szCs w:val="21"/>
                  <w:spacing w:val="-2"/>
                </w:rPr>
                <w:t>3.2.3.2</w:t>
              </w:r>
            </w:hyperlink>
            <w:r>
              <w:rPr>
                <w:sz w:val="21"/>
                <w:szCs w:val="21"/>
                <w:spacing w:val="-2"/>
              </w:rPr>
              <w:t xml:space="preserve"> RF发生器：固态发生器，直接耦合、自</w:t>
            </w:r>
            <w:r>
              <w:rPr>
                <w:sz w:val="21"/>
                <w:szCs w:val="21"/>
                <w:spacing w:val="2"/>
              </w:rPr>
              <w:t xml:space="preserve"> </w:t>
            </w:r>
            <w:r>
              <w:rPr>
                <w:sz w:val="21"/>
                <w:szCs w:val="21"/>
                <w:spacing w:val="-5"/>
              </w:rPr>
              <w:t>动调谐，变频，无匹配箱设计，等离子体线圈具</w:t>
            </w:r>
            <w:r>
              <w:rPr>
                <w:sz w:val="21"/>
                <w:szCs w:val="21"/>
                <w:spacing w:val="10"/>
              </w:rPr>
              <w:t xml:space="preserve"> </w:t>
            </w:r>
            <w:r>
              <w:rPr>
                <w:sz w:val="21"/>
                <w:szCs w:val="21"/>
                <w:spacing w:val="4"/>
              </w:rPr>
              <w:t>有聚四氟乙烯保护层设计，防腐蚀，免维护；</w:t>
            </w:r>
          </w:p>
          <w:p>
            <w:pPr>
              <w:pStyle w:val="TableText"/>
              <w:ind w:left="73"/>
              <w:spacing w:before="1" w:line="181" w:lineRule="auto"/>
              <w:rPr>
                <w:sz w:val="21"/>
                <w:szCs w:val="21"/>
              </w:rPr>
            </w:pPr>
            <w:hyperlink w:history="true" r:id="rId19">
              <w:r>
                <w:rPr>
                  <w:sz w:val="21"/>
                  <w:szCs w:val="21"/>
                  <w:spacing w:val="2"/>
                </w:rPr>
                <w:t>3.2.3.3</w:t>
              </w:r>
            </w:hyperlink>
            <w:r>
              <w:rPr>
                <w:sz w:val="21"/>
                <w:szCs w:val="21"/>
                <w:spacing w:val="2"/>
              </w:rPr>
              <w:t>频率：27.12</w:t>
            </w:r>
            <w:r>
              <w:rPr>
                <w:sz w:val="21"/>
                <w:szCs w:val="21"/>
              </w:rPr>
              <w:t>MHZ</w:t>
            </w:r>
            <w:r>
              <w:rPr>
                <w:sz w:val="21"/>
                <w:szCs w:val="21"/>
                <w:spacing w:val="2"/>
              </w:rPr>
              <w:t>;</w:t>
            </w:r>
          </w:p>
        </w:tc>
        <w:tc>
          <w:tcPr>
            <w:tcW w:w="799" w:type="dxa"/>
            <w:vAlign w:val="top"/>
          </w:tcPr>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spacing w:line="248" w:lineRule="auto"/>
              <w:rPr>
                <w:rFonts w:ascii="Arial"/>
                <w:sz w:val="21"/>
              </w:rPr>
            </w:pPr>
            <w:r/>
          </w:p>
          <w:p>
            <w:pPr>
              <w:pStyle w:val="TableText"/>
              <w:ind w:left="188"/>
              <w:spacing w:before="68" w:line="233" w:lineRule="auto"/>
              <w:rPr>
                <w:sz w:val="21"/>
                <w:szCs w:val="21"/>
              </w:rPr>
            </w:pPr>
            <w:r>
              <w:rPr>
                <w:sz w:val="21"/>
                <w:szCs w:val="21"/>
                <w:spacing w:val="-3"/>
              </w:rPr>
              <w:t>赛默</w:t>
            </w:r>
          </w:p>
          <w:p>
            <w:pPr>
              <w:pStyle w:val="TableText"/>
              <w:ind w:left="188"/>
              <w:spacing w:line="189" w:lineRule="auto"/>
              <w:rPr>
                <w:sz w:val="21"/>
                <w:szCs w:val="21"/>
              </w:rPr>
            </w:pPr>
            <w:r>
              <w:rPr>
                <w:sz w:val="21"/>
                <w:szCs w:val="21"/>
                <w:spacing w:val="4"/>
              </w:rPr>
              <w:t>飞世</w:t>
            </w:r>
          </w:p>
          <w:p>
            <w:pPr>
              <w:pStyle w:val="TableText"/>
              <w:ind w:left="188"/>
              <w:spacing w:line="218" w:lineRule="auto"/>
              <w:rPr>
                <w:sz w:val="21"/>
                <w:szCs w:val="21"/>
              </w:rPr>
            </w:pPr>
            <w:r>
              <w:rPr>
                <w:sz w:val="21"/>
                <w:szCs w:val="21"/>
                <w:spacing w:val="-4"/>
              </w:rPr>
              <w:t>尔科</w:t>
            </w:r>
          </w:p>
          <w:p>
            <w:pPr>
              <w:pStyle w:val="TableText"/>
              <w:ind w:left="288"/>
              <w:spacing w:before="3" w:line="221" w:lineRule="auto"/>
              <w:rPr>
                <w:sz w:val="21"/>
                <w:szCs w:val="21"/>
              </w:rPr>
            </w:pPr>
            <w:r>
              <w:rPr>
                <w:sz w:val="21"/>
                <w:szCs w:val="21"/>
              </w:rPr>
              <w:t>技</w:t>
            </w:r>
          </w:p>
        </w:tc>
        <w:tc>
          <w:tcPr>
            <w:tcW w:w="854" w:type="dxa"/>
            <w:vAlign w:val="top"/>
          </w:tcPr>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1"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spacing w:line="242" w:lineRule="auto"/>
              <w:rPr>
                <w:rFonts w:ascii="Arial"/>
                <w:sz w:val="21"/>
              </w:rPr>
            </w:pPr>
            <w:r/>
          </w:p>
          <w:p>
            <w:pPr>
              <w:pStyle w:val="TableText"/>
              <w:ind w:left="209"/>
              <w:spacing w:before="68" w:line="222" w:lineRule="auto"/>
              <w:rPr>
                <w:sz w:val="21"/>
                <w:szCs w:val="21"/>
              </w:rPr>
            </w:pPr>
            <w:r>
              <w:rPr>
                <w:sz w:val="21"/>
                <w:szCs w:val="21"/>
                <w:spacing w:val="10"/>
              </w:rPr>
              <w:t>德国</w:t>
            </w:r>
          </w:p>
        </w:tc>
      </w:tr>
    </w:tbl>
    <w:p>
      <w:pPr>
        <w:pStyle w:val="BodyText"/>
        <w:rPr/>
      </w:pPr>
      <w:r/>
    </w:p>
    <w:p>
      <w:pPr>
        <w:sectPr>
          <w:pgSz w:w="12170" w:h="17020"/>
          <w:pgMar w:top="1446" w:right="1724" w:bottom="0" w:left="1825" w:header="0" w:footer="0" w:gutter="0"/>
        </w:sectPr>
        <w:rPr/>
      </w:pPr>
    </w:p>
    <w:p>
      <w:pPr>
        <w:spacing w:line="188" w:lineRule="exact"/>
        <w:rPr/>
      </w:pPr>
      <w:r/>
    </w:p>
    <w:tbl>
      <w:tblPr>
        <w:tblStyle w:val="TableNormal"/>
        <w:tblW w:w="8599" w:type="dxa"/>
        <w:tblInd w:w="33" w:type="dxa"/>
        <w:tblLayout w:type="fixed"/>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tblGrid>
        <w:gridCol w:w="434"/>
        <w:gridCol w:w="629"/>
        <w:gridCol w:w="629"/>
        <w:gridCol w:w="799"/>
        <w:gridCol w:w="4445"/>
        <w:gridCol w:w="799"/>
        <w:gridCol w:w="864"/>
      </w:tblGrid>
      <w:tr>
        <w:trPr>
          <w:trHeight w:val="13920" w:hRule="atLeast"/>
        </w:trPr>
        <w:tc>
          <w:tcPr>
            <w:tcW w:w="434" w:type="dxa"/>
            <w:vAlign w:val="top"/>
          </w:tcPr>
          <w:p>
            <w:pPr>
              <w:rPr>
                <w:rFonts w:ascii="Arial"/>
                <w:sz w:val="21"/>
              </w:rPr>
            </w:pPr>
            <w:r/>
          </w:p>
        </w:tc>
        <w:tc>
          <w:tcPr>
            <w:tcW w:w="629" w:type="dxa"/>
            <w:vAlign w:val="top"/>
          </w:tcPr>
          <w:p>
            <w:pPr>
              <w:rPr>
                <w:rFonts w:ascii="Arial"/>
                <w:sz w:val="21"/>
              </w:rPr>
            </w:pPr>
            <w:r/>
          </w:p>
        </w:tc>
        <w:tc>
          <w:tcPr>
            <w:tcW w:w="629" w:type="dxa"/>
            <w:vAlign w:val="top"/>
          </w:tcPr>
          <w:p>
            <w:pPr>
              <w:rPr>
                <w:rFonts w:ascii="Arial"/>
                <w:sz w:val="21"/>
              </w:rPr>
            </w:pPr>
            <w:r/>
          </w:p>
        </w:tc>
        <w:tc>
          <w:tcPr>
            <w:tcW w:w="799" w:type="dxa"/>
            <w:vAlign w:val="top"/>
          </w:tcPr>
          <w:p>
            <w:pPr>
              <w:rPr>
                <w:rFonts w:ascii="Arial"/>
                <w:sz w:val="21"/>
              </w:rPr>
            </w:pPr>
            <w:r/>
          </w:p>
        </w:tc>
        <w:tc>
          <w:tcPr>
            <w:tcW w:w="4445" w:type="dxa"/>
            <w:vAlign w:val="top"/>
          </w:tcPr>
          <w:p>
            <w:pPr>
              <w:pStyle w:val="TableText"/>
              <w:ind w:left="63"/>
              <w:spacing w:before="12" w:line="212" w:lineRule="auto"/>
              <w:rPr>
                <w:sz w:val="20"/>
                <w:szCs w:val="20"/>
              </w:rPr>
            </w:pPr>
            <w:hyperlink w:history="true" r:id="rId20">
              <w:r>
                <w:rPr>
                  <w:sz w:val="20"/>
                  <w:szCs w:val="20"/>
                  <w:spacing w:val="2"/>
                </w:rPr>
                <w:t>3.2.3.4</w:t>
              </w:r>
            </w:hyperlink>
            <w:r>
              <w:rPr>
                <w:sz w:val="20"/>
                <w:szCs w:val="20"/>
                <w:spacing w:val="2"/>
              </w:rPr>
              <w:t xml:space="preserve"> </w:t>
            </w:r>
            <w:r>
              <w:rPr>
                <w:sz w:val="20"/>
                <w:szCs w:val="20"/>
              </w:rPr>
              <w:t>RF</w:t>
            </w:r>
            <w:r>
              <w:rPr>
                <w:sz w:val="20"/>
                <w:szCs w:val="20"/>
                <w:spacing w:val="2"/>
              </w:rPr>
              <w:t>功率≥1300W;</w:t>
            </w:r>
          </w:p>
          <w:p>
            <w:pPr>
              <w:pStyle w:val="TableText"/>
              <w:ind w:left="82" w:right="317" w:hanging="19"/>
              <w:spacing w:before="1" w:line="221" w:lineRule="auto"/>
              <w:rPr>
                <w:sz w:val="20"/>
                <w:szCs w:val="20"/>
              </w:rPr>
            </w:pPr>
            <w:hyperlink w:history="true" r:id="rId21">
              <w:r>
                <w:rPr>
                  <w:sz w:val="20"/>
                  <w:szCs w:val="20"/>
                </w:rPr>
                <w:t>3.2.3.5</w:t>
              </w:r>
            </w:hyperlink>
            <w:r>
              <w:rPr>
                <w:sz w:val="20"/>
                <w:szCs w:val="20"/>
              </w:rPr>
              <w:t>气路控制：配置3路高精度质量流量计</w:t>
            </w:r>
            <w:r>
              <w:rPr>
                <w:sz w:val="20"/>
                <w:szCs w:val="20"/>
                <w:spacing w:val="7"/>
              </w:rPr>
              <w:t xml:space="preserve"> </w:t>
            </w:r>
            <w:r>
              <w:rPr>
                <w:sz w:val="20"/>
                <w:szCs w:val="20"/>
                <w:spacing w:val="1"/>
              </w:rPr>
              <w:t>由</w:t>
            </w:r>
            <w:r>
              <w:rPr>
                <w:sz w:val="20"/>
                <w:szCs w:val="20"/>
              </w:rPr>
              <w:t>ICPOES</w:t>
            </w:r>
            <w:r>
              <w:rPr>
                <w:sz w:val="20"/>
                <w:szCs w:val="20"/>
                <w:spacing w:val="1"/>
              </w:rPr>
              <w:t>软件直接控制，包括冷却气、辅助气</w:t>
            </w:r>
            <w:r>
              <w:rPr>
                <w:sz w:val="20"/>
                <w:szCs w:val="20"/>
                <w:spacing w:val="15"/>
              </w:rPr>
              <w:t xml:space="preserve"> </w:t>
            </w:r>
            <w:r>
              <w:rPr>
                <w:sz w:val="20"/>
                <w:szCs w:val="20"/>
                <w:spacing w:val="-1"/>
              </w:rPr>
              <w:t>雾化气。</w:t>
            </w:r>
          </w:p>
          <w:p>
            <w:pPr>
              <w:pStyle w:val="TableText"/>
              <w:ind w:left="72" w:right="70" w:hanging="9"/>
              <w:spacing w:before="1" w:line="220" w:lineRule="auto"/>
              <w:rPr>
                <w:sz w:val="20"/>
                <w:szCs w:val="20"/>
              </w:rPr>
            </w:pPr>
            <w:hyperlink w:history="true" r:id="rId22">
              <w:r>
                <w:rPr>
                  <w:sz w:val="20"/>
                  <w:szCs w:val="20"/>
                </w:rPr>
                <w:t>3.2.3.6</w:t>
              </w:r>
            </w:hyperlink>
            <w:r>
              <w:rPr>
                <w:sz w:val="20"/>
                <w:szCs w:val="20"/>
              </w:rPr>
              <w:t>尾焰处理技术：采用锥内反吹氩气技术， </w:t>
            </w:r>
            <w:r>
              <w:rPr>
                <w:sz w:val="20"/>
                <w:szCs w:val="20"/>
                <w:spacing w:val="-1"/>
              </w:rPr>
              <w:t>避免使用空气切割等技术对紫外区谱线灵敏度</w:t>
            </w:r>
          </w:p>
          <w:p>
            <w:pPr>
              <w:pStyle w:val="TableText"/>
              <w:ind w:left="73" w:right="168"/>
              <w:spacing w:before="10" w:line="221" w:lineRule="auto"/>
              <w:rPr>
                <w:sz w:val="20"/>
                <w:szCs w:val="20"/>
              </w:rPr>
            </w:pPr>
            <w:r>
              <w:rPr>
                <w:sz w:val="20"/>
                <w:szCs w:val="20"/>
                <w:spacing w:val="-1"/>
              </w:rPr>
              <w:t>造成损失，如使用氮气或氩气等气体切割，为节</w:t>
            </w:r>
            <w:r>
              <w:rPr>
                <w:sz w:val="20"/>
                <w:szCs w:val="20"/>
                <w:spacing w:val="13"/>
              </w:rPr>
              <w:t xml:space="preserve"> </w:t>
            </w:r>
            <w:r>
              <w:rPr>
                <w:sz w:val="20"/>
                <w:szCs w:val="20"/>
                <w:spacing w:val="-1"/>
              </w:rPr>
              <w:t>省成本，需提供高纯氮气发生器一套。提供具体</w:t>
            </w:r>
            <w:r>
              <w:rPr>
                <w:sz w:val="20"/>
                <w:szCs w:val="20"/>
                <w:spacing w:val="9"/>
              </w:rPr>
              <w:t xml:space="preserve"> </w:t>
            </w:r>
            <w:r>
              <w:rPr>
                <w:sz w:val="20"/>
                <w:szCs w:val="20"/>
                <w:spacing w:val="1"/>
              </w:rPr>
              <w:t>证明材料。</w:t>
            </w:r>
          </w:p>
          <w:p>
            <w:pPr>
              <w:pStyle w:val="TableText"/>
              <w:ind w:left="83"/>
              <w:spacing w:before="34" w:line="193" w:lineRule="auto"/>
              <w:rPr>
                <w:sz w:val="20"/>
                <w:szCs w:val="20"/>
              </w:rPr>
            </w:pPr>
            <w:r>
              <w:rPr>
                <w:sz w:val="20"/>
                <w:szCs w:val="20"/>
              </w:rPr>
              <w:t>3.2.4进样系统：</w:t>
            </w:r>
          </w:p>
          <w:p>
            <w:pPr>
              <w:pStyle w:val="TableText"/>
              <w:ind w:left="73" w:right="48"/>
              <w:spacing w:before="3" w:line="223" w:lineRule="auto"/>
              <w:rPr>
                <w:sz w:val="20"/>
                <w:szCs w:val="20"/>
              </w:rPr>
            </w:pPr>
            <w:hyperlink w:history="true" r:id="rId23">
              <w:r>
                <w:rPr>
                  <w:sz w:val="20"/>
                  <w:szCs w:val="20"/>
                </w:rPr>
                <w:t>3.2.4.1</w:t>
              </w:r>
            </w:hyperlink>
            <w:r>
              <w:rPr>
                <w:sz w:val="20"/>
                <w:szCs w:val="20"/>
              </w:rPr>
              <w:t>炬管：采用无需手动连接等离子气，辅助</w:t>
            </w:r>
            <w:r>
              <w:rPr>
                <w:sz w:val="20"/>
                <w:szCs w:val="20"/>
                <w:spacing w:val="11"/>
              </w:rPr>
              <w:t xml:space="preserve"> </w:t>
            </w:r>
            <w:r>
              <w:rPr>
                <w:sz w:val="20"/>
                <w:szCs w:val="20"/>
              </w:rPr>
              <w:t>气气路的卡口式炬管设计，以方便日常更换维扩  </w:t>
            </w:r>
            <w:r>
              <w:rPr>
                <w:sz w:val="20"/>
                <w:szCs w:val="20"/>
                <w:spacing w:val="2"/>
              </w:rPr>
              <w:t>且避免多次维护导致的漏气现象；可配置多种口</w:t>
            </w:r>
            <w:r>
              <w:rPr>
                <w:sz w:val="20"/>
                <w:szCs w:val="20"/>
                <w:spacing w:val="6"/>
              </w:rPr>
              <w:t xml:space="preserve"> </w:t>
            </w:r>
            <w:r>
              <w:rPr>
                <w:sz w:val="20"/>
                <w:szCs w:val="20"/>
              </w:rPr>
              <w:t>径中心管的分体式石英炬管，用以降低炬管的后</w:t>
            </w:r>
            <w:r>
              <w:rPr>
                <w:sz w:val="20"/>
                <w:szCs w:val="20"/>
                <w:spacing w:val="7"/>
              </w:rPr>
              <w:t xml:space="preserve">  </w:t>
            </w:r>
            <w:r>
              <w:rPr>
                <w:sz w:val="20"/>
                <w:szCs w:val="20"/>
                <w:spacing w:val="20"/>
              </w:rPr>
              <w:t>期使用成本；</w:t>
            </w:r>
          </w:p>
          <w:p>
            <w:pPr>
              <w:pStyle w:val="TableText"/>
              <w:ind w:left="54"/>
              <w:spacing w:line="219" w:lineRule="auto"/>
              <w:rPr>
                <w:sz w:val="20"/>
                <w:szCs w:val="20"/>
              </w:rPr>
            </w:pPr>
            <w:hyperlink w:history="true" r:id="rId24">
              <w:r>
                <w:rPr>
                  <w:sz w:val="20"/>
                  <w:szCs w:val="20"/>
                  <w:spacing w:val="5"/>
                </w:rPr>
                <w:t>3.2.4.2</w:t>
              </w:r>
            </w:hyperlink>
            <w:r>
              <w:rPr>
                <w:sz w:val="20"/>
                <w:szCs w:val="20"/>
                <w:spacing w:val="5"/>
              </w:rPr>
              <w:t>雾化器：高效同心雾化器；</w:t>
            </w:r>
          </w:p>
          <w:p>
            <w:pPr>
              <w:pStyle w:val="TableText"/>
              <w:ind w:left="54"/>
              <w:spacing w:before="5" w:line="219" w:lineRule="auto"/>
              <w:rPr>
                <w:sz w:val="20"/>
                <w:szCs w:val="20"/>
              </w:rPr>
            </w:pPr>
            <w:hyperlink w:history="true" r:id="rId25">
              <w:r>
                <w:rPr>
                  <w:sz w:val="20"/>
                  <w:szCs w:val="20"/>
                  <w:spacing w:val="5"/>
                </w:rPr>
                <w:t>3.2.4.3</w:t>
              </w:r>
            </w:hyperlink>
            <w:r>
              <w:rPr>
                <w:sz w:val="20"/>
                <w:szCs w:val="20"/>
                <w:spacing w:val="5"/>
              </w:rPr>
              <w:t>雾化室：旋流雾化室；</w:t>
            </w:r>
          </w:p>
          <w:p>
            <w:pPr>
              <w:pStyle w:val="TableText"/>
              <w:ind w:left="63" w:right="80" w:hanging="9"/>
              <w:spacing w:line="224" w:lineRule="auto"/>
              <w:rPr>
                <w:sz w:val="20"/>
                <w:szCs w:val="20"/>
              </w:rPr>
            </w:pPr>
            <w:hyperlink w:history="true" r:id="rId26">
              <w:r>
                <w:rPr>
                  <w:sz w:val="20"/>
                  <w:szCs w:val="20"/>
                </w:rPr>
                <w:t>3.2.4.4</w:t>
              </w:r>
            </w:hyperlink>
            <w:r>
              <w:rPr>
                <w:sz w:val="20"/>
                <w:szCs w:val="20"/>
              </w:rPr>
              <w:t>废液安全在线自动监控：有废液传感器， </w:t>
            </w:r>
            <w:r>
              <w:rPr>
                <w:sz w:val="20"/>
                <w:szCs w:val="20"/>
                <w:spacing w:val="1"/>
              </w:rPr>
              <w:t>能对仪器状态进行实时自动的监控，保障数据准</w:t>
            </w:r>
            <w:r>
              <w:rPr>
                <w:sz w:val="20"/>
                <w:szCs w:val="20"/>
                <w:spacing w:val="7"/>
              </w:rPr>
              <w:t xml:space="preserve"> </w:t>
            </w:r>
            <w:r>
              <w:rPr>
                <w:sz w:val="20"/>
                <w:szCs w:val="20"/>
                <w:spacing w:val="11"/>
              </w:rPr>
              <w:t>确及仪器使用安全；</w:t>
            </w:r>
          </w:p>
          <w:p>
            <w:pPr>
              <w:pStyle w:val="TableText"/>
              <w:ind w:left="54"/>
              <w:spacing w:before="2" w:line="219" w:lineRule="auto"/>
              <w:rPr>
                <w:sz w:val="20"/>
                <w:szCs w:val="20"/>
              </w:rPr>
            </w:pPr>
            <w:hyperlink w:history="true" r:id="rId27">
              <w:r>
                <w:rPr>
                  <w:sz w:val="20"/>
                  <w:szCs w:val="20"/>
                </w:rPr>
                <w:t>3.2.4.5</w:t>
              </w:r>
            </w:hyperlink>
            <w:r>
              <w:rPr>
                <w:sz w:val="20"/>
                <w:szCs w:val="20"/>
              </w:rPr>
              <w:t>蠕动泵：12滚轮3通道蠕动</w:t>
            </w:r>
            <w:r>
              <w:rPr>
                <w:sz w:val="20"/>
                <w:szCs w:val="20"/>
                <w:spacing w:val="-1"/>
              </w:rPr>
              <w:t>泵。</w:t>
            </w:r>
          </w:p>
          <w:p>
            <w:pPr>
              <w:pStyle w:val="TableText"/>
              <w:ind w:left="63"/>
              <w:spacing w:before="23" w:line="203" w:lineRule="auto"/>
              <w:rPr>
                <w:sz w:val="20"/>
                <w:szCs w:val="20"/>
              </w:rPr>
            </w:pPr>
            <w:r>
              <w:rPr>
                <w:sz w:val="20"/>
                <w:szCs w:val="20"/>
              </w:rPr>
              <w:t>3.2.5分析软件：</w:t>
            </w:r>
          </w:p>
          <w:p>
            <w:pPr>
              <w:pStyle w:val="TableText"/>
              <w:ind w:left="54" w:right="71"/>
              <w:spacing w:line="221" w:lineRule="auto"/>
              <w:rPr>
                <w:sz w:val="20"/>
                <w:szCs w:val="20"/>
              </w:rPr>
            </w:pPr>
            <w:hyperlink w:history="true" r:id="rId28">
              <w:r>
                <w:rPr>
                  <w:sz w:val="20"/>
                  <w:szCs w:val="20"/>
                </w:rPr>
                <w:t>3.2.5.1</w:t>
              </w:r>
            </w:hyperlink>
            <w:r>
              <w:rPr>
                <w:sz w:val="20"/>
                <w:szCs w:val="20"/>
              </w:rPr>
              <w:t>基于网络化连接与控制的多任务、多用途</w:t>
            </w:r>
            <w:r>
              <w:rPr>
                <w:sz w:val="20"/>
                <w:szCs w:val="20"/>
                <w:spacing w:val="8"/>
              </w:rPr>
              <w:t xml:space="preserve"> </w:t>
            </w:r>
            <w:r>
              <w:rPr>
                <w:sz w:val="20"/>
                <w:szCs w:val="20"/>
              </w:rPr>
              <w:t>操作平台.符合21CFR Part 11的要求，具有登录  </w:t>
            </w:r>
            <w:r>
              <w:rPr>
                <w:sz w:val="20"/>
                <w:szCs w:val="20"/>
                <w:spacing w:val="2"/>
              </w:rPr>
              <w:t>口令保护，多级操作权限设置和网络安全管理，</w:t>
            </w:r>
            <w:r>
              <w:rPr>
                <w:sz w:val="20"/>
                <w:szCs w:val="20"/>
                <w:spacing w:val="6"/>
              </w:rPr>
              <w:t xml:space="preserve"> </w:t>
            </w:r>
            <w:r>
              <w:rPr>
                <w:sz w:val="20"/>
                <w:szCs w:val="20"/>
                <w:spacing w:val="4"/>
              </w:rPr>
              <w:t>具有历史记录和电子签名、自动备份等功能；</w:t>
            </w:r>
          </w:p>
          <w:p>
            <w:pPr>
              <w:pStyle w:val="TableText"/>
              <w:ind w:left="73" w:right="72"/>
              <w:spacing w:before="3" w:line="221" w:lineRule="auto"/>
              <w:rPr>
                <w:sz w:val="20"/>
                <w:szCs w:val="20"/>
              </w:rPr>
            </w:pPr>
            <w:hyperlink w:history="true" r:id="rId29">
              <w:r>
                <w:rPr>
                  <w:sz w:val="20"/>
                  <w:szCs w:val="20"/>
                  <w:spacing w:val="-1"/>
                </w:rPr>
                <w:t>3.2.5.2</w:t>
              </w:r>
            </w:hyperlink>
            <w:r>
              <w:rPr>
                <w:sz w:val="20"/>
                <w:szCs w:val="20"/>
                <w:spacing w:val="-1"/>
              </w:rPr>
              <w:t>软件操作方便、直观，具有定性、半定量</w:t>
            </w:r>
            <w:r>
              <w:rPr>
                <w:sz w:val="20"/>
                <w:szCs w:val="20"/>
                <w:spacing w:val="12"/>
              </w:rPr>
              <w:t xml:space="preserve"> </w:t>
            </w:r>
            <w:r>
              <w:rPr>
                <w:sz w:val="20"/>
                <w:szCs w:val="20"/>
                <w:spacing w:val="14"/>
              </w:rPr>
              <w:t>定量分析功能；</w:t>
            </w:r>
          </w:p>
          <w:p>
            <w:pPr>
              <w:pStyle w:val="TableText"/>
              <w:ind w:left="63"/>
              <w:spacing w:before="1" w:line="219" w:lineRule="auto"/>
              <w:rPr>
                <w:sz w:val="20"/>
                <w:szCs w:val="20"/>
              </w:rPr>
            </w:pPr>
            <w:hyperlink w:history="true" r:id="rId30">
              <w:r>
                <w:rPr>
                  <w:sz w:val="20"/>
                  <w:szCs w:val="20"/>
                </w:rPr>
                <w:t>3.2.5.3</w:t>
              </w:r>
            </w:hyperlink>
            <w:r>
              <w:rPr>
                <w:sz w:val="20"/>
                <w:szCs w:val="20"/>
              </w:rPr>
              <w:t>具有同时记录所有元素谱线的“摄谱”功</w:t>
            </w:r>
          </w:p>
          <w:p>
            <w:pPr>
              <w:pStyle w:val="TableText"/>
              <w:ind w:left="103"/>
              <w:spacing w:before="24" w:line="192" w:lineRule="auto"/>
              <w:rPr>
                <w:sz w:val="20"/>
                <w:szCs w:val="20"/>
              </w:rPr>
            </w:pPr>
            <w:r>
              <w:rPr>
                <w:sz w:val="20"/>
                <w:szCs w:val="20"/>
                <w:spacing w:val="-8"/>
              </w:rPr>
              <w:t>能</w:t>
            </w:r>
            <w:r>
              <w:rPr>
                <w:sz w:val="20"/>
                <w:szCs w:val="20"/>
                <w:spacing w:val="62"/>
              </w:rPr>
              <w:t xml:space="preserve"> </w:t>
            </w:r>
            <w:r>
              <w:rPr>
                <w:sz w:val="20"/>
                <w:szCs w:val="20"/>
                <w:spacing w:val="-8"/>
              </w:rPr>
              <w:t>；</w:t>
            </w:r>
          </w:p>
          <w:p>
            <w:pPr>
              <w:pStyle w:val="TableText"/>
              <w:ind w:left="73" w:right="263" w:hanging="19"/>
              <w:spacing w:line="225" w:lineRule="auto"/>
              <w:rPr>
                <w:sz w:val="20"/>
                <w:szCs w:val="20"/>
              </w:rPr>
            </w:pPr>
            <w:hyperlink w:history="true" r:id="rId31">
              <w:r>
                <w:rPr>
                  <w:sz w:val="20"/>
                  <w:szCs w:val="20"/>
                </w:rPr>
                <w:t>3.2.5.4</w:t>
              </w:r>
            </w:hyperlink>
            <w:r>
              <w:rPr>
                <w:sz w:val="20"/>
                <w:szCs w:val="20"/>
              </w:rPr>
              <w:t>具有元素间干扰校正技术和实时背景扣</w:t>
            </w:r>
            <w:r>
              <w:rPr>
                <w:sz w:val="20"/>
                <w:szCs w:val="20"/>
                <w:spacing w:val="16"/>
              </w:rPr>
              <w:t xml:space="preserve"> </w:t>
            </w:r>
            <w:r>
              <w:rPr>
                <w:sz w:val="20"/>
                <w:szCs w:val="20"/>
                <w:spacing w:val="7"/>
              </w:rPr>
              <w:t>除等不少于三种于扰校正技术；</w:t>
            </w:r>
          </w:p>
          <w:p>
            <w:pPr>
              <w:pStyle w:val="TableText"/>
              <w:ind w:left="73"/>
              <w:spacing w:before="13" w:line="219" w:lineRule="auto"/>
              <w:rPr>
                <w:sz w:val="20"/>
                <w:szCs w:val="20"/>
              </w:rPr>
            </w:pPr>
            <w:hyperlink w:history="true" r:id="rId32">
              <w:r>
                <w:rPr>
                  <w:sz w:val="20"/>
                  <w:szCs w:val="20"/>
                </w:rPr>
                <w:t>3.2.5.5</w:t>
              </w:r>
            </w:hyperlink>
            <w:r>
              <w:rPr>
                <w:sz w:val="20"/>
                <w:szCs w:val="20"/>
              </w:rPr>
              <w:t>仪器诊断软件和网络通讯，数据再处理功</w:t>
            </w:r>
          </w:p>
          <w:p>
            <w:pPr>
              <w:pStyle w:val="TableText"/>
              <w:ind w:left="93"/>
              <w:spacing w:before="25" w:line="192" w:lineRule="auto"/>
              <w:rPr>
                <w:sz w:val="20"/>
                <w:szCs w:val="20"/>
              </w:rPr>
            </w:pPr>
            <w:r>
              <w:rPr>
                <w:sz w:val="20"/>
                <w:szCs w:val="20"/>
                <w:spacing w:val="-8"/>
              </w:rPr>
              <w:t>能</w:t>
            </w:r>
            <w:r>
              <w:rPr>
                <w:sz w:val="20"/>
                <w:szCs w:val="20"/>
                <w:spacing w:val="62"/>
              </w:rPr>
              <w:t xml:space="preserve"> </w:t>
            </w:r>
            <w:r>
              <w:rPr>
                <w:sz w:val="20"/>
                <w:szCs w:val="20"/>
                <w:spacing w:val="-8"/>
              </w:rPr>
              <w:t>；</w:t>
            </w:r>
          </w:p>
          <w:p>
            <w:pPr>
              <w:pStyle w:val="TableText"/>
              <w:spacing w:line="219" w:lineRule="auto"/>
              <w:jc w:val="right"/>
              <w:rPr>
                <w:sz w:val="20"/>
                <w:szCs w:val="20"/>
              </w:rPr>
            </w:pPr>
            <w:r>
              <w:rPr>
                <w:sz w:val="20"/>
                <w:szCs w:val="20"/>
                <w:spacing w:val="-9"/>
              </w:rPr>
              <w:t>3 . 2 . 5 . 6 兼 容 多 种 仪 器 控 制 </w:t>
            </w:r>
            <w:r>
              <w:rPr>
                <w:sz w:val="20"/>
                <w:szCs w:val="20"/>
                <w:spacing w:val="-10"/>
              </w:rPr>
              <w:t>，     与</w:t>
            </w:r>
          </w:p>
          <w:p>
            <w:pPr>
              <w:pStyle w:val="TableText"/>
              <w:ind w:left="83"/>
              <w:spacing w:before="9" w:line="215" w:lineRule="auto"/>
              <w:rPr>
                <w:sz w:val="20"/>
                <w:szCs w:val="20"/>
              </w:rPr>
            </w:pPr>
            <w:r>
              <w:rPr>
                <w:sz w:val="20"/>
                <w:szCs w:val="20"/>
              </w:rPr>
              <w:t>ICP</w:t>
            </w:r>
            <w:r>
              <w:rPr>
                <w:sz w:val="20"/>
                <w:szCs w:val="20"/>
                <w:spacing w:val="1"/>
              </w:rPr>
              <w:t>-</w:t>
            </w:r>
            <w:r>
              <w:rPr>
                <w:sz w:val="20"/>
                <w:szCs w:val="20"/>
              </w:rPr>
              <w:t>MS</w:t>
            </w:r>
            <w:r>
              <w:rPr>
                <w:sz w:val="20"/>
                <w:szCs w:val="20"/>
                <w:spacing w:val="1"/>
              </w:rPr>
              <w:t>,</w:t>
            </w:r>
            <w:r>
              <w:rPr>
                <w:sz w:val="20"/>
                <w:szCs w:val="20"/>
              </w:rPr>
              <w:t>HR</w:t>
            </w:r>
            <w:r>
              <w:rPr>
                <w:sz w:val="20"/>
                <w:szCs w:val="20"/>
                <w:spacing w:val="1"/>
              </w:rPr>
              <w:t>-</w:t>
            </w:r>
            <w:r>
              <w:rPr>
                <w:sz w:val="20"/>
                <w:szCs w:val="20"/>
              </w:rPr>
              <w:t>ICP</w:t>
            </w:r>
            <w:r>
              <w:rPr>
                <w:sz w:val="20"/>
                <w:szCs w:val="20"/>
                <w:spacing w:val="1"/>
              </w:rPr>
              <w:t>-</w:t>
            </w:r>
            <w:r>
              <w:rPr>
                <w:sz w:val="20"/>
                <w:szCs w:val="20"/>
              </w:rPr>
              <w:t>MS</w:t>
            </w:r>
            <w:r>
              <w:rPr>
                <w:sz w:val="20"/>
                <w:szCs w:val="20"/>
                <w:spacing w:val="1"/>
              </w:rPr>
              <w:t>,</w:t>
            </w:r>
            <w:r>
              <w:rPr>
                <w:sz w:val="20"/>
                <w:szCs w:val="20"/>
              </w:rPr>
              <w:t>NSX</w:t>
            </w:r>
            <w:r>
              <w:rPr>
                <w:sz w:val="20"/>
                <w:szCs w:val="20"/>
                <w:spacing w:val="1"/>
              </w:rPr>
              <w:t>,</w:t>
            </w:r>
            <w:r>
              <w:rPr>
                <w:sz w:val="20"/>
                <w:szCs w:val="20"/>
              </w:rPr>
              <w:t>Quad</w:t>
            </w:r>
            <w:r>
              <w:rPr>
                <w:sz w:val="20"/>
                <w:szCs w:val="20"/>
                <w:spacing w:val="1"/>
              </w:rPr>
              <w:t>-</w:t>
            </w:r>
            <w:r>
              <w:rPr>
                <w:sz w:val="20"/>
                <w:szCs w:val="20"/>
              </w:rPr>
              <w:t>ICP</w:t>
            </w:r>
            <w:r>
              <w:rPr>
                <w:sz w:val="20"/>
                <w:szCs w:val="20"/>
                <w:spacing w:val="1"/>
              </w:rPr>
              <w:t>-</w:t>
            </w:r>
            <w:r>
              <w:rPr>
                <w:sz w:val="20"/>
                <w:szCs w:val="20"/>
              </w:rPr>
              <w:t>MS</w:t>
            </w:r>
            <w:r>
              <w:rPr>
                <w:sz w:val="20"/>
                <w:szCs w:val="20"/>
                <w:spacing w:val="1"/>
              </w:rPr>
              <w:t>等8种</w:t>
            </w:r>
          </w:p>
          <w:p>
            <w:pPr>
              <w:pStyle w:val="TableText"/>
              <w:ind w:left="82" w:right="169" w:hanging="9"/>
              <w:spacing w:before="1" w:line="221" w:lineRule="auto"/>
              <w:rPr>
                <w:sz w:val="20"/>
                <w:szCs w:val="20"/>
              </w:rPr>
            </w:pPr>
            <w:r>
              <w:rPr>
                <w:sz w:val="20"/>
                <w:szCs w:val="20"/>
                <w:spacing w:val="-1"/>
              </w:rPr>
              <w:t>仪器使用同一软件控制平台，能有效减少培训成</w:t>
            </w:r>
            <w:r>
              <w:rPr>
                <w:sz w:val="20"/>
                <w:szCs w:val="20"/>
                <w:spacing w:val="11"/>
              </w:rPr>
              <w:t xml:space="preserve"> </w:t>
            </w:r>
            <w:r>
              <w:rPr>
                <w:sz w:val="20"/>
                <w:szCs w:val="20"/>
                <w:spacing w:val="-5"/>
              </w:rPr>
              <w:t>本</w:t>
            </w:r>
            <w:r>
              <w:rPr>
                <w:sz w:val="20"/>
                <w:szCs w:val="20"/>
                <w:spacing w:val="55"/>
              </w:rPr>
              <w:t xml:space="preserve"> </w:t>
            </w:r>
            <w:r>
              <w:rPr>
                <w:sz w:val="20"/>
                <w:szCs w:val="20"/>
                <w:spacing w:val="-5"/>
              </w:rPr>
              <w:t>；</w:t>
            </w:r>
          </w:p>
          <w:p>
            <w:pPr>
              <w:pStyle w:val="TableText"/>
              <w:ind w:left="63" w:right="72" w:hanging="9"/>
              <w:spacing w:before="3" w:line="218" w:lineRule="auto"/>
              <w:rPr>
                <w:sz w:val="20"/>
                <w:szCs w:val="20"/>
              </w:rPr>
            </w:pPr>
            <w:hyperlink w:history="true" r:id="rId33">
              <w:r>
                <w:rPr>
                  <w:sz w:val="20"/>
                  <w:szCs w:val="20"/>
                </w:rPr>
                <w:t>3.2.5.7</w:t>
              </w:r>
            </w:hyperlink>
            <w:r>
              <w:rPr>
                <w:sz w:val="20"/>
                <w:szCs w:val="20"/>
              </w:rPr>
              <w:t>软件模块化的设计为仪器和辅助插件整合</w:t>
            </w:r>
            <w:r>
              <w:rPr>
                <w:sz w:val="20"/>
                <w:szCs w:val="20"/>
                <w:spacing w:val="7"/>
              </w:rPr>
              <w:t xml:space="preserve"> </w:t>
            </w:r>
            <w:r>
              <w:rPr>
                <w:sz w:val="20"/>
                <w:szCs w:val="20"/>
                <w:spacing w:val="1"/>
              </w:rPr>
              <w:t>在单独的工作流程中提供一个灵活的框架。除了</w:t>
            </w:r>
            <w:r>
              <w:rPr>
                <w:sz w:val="20"/>
                <w:szCs w:val="20"/>
                <w:spacing w:val="14"/>
              </w:rPr>
              <w:t xml:space="preserve"> </w:t>
            </w:r>
            <w:r>
              <w:rPr>
                <w:sz w:val="20"/>
                <w:szCs w:val="20"/>
              </w:rPr>
              <w:t>仪器插件，软件还为自动进样器、自动稀释器系 </w:t>
            </w:r>
            <w:r>
              <w:rPr>
                <w:sz w:val="20"/>
                <w:szCs w:val="20"/>
                <w:spacing w:val="-1"/>
              </w:rPr>
              <w:t>统配有集成插件：</w:t>
            </w:r>
          </w:p>
          <w:p>
            <w:pPr>
              <w:pStyle w:val="TableText"/>
              <w:ind w:left="73" w:right="372"/>
              <w:spacing w:line="223" w:lineRule="auto"/>
              <w:rPr>
                <w:sz w:val="20"/>
                <w:szCs w:val="20"/>
              </w:rPr>
            </w:pPr>
            <w:hyperlink w:history="true" r:id="rId34">
              <w:r>
                <w:rPr>
                  <w:sz w:val="20"/>
                  <w:szCs w:val="20"/>
                  <w:spacing w:val="-1"/>
                </w:rPr>
                <w:t>3.2.5.8</w:t>
              </w:r>
            </w:hyperlink>
            <w:r>
              <w:rPr>
                <w:sz w:val="20"/>
                <w:szCs w:val="20"/>
                <w:spacing w:val="-1"/>
              </w:rPr>
              <w:t>支持Excel,XML,CSV数据导出，可直接</w:t>
            </w:r>
            <w:r>
              <w:rPr>
                <w:sz w:val="20"/>
                <w:szCs w:val="20"/>
                <w:spacing w:val="17"/>
              </w:rPr>
              <w:t xml:space="preserve"> </w:t>
            </w:r>
            <w:r>
              <w:rPr>
                <w:sz w:val="20"/>
                <w:szCs w:val="20"/>
              </w:rPr>
              <w:t>与LIMS系统对接。</w:t>
            </w:r>
          </w:p>
          <w:p>
            <w:pPr>
              <w:pStyle w:val="TableText"/>
              <w:ind w:left="93"/>
              <w:spacing w:before="10" w:line="212" w:lineRule="auto"/>
              <w:rPr>
                <w:sz w:val="20"/>
                <w:szCs w:val="20"/>
              </w:rPr>
            </w:pPr>
            <w:r>
              <w:rPr>
                <w:sz w:val="20"/>
                <w:szCs w:val="20"/>
              </w:rPr>
              <w:t>3.2.6分析性能：</w:t>
            </w:r>
          </w:p>
          <w:p>
            <w:pPr>
              <w:pStyle w:val="TableText"/>
              <w:ind w:left="82" w:right="140" w:hanging="19"/>
              <w:spacing w:before="2" w:line="223" w:lineRule="auto"/>
              <w:rPr>
                <w:sz w:val="20"/>
                <w:szCs w:val="20"/>
              </w:rPr>
            </w:pPr>
            <w:hyperlink w:history="true" r:id="rId35">
              <w:r>
                <w:rPr>
                  <w:sz w:val="20"/>
                  <w:szCs w:val="20"/>
                </w:rPr>
                <w:t>3.2.6.1</w:t>
              </w:r>
            </w:hyperlink>
            <w:r>
              <w:rPr>
                <w:sz w:val="20"/>
                <w:szCs w:val="20"/>
              </w:rPr>
              <w:t>分析速度：可实现1.5min内测试超过180</w:t>
            </w:r>
            <w:r>
              <w:rPr>
                <w:sz w:val="20"/>
                <w:szCs w:val="20"/>
                <w:spacing w:val="9"/>
              </w:rPr>
              <w:t xml:space="preserve"> </w:t>
            </w:r>
            <w:r>
              <w:rPr>
                <w:sz w:val="20"/>
                <w:szCs w:val="20"/>
              </w:rPr>
              <w:t>条谱线，而且每条测量谱线的积分时间≥10秒，</w:t>
            </w:r>
            <w:r>
              <w:rPr>
                <w:sz w:val="20"/>
                <w:szCs w:val="20"/>
                <w:spacing w:val="9"/>
              </w:rPr>
              <w:t xml:space="preserve"> </w:t>
            </w:r>
            <w:r>
              <w:rPr>
                <w:sz w:val="20"/>
                <w:szCs w:val="20"/>
                <w:spacing w:val="-1"/>
              </w:rPr>
              <w:t>重复3次，冲洗时间&gt;20秒：</w:t>
            </w:r>
          </w:p>
          <w:p>
            <w:pPr>
              <w:pStyle w:val="TableText"/>
              <w:ind w:left="73"/>
              <w:spacing w:line="215" w:lineRule="auto"/>
              <w:rPr>
                <w:sz w:val="20"/>
                <w:szCs w:val="20"/>
              </w:rPr>
            </w:pPr>
            <w:hyperlink w:history="true" r:id="rId36">
              <w:r>
                <w:rPr>
                  <w:sz w:val="20"/>
                  <w:szCs w:val="20"/>
                  <w:spacing w:val="4"/>
                </w:rPr>
                <w:t>3.2.6.2</w:t>
              </w:r>
            </w:hyperlink>
            <w:r>
              <w:rPr>
                <w:sz w:val="20"/>
                <w:szCs w:val="20"/>
                <w:spacing w:val="4"/>
              </w:rPr>
              <w:t>样品消耗量：&lt;2</w:t>
            </w:r>
            <w:r>
              <w:rPr>
                <w:sz w:val="20"/>
                <w:szCs w:val="20"/>
              </w:rPr>
              <w:t>ml</w:t>
            </w:r>
            <w:r>
              <w:rPr>
                <w:sz w:val="20"/>
                <w:szCs w:val="20"/>
                <w:spacing w:val="4"/>
              </w:rPr>
              <w:t>,测定大于7</w:t>
            </w:r>
            <w:r>
              <w:rPr>
                <w:sz w:val="20"/>
                <w:szCs w:val="20"/>
                <w:spacing w:val="3"/>
              </w:rPr>
              <w:t>0个元素；</w:t>
            </w:r>
          </w:p>
          <w:p>
            <w:pPr>
              <w:pStyle w:val="TableText"/>
              <w:ind w:left="73"/>
              <w:spacing w:before="2" w:line="221" w:lineRule="auto"/>
              <w:rPr>
                <w:sz w:val="20"/>
                <w:szCs w:val="20"/>
              </w:rPr>
            </w:pPr>
            <w:hyperlink w:history="true" r:id="rId37">
              <w:r>
                <w:rPr>
                  <w:sz w:val="20"/>
                  <w:szCs w:val="20"/>
                  <w:spacing w:val="-1"/>
                </w:rPr>
                <w:t>3.2.6.3</w:t>
              </w:r>
            </w:hyperlink>
            <w:r>
              <w:rPr>
                <w:sz w:val="20"/>
                <w:szCs w:val="20"/>
                <w:spacing w:val="-1"/>
              </w:rPr>
              <w:t>谱线灵活性：可对分析元素</w:t>
            </w:r>
            <w:r>
              <w:rPr>
                <w:sz w:val="20"/>
                <w:szCs w:val="20"/>
                <w:spacing w:val="-2"/>
              </w:rPr>
              <w:t>的任何一条谱</w:t>
            </w:r>
            <w:r>
              <w:rPr>
                <w:sz w:val="20"/>
                <w:szCs w:val="20"/>
              </w:rPr>
              <w:t xml:space="preserve">  </w:t>
            </w:r>
            <w:r>
              <w:rPr>
                <w:sz w:val="20"/>
                <w:szCs w:val="20"/>
                <w:spacing w:val="-2"/>
              </w:rPr>
              <w:t>线进行定性、半定量和定量分析，便于分析研究：</w:t>
            </w:r>
          </w:p>
          <w:p>
            <w:pPr>
              <w:pStyle w:val="TableText"/>
              <w:ind w:left="73" w:right="362"/>
              <w:spacing w:before="1" w:line="220" w:lineRule="auto"/>
              <w:rPr>
                <w:sz w:val="20"/>
                <w:szCs w:val="20"/>
              </w:rPr>
            </w:pPr>
            <w:hyperlink w:history="true" r:id="rId38">
              <w:r>
                <w:rPr>
                  <w:sz w:val="20"/>
                  <w:szCs w:val="20"/>
                </w:rPr>
                <w:t>3.2.6.4</w:t>
              </w:r>
            </w:hyperlink>
            <w:r>
              <w:rPr>
                <w:sz w:val="20"/>
                <w:szCs w:val="20"/>
              </w:rPr>
              <w:t>测定谱线的线性动态范围：≥106(以 </w:t>
            </w:r>
            <w:r>
              <w:rPr>
                <w:sz w:val="20"/>
                <w:szCs w:val="20"/>
              </w:rPr>
              <w:t>Mn257.6nm来测定，相关系数&gt;0.9996),</w:t>
            </w:r>
            <w:r>
              <w:rPr>
                <w:sz w:val="20"/>
                <w:szCs w:val="20"/>
                <w:spacing w:val="-1"/>
              </w:rPr>
              <w:t>提供证</w:t>
            </w:r>
            <w:r>
              <w:rPr>
                <w:sz w:val="20"/>
                <w:szCs w:val="20"/>
              </w:rPr>
              <w:t xml:space="preserve"> </w:t>
            </w:r>
            <w:r>
              <w:rPr>
                <w:sz w:val="20"/>
                <w:szCs w:val="20"/>
                <w:spacing w:val="24"/>
              </w:rPr>
              <w:t>明材料</w:t>
            </w:r>
            <w:r>
              <w:rPr>
                <w:sz w:val="20"/>
                <w:szCs w:val="20"/>
                <w:spacing w:val="-41"/>
              </w:rPr>
              <w:t xml:space="preserve"> </w:t>
            </w:r>
            <w:r>
              <w:rPr>
                <w:sz w:val="20"/>
                <w:szCs w:val="20"/>
                <w:spacing w:val="24"/>
              </w:rPr>
              <w:t>；</w:t>
            </w:r>
          </w:p>
          <w:p>
            <w:pPr>
              <w:pStyle w:val="TableText"/>
              <w:ind w:left="82" w:right="51" w:hanging="9"/>
              <w:spacing w:before="4" w:line="219" w:lineRule="auto"/>
              <w:rPr>
                <w:sz w:val="20"/>
                <w:szCs w:val="20"/>
              </w:rPr>
            </w:pPr>
            <w:hyperlink w:history="true" r:id="rId39">
              <w:r>
                <w:rPr>
                  <w:sz w:val="20"/>
                  <w:szCs w:val="20"/>
                </w:rPr>
                <w:t>3.2.6.5</w:t>
              </w:r>
            </w:hyperlink>
            <w:r>
              <w:rPr>
                <w:sz w:val="20"/>
                <w:szCs w:val="20"/>
              </w:rPr>
              <w:t>内标校正：同时的内标校正，即内标元素</w:t>
            </w:r>
            <w:r>
              <w:rPr>
                <w:sz w:val="20"/>
                <w:szCs w:val="20"/>
                <w:spacing w:val="8"/>
              </w:rPr>
              <w:t xml:space="preserve"> </w:t>
            </w:r>
            <w:r>
              <w:rPr>
                <w:sz w:val="20"/>
                <w:szCs w:val="20"/>
                <w:spacing w:val="8"/>
              </w:rPr>
              <w:t>和测量元素必须同时曝光；</w:t>
            </w:r>
          </w:p>
          <w:p>
            <w:pPr>
              <w:pStyle w:val="TableText"/>
              <w:ind w:left="82" w:right="352" w:hanging="9"/>
              <w:spacing w:before="1" w:line="208" w:lineRule="auto"/>
              <w:rPr>
                <w:sz w:val="20"/>
                <w:szCs w:val="20"/>
              </w:rPr>
            </w:pPr>
            <w:hyperlink w:history="true" r:id="rId40">
              <w:r>
                <w:rPr>
                  <w:sz w:val="20"/>
                  <w:szCs w:val="20"/>
                </w:rPr>
                <w:t>3.2.6.6</w:t>
              </w:r>
            </w:hyperlink>
            <w:r>
              <w:rPr>
                <w:sz w:val="20"/>
                <w:szCs w:val="20"/>
              </w:rPr>
              <w:t>精密度：测定1ppm或10ppm多元素混合</w:t>
            </w:r>
            <w:r>
              <w:rPr>
                <w:sz w:val="20"/>
                <w:szCs w:val="20"/>
                <w:spacing w:val="7"/>
              </w:rPr>
              <w:t xml:space="preserve"> </w:t>
            </w:r>
            <w:r>
              <w:rPr>
                <w:sz w:val="20"/>
                <w:szCs w:val="20"/>
                <w:spacing w:val="2"/>
              </w:rPr>
              <w:t>标准溶液，重复测定十次的</w:t>
            </w:r>
            <w:r>
              <w:rPr>
                <w:sz w:val="20"/>
                <w:szCs w:val="20"/>
              </w:rPr>
              <w:t>RSD</w:t>
            </w:r>
            <w:r>
              <w:rPr>
                <w:sz w:val="20"/>
                <w:szCs w:val="20"/>
                <w:spacing w:val="2"/>
              </w:rPr>
              <w:t>≤0.5%;</w:t>
            </w:r>
          </w:p>
        </w:tc>
        <w:tc>
          <w:tcPr>
            <w:tcW w:w="799" w:type="dxa"/>
            <w:vAlign w:val="top"/>
          </w:tcPr>
          <w:p>
            <w:pPr>
              <w:rPr>
                <w:rFonts w:ascii="Arial"/>
                <w:sz w:val="21"/>
              </w:rPr>
            </w:pPr>
            <w:r/>
          </w:p>
        </w:tc>
        <w:tc>
          <w:tcPr>
            <w:tcW w:w="864" w:type="dxa"/>
            <w:vAlign w:val="top"/>
          </w:tcPr>
          <w:p>
            <w:pPr>
              <w:rPr>
                <w:rFonts w:ascii="Arial"/>
                <w:sz w:val="21"/>
              </w:rPr>
            </w:pPr>
            <w:r/>
          </w:p>
        </w:tc>
      </w:tr>
    </w:tbl>
    <w:p>
      <w:pPr>
        <w:pStyle w:val="BodyText"/>
        <w:rPr/>
      </w:pPr>
      <w:r/>
    </w:p>
    <w:p>
      <w:pPr>
        <w:sectPr>
          <w:pgSz w:w="12180" w:h="17020"/>
          <w:pgMar w:top="1446" w:right="1715" w:bottom="0" w:left="1827" w:header="0" w:footer="0" w:gutter="0"/>
        </w:sectPr>
        <w:rPr/>
      </w:pPr>
    </w:p>
    <w:p>
      <w:pPr>
        <w:spacing w:line="113" w:lineRule="exact"/>
        <w:rPr/>
      </w:pPr>
      <w:r/>
    </w:p>
    <w:tbl>
      <w:tblPr>
        <w:tblStyle w:val="TableNormal"/>
        <w:tblW w:w="8589" w:type="dxa"/>
        <w:tblInd w:w="5" w:type="dxa"/>
        <w:tblLayout w:type="fixed"/>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tblGrid>
        <w:gridCol w:w="434"/>
        <w:gridCol w:w="629"/>
        <w:gridCol w:w="619"/>
        <w:gridCol w:w="809"/>
        <w:gridCol w:w="4445"/>
        <w:gridCol w:w="799"/>
        <w:gridCol w:w="854"/>
      </w:tblGrid>
      <w:tr>
        <w:trPr>
          <w:trHeight w:val="8979" w:hRule="atLeast"/>
        </w:trPr>
        <w:tc>
          <w:tcPr>
            <w:tcW w:w="434" w:type="dxa"/>
            <w:vAlign w:val="top"/>
          </w:tcPr>
          <w:p>
            <w:pPr>
              <w:rPr>
                <w:rFonts w:ascii="Arial"/>
                <w:sz w:val="21"/>
              </w:rPr>
            </w:pPr>
            <w:r/>
          </w:p>
        </w:tc>
        <w:tc>
          <w:tcPr>
            <w:tcW w:w="629" w:type="dxa"/>
            <w:vAlign w:val="top"/>
          </w:tcPr>
          <w:p>
            <w:pPr>
              <w:rPr>
                <w:rFonts w:ascii="Arial"/>
                <w:sz w:val="21"/>
              </w:rPr>
            </w:pPr>
            <w:r/>
          </w:p>
        </w:tc>
        <w:tc>
          <w:tcPr>
            <w:tcW w:w="619" w:type="dxa"/>
            <w:vAlign w:val="top"/>
          </w:tcPr>
          <w:p>
            <w:pPr>
              <w:rPr>
                <w:rFonts w:ascii="Arial"/>
                <w:sz w:val="21"/>
              </w:rPr>
            </w:pPr>
            <w:r/>
          </w:p>
        </w:tc>
        <w:tc>
          <w:tcPr>
            <w:tcW w:w="809" w:type="dxa"/>
            <w:vAlign w:val="top"/>
          </w:tcPr>
          <w:p>
            <w:pPr>
              <w:rPr>
                <w:rFonts w:ascii="Arial"/>
                <w:sz w:val="21"/>
              </w:rPr>
            </w:pPr>
            <w:r/>
          </w:p>
        </w:tc>
        <w:tc>
          <w:tcPr>
            <w:tcW w:w="4445" w:type="dxa"/>
            <w:vAlign w:val="top"/>
          </w:tcPr>
          <w:p>
            <w:pPr>
              <w:pStyle w:val="TableText"/>
              <w:ind w:left="72" w:hanging="19"/>
              <w:spacing w:before="9" w:line="201" w:lineRule="auto"/>
              <w:jc w:val="both"/>
              <w:rPr>
                <w:sz w:val="22"/>
                <w:szCs w:val="22"/>
              </w:rPr>
            </w:pPr>
            <w:hyperlink w:history="true" r:id="rId41">
              <w:r>
                <w:rPr>
                  <w:sz w:val="22"/>
                  <w:szCs w:val="22"/>
                  <w:spacing w:val="-1"/>
                </w:rPr>
                <w:t>3.2.6.7</w:t>
              </w:r>
            </w:hyperlink>
            <w:r>
              <w:rPr>
                <w:sz w:val="22"/>
                <w:szCs w:val="22"/>
                <w:spacing w:val="-1"/>
              </w:rPr>
              <w:t>稳定性：测定1ppm或10ppm多元素</w:t>
            </w:r>
            <w:r>
              <w:rPr>
                <w:sz w:val="22"/>
                <w:szCs w:val="22"/>
                <w:spacing w:val="-2"/>
              </w:rPr>
              <w:t>混合</w:t>
            </w:r>
            <w:r>
              <w:rPr>
                <w:sz w:val="22"/>
                <w:szCs w:val="22"/>
              </w:rPr>
              <w:t xml:space="preserve"> </w:t>
            </w:r>
            <w:r>
              <w:rPr>
                <w:sz w:val="22"/>
                <w:szCs w:val="22"/>
                <w:spacing w:val="-8"/>
              </w:rPr>
              <w:t>标准溶液，不使用内标校正，连续测定4小时的</w:t>
            </w:r>
            <w:r>
              <w:rPr>
                <w:sz w:val="22"/>
                <w:szCs w:val="22"/>
                <w:spacing w:val="18"/>
              </w:rPr>
              <w:t xml:space="preserve"> </w:t>
            </w:r>
            <w:r>
              <w:rPr>
                <w:sz w:val="22"/>
                <w:szCs w:val="22"/>
                <w:spacing w:val="5"/>
              </w:rPr>
              <w:t>长时间稳定性</w:t>
            </w:r>
            <w:r>
              <w:rPr>
                <w:sz w:val="22"/>
                <w:szCs w:val="22"/>
              </w:rPr>
              <w:t>RSD</w:t>
            </w:r>
            <w:r>
              <w:rPr>
                <w:sz w:val="22"/>
                <w:szCs w:val="22"/>
                <w:spacing w:val="5"/>
              </w:rPr>
              <w:t>&lt;1.0%;</w:t>
            </w:r>
          </w:p>
          <w:p>
            <w:pPr>
              <w:pStyle w:val="TableText"/>
              <w:ind w:left="103"/>
              <w:spacing w:line="189" w:lineRule="auto"/>
              <w:rPr>
                <w:sz w:val="22"/>
                <w:szCs w:val="22"/>
              </w:rPr>
            </w:pPr>
            <w:r>
              <w:rPr>
                <w:sz w:val="22"/>
                <w:szCs w:val="22"/>
                <w:spacing w:val="-1"/>
              </w:rPr>
              <w:t>配置：</w:t>
            </w:r>
          </w:p>
          <w:p>
            <w:pPr>
              <w:pStyle w:val="TableText"/>
              <w:ind w:left="102" w:hanging="29"/>
              <w:spacing w:line="193" w:lineRule="auto"/>
              <w:rPr>
                <w:sz w:val="22"/>
                <w:szCs w:val="22"/>
              </w:rPr>
            </w:pPr>
            <w:r>
              <w:rPr>
                <w:sz w:val="22"/>
                <w:szCs w:val="22"/>
                <w:spacing w:val="-2"/>
              </w:rPr>
              <w:t>全谱直读型等电感耦合等离子体发射光谱仪主</w:t>
            </w:r>
            <w:r>
              <w:rPr>
                <w:sz w:val="22"/>
                <w:szCs w:val="22"/>
              </w:rPr>
              <w:t xml:space="preserve"> </w:t>
            </w:r>
            <w:r>
              <w:rPr>
                <w:sz w:val="22"/>
                <w:szCs w:val="22"/>
              </w:rPr>
              <w:t>机</w:t>
            </w:r>
          </w:p>
          <w:p>
            <w:pPr>
              <w:pStyle w:val="TableText"/>
              <w:ind w:left="103" w:right="689"/>
              <w:spacing w:before="3" w:line="209" w:lineRule="auto"/>
              <w:jc w:val="both"/>
              <w:rPr>
                <w:sz w:val="22"/>
                <w:szCs w:val="22"/>
              </w:rPr>
            </w:pPr>
            <w:r>
              <w:rPr>
                <w:sz w:val="22"/>
                <w:szCs w:val="22"/>
              </w:rPr>
              <w:t>27.12MHz高性能变频固态发生器：1套</w:t>
            </w:r>
            <w:r>
              <w:rPr>
                <w:sz w:val="22"/>
                <w:szCs w:val="22"/>
                <w:spacing w:val="10"/>
              </w:rPr>
              <w:t xml:space="preserve"> </w:t>
            </w:r>
            <w:r>
              <w:rPr>
                <w:sz w:val="22"/>
                <w:szCs w:val="22"/>
              </w:rPr>
              <w:t>中阶梯光栅与棱镜组合分光系统：1套</w:t>
            </w:r>
            <w:r>
              <w:rPr>
                <w:sz w:val="22"/>
                <w:szCs w:val="22"/>
                <w:spacing w:val="10"/>
              </w:rPr>
              <w:t xml:space="preserve"> </w:t>
            </w:r>
            <w:r>
              <w:rPr>
                <w:sz w:val="22"/>
                <w:szCs w:val="22"/>
                <w:spacing w:val="-1"/>
              </w:rPr>
              <w:t>精密恒温光室(控温精度±0.1℃):1套</w:t>
            </w:r>
            <w:r>
              <w:rPr>
                <w:sz w:val="22"/>
                <w:szCs w:val="22"/>
                <w:spacing w:val="10"/>
              </w:rPr>
              <w:t xml:space="preserve"> </w:t>
            </w:r>
            <w:r>
              <w:rPr>
                <w:sz w:val="22"/>
                <w:szCs w:val="22"/>
                <w:spacing w:val="-1"/>
              </w:rPr>
              <w:t>CID或者CCD检测器：1套</w:t>
            </w:r>
          </w:p>
          <w:p>
            <w:pPr>
              <w:pStyle w:val="TableText"/>
              <w:ind w:left="103"/>
              <w:spacing w:line="209" w:lineRule="auto"/>
              <w:rPr>
                <w:sz w:val="22"/>
                <w:szCs w:val="22"/>
              </w:rPr>
            </w:pPr>
            <w:r>
              <w:rPr>
                <w:sz w:val="22"/>
                <w:szCs w:val="22"/>
                <w:spacing w:val="1"/>
              </w:rPr>
              <w:t>中文控制软件：1套</w:t>
            </w:r>
          </w:p>
          <w:p>
            <w:pPr>
              <w:pStyle w:val="TableText"/>
              <w:ind w:left="103"/>
              <w:spacing w:line="193" w:lineRule="auto"/>
              <w:rPr>
                <w:sz w:val="22"/>
                <w:szCs w:val="22"/>
              </w:rPr>
            </w:pPr>
            <w:r>
              <w:rPr>
                <w:sz w:val="22"/>
                <w:szCs w:val="22"/>
                <w:spacing w:val="1"/>
              </w:rPr>
              <w:t>指纹图谱软件：1套</w:t>
            </w:r>
          </w:p>
          <w:p>
            <w:pPr>
              <w:pStyle w:val="TableText"/>
              <w:ind w:left="103" w:right="487"/>
              <w:spacing w:line="193" w:lineRule="auto"/>
              <w:rPr>
                <w:sz w:val="22"/>
                <w:szCs w:val="22"/>
              </w:rPr>
            </w:pPr>
            <w:r>
              <w:rPr>
                <w:sz w:val="22"/>
                <w:szCs w:val="22"/>
                <w:spacing w:val="-1"/>
              </w:rPr>
              <w:t>进样系统控制气体质量流量计(MFC):3路</w:t>
            </w:r>
            <w:r>
              <w:rPr>
                <w:sz w:val="22"/>
                <w:szCs w:val="22"/>
                <w:spacing w:val="13"/>
              </w:rPr>
              <w:t xml:space="preserve"> </w:t>
            </w:r>
            <w:r>
              <w:rPr>
                <w:sz w:val="22"/>
                <w:szCs w:val="22"/>
                <w:spacing w:val="-1"/>
              </w:rPr>
              <w:t>进样系统部分</w:t>
            </w:r>
          </w:p>
          <w:p>
            <w:pPr>
              <w:pStyle w:val="TableText"/>
              <w:ind w:left="102" w:hanging="29"/>
              <w:spacing w:before="2" w:line="209" w:lineRule="auto"/>
              <w:rPr>
                <w:sz w:val="22"/>
                <w:szCs w:val="22"/>
              </w:rPr>
            </w:pPr>
            <w:r>
              <w:rPr>
                <w:sz w:val="22"/>
                <w:szCs w:val="22"/>
                <w:spacing w:val="-12"/>
              </w:rPr>
              <w:t>2.1常规进样系统(包含石英炬管，石英中心管，</w:t>
            </w:r>
            <w:r>
              <w:rPr>
                <w:sz w:val="22"/>
                <w:szCs w:val="22"/>
                <w:spacing w:val="16"/>
              </w:rPr>
              <w:t xml:space="preserve"> </w:t>
            </w:r>
            <w:r>
              <w:rPr>
                <w:sz w:val="22"/>
                <w:szCs w:val="22"/>
                <w:spacing w:val="-6"/>
              </w:rPr>
              <w:t>配套雾化室，石英雾化器各一套):1套</w:t>
            </w:r>
          </w:p>
          <w:p>
            <w:pPr>
              <w:pStyle w:val="TableText"/>
              <w:ind w:left="73"/>
              <w:spacing w:before="2" w:line="201" w:lineRule="auto"/>
              <w:rPr>
                <w:sz w:val="22"/>
                <w:szCs w:val="22"/>
              </w:rPr>
            </w:pPr>
            <w:r>
              <w:rPr>
                <w:sz w:val="22"/>
                <w:szCs w:val="22"/>
                <w:spacing w:val="-2"/>
              </w:rPr>
              <w:t>2.2耐高盐进样系统(包含石英炬管，石英中心</w:t>
            </w:r>
            <w:r>
              <w:rPr>
                <w:sz w:val="22"/>
                <w:szCs w:val="22"/>
                <w:spacing w:val="4"/>
              </w:rPr>
              <w:t xml:space="preserve"> </w:t>
            </w:r>
            <w:r>
              <w:rPr>
                <w:sz w:val="22"/>
                <w:szCs w:val="22"/>
              </w:rPr>
              <w:t>管，配套雾化室，耐高盐雾化器各一套):1套</w:t>
            </w:r>
            <w:r>
              <w:rPr>
                <w:sz w:val="22"/>
                <w:szCs w:val="22"/>
                <w:spacing w:val="13"/>
              </w:rPr>
              <w:t xml:space="preserve"> </w:t>
            </w:r>
            <w:r>
              <w:rPr>
                <w:sz w:val="22"/>
                <w:szCs w:val="22"/>
                <w:spacing w:val="-12"/>
              </w:rPr>
              <w:t>2.3耐氢氟酸进样系统(包含石英炬管，石英中心</w:t>
            </w:r>
            <w:r>
              <w:rPr>
                <w:sz w:val="22"/>
                <w:szCs w:val="22"/>
                <w:spacing w:val="1"/>
              </w:rPr>
              <w:t xml:space="preserve"> </w:t>
            </w:r>
            <w:r>
              <w:rPr>
                <w:sz w:val="22"/>
                <w:szCs w:val="22"/>
              </w:rPr>
              <w:t>管，配套雾化室，耐HF雾化器各一套):1套</w:t>
            </w:r>
          </w:p>
          <w:p>
            <w:pPr>
              <w:pStyle w:val="TableText"/>
              <w:ind w:left="103"/>
              <w:spacing w:before="1" w:line="201" w:lineRule="auto"/>
              <w:rPr>
                <w:sz w:val="22"/>
                <w:szCs w:val="22"/>
              </w:rPr>
            </w:pPr>
            <w:r>
              <w:rPr>
                <w:sz w:val="22"/>
                <w:szCs w:val="22"/>
                <w:spacing w:val="-10"/>
              </w:rPr>
              <w:t>2.4水溶液进样泵管，</w:t>
            </w:r>
            <w:r>
              <w:rPr>
                <w:sz w:val="22"/>
                <w:szCs w:val="22"/>
                <w:spacing w:val="79"/>
              </w:rPr>
              <w:t xml:space="preserve"> </w:t>
            </w:r>
            <w:r>
              <w:rPr>
                <w:sz w:val="22"/>
                <w:szCs w:val="22"/>
                <w:spacing w:val="-10"/>
              </w:rPr>
              <w:t>一包6根：2包</w:t>
            </w:r>
          </w:p>
          <w:p>
            <w:pPr>
              <w:pStyle w:val="TableText"/>
              <w:ind w:left="103"/>
              <w:spacing w:line="219" w:lineRule="auto"/>
              <w:rPr>
                <w:sz w:val="22"/>
                <w:szCs w:val="22"/>
              </w:rPr>
            </w:pPr>
            <w:r>
              <w:rPr>
                <w:sz w:val="22"/>
                <w:szCs w:val="22"/>
                <w:spacing w:val="-10"/>
              </w:rPr>
              <w:t>2.5水溶液废液泵管，</w:t>
            </w:r>
            <w:r>
              <w:rPr>
                <w:sz w:val="22"/>
                <w:szCs w:val="22"/>
                <w:spacing w:val="79"/>
              </w:rPr>
              <w:t xml:space="preserve"> </w:t>
            </w:r>
            <w:r>
              <w:rPr>
                <w:sz w:val="22"/>
                <w:szCs w:val="22"/>
                <w:spacing w:val="-10"/>
              </w:rPr>
              <w:t>一包6根：2包</w:t>
            </w:r>
          </w:p>
          <w:p>
            <w:pPr>
              <w:pStyle w:val="TableText"/>
              <w:ind w:left="103"/>
              <w:spacing w:before="9" w:line="201" w:lineRule="auto"/>
              <w:rPr>
                <w:sz w:val="22"/>
                <w:szCs w:val="22"/>
              </w:rPr>
            </w:pPr>
            <w:r>
              <w:rPr>
                <w:sz w:val="22"/>
                <w:szCs w:val="22"/>
                <w:spacing w:val="1"/>
              </w:rPr>
              <w:t>2.6石英中心管：2套</w:t>
            </w:r>
          </w:p>
          <w:p>
            <w:pPr>
              <w:pStyle w:val="TableText"/>
              <w:ind w:left="103"/>
              <w:spacing w:line="201" w:lineRule="auto"/>
              <w:rPr>
                <w:sz w:val="22"/>
                <w:szCs w:val="22"/>
              </w:rPr>
            </w:pPr>
            <w:r>
              <w:rPr>
                <w:sz w:val="22"/>
                <w:szCs w:val="22"/>
                <w:spacing w:val="1"/>
              </w:rPr>
              <w:t>2.7石英炬管：2套</w:t>
            </w:r>
          </w:p>
          <w:p>
            <w:pPr>
              <w:pStyle w:val="TableText"/>
              <w:ind w:left="103"/>
              <w:spacing w:line="193" w:lineRule="auto"/>
              <w:rPr>
                <w:sz w:val="22"/>
                <w:szCs w:val="22"/>
              </w:rPr>
            </w:pPr>
            <w:r>
              <w:rPr>
                <w:sz w:val="22"/>
                <w:szCs w:val="22"/>
                <w:spacing w:val="1"/>
              </w:rPr>
              <w:t>2.8高盐雾化器：1套</w:t>
            </w:r>
          </w:p>
          <w:p>
            <w:pPr>
              <w:pStyle w:val="TableText"/>
              <w:ind w:left="103"/>
              <w:spacing w:before="1" w:line="193" w:lineRule="auto"/>
              <w:rPr>
                <w:sz w:val="22"/>
                <w:szCs w:val="22"/>
              </w:rPr>
            </w:pPr>
            <w:r>
              <w:rPr>
                <w:sz w:val="22"/>
                <w:szCs w:val="22"/>
              </w:rPr>
              <w:t>2.9进样系统O型圈包：1套</w:t>
            </w:r>
          </w:p>
          <w:p>
            <w:pPr>
              <w:pStyle w:val="TableText"/>
              <w:ind w:left="103"/>
              <w:spacing w:line="193" w:lineRule="auto"/>
              <w:rPr>
                <w:sz w:val="22"/>
                <w:szCs w:val="22"/>
              </w:rPr>
            </w:pPr>
            <w:r>
              <w:rPr>
                <w:sz w:val="22"/>
                <w:szCs w:val="22"/>
              </w:rPr>
              <w:t>2.10进样管件耗品包：2套</w:t>
            </w:r>
          </w:p>
          <w:p>
            <w:pPr>
              <w:pStyle w:val="TableText"/>
              <w:ind w:left="103"/>
              <w:spacing w:before="38" w:line="194" w:lineRule="auto"/>
              <w:rPr>
                <w:sz w:val="22"/>
                <w:szCs w:val="22"/>
              </w:rPr>
            </w:pPr>
            <w:r>
              <w:rPr>
                <w:sz w:val="22"/>
                <w:szCs w:val="22"/>
                <w:spacing w:val="1"/>
              </w:rPr>
              <w:t>3基本耗材</w:t>
            </w:r>
          </w:p>
          <w:p>
            <w:pPr>
              <w:pStyle w:val="TableText"/>
              <w:ind w:left="103"/>
              <w:spacing w:before="1" w:line="184" w:lineRule="auto"/>
              <w:rPr>
                <w:sz w:val="22"/>
                <w:szCs w:val="22"/>
              </w:rPr>
            </w:pPr>
            <w:r>
              <w:rPr>
                <w:sz w:val="22"/>
                <w:szCs w:val="22"/>
                <w:spacing w:val="1"/>
              </w:rPr>
              <w:t>3.1矩管：3套</w:t>
            </w:r>
          </w:p>
          <w:p>
            <w:pPr>
              <w:pStyle w:val="TableText"/>
              <w:ind w:left="103"/>
              <w:spacing w:before="1" w:line="192" w:lineRule="auto"/>
              <w:rPr>
                <w:sz w:val="22"/>
                <w:szCs w:val="22"/>
              </w:rPr>
            </w:pPr>
            <w:r>
              <w:rPr>
                <w:sz w:val="22"/>
                <w:szCs w:val="22"/>
                <w:spacing w:val="1"/>
              </w:rPr>
              <w:t>3.2高盐雾化器：3套</w:t>
            </w:r>
          </w:p>
          <w:p>
            <w:pPr>
              <w:pStyle w:val="TableText"/>
              <w:ind w:left="103"/>
              <w:spacing w:line="218" w:lineRule="auto"/>
              <w:rPr>
                <w:sz w:val="22"/>
                <w:szCs w:val="22"/>
              </w:rPr>
            </w:pPr>
            <w:r>
              <w:rPr>
                <w:sz w:val="22"/>
                <w:szCs w:val="22"/>
              </w:rPr>
              <w:t>3.3进样管(6根/包):5包</w:t>
            </w:r>
          </w:p>
          <w:p>
            <w:pPr>
              <w:pStyle w:val="TableText"/>
              <w:ind w:left="103"/>
              <w:spacing w:before="1" w:line="192" w:lineRule="auto"/>
              <w:rPr>
                <w:sz w:val="22"/>
                <w:szCs w:val="22"/>
              </w:rPr>
            </w:pPr>
            <w:r>
              <w:rPr>
                <w:sz w:val="22"/>
                <w:szCs w:val="22"/>
              </w:rPr>
              <w:t>3.4排液管(6根/包):5包</w:t>
            </w:r>
          </w:p>
          <w:p>
            <w:pPr>
              <w:pStyle w:val="TableText"/>
              <w:ind w:left="103"/>
              <w:spacing w:before="2" w:line="192" w:lineRule="auto"/>
              <w:rPr>
                <w:sz w:val="22"/>
                <w:szCs w:val="22"/>
              </w:rPr>
            </w:pPr>
            <w:r>
              <w:rPr>
                <w:sz w:val="22"/>
                <w:szCs w:val="22"/>
                <w:spacing w:val="-2"/>
              </w:rPr>
              <w:t>4、辅助设备</w:t>
            </w:r>
          </w:p>
          <w:p>
            <w:pPr>
              <w:pStyle w:val="TableText"/>
              <w:ind w:left="103"/>
              <w:spacing w:line="219" w:lineRule="auto"/>
              <w:rPr>
                <w:sz w:val="22"/>
                <w:szCs w:val="22"/>
              </w:rPr>
            </w:pPr>
            <w:r>
              <w:rPr>
                <w:sz w:val="22"/>
                <w:szCs w:val="22"/>
                <w:spacing w:val="-1"/>
              </w:rPr>
              <w:t>4.1配套循环冷却水系统：1套</w:t>
            </w:r>
          </w:p>
          <w:p>
            <w:pPr>
              <w:pStyle w:val="TableText"/>
              <w:ind w:left="103"/>
              <w:spacing w:before="58" w:line="218" w:lineRule="auto"/>
              <w:rPr>
                <w:sz w:val="22"/>
                <w:szCs w:val="22"/>
              </w:rPr>
            </w:pPr>
            <w:r>
              <w:rPr>
                <w:sz w:val="22"/>
                <w:szCs w:val="22"/>
                <w:spacing w:val="-1"/>
              </w:rPr>
              <w:t>4.2惠普电脑HP288G9:1套</w:t>
            </w:r>
          </w:p>
          <w:p>
            <w:pPr>
              <w:pStyle w:val="TableText"/>
              <w:ind w:left="103"/>
              <w:spacing w:before="1" w:line="194" w:lineRule="auto"/>
              <w:rPr>
                <w:sz w:val="22"/>
                <w:szCs w:val="22"/>
              </w:rPr>
            </w:pPr>
            <w:r>
              <w:rPr>
                <w:sz w:val="22"/>
                <w:szCs w:val="22"/>
                <w:spacing w:val="-1"/>
              </w:rPr>
              <w:t>4.3惠普HP P1108激光打印机：1套</w:t>
            </w:r>
          </w:p>
          <w:p>
            <w:pPr>
              <w:pStyle w:val="TableText"/>
              <w:ind w:left="103"/>
              <w:spacing w:line="188" w:lineRule="auto"/>
              <w:rPr>
                <w:sz w:val="22"/>
                <w:szCs w:val="22"/>
              </w:rPr>
            </w:pPr>
            <w:r>
              <w:rPr>
                <w:sz w:val="22"/>
                <w:szCs w:val="22"/>
                <w:spacing w:val="-1"/>
              </w:rPr>
              <w:t>4.4配套UPS电源：1套</w:t>
            </w:r>
          </w:p>
        </w:tc>
        <w:tc>
          <w:tcPr>
            <w:tcW w:w="799" w:type="dxa"/>
            <w:vAlign w:val="top"/>
          </w:tcPr>
          <w:p>
            <w:pPr>
              <w:rPr>
                <w:rFonts w:ascii="Arial"/>
                <w:sz w:val="21"/>
              </w:rPr>
            </w:pPr>
            <w:r/>
          </w:p>
        </w:tc>
        <w:tc>
          <w:tcPr>
            <w:tcW w:w="854" w:type="dxa"/>
            <w:vAlign w:val="top"/>
          </w:tcPr>
          <w:p>
            <w:pPr>
              <w:rPr>
                <w:rFonts w:ascii="Arial"/>
                <w:sz w:val="21"/>
              </w:rPr>
            </w:pPr>
            <w:r/>
          </w:p>
        </w:tc>
      </w:tr>
      <w:tr>
        <w:trPr>
          <w:trHeight w:val="4781" w:hRule="atLeast"/>
        </w:trPr>
        <w:tc>
          <w:tcPr>
            <w:tcW w:w="434" w:type="dxa"/>
            <w:vAlign w:val="top"/>
          </w:tcPr>
          <w:p>
            <w:pPr>
              <w:spacing w:line="250" w:lineRule="auto"/>
              <w:rPr>
                <w:rFonts w:ascii="Arial"/>
                <w:sz w:val="21"/>
              </w:rPr>
            </w:pPr>
            <w:r/>
          </w:p>
          <w:p>
            <w:pPr>
              <w:spacing w:line="250" w:lineRule="auto"/>
              <w:rPr>
                <w:rFonts w:ascii="Arial"/>
                <w:sz w:val="21"/>
              </w:rPr>
            </w:pPr>
            <w:r/>
          </w:p>
          <w:p>
            <w:pPr>
              <w:spacing w:line="250" w:lineRule="auto"/>
              <w:rPr>
                <w:rFonts w:ascii="Arial"/>
                <w:sz w:val="21"/>
              </w:rPr>
            </w:pPr>
            <w:r/>
          </w:p>
          <w:p>
            <w:pPr>
              <w:spacing w:line="251" w:lineRule="auto"/>
              <w:rPr>
                <w:rFonts w:ascii="Arial"/>
                <w:sz w:val="21"/>
              </w:rPr>
            </w:pPr>
            <w:r/>
          </w:p>
          <w:p>
            <w:pPr>
              <w:spacing w:line="251" w:lineRule="auto"/>
              <w:rPr>
                <w:rFonts w:ascii="Arial"/>
                <w:sz w:val="21"/>
              </w:rPr>
            </w:pPr>
            <w:r/>
          </w:p>
          <w:p>
            <w:pPr>
              <w:spacing w:line="251" w:lineRule="auto"/>
              <w:rPr>
                <w:rFonts w:ascii="Arial"/>
                <w:sz w:val="21"/>
              </w:rPr>
            </w:pPr>
            <w:r/>
          </w:p>
          <w:p>
            <w:pPr>
              <w:spacing w:line="251" w:lineRule="auto"/>
              <w:rPr>
                <w:rFonts w:ascii="Arial"/>
                <w:sz w:val="21"/>
              </w:rPr>
            </w:pPr>
            <w:r/>
          </w:p>
          <w:p>
            <w:pPr>
              <w:spacing w:line="251" w:lineRule="auto"/>
              <w:rPr>
                <w:rFonts w:ascii="Arial"/>
                <w:sz w:val="21"/>
              </w:rPr>
            </w:pPr>
            <w:r/>
          </w:p>
          <w:p>
            <w:pPr>
              <w:spacing w:line="251" w:lineRule="auto"/>
              <w:rPr>
                <w:rFonts w:ascii="Arial"/>
                <w:sz w:val="21"/>
              </w:rPr>
            </w:pPr>
            <w:r/>
          </w:p>
          <w:p>
            <w:pPr>
              <w:pStyle w:val="TableText"/>
              <w:ind w:left="134"/>
              <w:spacing w:before="71" w:line="183" w:lineRule="auto"/>
              <w:rPr>
                <w:sz w:val="22"/>
                <w:szCs w:val="22"/>
              </w:rPr>
            </w:pPr>
            <w:r>
              <w:rPr>
                <w:sz w:val="22"/>
                <w:szCs w:val="22"/>
              </w:rPr>
              <w:t>2</w:t>
            </w:r>
          </w:p>
        </w:tc>
        <w:tc>
          <w:tcPr>
            <w:tcW w:w="629" w:type="dxa"/>
            <w:vAlign w:val="top"/>
            <w:textDirection w:val="tbRlV"/>
          </w:tcPr>
          <w:p>
            <w:pPr>
              <w:pStyle w:val="TableText"/>
              <w:ind w:left="1164"/>
              <w:spacing w:before="218" w:line="216" w:lineRule="auto"/>
              <w:rPr>
                <w:sz w:val="22"/>
                <w:szCs w:val="22"/>
              </w:rPr>
            </w:pPr>
            <w:r>
              <w:rPr>
                <w:sz w:val="22"/>
                <w:szCs w:val="22"/>
              </w:rPr>
              <w:t>电感耦合等离子体质谱仪</w:t>
            </w:r>
          </w:p>
        </w:tc>
        <w:tc>
          <w:tcPr>
            <w:tcW w:w="619" w:type="dxa"/>
            <w:vAlign w:val="top"/>
            <w:textDirection w:val="tbRlV"/>
          </w:tcPr>
          <w:p>
            <w:pPr>
              <w:pStyle w:val="TableText"/>
              <w:ind w:left="1824"/>
              <w:spacing w:before="217" w:line="215" w:lineRule="auto"/>
              <w:rPr>
                <w:sz w:val="22"/>
                <w:szCs w:val="22"/>
              </w:rPr>
            </w:pPr>
            <w:r>
              <w:rPr>
                <w:sz w:val="22"/>
                <w:szCs w:val="22"/>
              </w:rPr>
              <w:t>赛默飞世尔</w:t>
            </w:r>
          </w:p>
        </w:tc>
        <w:tc>
          <w:tcPr>
            <w:tcW w:w="809" w:type="dxa"/>
            <w:vAlign w:val="top"/>
          </w:tcPr>
          <w:p>
            <w:pPr>
              <w:spacing w:line="255" w:lineRule="auto"/>
              <w:rPr>
                <w:rFonts w:ascii="Arial"/>
                <w:sz w:val="21"/>
              </w:rPr>
            </w:pPr>
            <w:r/>
          </w:p>
          <w:p>
            <w:pPr>
              <w:spacing w:line="255" w:lineRule="auto"/>
              <w:rPr>
                <w:rFonts w:ascii="Arial"/>
                <w:sz w:val="21"/>
              </w:rPr>
            </w:pPr>
            <w:r/>
          </w:p>
          <w:p>
            <w:pPr>
              <w:spacing w:line="255" w:lineRule="auto"/>
              <w:rPr>
                <w:rFonts w:ascii="Arial"/>
                <w:sz w:val="21"/>
              </w:rPr>
            </w:pPr>
            <w:r/>
          </w:p>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spacing w:line="256" w:lineRule="auto"/>
              <w:rPr>
                <w:rFonts w:ascii="Arial"/>
                <w:sz w:val="21"/>
              </w:rPr>
            </w:pPr>
            <w:r/>
          </w:p>
          <w:p>
            <w:pPr>
              <w:pStyle w:val="TableText"/>
              <w:ind w:left="172"/>
              <w:spacing w:before="72" w:line="181" w:lineRule="auto"/>
              <w:rPr>
                <w:sz w:val="22"/>
                <w:szCs w:val="22"/>
              </w:rPr>
            </w:pPr>
            <w:r>
              <w:rPr>
                <w:sz w:val="22"/>
                <w:szCs w:val="22"/>
                <w:spacing w:val="-6"/>
              </w:rPr>
              <w:t>iCAP</w:t>
            </w:r>
          </w:p>
          <w:p>
            <w:pPr>
              <w:pStyle w:val="TableText"/>
              <w:ind w:left="282"/>
              <w:spacing w:line="162" w:lineRule="auto"/>
              <w:rPr>
                <w:sz w:val="22"/>
                <w:szCs w:val="22"/>
              </w:rPr>
            </w:pPr>
            <w:r>
              <w:rPr>
                <w:sz w:val="22"/>
                <w:szCs w:val="22"/>
                <w:spacing w:val="-4"/>
              </w:rPr>
              <w:t>RQ</w:t>
            </w:r>
          </w:p>
          <w:p>
            <w:pPr>
              <w:pStyle w:val="TableText"/>
              <w:ind w:left="172"/>
              <w:spacing w:line="214" w:lineRule="auto"/>
              <w:rPr>
                <w:sz w:val="22"/>
                <w:szCs w:val="22"/>
              </w:rPr>
            </w:pPr>
            <w:r>
              <w:rPr>
                <w:sz w:val="22"/>
                <w:szCs w:val="22"/>
                <w:spacing w:val="-2"/>
              </w:rPr>
              <w:t>plus</w:t>
            </w:r>
          </w:p>
        </w:tc>
        <w:tc>
          <w:tcPr>
            <w:tcW w:w="4445" w:type="dxa"/>
            <w:vAlign w:val="top"/>
          </w:tcPr>
          <w:p>
            <w:pPr>
              <w:pStyle w:val="TableText"/>
              <w:ind w:left="102" w:hanging="29"/>
              <w:spacing w:before="14" w:line="193" w:lineRule="auto"/>
              <w:jc w:val="both"/>
              <w:rPr>
                <w:sz w:val="22"/>
                <w:szCs w:val="22"/>
              </w:rPr>
            </w:pPr>
            <w:r>
              <w:rPr>
                <w:sz w:val="22"/>
                <w:szCs w:val="22"/>
                <w:spacing w:val="-6"/>
              </w:rPr>
              <w:t>1本仪器要求能适用于应用领域广泛的各种样  </w:t>
            </w:r>
            <w:r>
              <w:rPr>
                <w:sz w:val="22"/>
                <w:szCs w:val="22"/>
                <w:spacing w:val="-24"/>
              </w:rPr>
              <w:t>品的元素分析、同位素分析等，满足锆石，土壤，</w:t>
            </w:r>
            <w:r>
              <w:rPr>
                <w:sz w:val="22"/>
                <w:szCs w:val="22"/>
                <w:spacing w:val="18"/>
              </w:rPr>
              <w:t xml:space="preserve"> </w:t>
            </w:r>
            <w:r>
              <w:rPr>
                <w:sz w:val="22"/>
                <w:szCs w:val="22"/>
                <w:spacing w:val="-5"/>
              </w:rPr>
              <w:t>水质以及生物样品分析等。</w:t>
            </w:r>
          </w:p>
          <w:p>
            <w:pPr>
              <w:pStyle w:val="TableText"/>
              <w:ind w:left="103"/>
              <w:spacing w:line="210" w:lineRule="auto"/>
              <w:rPr>
                <w:sz w:val="22"/>
                <w:szCs w:val="22"/>
              </w:rPr>
            </w:pPr>
            <w:r>
              <w:rPr>
                <w:sz w:val="22"/>
                <w:szCs w:val="22"/>
                <w:spacing w:val="1"/>
              </w:rPr>
              <w:t>2仪器工作环境</w:t>
            </w:r>
          </w:p>
          <w:p>
            <w:pPr>
              <w:pStyle w:val="TableText"/>
              <w:ind w:left="103"/>
              <w:spacing w:line="206" w:lineRule="auto"/>
              <w:rPr>
                <w:sz w:val="22"/>
                <w:szCs w:val="22"/>
              </w:rPr>
            </w:pPr>
            <w:r>
              <w:rPr>
                <w:sz w:val="22"/>
                <w:szCs w:val="22"/>
                <w:spacing w:val="4"/>
              </w:rPr>
              <w:t>2.1工作环境温度：15-30℃.</w:t>
            </w:r>
          </w:p>
          <w:p>
            <w:pPr>
              <w:pStyle w:val="TableText"/>
              <w:spacing w:line="216" w:lineRule="auto"/>
              <w:jc w:val="right"/>
              <w:rPr>
                <w:sz w:val="22"/>
                <w:szCs w:val="22"/>
              </w:rPr>
            </w:pPr>
            <w:r>
              <w:rPr>
                <w:sz w:val="22"/>
                <w:szCs w:val="22"/>
                <w:spacing w:val="36"/>
              </w:rPr>
              <w:t>2</w:t>
            </w:r>
            <w:r>
              <w:rPr>
                <w:sz w:val="22"/>
                <w:szCs w:val="22"/>
                <w:spacing w:val="-47"/>
              </w:rPr>
              <w:t xml:space="preserve"> </w:t>
            </w:r>
            <w:r>
              <w:rPr>
                <w:sz w:val="22"/>
                <w:szCs w:val="22"/>
                <w:spacing w:val="36"/>
              </w:rPr>
              <w:t>.</w:t>
            </w:r>
            <w:r>
              <w:rPr>
                <w:sz w:val="22"/>
                <w:szCs w:val="22"/>
                <w:spacing w:val="-53"/>
              </w:rPr>
              <w:t xml:space="preserve"> </w:t>
            </w:r>
            <w:r>
              <w:rPr>
                <w:sz w:val="22"/>
                <w:szCs w:val="22"/>
                <w:spacing w:val="36"/>
              </w:rPr>
              <w:t>2工作环境湿度：&lt;80%,电源：单相</w:t>
            </w:r>
          </w:p>
          <w:p>
            <w:pPr>
              <w:pStyle w:val="TableText"/>
              <w:ind w:left="103"/>
              <w:spacing w:before="36" w:line="167" w:lineRule="auto"/>
              <w:rPr>
                <w:sz w:val="22"/>
                <w:szCs w:val="22"/>
              </w:rPr>
            </w:pPr>
            <w:r>
              <w:rPr>
                <w:sz w:val="22"/>
                <w:szCs w:val="22"/>
                <w:spacing w:val="-1"/>
              </w:rPr>
              <w:t>200-240V,50</w:t>
            </w:r>
            <w:r>
              <w:rPr>
                <w:sz w:val="22"/>
                <w:szCs w:val="22"/>
                <w:spacing w:val="30"/>
              </w:rPr>
              <w:t xml:space="preserve"> </w:t>
            </w:r>
            <w:r>
              <w:rPr>
                <w:sz w:val="22"/>
                <w:szCs w:val="22"/>
                <w:spacing w:val="-1"/>
              </w:rPr>
              <w:t>Hz</w:t>
            </w:r>
          </w:p>
          <w:p>
            <w:pPr>
              <w:pStyle w:val="TableText"/>
              <w:ind w:left="103"/>
              <w:spacing w:line="193" w:lineRule="auto"/>
              <w:rPr>
                <w:sz w:val="22"/>
                <w:szCs w:val="22"/>
              </w:rPr>
            </w:pPr>
            <w:r>
              <w:rPr>
                <w:sz w:val="22"/>
                <w:szCs w:val="22"/>
                <w:spacing w:val="-1"/>
              </w:rPr>
              <w:t>3.仪器技术参数：</w:t>
            </w:r>
          </w:p>
          <w:p>
            <w:pPr>
              <w:pStyle w:val="TableText"/>
              <w:ind w:left="103"/>
              <w:spacing w:before="10" w:line="193" w:lineRule="auto"/>
              <w:rPr>
                <w:sz w:val="22"/>
                <w:szCs w:val="22"/>
              </w:rPr>
            </w:pPr>
            <w:r>
              <w:rPr>
                <w:sz w:val="22"/>
                <w:szCs w:val="22"/>
                <w:spacing w:val="1"/>
              </w:rPr>
              <w:t>3.1主机部分</w:t>
            </w:r>
          </w:p>
          <w:p>
            <w:pPr>
              <w:pStyle w:val="TableText"/>
              <w:ind w:left="33"/>
              <w:spacing w:before="1" w:line="200" w:lineRule="auto"/>
              <w:rPr>
                <w:sz w:val="22"/>
                <w:szCs w:val="22"/>
              </w:rPr>
            </w:pPr>
            <w:r>
              <w:rPr>
                <w:sz w:val="22"/>
                <w:szCs w:val="22"/>
                <w:spacing w:val="-5"/>
              </w:rPr>
              <w:t>3.1.1蠕动泵系统：四通道蠕动泵，采用惰性材</w:t>
            </w:r>
            <w:r>
              <w:rPr>
                <w:sz w:val="22"/>
                <w:szCs w:val="22"/>
                <w:spacing w:val="1"/>
              </w:rPr>
              <w:t xml:space="preserve"> </w:t>
            </w:r>
            <w:r>
              <w:rPr>
                <w:sz w:val="22"/>
                <w:szCs w:val="22"/>
                <w:spacing w:val="-11"/>
              </w:rPr>
              <w:t>质制造，防止酸液滴落对滚轮的腐蚀，可加快样</w:t>
            </w:r>
            <w:r>
              <w:rPr>
                <w:sz w:val="22"/>
                <w:szCs w:val="22"/>
                <w:spacing w:val="11"/>
              </w:rPr>
              <w:t xml:space="preserve"> </w:t>
            </w:r>
            <w:r>
              <w:rPr>
                <w:sz w:val="22"/>
                <w:szCs w:val="22"/>
                <w:spacing w:val="-11"/>
              </w:rPr>
              <w:t>品引入和冲洗速度，同时保证更强的进样拓展能</w:t>
            </w:r>
            <w:r>
              <w:rPr>
                <w:sz w:val="22"/>
                <w:szCs w:val="22"/>
                <w:spacing w:val="11"/>
              </w:rPr>
              <w:t xml:space="preserve"> </w:t>
            </w:r>
            <w:r>
              <w:rPr>
                <w:sz w:val="22"/>
                <w:szCs w:val="22"/>
                <w:spacing w:val="34"/>
              </w:rPr>
              <w:t>力。</w:t>
            </w:r>
          </w:p>
          <w:p>
            <w:pPr>
              <w:pStyle w:val="TableText"/>
              <w:ind w:left="103"/>
              <w:spacing w:before="1" w:line="198" w:lineRule="auto"/>
              <w:rPr>
                <w:sz w:val="22"/>
                <w:szCs w:val="22"/>
              </w:rPr>
            </w:pPr>
            <w:r>
              <w:rPr>
                <w:sz w:val="22"/>
                <w:szCs w:val="22"/>
              </w:rPr>
              <w:t>3.1.2蠕动泵高转速：不低于45rp</w:t>
            </w:r>
            <w:r>
              <w:rPr>
                <w:sz w:val="22"/>
                <w:szCs w:val="22"/>
                <w:spacing w:val="-1"/>
              </w:rPr>
              <w:t>m。</w:t>
            </w:r>
          </w:p>
          <w:p>
            <w:pPr>
              <w:pStyle w:val="TableText"/>
              <w:ind w:left="72" w:hanging="19"/>
              <w:spacing w:before="3" w:line="206" w:lineRule="auto"/>
              <w:rPr>
                <w:sz w:val="22"/>
                <w:szCs w:val="22"/>
              </w:rPr>
            </w:pPr>
            <w:r>
              <w:rPr>
                <w:sz w:val="22"/>
                <w:szCs w:val="22"/>
                <w:spacing w:val="-15"/>
              </w:rPr>
              <w:t>3.1.3雾化室：为半导体制冷功能的小体积旋流型</w:t>
            </w:r>
            <w:r>
              <w:rPr>
                <w:sz w:val="22"/>
                <w:szCs w:val="22"/>
                <w:spacing w:val="9"/>
              </w:rPr>
              <w:t xml:space="preserve"> </w:t>
            </w:r>
            <w:r>
              <w:rPr>
                <w:sz w:val="22"/>
                <w:szCs w:val="22"/>
                <w:spacing w:val="-12"/>
              </w:rPr>
              <w:t>雾化室，制冷能力应小于-10℃,且制冷温度越低</w:t>
            </w:r>
            <w:r>
              <w:rPr>
                <w:sz w:val="22"/>
                <w:szCs w:val="22"/>
                <w:spacing w:val="16"/>
              </w:rPr>
              <w:t xml:space="preserve"> </w:t>
            </w:r>
            <w:r>
              <w:rPr>
                <w:sz w:val="22"/>
                <w:szCs w:val="22"/>
                <w:spacing w:val="9"/>
              </w:rPr>
              <w:t>越好。</w:t>
            </w:r>
          </w:p>
          <w:p>
            <w:pPr>
              <w:pStyle w:val="TableText"/>
              <w:ind w:left="102" w:hanging="29"/>
              <w:spacing w:line="193" w:lineRule="auto"/>
              <w:rPr>
                <w:sz w:val="21"/>
                <w:szCs w:val="21"/>
              </w:rPr>
            </w:pPr>
            <w:r>
              <w:rPr>
                <w:sz w:val="22"/>
                <w:szCs w:val="22"/>
                <w:spacing w:val="-16"/>
              </w:rPr>
              <w:t>3.1.4雾化器：具备高雾化效率和耐高盐性能的同</w:t>
            </w:r>
            <w:r>
              <w:rPr>
                <w:sz w:val="22"/>
                <w:szCs w:val="22"/>
                <w:spacing w:val="14"/>
              </w:rPr>
              <w:t xml:space="preserve"> </w:t>
            </w:r>
            <w:r>
              <w:rPr>
                <w:sz w:val="21"/>
                <w:szCs w:val="21"/>
                <w:spacing w:val="8"/>
              </w:rPr>
              <w:t>心雾化器。</w:t>
            </w:r>
          </w:p>
          <w:p>
            <w:pPr>
              <w:pStyle w:val="TableText"/>
              <w:spacing w:before="1" w:line="198" w:lineRule="auto"/>
              <w:jc w:val="right"/>
              <w:rPr>
                <w:sz w:val="21"/>
                <w:szCs w:val="21"/>
              </w:rPr>
            </w:pPr>
            <w:r>
              <w:rPr>
                <w:sz w:val="21"/>
                <w:szCs w:val="21"/>
                <w:spacing w:val="-7"/>
              </w:rPr>
              <w:t>3.1.5炬管：无需手动连接等离子气，辅助气气路</w:t>
            </w:r>
          </w:p>
        </w:tc>
        <w:tc>
          <w:tcPr>
            <w:tcW w:w="799" w:type="dxa"/>
            <w:vAlign w:val="top"/>
          </w:tcPr>
          <w:p>
            <w:pPr>
              <w:spacing w:line="261" w:lineRule="auto"/>
              <w:rPr>
                <w:rFonts w:ascii="Arial"/>
                <w:sz w:val="21"/>
              </w:rPr>
            </w:pPr>
            <w:r/>
          </w:p>
          <w:p>
            <w:pPr>
              <w:spacing w:line="261" w:lineRule="auto"/>
              <w:rPr>
                <w:rFonts w:ascii="Arial"/>
                <w:sz w:val="21"/>
              </w:rPr>
            </w:pPr>
            <w:r/>
          </w:p>
          <w:p>
            <w:pPr>
              <w:spacing w:line="261" w:lineRule="auto"/>
              <w:rPr>
                <w:rFonts w:ascii="Arial"/>
                <w:sz w:val="21"/>
              </w:rPr>
            </w:pPr>
            <w:r/>
          </w:p>
          <w:p>
            <w:pPr>
              <w:spacing w:line="262" w:lineRule="auto"/>
              <w:rPr>
                <w:rFonts w:ascii="Arial"/>
                <w:sz w:val="21"/>
              </w:rPr>
            </w:pPr>
            <w:r/>
          </w:p>
          <w:p>
            <w:pPr>
              <w:spacing w:line="262" w:lineRule="auto"/>
              <w:rPr>
                <w:rFonts w:ascii="Arial"/>
                <w:sz w:val="21"/>
              </w:rPr>
            </w:pPr>
            <w:r/>
          </w:p>
          <w:p>
            <w:pPr>
              <w:spacing w:line="262" w:lineRule="auto"/>
              <w:rPr>
                <w:rFonts w:ascii="Arial"/>
                <w:sz w:val="21"/>
              </w:rPr>
            </w:pPr>
            <w:r/>
          </w:p>
          <w:p>
            <w:pPr>
              <w:spacing w:line="262" w:lineRule="auto"/>
              <w:rPr>
                <w:rFonts w:ascii="Arial"/>
                <w:sz w:val="21"/>
              </w:rPr>
            </w:pPr>
            <w:r/>
          </w:p>
          <w:p>
            <w:pPr>
              <w:pStyle w:val="TableText"/>
              <w:ind w:left="168" w:right="140" w:firstLine="10"/>
              <w:spacing w:before="71" w:line="211" w:lineRule="auto"/>
              <w:jc w:val="both"/>
              <w:rPr>
                <w:sz w:val="22"/>
                <w:szCs w:val="22"/>
              </w:rPr>
            </w:pPr>
            <w:r>
              <w:rPr>
                <w:sz w:val="22"/>
                <w:szCs w:val="22"/>
                <w:spacing w:val="-5"/>
              </w:rPr>
              <w:t>赛默</w:t>
            </w:r>
            <w:r>
              <w:rPr>
                <w:sz w:val="22"/>
                <w:szCs w:val="22"/>
              </w:rPr>
              <w:t xml:space="preserve"> </w:t>
            </w:r>
            <w:r>
              <w:rPr>
                <w:sz w:val="22"/>
                <w:szCs w:val="22"/>
                <w:spacing w:val="19"/>
              </w:rPr>
              <w:t>飞世</w:t>
            </w:r>
            <w:r>
              <w:rPr>
                <w:sz w:val="22"/>
                <w:szCs w:val="22"/>
              </w:rPr>
              <w:t xml:space="preserve"> </w:t>
            </w:r>
            <w:r>
              <w:rPr>
                <w:sz w:val="22"/>
                <w:szCs w:val="22"/>
                <w:spacing w:val="9"/>
              </w:rPr>
              <w:t>尔科</w:t>
            </w:r>
            <w:r>
              <w:rPr>
                <w:sz w:val="22"/>
                <w:szCs w:val="22"/>
              </w:rPr>
              <w:t xml:space="preserve"> </w:t>
            </w:r>
            <w:r>
              <w:rPr>
                <w:sz w:val="22"/>
                <w:szCs w:val="22"/>
              </w:rPr>
              <w:t>技</w:t>
            </w:r>
          </w:p>
        </w:tc>
        <w:tc>
          <w:tcPr>
            <w:tcW w:w="854" w:type="dxa"/>
            <w:vAlign w:val="top"/>
          </w:tcPr>
          <w:p>
            <w:pPr>
              <w:spacing w:line="244" w:lineRule="auto"/>
              <w:rPr>
                <w:rFonts w:ascii="Arial"/>
                <w:sz w:val="21"/>
              </w:rPr>
            </w:pPr>
            <w:r/>
          </w:p>
          <w:p>
            <w:pPr>
              <w:spacing w:line="244"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spacing w:line="245" w:lineRule="auto"/>
              <w:rPr>
                <w:rFonts w:ascii="Arial"/>
                <w:sz w:val="21"/>
              </w:rPr>
            </w:pPr>
            <w:r/>
          </w:p>
          <w:p>
            <w:pPr>
              <w:pStyle w:val="TableText"/>
              <w:ind w:left="209"/>
              <w:spacing w:before="72" w:line="222" w:lineRule="auto"/>
              <w:rPr>
                <w:sz w:val="22"/>
                <w:szCs w:val="22"/>
              </w:rPr>
            </w:pPr>
            <w:r>
              <w:rPr>
                <w:sz w:val="22"/>
                <w:szCs w:val="22"/>
                <w:spacing w:val="11"/>
              </w:rPr>
              <w:t>德国</w:t>
            </w:r>
          </w:p>
        </w:tc>
      </w:tr>
    </w:tbl>
    <w:p>
      <w:pPr>
        <w:pStyle w:val="BodyText"/>
        <w:rPr/>
      </w:pPr>
      <w:r/>
    </w:p>
    <w:p>
      <w:pPr>
        <w:sectPr>
          <w:pgSz w:w="11920" w:h="16840"/>
          <w:pgMar w:top="1431" w:right="1615" w:bottom="0" w:left="1705" w:header="0" w:footer="0" w:gutter="0"/>
        </w:sectPr>
        <w:rPr/>
      </w:pPr>
    </w:p>
    <w:p>
      <w:pPr>
        <w:spacing w:line="172" w:lineRule="exact"/>
        <w:rPr/>
      </w:pPr>
      <w:r/>
    </w:p>
    <w:tbl>
      <w:tblPr>
        <w:tblStyle w:val="TableNormal"/>
        <w:tblW w:w="8589" w:type="dxa"/>
        <w:tblInd w:w="5" w:type="dxa"/>
        <w:tblLayout w:type="fixed"/>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tblGrid>
        <w:gridCol w:w="424"/>
        <w:gridCol w:w="639"/>
        <w:gridCol w:w="619"/>
        <w:gridCol w:w="809"/>
        <w:gridCol w:w="4435"/>
        <w:gridCol w:w="809"/>
        <w:gridCol w:w="854"/>
      </w:tblGrid>
      <w:tr>
        <w:trPr>
          <w:trHeight w:val="13930" w:hRule="atLeast"/>
        </w:trPr>
        <w:tc>
          <w:tcPr>
            <w:tcW w:w="424" w:type="dxa"/>
            <w:vAlign w:val="top"/>
          </w:tcPr>
          <w:p>
            <w:pPr>
              <w:rPr>
                <w:rFonts w:ascii="Arial"/>
                <w:sz w:val="21"/>
              </w:rPr>
            </w:pPr>
            <w:r/>
          </w:p>
        </w:tc>
        <w:tc>
          <w:tcPr>
            <w:tcW w:w="639" w:type="dxa"/>
            <w:vAlign w:val="top"/>
          </w:tcPr>
          <w:p>
            <w:pPr>
              <w:rPr>
                <w:rFonts w:ascii="Arial"/>
                <w:sz w:val="21"/>
              </w:rPr>
            </w:pPr>
            <w:r/>
          </w:p>
        </w:tc>
        <w:tc>
          <w:tcPr>
            <w:tcW w:w="619" w:type="dxa"/>
            <w:vAlign w:val="top"/>
          </w:tcPr>
          <w:p>
            <w:pPr>
              <w:rPr>
                <w:rFonts w:ascii="Arial"/>
                <w:sz w:val="21"/>
              </w:rPr>
            </w:pPr>
            <w:r/>
          </w:p>
        </w:tc>
        <w:tc>
          <w:tcPr>
            <w:tcW w:w="809" w:type="dxa"/>
            <w:vAlign w:val="top"/>
          </w:tcPr>
          <w:p>
            <w:pPr>
              <w:rPr>
                <w:rFonts w:ascii="Arial"/>
                <w:sz w:val="21"/>
              </w:rPr>
            </w:pPr>
            <w:r/>
          </w:p>
        </w:tc>
        <w:tc>
          <w:tcPr>
            <w:tcW w:w="4435" w:type="dxa"/>
            <w:vAlign w:val="top"/>
          </w:tcPr>
          <w:p>
            <w:pPr>
              <w:pStyle w:val="TableText"/>
              <w:ind w:left="113" w:hanging="89"/>
              <w:spacing w:before="12" w:line="207" w:lineRule="auto"/>
              <w:rPr>
                <w:sz w:val="21"/>
                <w:szCs w:val="21"/>
              </w:rPr>
            </w:pPr>
            <w:r>
              <w:rPr>
                <w:sz w:val="21"/>
                <w:szCs w:val="21"/>
                <w:spacing w:val="-1"/>
              </w:rPr>
              <w:t>的卡式推入炬管设计，可配置多种口径中心管的</w:t>
            </w:r>
            <w:r>
              <w:rPr>
                <w:sz w:val="21"/>
                <w:szCs w:val="21"/>
                <w:spacing w:val="10"/>
              </w:rPr>
              <w:t xml:space="preserve"> </w:t>
            </w:r>
            <w:r>
              <w:rPr>
                <w:sz w:val="21"/>
                <w:szCs w:val="21"/>
                <w:spacing w:val="-2"/>
              </w:rPr>
              <w:t>分体式石英炬管。</w:t>
            </w:r>
          </w:p>
          <w:p>
            <w:pPr>
              <w:pStyle w:val="TableText"/>
              <w:ind w:left="64"/>
              <w:spacing w:line="219" w:lineRule="auto"/>
              <w:rPr>
                <w:sz w:val="21"/>
                <w:szCs w:val="21"/>
              </w:rPr>
            </w:pPr>
            <w:r>
              <w:rPr>
                <w:sz w:val="21"/>
                <w:szCs w:val="21"/>
                <w:spacing w:val="-1"/>
              </w:rPr>
              <w:t>3.1.6中心管：可拆卸式中心管设计。</w:t>
            </w:r>
          </w:p>
          <w:p>
            <w:pPr>
              <w:pStyle w:val="TableText"/>
              <w:ind w:left="83" w:hanging="19"/>
              <w:spacing w:before="3" w:line="213" w:lineRule="auto"/>
              <w:rPr>
                <w:sz w:val="21"/>
                <w:szCs w:val="21"/>
              </w:rPr>
            </w:pPr>
            <w:r>
              <w:rPr>
                <w:sz w:val="21"/>
                <w:szCs w:val="21"/>
                <w:spacing w:val="-7"/>
              </w:rPr>
              <w:t>3.1.7等离子体可视系统：远程实时监测功能，可</w:t>
            </w:r>
            <w:r>
              <w:rPr>
                <w:sz w:val="21"/>
                <w:szCs w:val="21"/>
                <w:spacing w:val="12"/>
              </w:rPr>
              <w:t xml:space="preserve"> </w:t>
            </w:r>
            <w:r>
              <w:rPr>
                <w:sz w:val="21"/>
                <w:szCs w:val="21"/>
                <w:spacing w:val="1"/>
              </w:rPr>
              <w:t>以实时通过电脑显示器监控等离子体及锥口和</w:t>
            </w:r>
            <w:r>
              <w:rPr>
                <w:sz w:val="21"/>
                <w:szCs w:val="21"/>
                <w:spacing w:val="4"/>
              </w:rPr>
              <w:t xml:space="preserve">  </w:t>
            </w:r>
            <w:r>
              <w:rPr>
                <w:sz w:val="21"/>
                <w:szCs w:val="21"/>
                <w:spacing w:val="-1"/>
              </w:rPr>
              <w:t>中心管的状态，需提供软件截图等证明文件。</w:t>
            </w:r>
          </w:p>
          <w:p>
            <w:pPr>
              <w:pStyle w:val="TableText"/>
              <w:ind w:left="114" w:firstLine="9"/>
              <w:spacing w:before="1" w:line="206" w:lineRule="auto"/>
              <w:rPr>
                <w:sz w:val="21"/>
                <w:szCs w:val="21"/>
              </w:rPr>
            </w:pPr>
            <w:r>
              <w:rPr>
                <w:sz w:val="21"/>
                <w:szCs w:val="21"/>
                <w:spacing w:val="-1"/>
              </w:rPr>
              <w:t>3.1.8仪器主机的气路部分均采用高精度的质量</w:t>
            </w:r>
            <w:r>
              <w:rPr>
                <w:sz w:val="21"/>
                <w:szCs w:val="21"/>
                <w:spacing w:val="18"/>
              </w:rPr>
              <w:t xml:space="preserve"> </w:t>
            </w:r>
            <w:r>
              <w:rPr>
                <w:sz w:val="21"/>
                <w:szCs w:val="21"/>
                <w:spacing w:val="2"/>
              </w:rPr>
              <w:t>流量计控制</w:t>
            </w:r>
          </w:p>
          <w:p>
            <w:pPr>
              <w:pStyle w:val="TableText"/>
              <w:ind w:left="64"/>
              <w:spacing w:line="215" w:lineRule="auto"/>
              <w:rPr>
                <w:sz w:val="21"/>
                <w:szCs w:val="21"/>
              </w:rPr>
            </w:pPr>
            <w:r>
              <w:rPr>
                <w:sz w:val="21"/>
                <w:szCs w:val="21"/>
                <w:spacing w:val="-2"/>
              </w:rPr>
              <w:t>3.1.9离子源：采用&lt;27.12MHz工作频率驱动的自</w:t>
            </w:r>
            <w:r>
              <w:rPr>
                <w:sz w:val="21"/>
                <w:szCs w:val="21"/>
                <w:spacing w:val="5"/>
              </w:rPr>
              <w:t xml:space="preserve"> </w:t>
            </w:r>
            <w:r>
              <w:rPr>
                <w:sz w:val="21"/>
                <w:szCs w:val="21"/>
                <w:spacing w:val="-1"/>
              </w:rPr>
              <w:t>激式全固态RF发生器；功率在500-1600W范围</w:t>
            </w:r>
          </w:p>
          <w:p>
            <w:pPr>
              <w:pStyle w:val="TableText"/>
              <w:ind w:left="84"/>
              <w:spacing w:line="211" w:lineRule="auto"/>
              <w:rPr>
                <w:sz w:val="21"/>
                <w:szCs w:val="21"/>
              </w:rPr>
            </w:pPr>
            <w:r>
              <w:rPr>
                <w:sz w:val="21"/>
                <w:szCs w:val="21"/>
                <w:spacing w:val="2"/>
              </w:rPr>
              <w:t>内连续可调，调节精度&lt;0.5W;</w:t>
            </w:r>
          </w:p>
          <w:p>
            <w:pPr>
              <w:pStyle w:val="TableText"/>
              <w:ind w:left="83" w:hanging="59"/>
              <w:spacing w:before="2" w:line="210" w:lineRule="auto"/>
              <w:rPr>
                <w:sz w:val="21"/>
                <w:szCs w:val="21"/>
              </w:rPr>
            </w:pPr>
            <w:r>
              <w:rPr>
                <w:sz w:val="21"/>
                <w:szCs w:val="21"/>
                <w:spacing w:val="-1"/>
              </w:rPr>
              <w:t>3.1.10具有工作线圈和接口的二次放电消除功能</w:t>
            </w:r>
            <w:r>
              <w:rPr>
                <w:sz w:val="21"/>
                <w:szCs w:val="21"/>
                <w:spacing w:val="13"/>
              </w:rPr>
              <w:t xml:space="preserve"> </w:t>
            </w:r>
            <w:r>
              <w:rPr>
                <w:sz w:val="21"/>
                <w:szCs w:val="21"/>
                <w:spacing w:val="-2"/>
              </w:rPr>
              <w:t>延长锥寿命，不使用屏蔽炬等落后技术。</w:t>
            </w:r>
          </w:p>
          <w:p>
            <w:pPr>
              <w:pStyle w:val="TableText"/>
              <w:ind w:left="73" w:hanging="49"/>
              <w:spacing w:before="1" w:line="215" w:lineRule="auto"/>
              <w:rPr>
                <w:sz w:val="21"/>
                <w:szCs w:val="21"/>
              </w:rPr>
            </w:pPr>
            <w:r>
              <w:rPr>
                <w:sz w:val="21"/>
                <w:szCs w:val="21"/>
                <w:spacing w:val="-1"/>
              </w:rPr>
              <w:t>3.1.11小口径接口设计：接采样锥口径应控制在</w:t>
            </w:r>
            <w:r>
              <w:rPr>
                <w:sz w:val="21"/>
                <w:szCs w:val="21"/>
                <w:spacing w:val="13"/>
              </w:rPr>
              <w:t xml:space="preserve"> </w:t>
            </w:r>
            <w:r>
              <w:rPr>
                <w:sz w:val="21"/>
                <w:szCs w:val="21"/>
                <w:spacing w:val="1"/>
              </w:rPr>
              <w:t>0.9-1.2</w:t>
            </w:r>
            <w:r>
              <w:rPr>
                <w:sz w:val="21"/>
                <w:szCs w:val="21"/>
              </w:rPr>
              <w:t>mm</w:t>
            </w:r>
            <w:r>
              <w:rPr>
                <w:sz w:val="21"/>
                <w:szCs w:val="21"/>
                <w:spacing w:val="1"/>
              </w:rPr>
              <w:t>,截取锥口径应控制在0.5-0.7</w:t>
            </w:r>
            <w:r>
              <w:rPr>
                <w:sz w:val="21"/>
                <w:szCs w:val="21"/>
              </w:rPr>
              <w:t>mm</w:t>
            </w:r>
            <w:r>
              <w:rPr>
                <w:sz w:val="21"/>
                <w:szCs w:val="21"/>
                <w:spacing w:val="1"/>
              </w:rPr>
              <w:t>;</w:t>
            </w:r>
          </w:p>
          <w:p>
            <w:pPr>
              <w:pStyle w:val="TableText"/>
              <w:ind w:left="73"/>
              <w:spacing w:line="211" w:lineRule="auto"/>
              <w:rPr>
                <w:sz w:val="21"/>
                <w:szCs w:val="21"/>
              </w:rPr>
            </w:pPr>
            <w:r>
              <w:rPr>
                <w:sz w:val="21"/>
                <w:szCs w:val="21"/>
                <w:spacing w:val="-1"/>
              </w:rPr>
              <w:t>3.1.12正交离子偏转聚焦系统：</w:t>
            </w:r>
          </w:p>
          <w:p>
            <w:pPr>
              <w:pStyle w:val="TableText"/>
              <w:ind w:left="24"/>
              <w:spacing w:before="4" w:line="212" w:lineRule="auto"/>
              <w:rPr>
                <w:sz w:val="21"/>
                <w:szCs w:val="21"/>
              </w:rPr>
            </w:pPr>
            <w:hyperlink w:history="true" r:id="rId42">
              <w:r>
                <w:rPr>
                  <w:sz w:val="21"/>
                  <w:szCs w:val="21"/>
                  <w:spacing w:val="-1"/>
                </w:rPr>
                <w:t>3.1.12.1</w:t>
              </w:r>
            </w:hyperlink>
            <w:r>
              <w:rPr>
                <w:sz w:val="21"/>
                <w:szCs w:val="21"/>
                <w:spacing w:val="-1"/>
              </w:rPr>
              <w:t>通过电场作用使样品离子产生90°偏转</w:t>
            </w:r>
            <w:r>
              <w:rPr>
                <w:sz w:val="21"/>
                <w:szCs w:val="21"/>
                <w:spacing w:val="6"/>
              </w:rPr>
              <w:t xml:space="preserve"> </w:t>
            </w:r>
            <w:r>
              <w:rPr>
                <w:sz w:val="21"/>
                <w:szCs w:val="21"/>
                <w:spacing w:val="-1"/>
              </w:rPr>
              <w:t>并与未解离的中性粒子和光子实现完全分离，以</w:t>
            </w:r>
            <w:r>
              <w:rPr>
                <w:sz w:val="21"/>
                <w:szCs w:val="21"/>
                <w:spacing w:val="10"/>
              </w:rPr>
              <w:t xml:space="preserve"> </w:t>
            </w:r>
            <w:r>
              <w:rPr>
                <w:sz w:val="21"/>
                <w:szCs w:val="21"/>
                <w:spacing w:val="-1"/>
              </w:rPr>
              <w:t>降低仪器背景噪音；中性粒子和光子应通过分子</w:t>
            </w:r>
            <w:r>
              <w:rPr>
                <w:sz w:val="21"/>
                <w:szCs w:val="21"/>
                <w:spacing w:val="2"/>
              </w:rPr>
              <w:t xml:space="preserve"> </w:t>
            </w:r>
            <w:r>
              <w:rPr>
                <w:sz w:val="21"/>
                <w:szCs w:val="21"/>
                <w:spacing w:val="-1"/>
              </w:rPr>
              <w:t>泵排出而无需采用任何挡板技术阻挡，避免后期</w:t>
            </w:r>
          </w:p>
          <w:p>
            <w:pPr>
              <w:pStyle w:val="TableText"/>
              <w:ind w:left="104"/>
              <w:spacing w:before="12" w:line="193" w:lineRule="auto"/>
              <w:rPr>
                <w:sz w:val="21"/>
                <w:szCs w:val="21"/>
              </w:rPr>
            </w:pPr>
            <w:r>
              <w:rPr>
                <w:sz w:val="21"/>
                <w:szCs w:val="21"/>
                <w:spacing w:val="13"/>
              </w:rPr>
              <w:t>对该系统的维护；</w:t>
            </w:r>
          </w:p>
          <w:p>
            <w:pPr>
              <w:pStyle w:val="TableText"/>
              <w:ind w:left="24"/>
              <w:spacing w:before="3" w:line="212" w:lineRule="auto"/>
              <w:rPr>
                <w:sz w:val="21"/>
                <w:szCs w:val="21"/>
              </w:rPr>
            </w:pPr>
            <w:hyperlink w:history="true" r:id="rId43">
              <w:r>
                <w:rPr>
                  <w:sz w:val="21"/>
                  <w:szCs w:val="21"/>
                  <w:spacing w:val="-3"/>
                </w:rPr>
                <w:t>3.1.12.2</w:t>
              </w:r>
            </w:hyperlink>
            <w:r>
              <w:rPr>
                <w:sz w:val="21"/>
                <w:szCs w:val="21"/>
                <w:spacing w:val="-3"/>
              </w:rPr>
              <w:t>该偏转聚焦系统应具备抑制离子束展宽</w:t>
            </w:r>
            <w:r>
              <w:rPr>
                <w:sz w:val="21"/>
                <w:szCs w:val="21"/>
                <w:spacing w:val="17"/>
              </w:rPr>
              <w:t xml:space="preserve"> </w:t>
            </w:r>
            <w:r>
              <w:rPr>
                <w:sz w:val="21"/>
                <w:szCs w:val="21"/>
                <w:spacing w:val="-4"/>
              </w:rPr>
              <w:t>的功能。可在系统内形成空间三维电场分布，保</w:t>
            </w:r>
            <w:r>
              <w:rPr>
                <w:sz w:val="21"/>
                <w:szCs w:val="21"/>
                <w:spacing w:val="17"/>
              </w:rPr>
              <w:t xml:space="preserve"> </w:t>
            </w:r>
            <w:r>
              <w:rPr>
                <w:sz w:val="21"/>
                <w:szCs w:val="21"/>
                <w:spacing w:val="-3"/>
              </w:rPr>
              <w:t>证样品离子在进行90°偏转的同时实现三维方向</w:t>
            </w:r>
            <w:r>
              <w:rPr>
                <w:sz w:val="21"/>
                <w:szCs w:val="21"/>
                <w:spacing w:val="13"/>
              </w:rPr>
              <w:t xml:space="preserve"> </w:t>
            </w:r>
            <w:r>
              <w:rPr>
                <w:sz w:val="21"/>
                <w:szCs w:val="21"/>
                <w:spacing w:val="-1"/>
              </w:rPr>
              <w:t>的离子束聚焦，抑制空间电荷效应带来的展宽，</w:t>
            </w:r>
            <w:r>
              <w:rPr>
                <w:sz w:val="21"/>
                <w:szCs w:val="21"/>
                <w:spacing w:val="10"/>
              </w:rPr>
              <w:t xml:space="preserve"> </w:t>
            </w:r>
            <w:r>
              <w:rPr>
                <w:sz w:val="21"/>
                <w:szCs w:val="21"/>
                <w:spacing w:val="-1"/>
              </w:rPr>
              <w:t>提高样品离子的传递效率进而保证仪器的灵敏</w:t>
            </w:r>
            <w:r>
              <w:rPr>
                <w:sz w:val="21"/>
                <w:szCs w:val="21"/>
              </w:rPr>
              <w:t xml:space="preserve">   </w:t>
            </w:r>
            <w:r>
              <w:rPr>
                <w:sz w:val="21"/>
                <w:szCs w:val="21"/>
                <w:spacing w:val="3"/>
              </w:rPr>
              <w:t>度</w:t>
            </w:r>
            <w:r>
              <w:rPr>
                <w:sz w:val="21"/>
                <w:szCs w:val="21"/>
                <w:spacing w:val="-41"/>
              </w:rPr>
              <w:t xml:space="preserve"> </w:t>
            </w:r>
            <w:r>
              <w:rPr>
                <w:sz w:val="21"/>
                <w:szCs w:val="21"/>
                <w:spacing w:val="3"/>
              </w:rPr>
              <w:t>水</w:t>
            </w:r>
            <w:r>
              <w:rPr>
                <w:sz w:val="21"/>
                <w:szCs w:val="21"/>
                <w:spacing w:val="-45"/>
              </w:rPr>
              <w:t xml:space="preserve"> </w:t>
            </w:r>
            <w:r>
              <w:rPr>
                <w:sz w:val="21"/>
                <w:szCs w:val="21"/>
                <w:spacing w:val="3"/>
              </w:rPr>
              <w:t>平</w:t>
            </w:r>
            <w:r>
              <w:rPr>
                <w:sz w:val="21"/>
                <w:szCs w:val="21"/>
                <w:spacing w:val="-53"/>
              </w:rPr>
              <w:t xml:space="preserve"> </w:t>
            </w:r>
            <w:r>
              <w:rPr>
                <w:sz w:val="21"/>
                <w:szCs w:val="21"/>
                <w:spacing w:val="3"/>
              </w:rPr>
              <w:t>；</w:t>
            </w:r>
          </w:p>
          <w:p>
            <w:pPr>
              <w:pStyle w:val="TableText"/>
              <w:ind w:left="64"/>
              <w:spacing w:before="1" w:line="219" w:lineRule="auto"/>
              <w:rPr>
                <w:sz w:val="21"/>
                <w:szCs w:val="21"/>
              </w:rPr>
            </w:pPr>
            <w:r>
              <w:rPr>
                <w:sz w:val="21"/>
                <w:szCs w:val="21"/>
                <w:spacing w:val="-1"/>
              </w:rPr>
              <w:t>3.1.13四极杆碰撞反应池：</w:t>
            </w:r>
          </w:p>
          <w:p>
            <w:pPr>
              <w:pStyle w:val="TableText"/>
              <w:ind w:left="24"/>
              <w:spacing w:before="1" w:line="205" w:lineRule="auto"/>
              <w:rPr>
                <w:sz w:val="21"/>
                <w:szCs w:val="21"/>
              </w:rPr>
            </w:pPr>
            <w:hyperlink w:history="true" r:id="rId44">
              <w:r>
                <w:rPr>
                  <w:sz w:val="21"/>
                  <w:szCs w:val="21"/>
                  <w:spacing w:val="-1"/>
                </w:rPr>
                <w:t>3.1.13.1</w:t>
              </w:r>
            </w:hyperlink>
            <w:r>
              <w:rPr>
                <w:sz w:val="21"/>
                <w:szCs w:val="21"/>
                <w:spacing w:val="-1"/>
              </w:rPr>
              <w:t>池体内部或池体的前端应具有一套可实</w:t>
            </w:r>
            <w:r>
              <w:rPr>
                <w:sz w:val="21"/>
                <w:szCs w:val="21"/>
                <w:spacing w:val="13"/>
              </w:rPr>
              <w:t xml:space="preserve"> </w:t>
            </w:r>
            <w:r>
              <w:rPr>
                <w:sz w:val="21"/>
                <w:szCs w:val="21"/>
                <w:spacing w:val="-1"/>
              </w:rPr>
              <w:t>现质量筛选功能的四极杆结构设计，提供具体结</w:t>
            </w:r>
            <w:r>
              <w:rPr>
                <w:sz w:val="21"/>
                <w:szCs w:val="21"/>
                <w:spacing w:val="10"/>
              </w:rPr>
              <w:t xml:space="preserve"> </w:t>
            </w:r>
            <w:r>
              <w:rPr>
                <w:sz w:val="21"/>
                <w:szCs w:val="21"/>
                <w:spacing w:val="4"/>
              </w:rPr>
              <w:t>构图等证明文件。</w:t>
            </w:r>
          </w:p>
          <w:p>
            <w:pPr>
              <w:pStyle w:val="TableText"/>
              <w:spacing w:line="219" w:lineRule="auto"/>
              <w:jc w:val="right"/>
              <w:rPr>
                <w:sz w:val="21"/>
                <w:szCs w:val="21"/>
              </w:rPr>
            </w:pPr>
            <w:hyperlink w:history="true" r:id="rId45">
              <w:r>
                <w:rPr>
                  <w:sz w:val="21"/>
                  <w:szCs w:val="21"/>
                </w:rPr>
                <w:t>3.1.13.2</w:t>
              </w:r>
            </w:hyperlink>
            <w:r>
              <w:rPr>
                <w:sz w:val="21"/>
                <w:szCs w:val="21"/>
              </w:rPr>
              <w:t>池内可使用标准模式(STD</w:t>
            </w:r>
            <w:r>
              <w:rPr>
                <w:sz w:val="21"/>
                <w:szCs w:val="21"/>
                <w:spacing w:val="-1"/>
              </w:rPr>
              <w:t>模式)、碰撞</w:t>
            </w:r>
          </w:p>
          <w:p>
            <w:pPr>
              <w:pStyle w:val="TableText"/>
              <w:ind w:left="73"/>
              <w:spacing w:before="2" w:line="214" w:lineRule="auto"/>
              <w:rPr>
                <w:sz w:val="21"/>
                <w:szCs w:val="21"/>
              </w:rPr>
            </w:pPr>
            <w:r>
              <w:rPr>
                <w:sz w:val="21"/>
                <w:szCs w:val="21"/>
                <w:spacing w:val="48"/>
              </w:rPr>
              <w:t>模式(</w:t>
            </w:r>
            <w:r>
              <w:rPr>
                <w:sz w:val="21"/>
                <w:szCs w:val="21"/>
              </w:rPr>
              <w:t>KED</w:t>
            </w:r>
            <w:r>
              <w:rPr>
                <w:sz w:val="21"/>
                <w:szCs w:val="21"/>
                <w:spacing w:val="48"/>
              </w:rPr>
              <w:t>模式)和反应模式(</w:t>
            </w:r>
            <w:r>
              <w:rPr>
                <w:sz w:val="21"/>
                <w:szCs w:val="21"/>
              </w:rPr>
              <w:t>CCT</w:t>
            </w:r>
            <w:r>
              <w:rPr>
                <w:sz w:val="21"/>
                <w:szCs w:val="21"/>
                <w:spacing w:val="48"/>
              </w:rPr>
              <w:t>模式)进</w:t>
            </w:r>
            <w:r>
              <w:rPr>
                <w:sz w:val="21"/>
                <w:szCs w:val="21"/>
                <w:spacing w:val="12"/>
              </w:rPr>
              <w:t xml:space="preserve"> </w:t>
            </w:r>
            <w:r>
              <w:rPr>
                <w:sz w:val="21"/>
                <w:szCs w:val="21"/>
                <w:spacing w:val="-1"/>
              </w:rPr>
              <w:t>行干扰的消除和样品分析</w:t>
            </w:r>
          </w:p>
          <w:p>
            <w:pPr>
              <w:pStyle w:val="TableText"/>
              <w:ind w:left="94"/>
              <w:spacing w:before="13" w:line="192" w:lineRule="auto"/>
              <w:rPr>
                <w:sz w:val="21"/>
                <w:szCs w:val="21"/>
              </w:rPr>
            </w:pPr>
            <w:r>
              <w:rPr>
                <w:sz w:val="21"/>
                <w:szCs w:val="21"/>
              </w:rPr>
              <w:t>3.1.14质量分析器</w:t>
            </w:r>
          </w:p>
          <w:p>
            <w:pPr>
              <w:pStyle w:val="TableText"/>
              <w:ind w:left="24"/>
              <w:spacing w:before="2" w:line="214" w:lineRule="auto"/>
              <w:rPr>
                <w:sz w:val="21"/>
                <w:szCs w:val="21"/>
              </w:rPr>
            </w:pPr>
            <w:hyperlink w:history="true" r:id="rId46">
              <w:r>
                <w:rPr>
                  <w:sz w:val="21"/>
                  <w:szCs w:val="21"/>
                  <w:spacing w:val="-1"/>
                </w:rPr>
                <w:t>3.1.14.1</w:t>
              </w:r>
            </w:hyperlink>
            <w:r>
              <w:rPr>
                <w:sz w:val="21"/>
                <w:szCs w:val="21"/>
                <w:spacing w:val="-1"/>
              </w:rPr>
              <w:t>采用纯Mo材料的长杆结构设计，提供双</w:t>
            </w:r>
            <w:r>
              <w:rPr>
                <w:sz w:val="21"/>
                <w:szCs w:val="21"/>
                <w:spacing w:val="15"/>
              </w:rPr>
              <w:t xml:space="preserve"> </w:t>
            </w:r>
            <w:r>
              <w:rPr>
                <w:sz w:val="21"/>
                <w:szCs w:val="21"/>
                <w:spacing w:val="-1"/>
              </w:rPr>
              <w:t>曲面电势场保证最佳的质量轴分辨率、丰度灵敏</w:t>
            </w:r>
          </w:p>
          <w:p>
            <w:pPr>
              <w:pStyle w:val="TableText"/>
              <w:ind w:left="114"/>
              <w:spacing w:before="12" w:line="193" w:lineRule="auto"/>
              <w:rPr>
                <w:sz w:val="21"/>
                <w:szCs w:val="21"/>
              </w:rPr>
            </w:pPr>
            <w:r>
              <w:rPr>
                <w:sz w:val="21"/>
                <w:szCs w:val="21"/>
                <w:spacing w:val="-4"/>
              </w:rPr>
              <w:t>度</w:t>
            </w:r>
            <w:r>
              <w:rPr>
                <w:sz w:val="21"/>
                <w:szCs w:val="21"/>
                <w:spacing w:val="56"/>
              </w:rPr>
              <w:t xml:space="preserve"> </w:t>
            </w:r>
            <w:r>
              <w:rPr>
                <w:sz w:val="21"/>
                <w:szCs w:val="21"/>
                <w:spacing w:val="-4"/>
              </w:rPr>
              <w:t>；</w:t>
            </w:r>
          </w:p>
          <w:p>
            <w:pPr>
              <w:pStyle w:val="TableText"/>
              <w:ind w:left="73"/>
              <w:spacing w:line="217" w:lineRule="auto"/>
              <w:rPr>
                <w:sz w:val="21"/>
                <w:szCs w:val="21"/>
              </w:rPr>
            </w:pPr>
            <w:hyperlink w:history="true" r:id="rId47">
              <w:r>
                <w:rPr>
                  <w:sz w:val="21"/>
                  <w:szCs w:val="21"/>
                </w:rPr>
                <w:t>3.1.14.2</w:t>
              </w:r>
            </w:hyperlink>
            <w:r>
              <w:rPr>
                <w:sz w:val="21"/>
                <w:szCs w:val="21"/>
              </w:rPr>
              <w:t>四极杆驱动频率&lt;2.5MHz</w:t>
            </w:r>
          </w:p>
          <w:p>
            <w:pPr>
              <w:pStyle w:val="TableText"/>
              <w:ind w:left="73" w:firstLine="49"/>
              <w:spacing w:before="1" w:line="203" w:lineRule="auto"/>
              <w:rPr>
                <w:sz w:val="21"/>
                <w:szCs w:val="21"/>
              </w:rPr>
            </w:pPr>
            <w:hyperlink w:history="true" r:id="rId48">
              <w:r>
                <w:rPr>
                  <w:sz w:val="21"/>
                  <w:szCs w:val="21"/>
                </w:rPr>
                <w:t>3.1.14.3</w:t>
              </w:r>
            </w:hyperlink>
            <w:r>
              <w:rPr>
                <w:sz w:val="21"/>
                <w:szCs w:val="21"/>
              </w:rPr>
              <w:t>质谱范围：2-290amu,且仪</w:t>
            </w:r>
            <w:r>
              <w:rPr>
                <w:sz w:val="21"/>
                <w:szCs w:val="21"/>
                <w:spacing w:val="-1"/>
              </w:rPr>
              <w:t>器应具备分</w:t>
            </w:r>
            <w:r>
              <w:rPr>
                <w:sz w:val="21"/>
                <w:szCs w:val="21"/>
              </w:rPr>
              <w:t xml:space="preserve"> </w:t>
            </w:r>
            <w:r>
              <w:rPr>
                <w:sz w:val="21"/>
                <w:szCs w:val="21"/>
                <w:spacing w:val="-1"/>
              </w:rPr>
              <w:t>析UO00+离子的能力，并提供文献证明。</w:t>
            </w:r>
          </w:p>
          <w:p>
            <w:pPr>
              <w:pStyle w:val="TableText"/>
              <w:ind w:left="104" w:firstLine="87"/>
              <w:spacing w:before="2" w:line="206" w:lineRule="auto"/>
              <w:rPr>
                <w:sz w:val="21"/>
                <w:szCs w:val="21"/>
              </w:rPr>
            </w:pPr>
            <w:hyperlink w:history="true" r:id="rId49">
              <w:r>
                <w:rPr>
                  <w:sz w:val="21"/>
                  <w:szCs w:val="21"/>
                  <w:spacing w:val="12"/>
                </w:rPr>
                <w:t>3</w:t>
              </w:r>
              <w:r>
                <w:rPr>
                  <w:sz w:val="21"/>
                  <w:szCs w:val="21"/>
                  <w:spacing w:val="-47"/>
                </w:rPr>
                <w:t xml:space="preserve"> </w:t>
              </w:r>
              <w:r>
                <w:rPr>
                  <w:sz w:val="21"/>
                  <w:szCs w:val="21"/>
                  <w:spacing w:val="12"/>
                </w:rPr>
                <w:t>.</w:t>
              </w:r>
              <w:r>
                <w:rPr>
                  <w:sz w:val="21"/>
                  <w:szCs w:val="21"/>
                  <w:spacing w:val="-41"/>
                </w:rPr>
                <w:t xml:space="preserve"> </w:t>
              </w:r>
              <w:r>
                <w:rPr>
                  <w:sz w:val="21"/>
                  <w:szCs w:val="21"/>
                  <w:spacing w:val="12"/>
                </w:rPr>
                <w:t>1</w:t>
              </w:r>
              <w:r>
                <w:rPr>
                  <w:sz w:val="21"/>
                  <w:szCs w:val="21"/>
                  <w:spacing w:val="-51"/>
                </w:rPr>
                <w:t xml:space="preserve"> </w:t>
              </w:r>
              <w:r>
                <w:rPr>
                  <w:sz w:val="21"/>
                  <w:szCs w:val="21"/>
                  <w:spacing w:val="12"/>
                </w:rPr>
                <w:t>.</w:t>
              </w:r>
              <w:r>
                <w:rPr>
                  <w:sz w:val="21"/>
                  <w:szCs w:val="21"/>
                  <w:spacing w:val="-41"/>
                </w:rPr>
                <w:t xml:space="preserve"> </w:t>
              </w:r>
              <w:r>
                <w:rPr>
                  <w:sz w:val="21"/>
                  <w:szCs w:val="21"/>
                  <w:spacing w:val="12"/>
                </w:rPr>
                <w:t>14</w:t>
              </w:r>
              <w:r>
                <w:rPr>
                  <w:sz w:val="21"/>
                  <w:szCs w:val="21"/>
                  <w:spacing w:val="-51"/>
                </w:rPr>
                <w:t xml:space="preserve"> </w:t>
              </w:r>
              <w:r>
                <w:rPr>
                  <w:sz w:val="21"/>
                  <w:szCs w:val="21"/>
                  <w:spacing w:val="12"/>
                </w:rPr>
                <w:t>.</w:t>
              </w:r>
              <w:r>
                <w:rPr>
                  <w:sz w:val="21"/>
                  <w:szCs w:val="21"/>
                  <w:spacing w:val="-57"/>
                </w:rPr>
                <w:t xml:space="preserve"> </w:t>
              </w:r>
              <w:r>
                <w:rPr>
                  <w:sz w:val="21"/>
                  <w:szCs w:val="21"/>
                  <w:spacing w:val="12"/>
                </w:rPr>
                <w:t>4</w:t>
              </w:r>
            </w:hyperlink>
            <w:r>
              <w:rPr>
                <w:sz w:val="21"/>
                <w:szCs w:val="21"/>
                <w:spacing w:val="-37"/>
              </w:rPr>
              <w:t xml:space="preserve"> </w:t>
            </w:r>
            <w:r>
              <w:rPr>
                <w:sz w:val="21"/>
                <w:szCs w:val="21"/>
                <w:spacing w:val="12"/>
              </w:rPr>
              <w:t>四极杆具有可调分辨率功能，</w:t>
            </w:r>
            <w:r>
              <w:rPr>
                <w:sz w:val="21"/>
                <w:szCs w:val="21"/>
              </w:rPr>
              <w:t xml:space="preserve"> </w:t>
            </w:r>
            <w:r>
              <w:rPr>
                <w:sz w:val="21"/>
                <w:szCs w:val="21"/>
                <w:spacing w:val="-4"/>
              </w:rPr>
              <w:t>0.1-1.0amu,提供相关软件截图证明。</w:t>
            </w:r>
          </w:p>
          <w:p>
            <w:pPr>
              <w:pStyle w:val="TableText"/>
              <w:ind w:left="24" w:firstLine="99"/>
              <w:spacing w:before="1" w:line="214" w:lineRule="auto"/>
              <w:rPr>
                <w:sz w:val="21"/>
                <w:szCs w:val="21"/>
              </w:rPr>
            </w:pPr>
            <w:r>
              <w:rPr>
                <w:sz w:val="21"/>
                <w:szCs w:val="21"/>
              </w:rPr>
              <w:t>3.1.15 DA透镜：为了消除因碰撞或</w:t>
            </w:r>
            <w:r>
              <w:rPr>
                <w:sz w:val="21"/>
                <w:szCs w:val="21"/>
                <w:spacing w:val="-1"/>
              </w:rPr>
              <w:t>反应过程中</w:t>
            </w:r>
            <w:r>
              <w:rPr>
                <w:sz w:val="21"/>
                <w:szCs w:val="21"/>
              </w:rPr>
              <w:t xml:space="preserve"> </w:t>
            </w:r>
            <w:r>
              <w:rPr>
                <w:sz w:val="21"/>
                <w:szCs w:val="21"/>
                <w:spacing w:val="-2"/>
              </w:rPr>
              <w:t>由于电荷转移而二次产生的中性粒子，保证仪器</w:t>
            </w:r>
            <w:r>
              <w:rPr>
                <w:sz w:val="21"/>
                <w:szCs w:val="21"/>
                <w:spacing w:val="18"/>
              </w:rPr>
              <w:t xml:space="preserve"> </w:t>
            </w:r>
            <w:r>
              <w:rPr>
                <w:sz w:val="21"/>
                <w:szCs w:val="21"/>
                <w:spacing w:val="-2"/>
              </w:rPr>
              <w:t>具有极低的背景噪音，样品离子在通过碰撞反应</w:t>
            </w:r>
            <w:r>
              <w:rPr>
                <w:sz w:val="21"/>
                <w:szCs w:val="21"/>
                <w:spacing w:val="17"/>
              </w:rPr>
              <w:t xml:space="preserve"> </w:t>
            </w:r>
            <w:r>
              <w:rPr>
                <w:sz w:val="21"/>
                <w:szCs w:val="21"/>
                <w:spacing w:val="2"/>
              </w:rPr>
              <w:t>池后可被</w:t>
            </w:r>
            <w:r>
              <w:rPr>
                <w:sz w:val="21"/>
                <w:szCs w:val="21"/>
              </w:rPr>
              <w:t>DA</w:t>
            </w:r>
            <w:r>
              <w:rPr>
                <w:sz w:val="21"/>
                <w:szCs w:val="21"/>
                <w:spacing w:val="2"/>
              </w:rPr>
              <w:t>透镜进行离轴偏转，将池内可能产</w:t>
            </w:r>
            <w:r>
              <w:rPr>
                <w:sz w:val="21"/>
                <w:szCs w:val="21"/>
                <w:spacing w:val="6"/>
              </w:rPr>
              <w:t xml:space="preserve">  </w:t>
            </w:r>
            <w:r>
              <w:rPr>
                <w:sz w:val="21"/>
                <w:szCs w:val="21"/>
                <w:spacing w:val="4"/>
              </w:rPr>
              <w:t>生的二次中性干扰消除</w:t>
            </w:r>
          </w:p>
          <w:p>
            <w:pPr>
              <w:pStyle w:val="TableText"/>
              <w:ind w:left="24" w:firstLine="49"/>
              <w:spacing w:line="209" w:lineRule="auto"/>
              <w:rPr>
                <w:sz w:val="21"/>
                <w:szCs w:val="21"/>
              </w:rPr>
            </w:pPr>
            <w:r>
              <w:rPr>
                <w:sz w:val="21"/>
                <w:szCs w:val="21"/>
                <w:spacing w:val="-3"/>
              </w:rPr>
              <w:t>3.1.16四极杆具有可调分辨率功能，可以在同-</w:t>
            </w:r>
            <w:r>
              <w:rPr>
                <w:sz w:val="21"/>
                <w:szCs w:val="21"/>
                <w:spacing w:val="7"/>
              </w:rPr>
              <w:t xml:space="preserve">  </w:t>
            </w:r>
            <w:r>
              <w:rPr>
                <w:sz w:val="21"/>
                <w:szCs w:val="21"/>
                <w:spacing w:val="-3"/>
              </w:rPr>
              <w:t>方法中针对不同元素进行不同分辨率的设定，要</w:t>
            </w:r>
            <w:r>
              <w:rPr>
                <w:sz w:val="21"/>
                <w:szCs w:val="21"/>
                <w:spacing w:val="8"/>
              </w:rPr>
              <w:t xml:space="preserve"> </w:t>
            </w:r>
            <w:r>
              <w:rPr>
                <w:sz w:val="21"/>
                <w:szCs w:val="21"/>
                <w:spacing w:val="-1"/>
              </w:rPr>
              <w:t>求在一次样品测试中，四极杆在不同分辨率下自</w:t>
            </w:r>
            <w:r>
              <w:rPr>
                <w:sz w:val="21"/>
                <w:szCs w:val="21"/>
                <w:spacing w:val="10"/>
              </w:rPr>
              <w:t xml:space="preserve"> </w:t>
            </w:r>
            <w:r>
              <w:rPr>
                <w:sz w:val="21"/>
                <w:szCs w:val="21"/>
                <w:spacing w:val="14"/>
              </w:rPr>
              <w:t>动切换。</w:t>
            </w:r>
          </w:p>
          <w:p>
            <w:pPr>
              <w:pStyle w:val="TableText"/>
              <w:ind w:left="103" w:hanging="79"/>
              <w:spacing w:line="211" w:lineRule="auto"/>
              <w:rPr>
                <w:sz w:val="21"/>
                <w:szCs w:val="21"/>
              </w:rPr>
            </w:pPr>
            <w:r>
              <w:rPr>
                <w:sz w:val="21"/>
                <w:szCs w:val="21"/>
                <w:spacing w:val="-1"/>
              </w:rPr>
              <w:t>3.1.17脉冲模拟双模式同时型电子倍增器两种模</w:t>
            </w:r>
            <w:r>
              <w:rPr>
                <w:sz w:val="21"/>
                <w:szCs w:val="21"/>
                <w:spacing w:val="13"/>
              </w:rPr>
              <w:t xml:space="preserve"> </w:t>
            </w:r>
            <w:r>
              <w:rPr>
                <w:sz w:val="21"/>
                <w:szCs w:val="21"/>
              </w:rPr>
              <w:t>式可以自动切换</w:t>
            </w:r>
          </w:p>
          <w:p>
            <w:pPr>
              <w:pStyle w:val="TableText"/>
              <w:ind w:left="123" w:hanging="99"/>
              <w:spacing w:before="2" w:line="209" w:lineRule="auto"/>
              <w:rPr>
                <w:sz w:val="21"/>
                <w:szCs w:val="21"/>
              </w:rPr>
            </w:pPr>
            <w:r>
              <w:rPr>
                <w:sz w:val="21"/>
                <w:szCs w:val="21"/>
                <w:spacing w:val="-1"/>
              </w:rPr>
              <w:t>3.1.18等离子体炬位调整：由计算机控制步进电</w:t>
            </w:r>
            <w:r>
              <w:rPr>
                <w:sz w:val="21"/>
                <w:szCs w:val="21"/>
                <w:spacing w:val="13"/>
              </w:rPr>
              <w:t xml:space="preserve"> </w:t>
            </w:r>
            <w:r>
              <w:rPr>
                <w:sz w:val="21"/>
                <w:szCs w:val="21"/>
                <w:spacing w:val="-1"/>
              </w:rPr>
              <w:t>机进行三维(X.Y.Z方向)位置控制，步长调节精</w:t>
            </w:r>
          </w:p>
          <w:p>
            <w:pPr>
              <w:pStyle w:val="TableText"/>
              <w:ind w:left="94"/>
              <w:spacing w:line="213" w:lineRule="auto"/>
              <w:rPr>
                <w:sz w:val="21"/>
                <w:szCs w:val="21"/>
              </w:rPr>
            </w:pPr>
            <w:r>
              <w:rPr>
                <w:sz w:val="21"/>
                <w:szCs w:val="21"/>
                <w:spacing w:val="-1"/>
              </w:rPr>
              <w:t>度0.05mm,参数存储于计算机软件中。</w:t>
            </w:r>
          </w:p>
          <w:p>
            <w:pPr>
              <w:pStyle w:val="TableText"/>
              <w:spacing w:line="182" w:lineRule="auto"/>
              <w:jc w:val="right"/>
              <w:rPr>
                <w:sz w:val="21"/>
                <w:szCs w:val="21"/>
              </w:rPr>
            </w:pPr>
            <w:r>
              <w:rPr>
                <w:sz w:val="21"/>
                <w:szCs w:val="21"/>
                <w:spacing w:val="-4"/>
              </w:rPr>
              <w:t>3.1.19气体稀释：采用1000mL质量流量计控</w:t>
            </w:r>
            <w:r>
              <w:rPr>
                <w:sz w:val="21"/>
                <w:szCs w:val="21"/>
                <w:spacing w:val="-5"/>
              </w:rPr>
              <w:t>制，</w:t>
            </w:r>
          </w:p>
        </w:tc>
        <w:tc>
          <w:tcPr>
            <w:tcW w:w="809" w:type="dxa"/>
            <w:vAlign w:val="top"/>
          </w:tcPr>
          <w:p>
            <w:pPr>
              <w:rPr>
                <w:rFonts w:ascii="Arial"/>
                <w:sz w:val="21"/>
              </w:rPr>
            </w:pPr>
            <w:r/>
          </w:p>
        </w:tc>
        <w:tc>
          <w:tcPr>
            <w:tcW w:w="854" w:type="dxa"/>
            <w:vAlign w:val="top"/>
          </w:tcPr>
          <w:p>
            <w:pPr>
              <w:rPr>
                <w:rFonts w:ascii="Arial"/>
                <w:sz w:val="21"/>
              </w:rPr>
            </w:pPr>
            <w:r/>
          </w:p>
        </w:tc>
      </w:tr>
    </w:tbl>
    <w:p>
      <w:pPr>
        <w:pStyle w:val="BodyText"/>
        <w:rPr/>
      </w:pPr>
      <w:r/>
    </w:p>
    <w:p>
      <w:pPr>
        <w:sectPr>
          <w:pgSz w:w="12110" w:h="16970"/>
          <w:pgMar w:top="1442" w:right="1705" w:bottom="0" w:left="1804" w:header="0" w:footer="0" w:gutter="0"/>
        </w:sectPr>
        <w:rPr/>
      </w:pPr>
    </w:p>
    <w:p>
      <w:pPr>
        <w:spacing w:line="115" w:lineRule="exact"/>
        <w:rPr/>
      </w:pPr>
      <w:r/>
    </w:p>
    <w:tbl>
      <w:tblPr>
        <w:tblStyle w:val="TableNormal"/>
        <w:tblW w:w="8589" w:type="dxa"/>
        <w:tblInd w:w="75" w:type="dxa"/>
        <w:tblLayout w:type="fixed"/>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tblGrid>
        <w:gridCol w:w="434"/>
        <w:gridCol w:w="639"/>
        <w:gridCol w:w="609"/>
        <w:gridCol w:w="809"/>
        <w:gridCol w:w="4445"/>
        <w:gridCol w:w="799"/>
        <w:gridCol w:w="854"/>
      </w:tblGrid>
      <w:tr>
        <w:trPr>
          <w:trHeight w:val="13930" w:hRule="atLeast"/>
        </w:trPr>
        <w:tc>
          <w:tcPr>
            <w:tcW w:w="434" w:type="dxa"/>
            <w:vAlign w:val="top"/>
          </w:tcPr>
          <w:p>
            <w:pPr>
              <w:rPr>
                <w:rFonts w:ascii="Arial"/>
                <w:sz w:val="21"/>
              </w:rPr>
            </w:pPr>
            <w:r/>
          </w:p>
        </w:tc>
        <w:tc>
          <w:tcPr>
            <w:tcW w:w="639" w:type="dxa"/>
            <w:vAlign w:val="top"/>
          </w:tcPr>
          <w:p>
            <w:pPr>
              <w:rPr>
                <w:rFonts w:ascii="Arial"/>
                <w:sz w:val="21"/>
              </w:rPr>
            </w:pPr>
            <w:r/>
          </w:p>
        </w:tc>
        <w:tc>
          <w:tcPr>
            <w:tcW w:w="609" w:type="dxa"/>
            <w:vAlign w:val="top"/>
          </w:tcPr>
          <w:p>
            <w:pPr>
              <w:rPr>
                <w:rFonts w:ascii="Arial"/>
                <w:sz w:val="21"/>
              </w:rPr>
            </w:pPr>
            <w:r/>
          </w:p>
        </w:tc>
        <w:tc>
          <w:tcPr>
            <w:tcW w:w="809" w:type="dxa"/>
            <w:vAlign w:val="top"/>
          </w:tcPr>
          <w:p>
            <w:pPr>
              <w:rPr>
                <w:rFonts w:ascii="Arial"/>
                <w:sz w:val="21"/>
              </w:rPr>
            </w:pPr>
            <w:r/>
          </w:p>
        </w:tc>
        <w:tc>
          <w:tcPr>
            <w:tcW w:w="4445" w:type="dxa"/>
            <w:vAlign w:val="top"/>
          </w:tcPr>
          <w:p>
            <w:pPr>
              <w:pStyle w:val="TableText"/>
              <w:ind w:left="74"/>
              <w:spacing w:before="13" w:line="202" w:lineRule="auto"/>
              <w:rPr>
                <w:sz w:val="21"/>
                <w:szCs w:val="21"/>
              </w:rPr>
            </w:pPr>
            <w:r>
              <w:rPr>
                <w:sz w:val="21"/>
                <w:szCs w:val="21"/>
                <w:spacing w:val="-1"/>
              </w:rPr>
              <w:t>具有低、中、高氩气稀释(AGD)模式及设定稀</w:t>
            </w:r>
          </w:p>
          <w:p>
            <w:pPr>
              <w:pStyle w:val="TableText"/>
              <w:ind w:left="74" w:right="63"/>
              <w:spacing w:before="3" w:line="210" w:lineRule="auto"/>
              <w:rPr>
                <w:sz w:val="21"/>
                <w:szCs w:val="21"/>
              </w:rPr>
            </w:pPr>
            <w:r>
              <w:rPr>
                <w:sz w:val="21"/>
                <w:szCs w:val="21"/>
                <w:spacing w:val="-1"/>
              </w:rPr>
              <w:t>释系数配置处理各种样品，最高可直接分析25%</w:t>
            </w:r>
            <w:r>
              <w:rPr>
                <w:sz w:val="21"/>
                <w:szCs w:val="21"/>
                <w:spacing w:val="13"/>
              </w:rPr>
              <w:t xml:space="preserve"> </w:t>
            </w:r>
            <w:r>
              <w:rPr>
                <w:sz w:val="21"/>
                <w:szCs w:val="21"/>
                <w:spacing w:val="-1"/>
              </w:rPr>
              <w:t>饱和食盐水，在创建方法时由用户进行直观选</w:t>
            </w:r>
            <w:r>
              <w:rPr>
                <w:sz w:val="21"/>
                <w:szCs w:val="21"/>
                <w:spacing w:val="5"/>
              </w:rPr>
              <w:t xml:space="preserve">  </w:t>
            </w:r>
            <w:r>
              <w:rPr>
                <w:sz w:val="21"/>
                <w:szCs w:val="21"/>
              </w:rPr>
              <w:t>择，每种AGD模式的自动参数优化，需提供不</w:t>
            </w:r>
          </w:p>
          <w:p>
            <w:pPr>
              <w:pStyle w:val="TableText"/>
              <w:ind w:left="74"/>
              <w:spacing w:line="219" w:lineRule="auto"/>
              <w:rPr>
                <w:sz w:val="21"/>
                <w:szCs w:val="21"/>
              </w:rPr>
            </w:pPr>
            <w:r>
              <w:rPr>
                <w:sz w:val="21"/>
                <w:szCs w:val="21"/>
                <w:spacing w:val="-1"/>
              </w:rPr>
              <w:t>同稀释模式软件截图证明。</w:t>
            </w:r>
          </w:p>
          <w:p>
            <w:pPr>
              <w:pStyle w:val="TableText"/>
              <w:ind w:left="104" w:right="68" w:hanging="30"/>
              <w:spacing w:line="204" w:lineRule="auto"/>
              <w:rPr>
                <w:sz w:val="21"/>
                <w:szCs w:val="21"/>
              </w:rPr>
            </w:pPr>
            <w:r>
              <w:rPr>
                <w:sz w:val="21"/>
                <w:szCs w:val="21"/>
                <w:spacing w:val="-1"/>
              </w:rPr>
              <w:t>3.1.20可以通过碰撞模式直接消除ArAr+多原子</w:t>
            </w:r>
            <w:r>
              <w:rPr>
                <w:sz w:val="21"/>
                <w:szCs w:val="21"/>
                <w:spacing w:val="12"/>
              </w:rPr>
              <w:t xml:space="preserve"> </w:t>
            </w:r>
            <w:r>
              <w:rPr>
                <w:sz w:val="21"/>
                <w:szCs w:val="21"/>
              </w:rPr>
              <w:t>离子对Se元素的干扰，无需使用CH4或H2气</w:t>
            </w:r>
          </w:p>
          <w:p>
            <w:pPr>
              <w:pStyle w:val="TableText"/>
              <w:ind w:left="74" w:right="131" w:firstLine="20"/>
              <w:spacing w:line="217" w:lineRule="auto"/>
              <w:rPr>
                <w:sz w:val="21"/>
                <w:szCs w:val="21"/>
              </w:rPr>
            </w:pPr>
            <w:r>
              <w:rPr>
                <w:sz w:val="21"/>
                <w:szCs w:val="21"/>
              </w:rPr>
              <w:t>的反应模式即可获得3ppt的Se元素检出限水平</w:t>
            </w:r>
            <w:r>
              <w:rPr>
                <w:sz w:val="21"/>
                <w:szCs w:val="21"/>
                <w:spacing w:val="8"/>
              </w:rPr>
              <w:t xml:space="preserve"> </w:t>
            </w:r>
            <w:r>
              <w:rPr>
                <w:sz w:val="21"/>
                <w:szCs w:val="21"/>
                <w:spacing w:val="-1"/>
              </w:rPr>
              <w:t>并提供文献证明。</w:t>
            </w:r>
          </w:p>
          <w:p>
            <w:pPr>
              <w:pStyle w:val="TableText"/>
              <w:ind w:left="63"/>
              <w:spacing w:before="6" w:line="214" w:lineRule="auto"/>
              <w:rPr>
                <w:sz w:val="21"/>
                <w:szCs w:val="21"/>
              </w:rPr>
            </w:pPr>
            <w:r>
              <w:rPr>
                <w:sz w:val="21"/>
                <w:szCs w:val="21"/>
                <w:spacing w:val="-1"/>
              </w:rPr>
              <w:t>3.1.21对于高Cl和高Ca样品(5%HCl,200ppn</w:t>
            </w:r>
          </w:p>
          <w:p>
            <w:pPr>
              <w:pStyle w:val="TableText"/>
              <w:ind w:left="74" w:right="165"/>
              <w:spacing w:before="5" w:line="210" w:lineRule="auto"/>
              <w:rPr>
                <w:sz w:val="21"/>
                <w:szCs w:val="21"/>
              </w:rPr>
            </w:pPr>
            <w:r>
              <w:rPr>
                <w:sz w:val="21"/>
                <w:szCs w:val="21"/>
              </w:rPr>
              <w:t>Ca)中As元素的分析，可直接利用碰撞模式消 </w:t>
            </w:r>
            <w:r>
              <w:rPr>
                <w:sz w:val="21"/>
                <w:szCs w:val="21"/>
              </w:rPr>
              <w:t>除ArCl+和CaCl+离子对As元素的干扰并获得  </w:t>
            </w:r>
            <w:r>
              <w:rPr>
                <w:sz w:val="21"/>
                <w:szCs w:val="21"/>
                <w:spacing w:val="-1"/>
              </w:rPr>
              <w:t>0.5ppt的检出限水平，无需使用02或其他反应</w:t>
            </w:r>
            <w:r>
              <w:rPr>
                <w:sz w:val="21"/>
                <w:szCs w:val="21"/>
                <w:spacing w:val="13"/>
              </w:rPr>
              <w:t xml:space="preserve"> </w:t>
            </w:r>
            <w:r>
              <w:rPr>
                <w:sz w:val="21"/>
                <w:szCs w:val="21"/>
                <w:spacing w:val="-1"/>
              </w:rPr>
              <w:t>气体以及复杂的反应模式，并提供文献证明。</w:t>
            </w:r>
          </w:p>
          <w:p>
            <w:pPr>
              <w:pStyle w:val="TableText"/>
              <w:ind w:left="74"/>
              <w:spacing w:before="11" w:line="191" w:lineRule="auto"/>
              <w:rPr>
                <w:sz w:val="21"/>
                <w:szCs w:val="21"/>
              </w:rPr>
            </w:pPr>
            <w:r>
              <w:rPr>
                <w:sz w:val="21"/>
                <w:szCs w:val="21"/>
              </w:rPr>
              <w:t>3.2软件：</w:t>
            </w:r>
          </w:p>
          <w:p>
            <w:pPr>
              <w:pStyle w:val="TableText"/>
              <w:ind w:left="63" w:right="282"/>
              <w:spacing w:before="3" w:line="214" w:lineRule="auto"/>
              <w:rPr>
                <w:sz w:val="21"/>
                <w:szCs w:val="21"/>
              </w:rPr>
            </w:pPr>
            <w:r>
              <w:rPr>
                <w:sz w:val="21"/>
                <w:szCs w:val="21"/>
                <w:spacing w:val="-1"/>
              </w:rPr>
              <w:t>3.2.1操作系统：惠普电脑HP288G9,Microsof</w:t>
            </w:r>
            <w:r>
              <w:rPr>
                <w:sz w:val="21"/>
                <w:szCs w:val="21"/>
                <w:spacing w:val="16"/>
              </w:rPr>
              <w:t xml:space="preserve"> </w:t>
            </w:r>
            <w:r>
              <w:rPr>
                <w:sz w:val="21"/>
                <w:szCs w:val="21"/>
              </w:rPr>
              <w:t>⑧Windows xp或Win7,多任</w:t>
            </w:r>
            <w:r>
              <w:rPr>
                <w:sz w:val="21"/>
                <w:szCs w:val="21"/>
                <w:spacing w:val="-1"/>
              </w:rPr>
              <w:t>务，多用户系统软</w:t>
            </w:r>
            <w:r>
              <w:rPr>
                <w:sz w:val="21"/>
                <w:szCs w:val="21"/>
              </w:rPr>
              <w:t xml:space="preserve"> </w:t>
            </w:r>
            <w:r>
              <w:rPr>
                <w:sz w:val="21"/>
                <w:szCs w:val="21"/>
                <w:spacing w:val="2"/>
              </w:rPr>
              <w:t>件。</w:t>
            </w:r>
          </w:p>
          <w:p>
            <w:pPr>
              <w:pStyle w:val="TableText"/>
              <w:ind w:left="74" w:firstLine="9"/>
              <w:spacing w:before="1" w:line="213" w:lineRule="auto"/>
              <w:rPr>
                <w:sz w:val="21"/>
                <w:szCs w:val="21"/>
              </w:rPr>
            </w:pPr>
            <w:r>
              <w:rPr>
                <w:sz w:val="21"/>
                <w:szCs w:val="21"/>
                <w:spacing w:val="-3"/>
              </w:rPr>
              <w:t>3.2.2全自动分析功能(启动关闭仪器，炬位调整</w:t>
            </w:r>
            <w:r>
              <w:rPr>
                <w:sz w:val="21"/>
                <w:szCs w:val="21"/>
                <w:spacing w:val="5"/>
              </w:rPr>
              <w:t xml:space="preserve"> </w:t>
            </w:r>
            <w:r>
              <w:rPr>
                <w:sz w:val="21"/>
                <w:szCs w:val="21"/>
                <w:spacing w:val="-3"/>
              </w:rPr>
              <w:t>等离子体参数，离子透镜，标准等离子体条件与</w:t>
            </w:r>
            <w:r>
              <w:rPr>
                <w:sz w:val="21"/>
                <w:szCs w:val="21"/>
                <w:spacing w:val="12"/>
              </w:rPr>
              <w:t xml:space="preserve"> </w:t>
            </w:r>
            <w:r>
              <w:rPr>
                <w:sz w:val="21"/>
                <w:szCs w:val="21"/>
                <w:spacing w:val="-3"/>
              </w:rPr>
              <w:t>冷等离子体条件切换，标准技术与碰撞池技术切</w:t>
            </w:r>
            <w:r>
              <w:rPr>
                <w:sz w:val="21"/>
                <w:szCs w:val="21"/>
                <w:spacing w:val="11"/>
              </w:rPr>
              <w:t xml:space="preserve"> </w:t>
            </w:r>
            <w:r>
              <w:rPr>
                <w:sz w:val="21"/>
                <w:szCs w:val="21"/>
                <w:spacing w:val="12"/>
              </w:rPr>
              <w:t>换等)</w:t>
            </w:r>
          </w:p>
          <w:p>
            <w:pPr>
              <w:pStyle w:val="TableText"/>
              <w:ind w:left="73" w:hanging="19"/>
              <w:spacing w:before="2" w:line="210" w:lineRule="auto"/>
              <w:rPr>
                <w:sz w:val="21"/>
                <w:szCs w:val="21"/>
              </w:rPr>
            </w:pPr>
            <w:r>
              <w:rPr>
                <w:sz w:val="21"/>
                <w:szCs w:val="21"/>
                <w:spacing w:val="-1"/>
              </w:rPr>
              <w:t>3.2.3包含色谱连用的瞬间信号分析软</w:t>
            </w:r>
            <w:r>
              <w:rPr>
                <w:sz w:val="21"/>
                <w:szCs w:val="21"/>
                <w:spacing w:val="-2"/>
              </w:rPr>
              <w:t>件以便与</w:t>
            </w:r>
            <w:r>
              <w:rPr>
                <w:sz w:val="21"/>
                <w:szCs w:val="21"/>
              </w:rPr>
              <w:t xml:space="preserve">  </w:t>
            </w:r>
            <w:r>
              <w:rPr>
                <w:sz w:val="21"/>
                <w:szCs w:val="21"/>
                <w:spacing w:val="-3"/>
              </w:rPr>
              <w:t>色谱或激光进样系统等连用。可以满足色谱连用</w:t>
            </w:r>
            <w:r>
              <w:rPr>
                <w:sz w:val="21"/>
                <w:szCs w:val="21"/>
                <w:spacing w:val="13"/>
              </w:rPr>
              <w:t xml:space="preserve"> </w:t>
            </w:r>
            <w:r>
              <w:rPr>
                <w:sz w:val="21"/>
                <w:szCs w:val="21"/>
                <w:spacing w:val="-4"/>
              </w:rPr>
              <w:t>中的数据采集，色谱积分计算，报告输出等功能</w:t>
            </w:r>
          </w:p>
          <w:p>
            <w:pPr>
              <w:pStyle w:val="TableText"/>
              <w:ind w:left="74"/>
              <w:spacing w:line="212" w:lineRule="auto"/>
              <w:rPr>
                <w:sz w:val="21"/>
                <w:szCs w:val="21"/>
              </w:rPr>
            </w:pPr>
            <w:r>
              <w:rPr>
                <w:sz w:val="21"/>
                <w:szCs w:val="21"/>
              </w:rPr>
              <w:t>3.2.4实时数据显示，和实时报告显示。</w:t>
            </w:r>
          </w:p>
          <w:p>
            <w:pPr>
              <w:pStyle w:val="TableText"/>
              <w:ind w:left="84" w:right="40" w:hanging="10"/>
              <w:spacing w:before="1" w:line="215" w:lineRule="auto"/>
              <w:rPr>
                <w:sz w:val="21"/>
                <w:szCs w:val="21"/>
              </w:rPr>
            </w:pPr>
            <w:r>
              <w:rPr>
                <w:sz w:val="21"/>
                <w:szCs w:val="21"/>
              </w:rPr>
              <w:t>3.2.5要求拥有智能化软件包括：智能进样时间</w:t>
            </w:r>
            <w:r>
              <w:rPr>
                <w:sz w:val="21"/>
                <w:szCs w:val="21"/>
                <w:spacing w:val="14"/>
              </w:rPr>
              <w:t xml:space="preserve"> </w:t>
            </w:r>
            <w:r>
              <w:rPr>
                <w:sz w:val="21"/>
                <w:szCs w:val="21"/>
                <w:spacing w:val="-1"/>
              </w:rPr>
              <w:t>和智能冲洗时间，QAQC软件，可以满足EPA</w:t>
            </w:r>
          </w:p>
          <w:p>
            <w:pPr>
              <w:pStyle w:val="TableText"/>
              <w:ind w:left="74"/>
              <w:spacing w:line="202" w:lineRule="auto"/>
              <w:rPr>
                <w:sz w:val="21"/>
                <w:szCs w:val="21"/>
              </w:rPr>
            </w:pPr>
            <w:r>
              <w:rPr>
                <w:sz w:val="21"/>
                <w:szCs w:val="21"/>
                <w:spacing w:val="5"/>
              </w:rPr>
              <w:t>方法的</w:t>
            </w:r>
            <w:r>
              <w:rPr>
                <w:sz w:val="21"/>
                <w:szCs w:val="21"/>
              </w:rPr>
              <w:t>QC</w:t>
            </w:r>
            <w:r>
              <w:rPr>
                <w:sz w:val="21"/>
                <w:szCs w:val="21"/>
                <w:spacing w:val="5"/>
              </w:rPr>
              <w:t>要求，智能谱图解释软件.</w:t>
            </w:r>
          </w:p>
          <w:p>
            <w:pPr>
              <w:pStyle w:val="TableText"/>
              <w:ind w:left="73" w:hanging="10"/>
              <w:spacing w:before="4" w:line="210" w:lineRule="auto"/>
              <w:jc w:val="both"/>
              <w:rPr>
                <w:sz w:val="21"/>
                <w:szCs w:val="21"/>
              </w:rPr>
            </w:pPr>
            <w:r>
              <w:rPr>
                <w:sz w:val="21"/>
                <w:szCs w:val="21"/>
                <w:spacing w:val="-1"/>
              </w:rPr>
              <w:t>3.2.6电感耦合等离子体质谱仪操作软件可以安</w:t>
            </w:r>
            <w:r>
              <w:rPr>
                <w:sz w:val="21"/>
                <w:szCs w:val="21"/>
              </w:rPr>
              <w:t xml:space="preserve">  </w:t>
            </w:r>
            <w:r>
              <w:rPr>
                <w:sz w:val="21"/>
                <w:szCs w:val="21"/>
                <w:spacing w:val="-3"/>
              </w:rPr>
              <w:t>装于个人计算机上，样品分析数据可以使用此软</w:t>
            </w:r>
            <w:r>
              <w:rPr>
                <w:sz w:val="21"/>
                <w:szCs w:val="21"/>
                <w:spacing w:val="13"/>
              </w:rPr>
              <w:t xml:space="preserve"> </w:t>
            </w:r>
            <w:r>
              <w:rPr>
                <w:sz w:val="21"/>
                <w:szCs w:val="21"/>
                <w:spacing w:val="-1"/>
              </w:rPr>
              <w:t>件进行离线数据处理并生成报告。</w:t>
            </w:r>
          </w:p>
          <w:p>
            <w:pPr>
              <w:pStyle w:val="TableText"/>
              <w:ind w:left="74"/>
              <w:spacing w:before="1" w:line="210" w:lineRule="auto"/>
              <w:rPr>
                <w:sz w:val="21"/>
                <w:szCs w:val="21"/>
              </w:rPr>
            </w:pPr>
            <w:r>
              <w:rPr>
                <w:sz w:val="21"/>
                <w:szCs w:val="21"/>
                <w:spacing w:val="-2"/>
              </w:rPr>
              <w:t>4仪器性能</w:t>
            </w:r>
          </w:p>
          <w:p>
            <w:pPr>
              <w:pStyle w:val="TableText"/>
              <w:ind w:left="74"/>
              <w:spacing w:before="1" w:line="214" w:lineRule="auto"/>
              <w:rPr>
                <w:sz w:val="21"/>
                <w:szCs w:val="21"/>
              </w:rPr>
            </w:pPr>
            <w:r>
              <w:rPr>
                <w:sz w:val="21"/>
                <w:szCs w:val="21"/>
                <w:spacing w:val="-1"/>
              </w:rPr>
              <w:t>4.1标准模式下灵敏度</w:t>
            </w:r>
          </w:p>
          <w:p>
            <w:pPr>
              <w:pStyle w:val="TableText"/>
              <w:ind w:left="74"/>
              <w:spacing w:before="1" w:line="210" w:lineRule="auto"/>
              <w:rPr>
                <w:sz w:val="21"/>
                <w:szCs w:val="21"/>
              </w:rPr>
            </w:pPr>
            <w:r>
              <w:rPr>
                <w:sz w:val="21"/>
                <w:szCs w:val="21"/>
              </w:rPr>
              <w:t>4.1.1中低质量数Li&gt;90Mcps/pp</w:t>
            </w:r>
            <w:r>
              <w:rPr>
                <w:sz w:val="21"/>
                <w:szCs w:val="21"/>
                <w:spacing w:val="-1"/>
              </w:rPr>
              <w:t>m。</w:t>
            </w:r>
          </w:p>
          <w:p>
            <w:pPr>
              <w:pStyle w:val="TableText"/>
              <w:ind w:left="74"/>
              <w:spacing w:line="211" w:lineRule="auto"/>
              <w:rPr>
                <w:sz w:val="21"/>
                <w:szCs w:val="21"/>
              </w:rPr>
            </w:pPr>
            <w:r>
              <w:rPr>
                <w:sz w:val="21"/>
                <w:szCs w:val="21"/>
              </w:rPr>
              <w:t>4.1.2中质量数In&gt;500Mcps/ppm。</w:t>
            </w:r>
          </w:p>
          <w:p>
            <w:pPr>
              <w:pStyle w:val="TableText"/>
              <w:ind w:left="74"/>
              <w:spacing w:line="207" w:lineRule="auto"/>
              <w:rPr>
                <w:sz w:val="21"/>
                <w:szCs w:val="21"/>
              </w:rPr>
            </w:pPr>
            <w:r>
              <w:rPr>
                <w:sz w:val="21"/>
                <w:szCs w:val="21"/>
              </w:rPr>
              <w:t>4.1.3高质量数U&gt;550 Mcps/ppm。</w:t>
            </w:r>
          </w:p>
          <w:p>
            <w:pPr>
              <w:pStyle w:val="TableText"/>
              <w:ind w:left="74"/>
              <w:spacing w:line="197" w:lineRule="auto"/>
              <w:rPr>
                <w:sz w:val="21"/>
                <w:szCs w:val="21"/>
              </w:rPr>
            </w:pPr>
            <w:r>
              <w:rPr>
                <w:sz w:val="21"/>
                <w:szCs w:val="21"/>
                <w:spacing w:val="-1"/>
              </w:rPr>
              <w:t>4.1.4背景噪音</w:t>
            </w:r>
          </w:p>
          <w:p>
            <w:pPr>
              <w:pStyle w:val="TableText"/>
              <w:ind w:left="73" w:right="188" w:hanging="19"/>
              <w:spacing w:before="1" w:line="202" w:lineRule="auto"/>
              <w:rPr>
                <w:sz w:val="21"/>
                <w:szCs w:val="21"/>
              </w:rPr>
            </w:pPr>
            <w:hyperlink w:history="true" r:id="rId50">
              <w:r>
                <w:rPr>
                  <w:sz w:val="21"/>
                  <w:szCs w:val="21"/>
                </w:rPr>
                <w:t>4.1.4.1</w:t>
              </w:r>
            </w:hyperlink>
            <w:r>
              <w:rPr>
                <w:sz w:val="21"/>
                <w:szCs w:val="21"/>
              </w:rPr>
              <w:t>标准模式下(No Gas)随</w:t>
            </w:r>
            <w:r>
              <w:rPr>
                <w:sz w:val="21"/>
                <w:szCs w:val="21"/>
                <w:spacing w:val="-1"/>
              </w:rPr>
              <w:t>机背景：&lt;1 cp</w:t>
            </w:r>
            <w:r>
              <w:rPr>
                <w:sz w:val="21"/>
                <w:szCs w:val="21"/>
              </w:rPr>
              <w:t xml:space="preserve"> </w:t>
            </w:r>
            <w:r>
              <w:rPr>
                <w:sz w:val="21"/>
                <w:szCs w:val="21"/>
                <w:spacing w:val="-6"/>
              </w:rPr>
              <w:t>(4.5amu)</w:t>
            </w:r>
          </w:p>
          <w:p>
            <w:pPr>
              <w:pStyle w:val="TableText"/>
              <w:ind w:left="74"/>
              <w:spacing w:line="214" w:lineRule="auto"/>
              <w:rPr>
                <w:sz w:val="21"/>
                <w:szCs w:val="21"/>
              </w:rPr>
            </w:pPr>
            <w:hyperlink w:history="true" r:id="rId51">
              <w:r>
                <w:rPr>
                  <w:sz w:val="21"/>
                  <w:szCs w:val="21"/>
                  <w:spacing w:val="2"/>
                </w:rPr>
                <w:t>4.1.4.2</w:t>
              </w:r>
            </w:hyperlink>
            <w:r>
              <w:rPr>
                <w:sz w:val="21"/>
                <w:szCs w:val="21"/>
                <w:spacing w:val="2"/>
              </w:rPr>
              <w:t xml:space="preserve"> </w:t>
            </w:r>
            <w:r>
              <w:rPr>
                <w:sz w:val="21"/>
                <w:szCs w:val="21"/>
              </w:rPr>
              <w:t>He</w:t>
            </w:r>
            <w:r>
              <w:rPr>
                <w:sz w:val="21"/>
                <w:szCs w:val="21"/>
                <w:spacing w:val="2"/>
              </w:rPr>
              <w:t>模式随机背景：&lt;0.5</w:t>
            </w:r>
            <w:r>
              <w:rPr>
                <w:sz w:val="21"/>
                <w:szCs w:val="21"/>
                <w:spacing w:val="1"/>
              </w:rPr>
              <w:t xml:space="preserve"> </w:t>
            </w:r>
            <w:r>
              <w:rPr>
                <w:sz w:val="21"/>
                <w:szCs w:val="21"/>
              </w:rPr>
              <w:t>cps</w:t>
            </w:r>
            <w:r>
              <w:rPr>
                <w:sz w:val="21"/>
                <w:szCs w:val="21"/>
                <w:spacing w:val="1"/>
              </w:rPr>
              <w:t>(4.5</w:t>
            </w:r>
            <w:r>
              <w:rPr>
                <w:sz w:val="21"/>
                <w:szCs w:val="21"/>
              </w:rPr>
              <w:t>amu</w:t>
            </w:r>
            <w:r>
              <w:rPr>
                <w:sz w:val="21"/>
                <w:szCs w:val="21"/>
                <w:spacing w:val="1"/>
              </w:rPr>
              <w:t>)</w:t>
            </w:r>
          </w:p>
          <w:p>
            <w:pPr>
              <w:pStyle w:val="TableText"/>
              <w:ind w:left="74"/>
              <w:spacing w:before="21" w:line="219" w:lineRule="auto"/>
              <w:rPr>
                <w:sz w:val="21"/>
                <w:szCs w:val="21"/>
              </w:rPr>
            </w:pPr>
            <w:r>
              <w:rPr>
                <w:sz w:val="21"/>
                <w:szCs w:val="21"/>
                <w:spacing w:val="-1"/>
              </w:rPr>
              <w:t>4.1.5氧化物及双电荷</w:t>
            </w:r>
          </w:p>
          <w:p>
            <w:pPr>
              <w:pStyle w:val="TableText"/>
              <w:ind w:left="74"/>
              <w:spacing w:before="1" w:line="212" w:lineRule="auto"/>
              <w:rPr>
                <w:sz w:val="21"/>
                <w:szCs w:val="21"/>
              </w:rPr>
            </w:pPr>
            <w:r>
              <w:rPr>
                <w:sz w:val="21"/>
                <w:szCs w:val="21"/>
                <w:spacing w:val="3"/>
              </w:rPr>
              <w:t>氧化物离子(</w:t>
            </w:r>
            <w:r>
              <w:rPr>
                <w:sz w:val="21"/>
                <w:szCs w:val="21"/>
              </w:rPr>
              <w:t>CeO</w:t>
            </w:r>
            <w:r>
              <w:rPr>
                <w:sz w:val="21"/>
                <w:szCs w:val="21"/>
                <w:spacing w:val="3"/>
              </w:rPr>
              <w:t>+/</w:t>
            </w:r>
            <w:r>
              <w:rPr>
                <w:sz w:val="21"/>
                <w:szCs w:val="21"/>
              </w:rPr>
              <w:t>Ce</w:t>
            </w:r>
            <w:r>
              <w:rPr>
                <w:sz w:val="21"/>
                <w:szCs w:val="21"/>
                <w:spacing w:val="3"/>
              </w:rPr>
              <w:t>+)&lt;2%;</w:t>
            </w:r>
          </w:p>
          <w:p>
            <w:pPr>
              <w:pStyle w:val="TableText"/>
              <w:ind w:left="74"/>
              <w:spacing w:line="202" w:lineRule="auto"/>
              <w:rPr>
                <w:sz w:val="21"/>
                <w:szCs w:val="21"/>
              </w:rPr>
            </w:pPr>
            <w:r>
              <w:rPr>
                <w:sz w:val="21"/>
                <w:szCs w:val="21"/>
                <w:spacing w:val="-1"/>
              </w:rPr>
              <w:t>双电荷粒子(Ba++/Ba+&gt;)&lt;3%。</w:t>
            </w:r>
          </w:p>
          <w:p>
            <w:pPr>
              <w:pStyle w:val="TableText"/>
              <w:ind w:left="74"/>
              <w:spacing w:line="219" w:lineRule="auto"/>
              <w:rPr>
                <w:sz w:val="21"/>
                <w:szCs w:val="21"/>
              </w:rPr>
            </w:pPr>
            <w:r>
              <w:rPr>
                <w:sz w:val="21"/>
                <w:szCs w:val="21"/>
                <w:spacing w:val="-1"/>
              </w:rPr>
              <w:t>4.1.7稳定性</w:t>
            </w:r>
          </w:p>
          <w:p>
            <w:pPr>
              <w:pStyle w:val="TableText"/>
              <w:ind w:left="74"/>
              <w:spacing w:before="1" w:line="211" w:lineRule="auto"/>
              <w:rPr>
                <w:sz w:val="21"/>
                <w:szCs w:val="21"/>
              </w:rPr>
            </w:pPr>
            <w:hyperlink w:history="true" r:id="rId52">
              <w:r>
                <w:rPr>
                  <w:sz w:val="21"/>
                  <w:szCs w:val="21"/>
                  <w:spacing w:val="-1"/>
                </w:rPr>
                <w:t>4.1.7.1</w:t>
              </w:r>
            </w:hyperlink>
            <w:r>
              <w:rPr>
                <w:sz w:val="21"/>
                <w:szCs w:val="21"/>
                <w:spacing w:val="-1"/>
              </w:rPr>
              <w:t>短期稳定性10min(RSD):&lt;2%</w:t>
            </w:r>
          </w:p>
          <w:p>
            <w:pPr>
              <w:pStyle w:val="TableText"/>
              <w:ind w:left="74"/>
              <w:spacing w:line="202" w:lineRule="auto"/>
              <w:rPr>
                <w:sz w:val="21"/>
                <w:szCs w:val="21"/>
              </w:rPr>
            </w:pPr>
            <w:hyperlink w:history="true" r:id="rId53">
              <w:r>
                <w:rPr>
                  <w:sz w:val="21"/>
                  <w:szCs w:val="21"/>
                  <w:spacing w:val="-1"/>
                </w:rPr>
                <w:t>4.1.7.2</w:t>
              </w:r>
            </w:hyperlink>
            <w:r>
              <w:rPr>
                <w:sz w:val="21"/>
                <w:szCs w:val="21"/>
                <w:spacing w:val="-1"/>
              </w:rPr>
              <w:t>长期稳定性2 hr(RSD):&lt;3%</w:t>
            </w:r>
          </w:p>
          <w:p>
            <w:pPr>
              <w:pStyle w:val="TableText"/>
              <w:ind w:left="184" w:right="588" w:hanging="110"/>
              <w:spacing w:before="2" w:line="210" w:lineRule="auto"/>
              <w:rPr>
                <w:sz w:val="21"/>
                <w:szCs w:val="21"/>
              </w:rPr>
            </w:pPr>
            <w:r>
              <w:rPr>
                <w:sz w:val="21"/>
                <w:szCs w:val="21"/>
              </w:rPr>
              <w:t>4.1.8质谱校正稳定性：&lt;0.025</w:t>
            </w:r>
            <w:r>
              <w:rPr>
                <w:sz w:val="21"/>
                <w:szCs w:val="21"/>
                <w:spacing w:val="-1"/>
              </w:rPr>
              <w:t xml:space="preserve"> amu/24hr</w:t>
            </w:r>
            <w:r>
              <w:rPr>
                <w:sz w:val="21"/>
                <w:szCs w:val="21"/>
              </w:rPr>
              <w:t xml:space="preserve"> </w:t>
            </w:r>
            <w:r>
              <w:rPr>
                <w:sz w:val="21"/>
                <w:szCs w:val="21"/>
                <w:spacing w:val="-2"/>
              </w:rPr>
              <w:t>配置：</w:t>
            </w:r>
          </w:p>
          <w:p>
            <w:pPr>
              <w:pStyle w:val="TableText"/>
              <w:ind w:left="74"/>
              <w:spacing w:line="211" w:lineRule="auto"/>
              <w:rPr>
                <w:sz w:val="21"/>
                <w:szCs w:val="21"/>
              </w:rPr>
            </w:pPr>
            <w:r>
              <w:rPr>
                <w:sz w:val="21"/>
                <w:szCs w:val="21"/>
              </w:rPr>
              <w:t>1电感耦合等离子质谱仪主机部分</w:t>
            </w:r>
          </w:p>
          <w:p>
            <w:pPr>
              <w:pStyle w:val="TableText"/>
              <w:ind w:left="74"/>
              <w:spacing w:line="211" w:lineRule="auto"/>
              <w:rPr>
                <w:sz w:val="21"/>
                <w:szCs w:val="21"/>
              </w:rPr>
            </w:pPr>
            <w:r>
              <w:rPr>
                <w:sz w:val="21"/>
                <w:szCs w:val="21"/>
              </w:rPr>
              <w:t>1.1等离子体监控系统：1套</w:t>
            </w:r>
          </w:p>
          <w:p>
            <w:pPr>
              <w:pStyle w:val="TableText"/>
              <w:ind w:left="74"/>
              <w:spacing w:before="1" w:line="229" w:lineRule="auto"/>
              <w:rPr>
                <w:sz w:val="21"/>
                <w:szCs w:val="21"/>
              </w:rPr>
            </w:pPr>
            <w:r>
              <w:rPr>
                <w:sz w:val="21"/>
                <w:szCs w:val="21"/>
              </w:rPr>
              <w:t>1.2半导体制冷进样系统：1套</w:t>
            </w:r>
          </w:p>
          <w:p>
            <w:pPr>
              <w:pStyle w:val="TableText"/>
              <w:ind w:left="74"/>
              <w:spacing w:line="192" w:lineRule="auto"/>
              <w:rPr>
                <w:sz w:val="21"/>
                <w:szCs w:val="21"/>
              </w:rPr>
            </w:pPr>
            <w:r>
              <w:rPr>
                <w:sz w:val="21"/>
                <w:szCs w:val="21"/>
              </w:rPr>
              <w:t>1.3射频发生器：1套</w:t>
            </w:r>
          </w:p>
          <w:p>
            <w:pPr>
              <w:pStyle w:val="TableText"/>
              <w:ind w:left="74"/>
              <w:spacing w:before="1" w:line="220" w:lineRule="auto"/>
              <w:rPr>
                <w:sz w:val="21"/>
                <w:szCs w:val="21"/>
              </w:rPr>
            </w:pPr>
            <w:r>
              <w:rPr>
                <w:sz w:val="21"/>
                <w:szCs w:val="21"/>
              </w:rPr>
              <w:t>1.4正交偏转器离子透镜：1套</w:t>
            </w:r>
          </w:p>
          <w:p>
            <w:pPr>
              <w:pStyle w:val="TableText"/>
              <w:ind w:left="74"/>
              <w:spacing w:before="1" w:line="201" w:lineRule="auto"/>
              <w:rPr>
                <w:sz w:val="21"/>
                <w:szCs w:val="21"/>
              </w:rPr>
            </w:pPr>
            <w:r>
              <w:rPr>
                <w:sz w:val="21"/>
                <w:szCs w:val="21"/>
              </w:rPr>
              <w:t>1.5碰撞反应池：1套</w:t>
            </w:r>
          </w:p>
          <w:p>
            <w:pPr>
              <w:pStyle w:val="TableText"/>
              <w:ind w:left="74"/>
              <w:spacing w:line="219" w:lineRule="auto"/>
              <w:rPr>
                <w:sz w:val="21"/>
                <w:szCs w:val="21"/>
              </w:rPr>
            </w:pPr>
            <w:r>
              <w:rPr>
                <w:sz w:val="21"/>
                <w:szCs w:val="21"/>
              </w:rPr>
              <w:t>1.6四极杆质量分析器：1套</w:t>
            </w:r>
          </w:p>
          <w:p>
            <w:pPr>
              <w:pStyle w:val="TableText"/>
              <w:ind w:left="74"/>
              <w:spacing w:before="1" w:line="193" w:lineRule="auto"/>
              <w:rPr>
                <w:sz w:val="21"/>
                <w:szCs w:val="21"/>
              </w:rPr>
            </w:pPr>
            <w:r>
              <w:rPr>
                <w:sz w:val="21"/>
                <w:szCs w:val="21"/>
                <w:spacing w:val="1"/>
              </w:rPr>
              <w:t>1.7检测器：1套</w:t>
            </w:r>
          </w:p>
          <w:p>
            <w:pPr>
              <w:pStyle w:val="TableText"/>
              <w:ind w:left="74"/>
              <w:spacing w:line="199" w:lineRule="auto"/>
              <w:rPr>
                <w:sz w:val="21"/>
                <w:szCs w:val="21"/>
              </w:rPr>
            </w:pPr>
            <w:r>
              <w:rPr>
                <w:sz w:val="21"/>
                <w:szCs w:val="21"/>
              </w:rPr>
              <w:t>1.8专用控制软件：1套</w:t>
            </w:r>
          </w:p>
        </w:tc>
        <w:tc>
          <w:tcPr>
            <w:tcW w:w="799" w:type="dxa"/>
            <w:vAlign w:val="top"/>
          </w:tcPr>
          <w:p>
            <w:pPr>
              <w:rPr>
                <w:rFonts w:ascii="Arial"/>
                <w:sz w:val="21"/>
              </w:rPr>
            </w:pPr>
            <w:r/>
          </w:p>
        </w:tc>
        <w:tc>
          <w:tcPr>
            <w:tcW w:w="854" w:type="dxa"/>
            <w:vAlign w:val="top"/>
          </w:tcPr>
          <w:p>
            <w:pPr>
              <w:rPr>
                <w:rFonts w:ascii="Arial"/>
                <w:sz w:val="21"/>
              </w:rPr>
            </w:pPr>
            <w:r/>
          </w:p>
        </w:tc>
      </w:tr>
    </w:tbl>
    <w:p>
      <w:pPr>
        <w:pStyle w:val="BodyText"/>
        <w:rPr/>
      </w:pPr>
      <w:r/>
    </w:p>
    <w:p>
      <w:pPr>
        <w:sectPr>
          <w:pgSz w:w="12230" w:h="17050"/>
          <w:pgMar w:top="1449" w:right="1725" w:bottom="0" w:left="1834" w:header="0" w:footer="0" w:gutter="0"/>
        </w:sectPr>
        <w:rPr/>
      </w:pPr>
    </w:p>
    <w:p>
      <w:pPr>
        <w:spacing w:line="167" w:lineRule="exact"/>
        <w:rPr/>
      </w:pPr>
      <w:r>
        <w:drawing>
          <wp:anchor distT="0" distB="0" distL="0" distR="0" simplePos="0" relativeHeight="251703296" behindDoc="0" locked="0" layoutInCell="0" allowOverlap="1">
            <wp:simplePos x="0" y="0"/>
            <wp:positionH relativeFrom="page">
              <wp:posOffset>7483904</wp:posOffset>
            </wp:positionH>
            <wp:positionV relativeFrom="page">
              <wp:posOffset>6622391</wp:posOffset>
            </wp:positionV>
            <wp:extent cx="188724" cy="1499700"/>
            <wp:effectExtent l="0" t="0" r="0" b="0"/>
            <wp:wrapNone/>
            <wp:docPr id="16" name="IM 16"/>
            <wp:cNvGraphicFramePr/>
            <a:graphic>
              <a:graphicData uri="http://schemas.openxmlformats.org/drawingml/2006/picture">
                <pic:pic>
                  <pic:nvPicPr>
                    <pic:cNvPr id="16" name="IM 16"/>
                    <pic:cNvPicPr/>
                  </pic:nvPicPr>
                  <pic:blipFill>
                    <a:blip r:embed="rId54"/>
                    <a:stretch>
                      <a:fillRect/>
                    </a:stretch>
                  </pic:blipFill>
                  <pic:spPr>
                    <a:xfrm rot="0">
                      <a:off x="0" y="0"/>
                      <a:ext cx="188724" cy="1499700"/>
                    </a:xfrm>
                    <a:prstGeom prst="rect">
                      <a:avLst/>
                    </a:prstGeom>
                  </pic:spPr>
                </pic:pic>
              </a:graphicData>
            </a:graphic>
          </wp:anchor>
        </w:drawing>
      </w:r>
      <w:r/>
    </w:p>
    <w:tbl>
      <w:tblPr>
        <w:tblStyle w:val="TableNormal"/>
        <w:tblW w:w="8600" w:type="dxa"/>
        <w:tblInd w:w="21" w:type="dxa"/>
        <w:tblLayout w:type="fixed"/>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tblGrid>
        <w:gridCol w:w="435"/>
        <w:gridCol w:w="639"/>
        <w:gridCol w:w="619"/>
        <w:gridCol w:w="809"/>
        <w:gridCol w:w="4445"/>
        <w:gridCol w:w="799"/>
        <w:gridCol w:w="854"/>
      </w:tblGrid>
      <w:tr>
        <w:trPr>
          <w:trHeight w:val="11289" w:hRule="atLeast"/>
        </w:trPr>
        <w:tc>
          <w:tcPr>
            <w:tcW w:w="435" w:type="dxa"/>
            <w:vAlign w:val="top"/>
          </w:tcPr>
          <w:p>
            <w:pPr>
              <w:rPr>
                <w:rFonts w:ascii="Arial"/>
                <w:sz w:val="21"/>
              </w:rPr>
            </w:pPr>
            <w:r/>
          </w:p>
        </w:tc>
        <w:tc>
          <w:tcPr>
            <w:tcW w:w="639" w:type="dxa"/>
            <w:vAlign w:val="top"/>
          </w:tcPr>
          <w:p>
            <w:pPr>
              <w:rPr>
                <w:rFonts w:ascii="Arial"/>
                <w:sz w:val="21"/>
              </w:rPr>
            </w:pPr>
            <w:r/>
          </w:p>
        </w:tc>
        <w:tc>
          <w:tcPr>
            <w:tcW w:w="619" w:type="dxa"/>
            <w:vAlign w:val="top"/>
          </w:tcPr>
          <w:p>
            <w:pPr>
              <w:rPr>
                <w:rFonts w:ascii="Arial"/>
                <w:sz w:val="21"/>
              </w:rPr>
            </w:pPr>
            <w:r/>
          </w:p>
        </w:tc>
        <w:tc>
          <w:tcPr>
            <w:tcW w:w="809" w:type="dxa"/>
            <w:vAlign w:val="top"/>
          </w:tcPr>
          <w:p>
            <w:pPr>
              <w:rPr>
                <w:rFonts w:ascii="Arial"/>
                <w:sz w:val="21"/>
              </w:rPr>
            </w:pPr>
            <w:r/>
          </w:p>
        </w:tc>
        <w:tc>
          <w:tcPr>
            <w:tcW w:w="4445" w:type="dxa"/>
            <w:vAlign w:val="top"/>
          </w:tcPr>
          <w:p>
            <w:pPr>
              <w:pStyle w:val="TableText"/>
              <w:ind w:left="73"/>
              <w:spacing w:before="13" w:line="202" w:lineRule="auto"/>
              <w:rPr>
                <w:sz w:val="21"/>
                <w:szCs w:val="21"/>
              </w:rPr>
            </w:pPr>
            <w:r>
              <w:rPr>
                <w:sz w:val="21"/>
                <w:szCs w:val="21"/>
              </w:rPr>
              <w:t>1.9氩气稀释系统：1套</w:t>
            </w:r>
          </w:p>
          <w:p>
            <w:pPr>
              <w:pStyle w:val="TableText"/>
              <w:ind w:left="73" w:right="85" w:firstLine="29"/>
              <w:spacing w:before="1" w:line="202" w:lineRule="auto"/>
              <w:rPr>
                <w:sz w:val="21"/>
                <w:szCs w:val="21"/>
              </w:rPr>
            </w:pPr>
            <w:r>
              <w:rPr>
                <w:sz w:val="21"/>
                <w:szCs w:val="21"/>
                <w:spacing w:val="2"/>
              </w:rPr>
              <w:t>1.10截取锥嵌片(高基体，高灵敏度，高稳健)</w:t>
            </w:r>
            <w:r>
              <w:rPr>
                <w:sz w:val="21"/>
                <w:szCs w:val="21"/>
              </w:rPr>
              <w:t xml:space="preserve"> </w:t>
            </w:r>
            <w:r>
              <w:rPr>
                <w:sz w:val="21"/>
                <w:szCs w:val="21"/>
                <w:spacing w:val="2"/>
              </w:rPr>
              <w:t>1套</w:t>
            </w:r>
          </w:p>
          <w:p>
            <w:pPr>
              <w:pStyle w:val="TableText"/>
              <w:ind w:left="73"/>
              <w:spacing w:line="227" w:lineRule="auto"/>
              <w:rPr>
                <w:sz w:val="21"/>
                <w:szCs w:val="21"/>
              </w:rPr>
            </w:pPr>
            <w:r>
              <w:rPr>
                <w:sz w:val="21"/>
                <w:szCs w:val="21"/>
              </w:rPr>
              <w:t>2安装调试工具包：1套</w:t>
            </w:r>
          </w:p>
          <w:p>
            <w:pPr>
              <w:pStyle w:val="TableText"/>
              <w:ind w:left="73"/>
              <w:spacing w:line="210" w:lineRule="auto"/>
              <w:rPr>
                <w:sz w:val="21"/>
                <w:szCs w:val="21"/>
              </w:rPr>
            </w:pPr>
            <w:r>
              <w:rPr>
                <w:sz w:val="21"/>
                <w:szCs w:val="21"/>
                <w:spacing w:val="-2"/>
              </w:rPr>
              <w:t>3进样系统部分</w:t>
            </w:r>
          </w:p>
          <w:p>
            <w:pPr>
              <w:pStyle w:val="TableText"/>
              <w:ind w:left="73"/>
              <w:spacing w:line="208" w:lineRule="auto"/>
              <w:jc w:val="both"/>
              <w:rPr>
                <w:sz w:val="21"/>
                <w:szCs w:val="21"/>
              </w:rPr>
            </w:pPr>
            <w:r>
              <w:rPr>
                <w:sz w:val="21"/>
                <w:szCs w:val="21"/>
                <w:spacing w:val="-2"/>
              </w:rPr>
              <w:t>3.1常规进样系统(包含采样锥，截取锥</w:t>
            </w:r>
            <w:r>
              <w:rPr>
                <w:sz w:val="21"/>
                <w:szCs w:val="21"/>
                <w:spacing w:val="-3"/>
              </w:rPr>
              <w:t>，石英炸</w:t>
            </w:r>
            <w:r>
              <w:rPr>
                <w:sz w:val="21"/>
                <w:szCs w:val="21"/>
              </w:rPr>
              <w:t xml:space="preserve"> </w:t>
            </w:r>
            <w:r>
              <w:rPr>
                <w:sz w:val="21"/>
                <w:szCs w:val="21"/>
                <w:spacing w:val="-3"/>
              </w:rPr>
              <w:t>管，石英中心管，配套雾化室，石英雾化器各一</w:t>
            </w:r>
            <w:r>
              <w:rPr>
                <w:sz w:val="21"/>
                <w:szCs w:val="21"/>
                <w:spacing w:val="13"/>
              </w:rPr>
              <w:t xml:space="preserve"> </w:t>
            </w:r>
            <w:r>
              <w:rPr>
                <w:sz w:val="21"/>
                <w:szCs w:val="21"/>
                <w:spacing w:val="-2"/>
              </w:rPr>
              <w:t>套):1套</w:t>
            </w:r>
          </w:p>
          <w:p>
            <w:pPr>
              <w:pStyle w:val="TableText"/>
              <w:ind w:left="73"/>
              <w:spacing w:before="3" w:line="216" w:lineRule="auto"/>
              <w:jc w:val="both"/>
              <w:rPr>
                <w:sz w:val="21"/>
                <w:szCs w:val="21"/>
              </w:rPr>
            </w:pPr>
            <w:r>
              <w:rPr>
                <w:sz w:val="21"/>
                <w:szCs w:val="21"/>
                <w:spacing w:val="-2"/>
              </w:rPr>
              <w:t>3.2耐高盐进样系统(包含采样锥，截取</w:t>
            </w:r>
            <w:r>
              <w:rPr>
                <w:sz w:val="21"/>
                <w:szCs w:val="21"/>
                <w:spacing w:val="-3"/>
              </w:rPr>
              <w:t>锥，石英</w:t>
            </w:r>
            <w:r>
              <w:rPr>
                <w:sz w:val="21"/>
                <w:szCs w:val="21"/>
              </w:rPr>
              <w:t xml:space="preserve"> </w:t>
            </w:r>
            <w:r>
              <w:rPr>
                <w:sz w:val="21"/>
                <w:szCs w:val="21"/>
                <w:spacing w:val="-3"/>
              </w:rPr>
              <w:t>炬管，石英中心管，配套雾化室，耐高盐雾化器</w:t>
            </w:r>
            <w:r>
              <w:rPr>
                <w:sz w:val="21"/>
                <w:szCs w:val="21"/>
                <w:spacing w:val="13"/>
              </w:rPr>
              <w:t xml:space="preserve"> </w:t>
            </w:r>
            <w:r>
              <w:rPr>
                <w:sz w:val="21"/>
                <w:szCs w:val="21"/>
                <w:spacing w:val="-2"/>
              </w:rPr>
              <w:t>各一套):1套</w:t>
            </w:r>
          </w:p>
          <w:p>
            <w:pPr>
              <w:pStyle w:val="TableText"/>
              <w:ind w:left="73"/>
              <w:spacing w:before="1" w:line="218" w:lineRule="auto"/>
              <w:rPr>
                <w:sz w:val="21"/>
                <w:szCs w:val="21"/>
              </w:rPr>
            </w:pPr>
            <w:r>
              <w:rPr>
                <w:sz w:val="21"/>
                <w:szCs w:val="21"/>
              </w:rPr>
              <w:t>3.3采样锥，Ni材质：2套</w:t>
            </w:r>
          </w:p>
          <w:p>
            <w:pPr>
              <w:pStyle w:val="TableText"/>
              <w:ind w:left="73"/>
              <w:spacing w:before="1" w:line="203" w:lineRule="auto"/>
              <w:rPr>
                <w:sz w:val="21"/>
                <w:szCs w:val="21"/>
              </w:rPr>
            </w:pPr>
            <w:r>
              <w:rPr>
                <w:sz w:val="21"/>
                <w:szCs w:val="21"/>
                <w:spacing w:val="-1"/>
              </w:rPr>
              <w:t>3.4截取锥-嵌片版，Ni材质：2套</w:t>
            </w:r>
          </w:p>
          <w:p>
            <w:pPr>
              <w:pStyle w:val="TableText"/>
              <w:ind w:left="73"/>
              <w:spacing w:line="201" w:lineRule="auto"/>
              <w:rPr>
                <w:sz w:val="21"/>
                <w:szCs w:val="21"/>
              </w:rPr>
            </w:pPr>
            <w:r>
              <w:rPr>
                <w:sz w:val="21"/>
                <w:szCs w:val="21"/>
              </w:rPr>
              <w:t>3.5高基体截取锥嵌片：2套</w:t>
            </w:r>
          </w:p>
          <w:p>
            <w:pPr>
              <w:pStyle w:val="TableText"/>
              <w:ind w:left="73"/>
              <w:spacing w:line="229" w:lineRule="auto"/>
              <w:rPr>
                <w:sz w:val="21"/>
                <w:szCs w:val="21"/>
              </w:rPr>
            </w:pPr>
            <w:r>
              <w:rPr>
                <w:sz w:val="21"/>
                <w:szCs w:val="21"/>
              </w:rPr>
              <w:t>3.6采样锥石墨垫圈，20片每包：1包</w:t>
            </w:r>
          </w:p>
          <w:p>
            <w:pPr>
              <w:pStyle w:val="TableText"/>
              <w:ind w:left="73"/>
              <w:spacing w:before="1" w:line="193" w:lineRule="auto"/>
              <w:rPr>
                <w:sz w:val="21"/>
                <w:szCs w:val="21"/>
              </w:rPr>
            </w:pPr>
            <w:r>
              <w:rPr>
                <w:sz w:val="21"/>
                <w:szCs w:val="21"/>
                <w:spacing w:val="-10"/>
              </w:rPr>
              <w:t>3.7水溶液进样泵管，</w:t>
            </w:r>
            <w:r>
              <w:rPr>
                <w:sz w:val="21"/>
                <w:szCs w:val="21"/>
                <w:spacing w:val="61"/>
              </w:rPr>
              <w:t xml:space="preserve"> </w:t>
            </w:r>
            <w:r>
              <w:rPr>
                <w:sz w:val="21"/>
                <w:szCs w:val="21"/>
                <w:spacing w:val="-10"/>
              </w:rPr>
              <w:t>一包6根：2包</w:t>
            </w:r>
          </w:p>
          <w:p>
            <w:pPr>
              <w:pStyle w:val="TableText"/>
              <w:ind w:left="73"/>
              <w:spacing w:line="219" w:lineRule="auto"/>
              <w:rPr>
                <w:sz w:val="21"/>
                <w:szCs w:val="21"/>
              </w:rPr>
            </w:pPr>
            <w:r>
              <w:rPr>
                <w:sz w:val="21"/>
                <w:szCs w:val="21"/>
                <w:spacing w:val="-10"/>
              </w:rPr>
              <w:t>3.8水溶液废液泵管，</w:t>
            </w:r>
            <w:r>
              <w:rPr>
                <w:sz w:val="21"/>
                <w:szCs w:val="21"/>
                <w:spacing w:val="61"/>
              </w:rPr>
              <w:t xml:space="preserve"> </w:t>
            </w:r>
            <w:r>
              <w:rPr>
                <w:sz w:val="21"/>
                <w:szCs w:val="21"/>
                <w:spacing w:val="-10"/>
              </w:rPr>
              <w:t>一包6根：2包</w:t>
            </w:r>
          </w:p>
          <w:p>
            <w:pPr>
              <w:pStyle w:val="TableText"/>
              <w:ind w:left="53" w:right="69" w:firstLine="19"/>
              <w:spacing w:before="11" w:line="214" w:lineRule="auto"/>
              <w:jc w:val="both"/>
              <w:rPr>
                <w:sz w:val="21"/>
                <w:szCs w:val="21"/>
              </w:rPr>
            </w:pPr>
            <w:r>
              <w:rPr>
                <w:sz w:val="21"/>
                <w:szCs w:val="21"/>
                <w:spacing w:val="-1"/>
              </w:rPr>
              <w:t>3.9特氟隆材质毛细管，排废液用，5m/包：2包</w:t>
            </w:r>
            <w:r>
              <w:rPr>
                <w:sz w:val="21"/>
                <w:szCs w:val="21"/>
                <w:spacing w:val="10"/>
              </w:rPr>
              <w:t xml:space="preserve"> </w:t>
            </w:r>
            <w:r>
              <w:rPr>
                <w:sz w:val="21"/>
                <w:szCs w:val="21"/>
                <w:spacing w:val="-1"/>
              </w:rPr>
              <w:t>3.10特氟隆材质毛细管，引入样品/内标用，3m</w:t>
            </w:r>
            <w:r>
              <w:rPr>
                <w:sz w:val="21"/>
                <w:szCs w:val="21"/>
                <w:spacing w:val="10"/>
              </w:rPr>
              <w:t xml:space="preserve"> </w:t>
            </w:r>
            <w:r>
              <w:rPr>
                <w:sz w:val="21"/>
                <w:szCs w:val="21"/>
                <w:spacing w:val="2"/>
              </w:rPr>
              <w:t>包：2包</w:t>
            </w:r>
          </w:p>
          <w:p>
            <w:pPr>
              <w:pStyle w:val="TableText"/>
              <w:ind w:left="73"/>
              <w:spacing w:line="219" w:lineRule="auto"/>
              <w:rPr>
                <w:sz w:val="21"/>
                <w:szCs w:val="21"/>
              </w:rPr>
            </w:pPr>
            <w:r>
              <w:rPr>
                <w:sz w:val="21"/>
                <w:szCs w:val="21"/>
                <w:spacing w:val="-2"/>
              </w:rPr>
              <w:t>3.11石英炬管：2套</w:t>
            </w:r>
          </w:p>
          <w:p>
            <w:pPr>
              <w:pStyle w:val="TableText"/>
              <w:ind w:left="73"/>
              <w:spacing w:before="1" w:line="193" w:lineRule="auto"/>
              <w:rPr>
                <w:sz w:val="21"/>
                <w:szCs w:val="21"/>
              </w:rPr>
            </w:pPr>
            <w:r>
              <w:rPr>
                <w:sz w:val="21"/>
                <w:szCs w:val="21"/>
                <w:spacing w:val="-1"/>
              </w:rPr>
              <w:t>3.12石英中心管(2.5mm内径):2套</w:t>
            </w:r>
          </w:p>
          <w:p>
            <w:pPr>
              <w:pStyle w:val="TableText"/>
              <w:ind w:left="73"/>
              <w:spacing w:line="219" w:lineRule="auto"/>
              <w:rPr>
                <w:sz w:val="21"/>
                <w:szCs w:val="21"/>
              </w:rPr>
            </w:pPr>
            <w:r>
              <w:rPr>
                <w:sz w:val="21"/>
                <w:szCs w:val="21"/>
                <w:spacing w:val="-1"/>
              </w:rPr>
              <w:t>3.13耐高盐雾化器：1套</w:t>
            </w:r>
          </w:p>
          <w:p>
            <w:pPr>
              <w:pStyle w:val="TableText"/>
              <w:ind w:left="73"/>
              <w:spacing w:before="10" w:line="195" w:lineRule="auto"/>
              <w:rPr>
                <w:sz w:val="21"/>
                <w:szCs w:val="21"/>
              </w:rPr>
            </w:pPr>
            <w:r>
              <w:rPr>
                <w:sz w:val="21"/>
                <w:szCs w:val="21"/>
                <w:spacing w:val="-2"/>
              </w:rPr>
              <w:t>3.14机械泵油：4升</w:t>
            </w:r>
          </w:p>
          <w:p>
            <w:pPr>
              <w:pStyle w:val="TableText"/>
              <w:ind w:left="73"/>
              <w:spacing w:line="220" w:lineRule="auto"/>
              <w:rPr>
                <w:sz w:val="21"/>
                <w:szCs w:val="21"/>
              </w:rPr>
            </w:pPr>
            <w:r>
              <w:rPr>
                <w:sz w:val="21"/>
                <w:szCs w:val="21"/>
                <w:spacing w:val="-2"/>
              </w:rPr>
              <w:t>3.15调谐液：2套</w:t>
            </w:r>
          </w:p>
          <w:p>
            <w:pPr>
              <w:pStyle w:val="TableText"/>
              <w:ind w:left="73"/>
              <w:spacing w:before="8" w:line="211" w:lineRule="auto"/>
              <w:rPr>
                <w:sz w:val="21"/>
                <w:szCs w:val="21"/>
              </w:rPr>
            </w:pPr>
            <w:r>
              <w:rPr>
                <w:sz w:val="21"/>
                <w:szCs w:val="21"/>
                <w:spacing w:val="-2"/>
              </w:rPr>
              <w:t>4.基本耗材</w:t>
            </w:r>
          </w:p>
          <w:p>
            <w:pPr>
              <w:pStyle w:val="TableText"/>
              <w:ind w:left="73"/>
              <w:spacing w:before="1" w:line="194" w:lineRule="auto"/>
              <w:rPr>
                <w:sz w:val="21"/>
                <w:szCs w:val="21"/>
              </w:rPr>
            </w:pPr>
            <w:r>
              <w:rPr>
                <w:sz w:val="21"/>
                <w:szCs w:val="21"/>
                <w:spacing w:val="-1"/>
              </w:rPr>
              <w:t>4.1 Ni采样锥：4套</w:t>
            </w:r>
          </w:p>
          <w:p>
            <w:pPr>
              <w:pStyle w:val="TableText"/>
              <w:ind w:left="73" w:right="2479"/>
              <w:spacing w:before="2" w:line="214" w:lineRule="auto"/>
              <w:rPr>
                <w:sz w:val="21"/>
                <w:szCs w:val="21"/>
              </w:rPr>
            </w:pPr>
            <w:r>
              <w:rPr>
                <w:sz w:val="21"/>
                <w:szCs w:val="21"/>
                <w:spacing w:val="-1"/>
              </w:rPr>
              <w:t>4.2 Ni截取锥：4套</w:t>
            </w:r>
            <w:r>
              <w:rPr>
                <w:sz w:val="21"/>
                <w:szCs w:val="21"/>
                <w:spacing w:val="1"/>
              </w:rPr>
              <w:t xml:space="preserve">  </w:t>
            </w:r>
            <w:r>
              <w:rPr>
                <w:sz w:val="21"/>
                <w:szCs w:val="21"/>
                <w:spacing w:val="-1"/>
              </w:rPr>
              <w:t>4.3高盐雾化器：4套</w:t>
            </w:r>
          </w:p>
          <w:p>
            <w:pPr>
              <w:pStyle w:val="TableText"/>
              <w:ind w:left="73" w:right="1849"/>
              <w:spacing w:before="1" w:line="215" w:lineRule="auto"/>
              <w:rPr>
                <w:sz w:val="21"/>
                <w:szCs w:val="21"/>
              </w:rPr>
            </w:pPr>
            <w:r>
              <w:rPr>
                <w:sz w:val="21"/>
                <w:szCs w:val="21"/>
                <w:spacing w:val="-1"/>
              </w:rPr>
              <w:t>4.4 PFA微流量雾化器：4套</w:t>
            </w:r>
            <w:r>
              <w:rPr>
                <w:sz w:val="21"/>
                <w:szCs w:val="21"/>
                <w:spacing w:val="7"/>
              </w:rPr>
              <w:t xml:space="preserve"> </w:t>
            </w:r>
            <w:r>
              <w:rPr>
                <w:sz w:val="21"/>
                <w:szCs w:val="21"/>
                <w:spacing w:val="-1"/>
              </w:rPr>
              <w:t>4.5常规雾化器：1套</w:t>
            </w:r>
          </w:p>
          <w:p>
            <w:pPr>
              <w:pStyle w:val="TableText"/>
              <w:ind w:left="73"/>
              <w:spacing w:before="1" w:line="210" w:lineRule="auto"/>
              <w:rPr>
                <w:sz w:val="21"/>
                <w:szCs w:val="21"/>
              </w:rPr>
            </w:pPr>
            <w:r>
              <w:rPr>
                <w:sz w:val="21"/>
                <w:szCs w:val="21"/>
                <w:spacing w:val="-1"/>
              </w:rPr>
              <w:t>4.6离子检测器：3套</w:t>
            </w:r>
          </w:p>
          <w:p>
            <w:pPr>
              <w:pStyle w:val="TableText"/>
              <w:ind w:left="73"/>
              <w:spacing w:line="211" w:lineRule="auto"/>
              <w:rPr>
                <w:sz w:val="21"/>
                <w:szCs w:val="21"/>
              </w:rPr>
            </w:pPr>
            <w:r>
              <w:rPr>
                <w:sz w:val="21"/>
                <w:szCs w:val="21"/>
                <w:spacing w:val="-1"/>
              </w:rPr>
              <w:t>4.7机械泵用泵油：4升</w:t>
            </w:r>
          </w:p>
          <w:p>
            <w:pPr>
              <w:pStyle w:val="TableText"/>
              <w:ind w:left="73"/>
              <w:spacing w:before="1" w:line="219" w:lineRule="auto"/>
              <w:rPr>
                <w:sz w:val="21"/>
                <w:szCs w:val="21"/>
              </w:rPr>
            </w:pPr>
            <w:r>
              <w:rPr>
                <w:sz w:val="21"/>
                <w:szCs w:val="21"/>
                <w:spacing w:val="-1"/>
              </w:rPr>
              <w:t>4.8灵敏度调谐液：4瓶</w:t>
            </w:r>
          </w:p>
          <w:p>
            <w:pPr>
              <w:pStyle w:val="TableText"/>
              <w:ind w:left="73"/>
              <w:spacing w:line="202" w:lineRule="auto"/>
              <w:rPr>
                <w:sz w:val="21"/>
                <w:szCs w:val="21"/>
              </w:rPr>
            </w:pPr>
            <w:r>
              <w:rPr>
                <w:sz w:val="21"/>
                <w:szCs w:val="21"/>
                <w:spacing w:val="-1"/>
              </w:rPr>
              <w:t>4.9交叉校正、质量轴校正溶液：2瓶</w:t>
            </w:r>
          </w:p>
          <w:p>
            <w:pPr>
              <w:pStyle w:val="TableText"/>
              <w:ind w:left="73"/>
              <w:spacing w:line="211" w:lineRule="auto"/>
              <w:rPr>
                <w:sz w:val="21"/>
                <w:szCs w:val="21"/>
              </w:rPr>
            </w:pPr>
            <w:r>
              <w:rPr>
                <w:sz w:val="21"/>
                <w:szCs w:val="21"/>
                <w:spacing w:val="-1"/>
              </w:rPr>
              <w:t>4.10进样管(12根/包):4包</w:t>
            </w:r>
          </w:p>
          <w:p>
            <w:pPr>
              <w:pStyle w:val="TableText"/>
              <w:ind w:left="73"/>
              <w:spacing w:before="1" w:line="219" w:lineRule="auto"/>
              <w:rPr>
                <w:sz w:val="21"/>
                <w:szCs w:val="21"/>
              </w:rPr>
            </w:pPr>
            <w:r>
              <w:rPr>
                <w:sz w:val="21"/>
                <w:szCs w:val="21"/>
                <w:spacing w:val="-1"/>
              </w:rPr>
              <w:t>4.11内标管(3m/包):4包</w:t>
            </w:r>
          </w:p>
          <w:p>
            <w:pPr>
              <w:pStyle w:val="TableText"/>
              <w:ind w:left="73"/>
              <w:spacing w:line="202" w:lineRule="auto"/>
              <w:rPr>
                <w:sz w:val="21"/>
                <w:szCs w:val="21"/>
              </w:rPr>
            </w:pPr>
            <w:r>
              <w:rPr>
                <w:sz w:val="21"/>
                <w:szCs w:val="21"/>
                <w:spacing w:val="-2"/>
              </w:rPr>
              <w:t>5内标加入系统部分</w:t>
            </w:r>
          </w:p>
          <w:p>
            <w:pPr>
              <w:pStyle w:val="TableText"/>
              <w:ind w:left="73" w:right="367" w:firstLine="9"/>
              <w:spacing w:before="1" w:line="202" w:lineRule="auto"/>
              <w:rPr>
                <w:sz w:val="21"/>
                <w:szCs w:val="21"/>
              </w:rPr>
            </w:pPr>
            <w:r>
              <w:rPr>
                <w:sz w:val="21"/>
                <w:szCs w:val="21"/>
                <w:spacing w:val="-1"/>
              </w:rPr>
              <w:t>5.1在线内标加入三通0.5mm孔径PEEK材质：</w:t>
            </w:r>
            <w:r>
              <w:rPr>
                <w:sz w:val="21"/>
                <w:szCs w:val="21"/>
                <w:spacing w:val="18"/>
              </w:rPr>
              <w:t xml:space="preserve"> </w:t>
            </w:r>
            <w:r>
              <w:rPr>
                <w:sz w:val="21"/>
                <w:szCs w:val="21"/>
                <w:spacing w:val="-2"/>
              </w:rPr>
              <w:t>2套</w:t>
            </w:r>
          </w:p>
          <w:p>
            <w:pPr>
              <w:pStyle w:val="TableText"/>
              <w:ind w:left="73"/>
              <w:spacing w:line="219" w:lineRule="auto"/>
              <w:rPr>
                <w:sz w:val="21"/>
                <w:szCs w:val="21"/>
              </w:rPr>
            </w:pPr>
            <w:r>
              <w:rPr>
                <w:sz w:val="21"/>
                <w:szCs w:val="21"/>
                <w:spacing w:val="-1"/>
              </w:rPr>
              <w:t>5.2内标泵管，12根/包：2包</w:t>
            </w:r>
          </w:p>
          <w:p>
            <w:pPr>
              <w:pStyle w:val="TableText"/>
              <w:ind w:left="73"/>
              <w:spacing w:before="1" w:line="220" w:lineRule="auto"/>
              <w:rPr>
                <w:sz w:val="21"/>
                <w:szCs w:val="21"/>
              </w:rPr>
            </w:pPr>
            <w:r>
              <w:rPr>
                <w:sz w:val="21"/>
                <w:szCs w:val="21"/>
                <w:spacing w:val="1"/>
              </w:rPr>
              <w:t>5.3转接头：2套</w:t>
            </w:r>
          </w:p>
          <w:p>
            <w:pPr>
              <w:pStyle w:val="TableText"/>
              <w:ind w:left="73"/>
              <w:spacing w:before="1" w:line="192" w:lineRule="auto"/>
              <w:rPr>
                <w:sz w:val="21"/>
                <w:szCs w:val="21"/>
              </w:rPr>
            </w:pPr>
            <w:r>
              <w:rPr>
                <w:sz w:val="21"/>
                <w:szCs w:val="21"/>
                <w:spacing w:val="-2"/>
              </w:rPr>
              <w:t>6辅助设备</w:t>
            </w:r>
          </w:p>
          <w:p>
            <w:pPr>
              <w:pStyle w:val="TableText"/>
              <w:ind w:left="73"/>
              <w:spacing w:before="1" w:line="219" w:lineRule="auto"/>
              <w:rPr>
                <w:sz w:val="21"/>
                <w:szCs w:val="21"/>
              </w:rPr>
            </w:pPr>
            <w:r>
              <w:rPr>
                <w:sz w:val="21"/>
                <w:szCs w:val="21"/>
              </w:rPr>
              <w:t>6.1配套循环冷却水系统：1套</w:t>
            </w:r>
          </w:p>
          <w:p>
            <w:pPr>
              <w:pStyle w:val="TableText"/>
              <w:ind w:left="73"/>
              <w:spacing w:line="219" w:lineRule="auto"/>
              <w:rPr>
                <w:sz w:val="21"/>
                <w:szCs w:val="21"/>
              </w:rPr>
            </w:pPr>
            <w:r>
              <w:rPr>
                <w:sz w:val="21"/>
                <w:szCs w:val="21"/>
              </w:rPr>
              <w:t>6.2惠普电脑HP288G9:1套</w:t>
            </w:r>
          </w:p>
          <w:p>
            <w:pPr>
              <w:pStyle w:val="TableText"/>
              <w:ind w:left="73"/>
              <w:spacing w:before="1" w:line="201" w:lineRule="auto"/>
              <w:rPr>
                <w:sz w:val="21"/>
                <w:szCs w:val="21"/>
              </w:rPr>
            </w:pPr>
            <w:r>
              <w:rPr>
                <w:sz w:val="21"/>
                <w:szCs w:val="21"/>
              </w:rPr>
              <w:t>6.3惠普HP P1108激光打印机：1套</w:t>
            </w:r>
          </w:p>
          <w:p>
            <w:pPr>
              <w:pStyle w:val="TableText"/>
              <w:ind w:left="73"/>
              <w:spacing w:line="182" w:lineRule="auto"/>
              <w:rPr>
                <w:sz w:val="21"/>
                <w:szCs w:val="21"/>
              </w:rPr>
            </w:pPr>
            <w:r>
              <w:rPr>
                <w:sz w:val="21"/>
                <w:szCs w:val="21"/>
                <w:spacing w:val="-1"/>
              </w:rPr>
              <w:t>6.4配套UPS电源：1套</w:t>
            </w:r>
          </w:p>
        </w:tc>
        <w:tc>
          <w:tcPr>
            <w:tcW w:w="799" w:type="dxa"/>
            <w:vAlign w:val="top"/>
          </w:tcPr>
          <w:p>
            <w:pPr>
              <w:rPr>
                <w:rFonts w:ascii="Arial"/>
                <w:sz w:val="21"/>
              </w:rPr>
            </w:pPr>
            <w:r/>
          </w:p>
        </w:tc>
        <w:tc>
          <w:tcPr>
            <w:tcW w:w="854" w:type="dxa"/>
            <w:vAlign w:val="top"/>
          </w:tcPr>
          <w:p>
            <w:pPr>
              <w:rPr>
                <w:rFonts w:ascii="Arial"/>
                <w:sz w:val="21"/>
              </w:rPr>
            </w:pPr>
            <w:r/>
          </w:p>
        </w:tc>
      </w:tr>
    </w:tbl>
    <w:p>
      <w:pPr>
        <w:pStyle w:val="BodyText"/>
        <w:rPr/>
      </w:pPr>
      <w:r/>
    </w:p>
    <w:p>
      <w:pPr>
        <w:sectPr>
          <w:pgSz w:w="12190" w:h="17030"/>
          <w:pgMar w:top="1447" w:right="107" w:bottom="0" w:left="1828" w:header="0" w:footer="0" w:gutter="0"/>
        </w:sectPr>
        <w:rPr/>
      </w:pPr>
    </w:p>
    <w:p>
      <w:pPr>
        <w:ind w:left="2"/>
        <w:spacing w:before="187" w:line="219" w:lineRule="auto"/>
        <w:rPr>
          <w:rFonts w:ascii="SimSun" w:hAnsi="SimSun" w:eastAsia="SimSun" w:cs="SimSun"/>
          <w:sz w:val="25"/>
          <w:szCs w:val="25"/>
        </w:rPr>
      </w:pPr>
      <w:r>
        <w:rPr>
          <w:rFonts w:ascii="SimSun" w:hAnsi="SimSun" w:eastAsia="SimSun" w:cs="SimSun"/>
          <w:sz w:val="25"/>
          <w:szCs w:val="25"/>
          <w:spacing w:val="10"/>
        </w:rPr>
        <w:t>附件(2)售后服务计划</w:t>
      </w:r>
    </w:p>
    <w:p>
      <w:pPr>
        <w:pStyle w:val="BodyText"/>
        <w:spacing w:line="397" w:lineRule="auto"/>
        <w:rPr/>
      </w:pPr>
      <w:r/>
    </w:p>
    <w:p>
      <w:pPr>
        <w:ind w:left="3415"/>
        <w:spacing w:before="82" w:line="219" w:lineRule="auto"/>
        <w:rPr>
          <w:rFonts w:ascii="SimSun" w:hAnsi="SimSun" w:eastAsia="SimSun" w:cs="SimSun"/>
          <w:sz w:val="25"/>
          <w:szCs w:val="25"/>
        </w:rPr>
      </w:pPr>
      <w:r>
        <w:rPr>
          <w:rFonts w:ascii="SimSun" w:hAnsi="SimSun" w:eastAsia="SimSun" w:cs="SimSun"/>
          <w:sz w:val="25"/>
          <w:szCs w:val="25"/>
          <w:b/>
          <w:bCs/>
          <w:spacing w:val="-11"/>
        </w:rPr>
        <w:t>售后服务方案</w:t>
      </w:r>
    </w:p>
    <w:p>
      <w:pPr>
        <w:pStyle w:val="BodyText"/>
        <w:spacing w:line="403" w:lineRule="auto"/>
        <w:rPr/>
      </w:pPr>
      <w:r/>
    </w:p>
    <w:p>
      <w:pPr>
        <w:ind w:left="2"/>
        <w:spacing w:before="81" w:line="219" w:lineRule="auto"/>
        <w:rPr>
          <w:rFonts w:ascii="SimSun" w:hAnsi="SimSun" w:eastAsia="SimSun" w:cs="SimSun"/>
          <w:sz w:val="25"/>
          <w:szCs w:val="25"/>
        </w:rPr>
      </w:pPr>
      <w:r>
        <w:rPr>
          <w:rFonts w:ascii="SimSun" w:hAnsi="SimSun" w:eastAsia="SimSun" w:cs="SimSun"/>
          <w:sz w:val="25"/>
          <w:szCs w:val="25"/>
          <w:spacing w:val="-4"/>
        </w:rPr>
        <w:t>致：河南省地质局地质灾害防治中心</w:t>
      </w:r>
    </w:p>
    <w:p>
      <w:pPr>
        <w:ind w:left="2"/>
        <w:spacing w:before="172" w:line="450" w:lineRule="exact"/>
        <w:rPr>
          <w:rFonts w:ascii="SimSun" w:hAnsi="SimSun" w:eastAsia="SimSun" w:cs="SimSun"/>
          <w:sz w:val="25"/>
          <w:szCs w:val="25"/>
        </w:rPr>
      </w:pPr>
      <w:r>
        <w:rPr>
          <w:rFonts w:ascii="SimSun" w:hAnsi="SimSun" w:eastAsia="SimSun" w:cs="SimSun"/>
          <w:sz w:val="25"/>
          <w:szCs w:val="25"/>
          <w:spacing w:val="-8"/>
          <w:position w:val="15"/>
        </w:rPr>
        <w:t>我单位就项目编号：豫财磋商采购-2024</w:t>
      </w:r>
      <w:r>
        <w:rPr>
          <w:rFonts w:ascii="SimSun" w:hAnsi="SimSun" w:eastAsia="SimSun" w:cs="SimSun"/>
          <w:sz w:val="25"/>
          <w:szCs w:val="25"/>
          <w:spacing w:val="-9"/>
          <w:position w:val="15"/>
        </w:rPr>
        <w:t>-431的河南省地质局地质灾害防治中心</w:t>
      </w:r>
    </w:p>
    <w:p>
      <w:pPr>
        <w:ind w:left="2"/>
        <w:spacing w:line="219" w:lineRule="auto"/>
        <w:rPr>
          <w:rFonts w:ascii="SimSun" w:hAnsi="SimSun" w:eastAsia="SimSun" w:cs="SimSun"/>
          <w:sz w:val="25"/>
          <w:szCs w:val="25"/>
        </w:rPr>
      </w:pPr>
      <w:r>
        <w:rPr>
          <w:rFonts w:ascii="SimSun" w:hAnsi="SimSun" w:eastAsia="SimSun" w:cs="SimSun"/>
          <w:sz w:val="25"/>
          <w:szCs w:val="25"/>
          <w:spacing w:val="-13"/>
        </w:rPr>
        <w:t>专用设备购置项目的售后服务及质量保证承诺如下：</w:t>
      </w:r>
    </w:p>
    <w:p>
      <w:pPr>
        <w:ind w:left="2"/>
        <w:spacing w:before="183" w:line="470" w:lineRule="exact"/>
        <w:rPr>
          <w:rFonts w:ascii="SimSun" w:hAnsi="SimSun" w:eastAsia="SimSun" w:cs="SimSun"/>
          <w:sz w:val="25"/>
          <w:szCs w:val="25"/>
        </w:rPr>
      </w:pPr>
      <w:r>
        <w:rPr>
          <w:rFonts w:ascii="SimSun" w:hAnsi="SimSun" w:eastAsia="SimSun" w:cs="SimSun"/>
          <w:sz w:val="25"/>
          <w:szCs w:val="25"/>
          <w:spacing w:val="-14"/>
          <w:position w:val="16"/>
        </w:rPr>
        <w:t>★售后服务的内容、形式、含维修人员组成、免费维修时间、解决质量或操作问</w:t>
      </w:r>
    </w:p>
    <w:p>
      <w:pPr>
        <w:ind w:left="2"/>
        <w:spacing w:line="219" w:lineRule="auto"/>
        <w:rPr>
          <w:rFonts w:ascii="SimSun" w:hAnsi="SimSun" w:eastAsia="SimSun" w:cs="SimSun"/>
          <w:sz w:val="25"/>
          <w:szCs w:val="25"/>
        </w:rPr>
      </w:pPr>
      <w:r>
        <w:rPr>
          <w:rFonts w:ascii="SimSun" w:hAnsi="SimSun" w:eastAsia="SimSun" w:cs="SimSun"/>
          <w:sz w:val="25"/>
          <w:szCs w:val="25"/>
          <w:spacing w:val="-11"/>
        </w:rPr>
        <w:t>题的响应时间、解决问题的响应时间、解决问题时间、维修单位名称、地点</w:t>
      </w:r>
    </w:p>
    <w:p>
      <w:pPr>
        <w:ind w:left="2"/>
        <w:spacing w:before="174" w:line="347" w:lineRule="auto"/>
        <w:rPr>
          <w:rFonts w:ascii="SimSun" w:hAnsi="SimSun" w:eastAsia="SimSun" w:cs="SimSun"/>
          <w:sz w:val="25"/>
          <w:szCs w:val="25"/>
        </w:rPr>
      </w:pPr>
      <w:r>
        <w:rPr>
          <w:rFonts w:ascii="SimSun" w:hAnsi="SimSun" w:eastAsia="SimSun" w:cs="SimSun"/>
          <w:sz w:val="25"/>
          <w:szCs w:val="25"/>
          <w:spacing w:val="-11"/>
        </w:rPr>
        <w:t>1、我公司郑重承诺本次投标活动中，所有投标货物质保期限为验收合格之日起</w:t>
      </w:r>
      <w:r>
        <w:rPr>
          <w:rFonts w:ascii="SimSun" w:hAnsi="SimSun" w:eastAsia="SimSun" w:cs="SimSun"/>
          <w:sz w:val="25"/>
          <w:szCs w:val="25"/>
        </w:rPr>
        <w:t xml:space="preserve">  </w:t>
      </w:r>
      <w:r>
        <w:rPr>
          <w:rFonts w:ascii="SimSun" w:hAnsi="SimSun" w:eastAsia="SimSun" w:cs="SimSun"/>
          <w:sz w:val="25"/>
          <w:szCs w:val="25"/>
          <w:spacing w:val="-8"/>
        </w:rPr>
        <w:t>3</w:t>
      </w:r>
      <w:r>
        <w:rPr>
          <w:rFonts w:ascii="SimSun" w:hAnsi="SimSun" w:eastAsia="SimSun" w:cs="SimSun"/>
          <w:sz w:val="25"/>
          <w:szCs w:val="25"/>
          <w:spacing w:val="-26"/>
        </w:rPr>
        <w:t xml:space="preserve"> </w:t>
      </w:r>
      <w:r>
        <w:rPr>
          <w:rFonts w:ascii="SimSun" w:hAnsi="SimSun" w:eastAsia="SimSun" w:cs="SimSun"/>
          <w:sz w:val="25"/>
          <w:szCs w:val="25"/>
          <w:spacing w:val="-8"/>
        </w:rPr>
        <w:t>年，自验收合格之日起算，免费上门服务(</w:t>
      </w:r>
      <w:r>
        <w:rPr>
          <w:rFonts w:ascii="SimSun" w:hAnsi="SimSun" w:eastAsia="SimSun" w:cs="SimSun"/>
          <w:sz w:val="25"/>
          <w:szCs w:val="25"/>
          <w:spacing w:val="-9"/>
        </w:rPr>
        <w:t>人力+配件),项目中包含的软件(如</w:t>
      </w:r>
      <w:r>
        <w:rPr>
          <w:rFonts w:ascii="SimSun" w:hAnsi="SimSun" w:eastAsia="SimSun" w:cs="SimSun"/>
          <w:sz w:val="25"/>
          <w:szCs w:val="25"/>
        </w:rPr>
        <w:t xml:space="preserve"> </w:t>
      </w:r>
      <w:r>
        <w:rPr>
          <w:rFonts w:ascii="SimSun" w:hAnsi="SimSun" w:eastAsia="SimSun" w:cs="SimSun"/>
          <w:sz w:val="25"/>
          <w:szCs w:val="25"/>
          <w:spacing w:val="-15"/>
        </w:rPr>
        <w:t>有)提供终身免费升级维护，质保期外终身负责维护维修，只收取零配件成本费，</w:t>
      </w:r>
    </w:p>
    <w:p>
      <w:pPr>
        <w:ind w:left="2"/>
        <w:spacing w:line="219" w:lineRule="auto"/>
        <w:rPr>
          <w:rFonts w:ascii="SimSun" w:hAnsi="SimSun" w:eastAsia="SimSun" w:cs="SimSun"/>
          <w:sz w:val="25"/>
          <w:szCs w:val="25"/>
        </w:rPr>
      </w:pPr>
      <w:r>
        <w:rPr>
          <w:rFonts w:ascii="SimSun" w:hAnsi="SimSun" w:eastAsia="SimSun" w:cs="SimSun"/>
          <w:sz w:val="25"/>
          <w:szCs w:val="25"/>
          <w:spacing w:val="-11"/>
        </w:rPr>
        <w:t>其他费用全免。(若制造商售后服务质保期限与此不一</w:t>
      </w:r>
      <w:r>
        <w:rPr>
          <w:rFonts w:ascii="SimSun" w:hAnsi="SimSun" w:eastAsia="SimSun" w:cs="SimSun"/>
          <w:sz w:val="25"/>
          <w:szCs w:val="25"/>
          <w:spacing w:val="-12"/>
        </w:rPr>
        <w:t>致的，以此为准)。</w:t>
      </w:r>
    </w:p>
    <w:p>
      <w:pPr>
        <w:ind w:left="2" w:right="46"/>
        <w:spacing w:before="171" w:line="340" w:lineRule="auto"/>
        <w:rPr>
          <w:rFonts w:ascii="SimSun" w:hAnsi="SimSun" w:eastAsia="SimSun" w:cs="SimSun"/>
          <w:sz w:val="25"/>
          <w:szCs w:val="25"/>
        </w:rPr>
      </w:pPr>
      <w:r>
        <w:rPr>
          <w:rFonts w:ascii="SimSun" w:hAnsi="SimSun" w:eastAsia="SimSun" w:cs="SimSun"/>
          <w:sz w:val="25"/>
          <w:szCs w:val="25"/>
          <w:spacing w:val="-9"/>
        </w:rPr>
        <w:t>2、设备验收后，日常运行过程中如有操作不熟练或出现其它故障，公司会有24</w:t>
      </w:r>
      <w:r>
        <w:rPr>
          <w:rFonts w:ascii="SimSun" w:hAnsi="SimSun" w:eastAsia="SimSun" w:cs="SimSun"/>
          <w:sz w:val="25"/>
          <w:szCs w:val="25"/>
          <w:spacing w:val="6"/>
        </w:rPr>
        <w:t xml:space="preserve"> </w:t>
      </w:r>
      <w:r>
        <w:rPr>
          <w:rFonts w:ascii="SimSun" w:hAnsi="SimSun" w:eastAsia="SimSun" w:cs="SimSun"/>
          <w:sz w:val="25"/>
          <w:szCs w:val="25"/>
          <w:spacing w:val="-14"/>
        </w:rPr>
        <w:t>小时免费电话给予在线支持，接到用户电话会在即时给予响应，在线即</w:t>
      </w:r>
      <w:r>
        <w:rPr>
          <w:rFonts w:ascii="SimSun" w:hAnsi="SimSun" w:eastAsia="SimSun" w:cs="SimSun"/>
          <w:sz w:val="25"/>
          <w:szCs w:val="25"/>
          <w:spacing w:val="-15"/>
        </w:rPr>
        <w:t>时解决问</w:t>
      </w:r>
      <w:r>
        <w:rPr>
          <w:rFonts w:ascii="SimSun" w:hAnsi="SimSun" w:eastAsia="SimSun" w:cs="SimSun"/>
          <w:sz w:val="25"/>
          <w:szCs w:val="25"/>
        </w:rPr>
        <w:t xml:space="preserve"> </w:t>
      </w:r>
      <w:r>
        <w:rPr>
          <w:rFonts w:ascii="SimSun" w:hAnsi="SimSun" w:eastAsia="SimSun" w:cs="SimSun"/>
          <w:sz w:val="25"/>
          <w:szCs w:val="25"/>
          <w:spacing w:val="-8"/>
        </w:rPr>
        <w:t>题，如电话不能解决问题需到达现场的，1小时内到达，</w:t>
      </w:r>
      <w:r>
        <w:rPr>
          <w:rFonts w:ascii="SimSun" w:hAnsi="SimSun" w:eastAsia="SimSun" w:cs="SimSun"/>
          <w:sz w:val="25"/>
          <w:szCs w:val="25"/>
          <w:spacing w:val="67"/>
        </w:rPr>
        <w:t xml:space="preserve"> </w:t>
      </w:r>
      <w:r>
        <w:rPr>
          <w:rFonts w:ascii="SimSun" w:hAnsi="SimSun" w:eastAsia="SimSun" w:cs="SimSun"/>
          <w:sz w:val="25"/>
          <w:szCs w:val="25"/>
          <w:spacing w:val="-9"/>
        </w:rPr>
        <w:t>一般问题30分钟内解</w:t>
      </w:r>
      <w:r>
        <w:rPr>
          <w:rFonts w:ascii="SimSun" w:hAnsi="SimSun" w:eastAsia="SimSun" w:cs="SimSun"/>
          <w:sz w:val="25"/>
          <w:szCs w:val="25"/>
        </w:rPr>
        <w:t xml:space="preserve"> </w:t>
      </w:r>
      <w:r>
        <w:rPr>
          <w:rFonts w:ascii="SimSun" w:hAnsi="SimSun" w:eastAsia="SimSun" w:cs="SimSun"/>
          <w:sz w:val="25"/>
          <w:szCs w:val="25"/>
          <w:spacing w:val="-3"/>
        </w:rPr>
        <w:t>决，重大问题2个小时内解决，如不能及时解决实际工作中出现的问题，提供</w:t>
      </w:r>
      <w:r>
        <w:rPr>
          <w:rFonts w:ascii="SimSun" w:hAnsi="SimSun" w:eastAsia="SimSun" w:cs="SimSun"/>
          <w:sz w:val="25"/>
          <w:szCs w:val="25"/>
          <w:spacing w:val="4"/>
        </w:rPr>
        <w:t xml:space="preserve"> </w:t>
      </w:r>
      <w:r>
        <w:rPr>
          <w:rFonts w:ascii="SimSun" w:hAnsi="SimSun" w:eastAsia="SimSun" w:cs="SimSun"/>
          <w:sz w:val="25"/>
          <w:szCs w:val="25"/>
          <w:spacing w:val="-13"/>
        </w:rPr>
        <w:t>备用设备直至原设备修复，现场不能解决问题需返厂维修的，将尽快协调厂商工</w:t>
      </w:r>
    </w:p>
    <w:p>
      <w:pPr>
        <w:ind w:left="2"/>
        <w:spacing w:line="219" w:lineRule="auto"/>
        <w:rPr>
          <w:rFonts w:ascii="SimSun" w:hAnsi="SimSun" w:eastAsia="SimSun" w:cs="SimSun"/>
          <w:sz w:val="25"/>
          <w:szCs w:val="25"/>
        </w:rPr>
      </w:pPr>
      <w:r>
        <w:rPr>
          <w:rFonts w:ascii="SimSun" w:hAnsi="SimSun" w:eastAsia="SimSun" w:cs="SimSun"/>
          <w:sz w:val="25"/>
          <w:szCs w:val="25"/>
          <w:spacing w:val="-12"/>
        </w:rPr>
        <w:t>程师解决问题。</w:t>
      </w:r>
    </w:p>
    <w:p>
      <w:pPr>
        <w:ind w:left="2"/>
        <w:spacing w:before="214" w:line="219" w:lineRule="auto"/>
        <w:rPr>
          <w:rFonts w:ascii="SimSun" w:hAnsi="SimSun" w:eastAsia="SimSun" w:cs="SimSun"/>
          <w:sz w:val="25"/>
          <w:szCs w:val="25"/>
        </w:rPr>
      </w:pPr>
      <w:r>
        <w:rPr>
          <w:rFonts w:ascii="SimSun" w:hAnsi="SimSun" w:eastAsia="SimSun" w:cs="SimSun"/>
          <w:sz w:val="25"/>
          <w:szCs w:val="25"/>
          <w:spacing w:val="-11"/>
        </w:rPr>
        <w:t>3、售后维修单位信息</w:t>
      </w:r>
    </w:p>
    <w:p>
      <w:pPr>
        <w:ind w:left="2"/>
        <w:spacing w:before="163" w:line="219" w:lineRule="auto"/>
        <w:rPr>
          <w:rFonts w:ascii="SimSun" w:hAnsi="SimSun" w:eastAsia="SimSun" w:cs="SimSun"/>
          <w:sz w:val="25"/>
          <w:szCs w:val="25"/>
        </w:rPr>
      </w:pPr>
      <w:r>
        <w:rPr>
          <w:rFonts w:ascii="SimSun" w:hAnsi="SimSun" w:eastAsia="SimSun" w:cs="SimSun"/>
          <w:sz w:val="25"/>
          <w:szCs w:val="25"/>
          <w:spacing w:val="-11"/>
        </w:rPr>
        <w:t>单位名称：河南立畅仪器设备有限公司</w:t>
      </w:r>
    </w:p>
    <w:p>
      <w:pPr>
        <w:ind w:left="2"/>
        <w:spacing w:before="162" w:line="219" w:lineRule="auto"/>
        <w:rPr>
          <w:rFonts w:ascii="SimSun" w:hAnsi="SimSun" w:eastAsia="SimSun" w:cs="SimSun"/>
          <w:sz w:val="25"/>
          <w:szCs w:val="25"/>
        </w:rPr>
      </w:pPr>
      <w:r>
        <w:rPr>
          <w:rFonts w:ascii="SimSun" w:hAnsi="SimSun" w:eastAsia="SimSun" w:cs="SimSun"/>
          <w:sz w:val="25"/>
          <w:szCs w:val="25"/>
          <w:spacing w:val="7"/>
        </w:rPr>
        <w:t>地址：河南省郑州市金水区农业路东45号</w:t>
      </w:r>
      <w:r>
        <w:rPr>
          <w:rFonts w:ascii="SimSun" w:hAnsi="SimSun" w:eastAsia="SimSun" w:cs="SimSun"/>
          <w:sz w:val="25"/>
          <w:szCs w:val="25"/>
          <w:spacing w:val="6"/>
        </w:rPr>
        <w:t>2号楼23层2320号</w:t>
      </w:r>
    </w:p>
    <w:p>
      <w:pPr>
        <w:ind w:left="2"/>
        <w:spacing w:before="175" w:line="219" w:lineRule="auto"/>
        <w:rPr>
          <w:rFonts w:ascii="SimSun" w:hAnsi="SimSun" w:eastAsia="SimSun" w:cs="SimSun"/>
          <w:sz w:val="25"/>
          <w:szCs w:val="25"/>
        </w:rPr>
      </w:pPr>
      <w:r>
        <w:rPr>
          <w:rFonts w:ascii="SimSun" w:hAnsi="SimSun" w:eastAsia="SimSun" w:cs="SimSun"/>
          <w:sz w:val="25"/>
          <w:szCs w:val="25"/>
        </w:rPr>
        <w:t>联系电话：0371-65610750(7*24小时专线服务)</w:t>
      </w:r>
    </w:p>
    <w:p>
      <w:pPr>
        <w:ind w:left="2"/>
        <w:spacing w:before="174" w:line="219" w:lineRule="auto"/>
        <w:rPr>
          <w:rFonts w:ascii="SimSun" w:hAnsi="SimSun" w:eastAsia="SimSun" w:cs="SimSun"/>
          <w:sz w:val="25"/>
          <w:szCs w:val="25"/>
        </w:rPr>
      </w:pPr>
      <w:r>
        <w:rPr>
          <w:rFonts w:ascii="SimSun" w:hAnsi="SimSun" w:eastAsia="SimSun" w:cs="SimSun"/>
          <w:sz w:val="25"/>
          <w:szCs w:val="25"/>
          <w:spacing w:val="-10"/>
        </w:rPr>
        <w:t>联系人：赵郑立</w:t>
      </w:r>
    </w:p>
    <w:p>
      <w:pPr>
        <w:ind w:left="2"/>
        <w:spacing w:before="166" w:line="221" w:lineRule="auto"/>
        <w:rPr>
          <w:rFonts w:ascii="SimSun" w:hAnsi="SimSun" w:eastAsia="SimSun" w:cs="SimSun"/>
          <w:sz w:val="25"/>
          <w:szCs w:val="25"/>
        </w:rPr>
      </w:pPr>
      <w:r>
        <w:rPr>
          <w:rFonts w:ascii="SimSun" w:hAnsi="SimSun" w:eastAsia="SimSun" w:cs="SimSun"/>
          <w:sz w:val="25"/>
          <w:szCs w:val="25"/>
          <w:spacing w:val="-9"/>
        </w:rPr>
        <w:t>联系电话：13803711755</w:t>
      </w:r>
    </w:p>
    <w:p>
      <w:pPr>
        <w:ind w:left="2"/>
        <w:spacing w:before="147" w:line="500" w:lineRule="exact"/>
        <w:rPr>
          <w:rFonts w:ascii="SimSun" w:hAnsi="SimSun" w:eastAsia="SimSun" w:cs="SimSun"/>
          <w:sz w:val="25"/>
          <w:szCs w:val="25"/>
        </w:rPr>
      </w:pPr>
      <w:r>
        <w:rPr>
          <w:rFonts w:ascii="SimSun" w:hAnsi="SimSun" w:eastAsia="SimSun" w:cs="SimSun"/>
          <w:sz w:val="25"/>
          <w:szCs w:val="25"/>
          <w:spacing w:val="-10"/>
          <w:position w:val="19"/>
        </w:rPr>
        <w:t>4、我公司技术人员对所售货物定期巡防，免费进行货物的维护、保养服务，使</w:t>
      </w:r>
    </w:p>
    <w:p>
      <w:pPr>
        <w:ind w:left="2"/>
        <w:spacing w:before="1" w:line="218" w:lineRule="auto"/>
        <w:rPr>
          <w:rFonts w:ascii="SimSun" w:hAnsi="SimSun" w:eastAsia="SimSun" w:cs="SimSun"/>
          <w:sz w:val="25"/>
          <w:szCs w:val="25"/>
        </w:rPr>
      </w:pPr>
      <w:r>
        <w:rPr>
          <w:rFonts w:ascii="SimSun" w:hAnsi="SimSun" w:eastAsia="SimSun" w:cs="SimSun"/>
          <w:sz w:val="25"/>
          <w:szCs w:val="25"/>
          <w:spacing w:val="-4"/>
        </w:rPr>
        <w:t>货物使用率大道最大化，每年内不少于4次上门保养服务，包括寒暑假。</w:t>
      </w:r>
    </w:p>
    <w:p>
      <w:pPr>
        <w:spacing w:line="218" w:lineRule="auto"/>
        <w:sectPr>
          <w:pgSz w:w="11920" w:h="16840"/>
          <w:pgMar w:top="1431" w:right="1775" w:bottom="0" w:left="1788" w:header="0" w:footer="0" w:gutter="0"/>
        </w:sectPr>
        <w:rPr>
          <w:rFonts w:ascii="SimSun" w:hAnsi="SimSun" w:eastAsia="SimSun" w:cs="SimSun"/>
          <w:sz w:val="25"/>
          <w:szCs w:val="25"/>
        </w:rPr>
      </w:pPr>
    </w:p>
    <w:p>
      <w:pPr>
        <w:ind w:left="2872"/>
        <w:spacing w:before="166" w:line="219" w:lineRule="auto"/>
        <w:rPr>
          <w:rFonts w:ascii="SimSun" w:hAnsi="SimSun" w:eastAsia="SimSun" w:cs="SimSun"/>
          <w:sz w:val="25"/>
          <w:szCs w:val="25"/>
        </w:rPr>
      </w:pPr>
      <w:r>
        <w:rPr>
          <w:rFonts w:ascii="SimSun" w:hAnsi="SimSun" w:eastAsia="SimSun" w:cs="SimSun"/>
          <w:sz w:val="25"/>
          <w:szCs w:val="25"/>
          <w:b/>
          <w:bCs/>
          <w:spacing w:val="-12"/>
        </w:rPr>
        <w:t>★质保期外服务承诺方案</w:t>
      </w:r>
    </w:p>
    <w:p>
      <w:pPr>
        <w:ind w:left="39" w:right="110"/>
        <w:spacing w:before="153" w:line="348" w:lineRule="auto"/>
        <w:jc w:val="both"/>
        <w:rPr>
          <w:rFonts w:ascii="SimSun" w:hAnsi="SimSun" w:eastAsia="SimSun" w:cs="SimSun"/>
          <w:sz w:val="25"/>
          <w:szCs w:val="25"/>
        </w:rPr>
      </w:pPr>
      <w:r>
        <w:rPr>
          <w:rFonts w:ascii="SimSun" w:hAnsi="SimSun" w:eastAsia="SimSun" w:cs="SimSun"/>
          <w:sz w:val="25"/>
          <w:szCs w:val="25"/>
          <w:spacing w:val="-2"/>
        </w:rPr>
        <w:t>1、日常运行过程中如有操作不熟练或出现其它故障，公司</w:t>
      </w:r>
      <w:r>
        <w:rPr>
          <w:rFonts w:ascii="SimSun" w:hAnsi="SimSun" w:eastAsia="SimSun" w:cs="SimSun"/>
          <w:sz w:val="25"/>
          <w:szCs w:val="25"/>
          <w:spacing w:val="-3"/>
        </w:rPr>
        <w:t>会有24小时免费电</w:t>
      </w:r>
      <w:r>
        <w:rPr>
          <w:rFonts w:ascii="SimSun" w:hAnsi="SimSun" w:eastAsia="SimSun" w:cs="SimSun"/>
          <w:sz w:val="25"/>
          <w:szCs w:val="25"/>
        </w:rPr>
        <w:t xml:space="preserve"> </w:t>
      </w:r>
      <w:r>
        <w:rPr>
          <w:rFonts w:ascii="SimSun" w:hAnsi="SimSun" w:eastAsia="SimSun" w:cs="SimSun"/>
          <w:sz w:val="25"/>
          <w:szCs w:val="25"/>
          <w:spacing w:val="-14"/>
        </w:rPr>
        <w:t>话给予在线支持，接到用户电话会在即时给予响应，在线即时解决问题，如电话</w:t>
      </w:r>
      <w:r>
        <w:rPr>
          <w:rFonts w:ascii="SimSun" w:hAnsi="SimSun" w:eastAsia="SimSun" w:cs="SimSun"/>
          <w:sz w:val="25"/>
          <w:szCs w:val="25"/>
          <w:spacing w:val="18"/>
        </w:rPr>
        <w:t xml:space="preserve"> </w:t>
      </w:r>
      <w:r>
        <w:rPr>
          <w:rFonts w:ascii="SimSun" w:hAnsi="SimSun" w:eastAsia="SimSun" w:cs="SimSun"/>
          <w:sz w:val="25"/>
          <w:szCs w:val="25"/>
          <w:spacing w:val="-8"/>
        </w:rPr>
        <w:t>不能解决问题需到达现场的，1小时内到达，</w:t>
      </w:r>
      <w:r>
        <w:rPr>
          <w:rFonts w:ascii="SimSun" w:hAnsi="SimSun" w:eastAsia="SimSun" w:cs="SimSun"/>
          <w:sz w:val="25"/>
          <w:szCs w:val="25"/>
          <w:spacing w:val="78"/>
        </w:rPr>
        <w:t xml:space="preserve"> </w:t>
      </w:r>
      <w:r>
        <w:rPr>
          <w:rFonts w:ascii="SimSun" w:hAnsi="SimSun" w:eastAsia="SimSun" w:cs="SimSun"/>
          <w:sz w:val="25"/>
          <w:szCs w:val="25"/>
          <w:spacing w:val="-8"/>
        </w:rPr>
        <w:t>一般问题30分钟内解决，重大问</w:t>
      </w:r>
      <w:r>
        <w:rPr>
          <w:rFonts w:ascii="SimSun" w:hAnsi="SimSun" w:eastAsia="SimSun" w:cs="SimSun"/>
          <w:sz w:val="25"/>
          <w:szCs w:val="25"/>
        </w:rPr>
        <w:t xml:space="preserve"> </w:t>
      </w:r>
      <w:r>
        <w:rPr>
          <w:rFonts w:ascii="SimSun" w:hAnsi="SimSun" w:eastAsia="SimSun" w:cs="SimSun"/>
          <w:sz w:val="25"/>
          <w:szCs w:val="25"/>
          <w:spacing w:val="-3"/>
        </w:rPr>
        <w:t>题2个小时内解决，如不能及时解决实际工作中</w:t>
      </w:r>
      <w:r>
        <w:rPr>
          <w:rFonts w:ascii="SimSun" w:hAnsi="SimSun" w:eastAsia="SimSun" w:cs="SimSun"/>
          <w:sz w:val="25"/>
          <w:szCs w:val="25"/>
          <w:spacing w:val="-4"/>
        </w:rPr>
        <w:t>出现的问题，提供备用设备直</w:t>
      </w:r>
      <w:r>
        <w:rPr>
          <w:rFonts w:ascii="SimSun" w:hAnsi="SimSun" w:eastAsia="SimSun" w:cs="SimSun"/>
          <w:sz w:val="25"/>
          <w:szCs w:val="25"/>
        </w:rPr>
        <w:t xml:space="preserve"> </w:t>
      </w:r>
      <w:r>
        <w:rPr>
          <w:rFonts w:ascii="SimSun" w:hAnsi="SimSun" w:eastAsia="SimSun" w:cs="SimSun"/>
          <w:sz w:val="25"/>
          <w:szCs w:val="25"/>
          <w:spacing w:val="-13"/>
        </w:rPr>
        <w:t>至原设备修复，现场不能解决问题需返厂维修的，将尽快协调厂商工程师解决问</w:t>
      </w:r>
    </w:p>
    <w:p>
      <w:pPr>
        <w:ind w:left="39"/>
        <w:spacing w:line="221" w:lineRule="auto"/>
        <w:rPr>
          <w:rFonts w:ascii="SimSun" w:hAnsi="SimSun" w:eastAsia="SimSun" w:cs="SimSun"/>
          <w:sz w:val="25"/>
          <w:szCs w:val="25"/>
        </w:rPr>
      </w:pPr>
      <w:r>
        <w:rPr>
          <w:rFonts w:ascii="SimSun" w:hAnsi="SimSun" w:eastAsia="SimSun" w:cs="SimSun"/>
          <w:sz w:val="25"/>
          <w:szCs w:val="25"/>
          <w:spacing w:val="-4"/>
        </w:rPr>
        <w:t>题。</w:t>
      </w:r>
    </w:p>
    <w:p>
      <w:pPr>
        <w:ind w:left="39"/>
        <w:spacing w:before="206" w:line="451" w:lineRule="exact"/>
        <w:rPr>
          <w:rFonts w:ascii="SimSun" w:hAnsi="SimSun" w:eastAsia="SimSun" w:cs="SimSun"/>
          <w:sz w:val="25"/>
          <w:szCs w:val="25"/>
        </w:rPr>
      </w:pPr>
      <w:r>
        <w:rPr>
          <w:rFonts w:ascii="SimSun" w:hAnsi="SimSun" w:eastAsia="SimSun" w:cs="SimSun"/>
          <w:sz w:val="25"/>
          <w:szCs w:val="25"/>
          <w:spacing w:val="-11"/>
          <w:position w:val="15"/>
        </w:rPr>
        <w:t>2、技术培训：质保期外，只要用户有培训要求，可以提供多次培训；</w:t>
      </w:r>
    </w:p>
    <w:p>
      <w:pPr>
        <w:ind w:left="39"/>
        <w:spacing w:line="219" w:lineRule="auto"/>
        <w:rPr>
          <w:rFonts w:ascii="SimSun" w:hAnsi="SimSun" w:eastAsia="SimSun" w:cs="SimSun"/>
          <w:sz w:val="25"/>
          <w:szCs w:val="25"/>
        </w:rPr>
      </w:pPr>
      <w:r>
        <w:rPr>
          <w:rFonts w:ascii="SimSun" w:hAnsi="SimSun" w:eastAsia="SimSun" w:cs="SimSun"/>
          <w:sz w:val="25"/>
          <w:szCs w:val="25"/>
          <w:spacing w:val="-12"/>
        </w:rPr>
        <w:t>3、其它免费物品或服务：</w:t>
      </w:r>
    </w:p>
    <w:p>
      <w:pPr>
        <w:ind w:left="169"/>
        <w:spacing w:before="162" w:line="471" w:lineRule="exact"/>
        <w:rPr>
          <w:rFonts w:ascii="SimSun" w:hAnsi="SimSun" w:eastAsia="SimSun" w:cs="SimSun"/>
          <w:sz w:val="25"/>
          <w:szCs w:val="25"/>
        </w:rPr>
      </w:pPr>
      <w:r>
        <w:rPr>
          <w:rFonts w:ascii="SimSun" w:hAnsi="SimSun" w:eastAsia="SimSun" w:cs="SimSun"/>
          <w:sz w:val="25"/>
          <w:szCs w:val="25"/>
          <w:spacing w:val="-7"/>
          <w:position w:val="16"/>
        </w:rPr>
        <w:t>(1)所供设备软件在新版本推出后，我公司将为用户提供终生免费升级服务，</w:t>
      </w:r>
    </w:p>
    <w:p>
      <w:pPr>
        <w:ind w:left="39"/>
        <w:spacing w:line="219" w:lineRule="auto"/>
        <w:rPr>
          <w:rFonts w:ascii="SimSun" w:hAnsi="SimSun" w:eastAsia="SimSun" w:cs="SimSun"/>
          <w:sz w:val="25"/>
          <w:szCs w:val="25"/>
        </w:rPr>
      </w:pPr>
      <w:r>
        <w:rPr>
          <w:rFonts w:ascii="SimSun" w:hAnsi="SimSun" w:eastAsia="SimSun" w:cs="SimSun"/>
          <w:sz w:val="25"/>
          <w:szCs w:val="25"/>
          <w:spacing w:val="-12"/>
        </w:rPr>
        <w:t>并免费对操作人员进行培训。</w:t>
      </w:r>
    </w:p>
    <w:p>
      <w:pPr>
        <w:ind w:left="169"/>
        <w:spacing w:before="173" w:line="490" w:lineRule="exact"/>
        <w:rPr>
          <w:rFonts w:ascii="SimSun" w:hAnsi="SimSun" w:eastAsia="SimSun" w:cs="SimSun"/>
          <w:sz w:val="25"/>
          <w:szCs w:val="25"/>
        </w:rPr>
      </w:pPr>
      <w:r>
        <w:rPr>
          <w:rFonts w:ascii="SimSun" w:hAnsi="SimSun" w:eastAsia="SimSun" w:cs="SimSun"/>
          <w:sz w:val="25"/>
          <w:szCs w:val="25"/>
          <w:spacing w:val="-3"/>
          <w:position w:val="18"/>
        </w:rPr>
        <w:t>(2)终生提供易耗品、零件、备件、附件的供应，配件2日内到货，及时提供</w:t>
      </w:r>
    </w:p>
    <w:p>
      <w:pPr>
        <w:ind w:left="39"/>
        <w:spacing w:line="218" w:lineRule="auto"/>
        <w:rPr>
          <w:rFonts w:ascii="SimSun" w:hAnsi="SimSun" w:eastAsia="SimSun" w:cs="SimSun"/>
          <w:sz w:val="25"/>
          <w:szCs w:val="25"/>
        </w:rPr>
      </w:pPr>
      <w:r>
        <w:rPr>
          <w:rFonts w:ascii="SimSun" w:hAnsi="SimSun" w:eastAsia="SimSun" w:cs="SimSun"/>
          <w:sz w:val="25"/>
          <w:szCs w:val="25"/>
          <w:spacing w:val="-10"/>
        </w:rPr>
        <w:t>设备使用和维护技术方面的信息和技术资料</w:t>
      </w:r>
      <w:r>
        <w:rPr>
          <w:rFonts w:ascii="SimSun" w:hAnsi="SimSun" w:eastAsia="SimSun" w:cs="SimSun"/>
          <w:sz w:val="25"/>
          <w:szCs w:val="25"/>
          <w:spacing w:val="-11"/>
        </w:rPr>
        <w:t>，并终生提供设备所需的技术支持。</w:t>
      </w:r>
    </w:p>
    <w:p>
      <w:pPr>
        <w:ind w:left="169"/>
        <w:spacing w:before="166" w:line="219" w:lineRule="auto"/>
        <w:rPr>
          <w:rFonts w:ascii="SimSun" w:hAnsi="SimSun" w:eastAsia="SimSun" w:cs="SimSun"/>
          <w:sz w:val="25"/>
          <w:szCs w:val="25"/>
        </w:rPr>
      </w:pPr>
      <w:r>
        <w:rPr>
          <w:rFonts w:ascii="SimSun" w:hAnsi="SimSun" w:eastAsia="SimSun" w:cs="SimSun"/>
          <w:sz w:val="25"/>
          <w:szCs w:val="25"/>
          <w:spacing w:val="-7"/>
        </w:rPr>
        <w:t>(3)由于用户发生人员变动，我公司承诺为用户免费培训新的技术</w:t>
      </w:r>
      <w:r>
        <w:rPr>
          <w:rFonts w:ascii="SimSun" w:hAnsi="SimSun" w:eastAsia="SimSun" w:cs="SimSun"/>
          <w:sz w:val="25"/>
          <w:szCs w:val="25"/>
          <w:spacing w:val="-8"/>
        </w:rPr>
        <w:t>人员。</w:t>
      </w:r>
    </w:p>
    <w:p>
      <w:pPr>
        <w:ind w:left="169"/>
        <w:spacing w:before="162" w:line="480" w:lineRule="exact"/>
        <w:rPr>
          <w:rFonts w:ascii="SimSun" w:hAnsi="SimSun" w:eastAsia="SimSun" w:cs="SimSun"/>
          <w:sz w:val="25"/>
          <w:szCs w:val="25"/>
        </w:rPr>
      </w:pPr>
      <w:r>
        <w:rPr>
          <w:rFonts w:ascii="SimSun" w:hAnsi="SimSun" w:eastAsia="SimSun" w:cs="SimSun"/>
          <w:sz w:val="25"/>
          <w:szCs w:val="25"/>
          <w:spacing w:val="-6"/>
          <w:position w:val="17"/>
        </w:rPr>
        <w:t>(4)我单位会不定期组织客户免费参加所供设备的技术交流会，给各个用户之</w:t>
      </w:r>
    </w:p>
    <w:p>
      <w:pPr>
        <w:ind w:left="39"/>
        <w:spacing w:before="1" w:line="218" w:lineRule="auto"/>
        <w:rPr>
          <w:rFonts w:ascii="SimSun" w:hAnsi="SimSun" w:eastAsia="SimSun" w:cs="SimSun"/>
          <w:sz w:val="25"/>
          <w:szCs w:val="25"/>
        </w:rPr>
      </w:pPr>
      <w:r>
        <w:rPr>
          <w:rFonts w:ascii="SimSun" w:hAnsi="SimSun" w:eastAsia="SimSun" w:cs="SimSun"/>
          <w:sz w:val="25"/>
          <w:szCs w:val="25"/>
          <w:spacing w:val="-14"/>
        </w:rPr>
        <w:t>间提供交流平台。</w:t>
      </w:r>
    </w:p>
    <w:p>
      <w:pPr>
        <w:ind w:left="169"/>
        <w:spacing w:before="174" w:line="460" w:lineRule="exact"/>
        <w:rPr>
          <w:rFonts w:ascii="SimSun" w:hAnsi="SimSun" w:eastAsia="SimSun" w:cs="SimSun"/>
          <w:sz w:val="25"/>
          <w:szCs w:val="25"/>
        </w:rPr>
      </w:pPr>
      <w:r>
        <w:rPr>
          <w:rFonts w:ascii="SimSun" w:hAnsi="SimSun" w:eastAsia="SimSun" w:cs="SimSun"/>
          <w:sz w:val="25"/>
          <w:szCs w:val="25"/>
          <w:spacing w:val="-6"/>
          <w:position w:val="15"/>
        </w:rPr>
        <w:t>(5)在设备使用寿命内提供终身免费定期检测、故障排查服务，并会以口头或</w:t>
      </w:r>
    </w:p>
    <w:p>
      <w:pPr>
        <w:ind w:left="39"/>
        <w:spacing w:line="218" w:lineRule="auto"/>
        <w:rPr>
          <w:rFonts w:ascii="SimSun" w:hAnsi="SimSun" w:eastAsia="SimSun" w:cs="SimSun"/>
          <w:sz w:val="25"/>
          <w:szCs w:val="25"/>
        </w:rPr>
      </w:pPr>
      <w:r>
        <w:rPr>
          <w:rFonts w:ascii="SimSun" w:hAnsi="SimSun" w:eastAsia="SimSun" w:cs="SimSun"/>
          <w:sz w:val="25"/>
          <w:szCs w:val="25"/>
          <w:spacing w:val="-11"/>
        </w:rPr>
        <w:t>书面形式提供各项使用保养建议，确保仪器设备正常使用，终身技术服务。</w:t>
      </w:r>
    </w:p>
    <w:p>
      <w:pPr>
        <w:ind w:left="169"/>
        <w:spacing w:before="174" w:line="219" w:lineRule="auto"/>
        <w:rPr>
          <w:rFonts w:ascii="SimSun" w:hAnsi="SimSun" w:eastAsia="SimSun" w:cs="SimSun"/>
          <w:sz w:val="25"/>
          <w:szCs w:val="25"/>
        </w:rPr>
      </w:pPr>
      <w:r>
        <w:rPr>
          <w:rFonts w:ascii="SimSun" w:hAnsi="SimSun" w:eastAsia="SimSun" w:cs="SimSun"/>
          <w:sz w:val="25"/>
          <w:szCs w:val="25"/>
          <w:spacing w:val="-7"/>
        </w:rPr>
        <w:t>(6)保修期满后，每年至少提供巡回性维修四次，终身维修。</w:t>
      </w:r>
    </w:p>
    <w:p>
      <w:pPr>
        <w:ind w:left="3042"/>
        <w:spacing w:before="161" w:line="219" w:lineRule="auto"/>
        <w:rPr>
          <w:rFonts w:ascii="SimSun" w:hAnsi="SimSun" w:eastAsia="SimSun" w:cs="SimSun"/>
          <w:sz w:val="25"/>
          <w:szCs w:val="25"/>
        </w:rPr>
      </w:pPr>
      <w:r>
        <w:rPr>
          <w:rFonts w:ascii="SimSun" w:hAnsi="SimSun" w:eastAsia="SimSun" w:cs="SimSun"/>
          <w:sz w:val="25"/>
          <w:szCs w:val="25"/>
          <w:b/>
          <w:bCs/>
          <w:spacing w:val="-14"/>
        </w:rPr>
        <w:t>★质保期内的收费标准</w:t>
      </w:r>
    </w:p>
    <w:p>
      <w:pPr>
        <w:ind w:left="39"/>
        <w:spacing w:before="176" w:line="471" w:lineRule="exact"/>
        <w:rPr>
          <w:rFonts w:ascii="SimSun" w:hAnsi="SimSun" w:eastAsia="SimSun" w:cs="SimSun"/>
          <w:sz w:val="25"/>
          <w:szCs w:val="25"/>
        </w:rPr>
      </w:pPr>
      <w:r>
        <w:rPr>
          <w:rFonts w:ascii="SimSun" w:hAnsi="SimSun" w:eastAsia="SimSun" w:cs="SimSun"/>
          <w:sz w:val="25"/>
          <w:szCs w:val="25"/>
          <w:spacing w:val="-9"/>
          <w:position w:val="16"/>
        </w:rPr>
        <w:t>1、在保修期内，所有服务及配件全部免费</w:t>
      </w:r>
      <w:r>
        <w:rPr>
          <w:rFonts w:ascii="SimSun" w:hAnsi="SimSun" w:eastAsia="SimSun" w:cs="SimSun"/>
          <w:sz w:val="25"/>
          <w:szCs w:val="25"/>
          <w:spacing w:val="-10"/>
          <w:position w:val="16"/>
        </w:rPr>
        <w:t>(消耗品除外)。同时提供终身优质维</w:t>
      </w:r>
    </w:p>
    <w:p>
      <w:pPr>
        <w:ind w:left="39"/>
        <w:spacing w:line="219" w:lineRule="auto"/>
        <w:rPr>
          <w:rFonts w:ascii="SimSun" w:hAnsi="SimSun" w:eastAsia="SimSun" w:cs="SimSun"/>
          <w:sz w:val="25"/>
          <w:szCs w:val="25"/>
        </w:rPr>
      </w:pPr>
      <w:r>
        <w:rPr>
          <w:rFonts w:ascii="SimSun" w:hAnsi="SimSun" w:eastAsia="SimSun" w:cs="SimSun"/>
          <w:sz w:val="25"/>
          <w:szCs w:val="25"/>
          <w:spacing w:val="-15"/>
        </w:rPr>
        <w:t>修服务和软件升级服务；</w:t>
      </w:r>
    </w:p>
    <w:p>
      <w:pPr>
        <w:ind w:left="39"/>
        <w:spacing w:before="163" w:line="470" w:lineRule="exact"/>
        <w:rPr>
          <w:rFonts w:ascii="SimSun" w:hAnsi="SimSun" w:eastAsia="SimSun" w:cs="SimSun"/>
          <w:sz w:val="25"/>
          <w:szCs w:val="25"/>
        </w:rPr>
      </w:pPr>
      <w:r>
        <w:rPr>
          <w:rFonts w:ascii="SimSun" w:hAnsi="SimSun" w:eastAsia="SimSun" w:cs="SimSun"/>
          <w:sz w:val="25"/>
          <w:szCs w:val="25"/>
          <w:spacing w:val="-11"/>
          <w:position w:val="16"/>
        </w:rPr>
        <w:t>2、提供定期检测、故障排查服务，确保仪器设备正常</w:t>
      </w:r>
      <w:r>
        <w:rPr>
          <w:rFonts w:ascii="SimSun" w:hAnsi="SimSun" w:eastAsia="SimSun" w:cs="SimSun"/>
          <w:sz w:val="25"/>
          <w:szCs w:val="25"/>
          <w:spacing w:val="-12"/>
          <w:position w:val="16"/>
        </w:rPr>
        <w:t>使用；</w:t>
      </w:r>
    </w:p>
    <w:p>
      <w:pPr>
        <w:ind w:left="39"/>
        <w:spacing w:before="1" w:line="218" w:lineRule="auto"/>
        <w:rPr>
          <w:rFonts w:ascii="SimSun" w:hAnsi="SimSun" w:eastAsia="SimSun" w:cs="SimSun"/>
          <w:sz w:val="25"/>
          <w:szCs w:val="25"/>
        </w:rPr>
      </w:pPr>
      <w:r>
        <w:rPr>
          <w:rFonts w:ascii="SimSun" w:hAnsi="SimSun" w:eastAsia="SimSun" w:cs="SimSun"/>
          <w:sz w:val="25"/>
          <w:szCs w:val="25"/>
          <w:spacing w:val="-11"/>
        </w:rPr>
        <w:t>3、每年提供四次上门巡检。所有设备可提供终身维护。</w:t>
      </w:r>
    </w:p>
    <w:p>
      <w:pPr>
        <w:ind w:left="3153"/>
        <w:spacing w:before="161" w:line="219" w:lineRule="auto"/>
        <w:rPr>
          <w:rFonts w:ascii="SimSun" w:hAnsi="SimSun" w:eastAsia="SimSun" w:cs="SimSun"/>
          <w:sz w:val="25"/>
          <w:szCs w:val="25"/>
        </w:rPr>
      </w:pPr>
      <w:r>
        <w:rPr>
          <w:rFonts w:ascii="SimSun" w:hAnsi="SimSun" w:eastAsia="SimSun" w:cs="SimSun"/>
          <w:sz w:val="25"/>
          <w:szCs w:val="25"/>
          <w:b/>
          <w:bCs/>
          <w:spacing w:val="-11"/>
        </w:rPr>
        <w:t>★质保期外的收费标准</w:t>
      </w:r>
    </w:p>
    <w:p>
      <w:pPr>
        <w:ind w:left="39"/>
        <w:spacing w:before="186" w:line="470" w:lineRule="exact"/>
        <w:rPr>
          <w:rFonts w:ascii="SimSun" w:hAnsi="SimSun" w:eastAsia="SimSun" w:cs="SimSun"/>
          <w:sz w:val="25"/>
          <w:szCs w:val="25"/>
        </w:rPr>
      </w:pPr>
      <w:r>
        <w:rPr>
          <w:rFonts w:ascii="SimSun" w:hAnsi="SimSun" w:eastAsia="SimSun" w:cs="SimSun"/>
          <w:sz w:val="25"/>
          <w:szCs w:val="25"/>
          <w:spacing w:val="-4"/>
          <w:position w:val="16"/>
        </w:rPr>
        <w:t>1、对所供设备终身负责维护维修，所有设备每年提供4次上门巡检。</w:t>
      </w:r>
    </w:p>
    <w:p>
      <w:pPr>
        <w:ind w:left="39"/>
        <w:spacing w:before="1" w:line="218" w:lineRule="auto"/>
        <w:rPr>
          <w:rFonts w:ascii="SimSun" w:hAnsi="SimSun" w:eastAsia="SimSun" w:cs="SimSun"/>
          <w:sz w:val="25"/>
          <w:szCs w:val="25"/>
        </w:rPr>
      </w:pPr>
      <w:r>
        <w:rPr>
          <w:rFonts w:ascii="SimSun" w:hAnsi="SimSun" w:eastAsia="SimSun" w:cs="SimSun"/>
          <w:sz w:val="25"/>
          <w:szCs w:val="25"/>
          <w:spacing w:val="-12"/>
        </w:rPr>
        <w:t>2、质保期外更换硬件的会收取硬件成本费，其他费用全免；</w:t>
      </w:r>
    </w:p>
    <w:p>
      <w:pPr>
        <w:ind w:left="39"/>
        <w:spacing w:before="173" w:line="219" w:lineRule="auto"/>
        <w:rPr>
          <w:rFonts w:ascii="SimSun" w:hAnsi="SimSun" w:eastAsia="SimSun" w:cs="SimSun"/>
          <w:sz w:val="25"/>
          <w:szCs w:val="25"/>
        </w:rPr>
      </w:pPr>
      <w:r>
        <w:rPr>
          <w:rFonts w:ascii="SimSun" w:hAnsi="SimSun" w:eastAsia="SimSun" w:cs="SimSun"/>
          <w:sz w:val="25"/>
          <w:szCs w:val="25"/>
          <w:spacing w:val="-13"/>
        </w:rPr>
        <w:t>3、提供终身优质维修服务；</w:t>
      </w:r>
    </w:p>
    <w:p>
      <w:pPr>
        <w:ind w:left="39"/>
        <w:spacing w:before="155" w:line="219" w:lineRule="auto"/>
        <w:rPr>
          <w:rFonts w:ascii="SimSun" w:hAnsi="SimSun" w:eastAsia="SimSun" w:cs="SimSun"/>
          <w:sz w:val="25"/>
          <w:szCs w:val="25"/>
        </w:rPr>
      </w:pPr>
      <w:r>
        <w:rPr>
          <w:rFonts w:ascii="SimSun" w:hAnsi="SimSun" w:eastAsia="SimSun" w:cs="SimSun"/>
          <w:sz w:val="25"/>
          <w:szCs w:val="25"/>
          <w:spacing w:val="-9"/>
        </w:rPr>
        <w:t>4、将不定期进行上门或电话回访，了解仪器设备运行情况，解</w:t>
      </w:r>
      <w:r>
        <w:rPr>
          <w:rFonts w:ascii="SimSun" w:hAnsi="SimSun" w:eastAsia="SimSun" w:cs="SimSun"/>
          <w:sz w:val="25"/>
          <w:szCs w:val="25"/>
          <w:spacing w:val="-10"/>
        </w:rPr>
        <w:t>决用户在使用过</w:t>
      </w:r>
    </w:p>
    <w:p>
      <w:pPr>
        <w:spacing w:line="219" w:lineRule="auto"/>
        <w:sectPr>
          <w:pgSz w:w="12070" w:h="16940"/>
          <w:pgMar w:top="1439" w:right="1810" w:bottom="0" w:left="1810" w:header="0" w:footer="0" w:gutter="0"/>
        </w:sectPr>
        <w:rPr>
          <w:rFonts w:ascii="SimSun" w:hAnsi="SimSun" w:eastAsia="SimSun" w:cs="SimSun"/>
          <w:sz w:val="25"/>
          <w:szCs w:val="25"/>
        </w:rPr>
      </w:pPr>
    </w:p>
    <w:p>
      <w:pPr>
        <w:ind w:left="105"/>
        <w:spacing w:before="149" w:line="220" w:lineRule="auto"/>
        <w:rPr>
          <w:rFonts w:ascii="SimSun" w:hAnsi="SimSun" w:eastAsia="SimSun" w:cs="SimSun"/>
          <w:sz w:val="24"/>
          <w:szCs w:val="24"/>
        </w:rPr>
      </w:pPr>
      <w:r>
        <w:rPr>
          <w:rFonts w:ascii="SimSun" w:hAnsi="SimSun" w:eastAsia="SimSun" w:cs="SimSun"/>
          <w:sz w:val="24"/>
          <w:szCs w:val="24"/>
          <w:spacing w:val="-8"/>
        </w:rPr>
        <w:t>程中遇到的问题；</w:t>
      </w:r>
    </w:p>
    <w:p>
      <w:pPr>
        <w:ind w:left="105"/>
        <w:spacing w:before="211" w:line="219" w:lineRule="auto"/>
        <w:rPr>
          <w:rFonts w:ascii="SimSun" w:hAnsi="SimSun" w:eastAsia="SimSun" w:cs="SimSun"/>
          <w:sz w:val="24"/>
          <w:szCs w:val="24"/>
        </w:rPr>
      </w:pPr>
      <w:r>
        <w:rPr>
          <w:rFonts w:ascii="SimSun" w:hAnsi="SimSun" w:eastAsia="SimSun" w:cs="SimSun"/>
          <w:sz w:val="24"/>
          <w:szCs w:val="24"/>
          <w:spacing w:val="-1"/>
        </w:rPr>
        <w:t>5、项目中包含的软件提供终身免费升级维护</w:t>
      </w:r>
    </w:p>
    <w:p>
      <w:pPr>
        <w:pStyle w:val="BodyText"/>
        <w:spacing w:line="291" w:lineRule="auto"/>
        <w:rPr/>
      </w:pPr>
      <w:r/>
    </w:p>
    <w:p>
      <w:pPr>
        <w:pStyle w:val="BodyText"/>
        <w:spacing w:line="291" w:lineRule="auto"/>
        <w:rPr/>
      </w:pPr>
      <w:r/>
    </w:p>
    <w:p>
      <w:pPr>
        <w:ind w:left="3578"/>
        <w:spacing w:before="78" w:line="219" w:lineRule="auto"/>
        <w:rPr>
          <w:rFonts w:ascii="SimSun" w:hAnsi="SimSun" w:eastAsia="SimSun" w:cs="SimSun"/>
          <w:sz w:val="24"/>
          <w:szCs w:val="24"/>
        </w:rPr>
      </w:pPr>
      <w:r>
        <w:rPr>
          <w:rFonts w:ascii="SimSun" w:hAnsi="SimSun" w:eastAsia="SimSun" w:cs="SimSun"/>
          <w:sz w:val="24"/>
          <w:szCs w:val="24"/>
          <w:b/>
          <w:bCs/>
          <w:spacing w:val="-5"/>
        </w:rPr>
        <w:t>★更换和保养</w:t>
      </w:r>
    </w:p>
    <w:p>
      <w:pPr>
        <w:ind w:left="105" w:right="50"/>
        <w:spacing w:before="177" w:line="354" w:lineRule="auto"/>
        <w:jc w:val="both"/>
        <w:rPr>
          <w:rFonts w:ascii="SimSun" w:hAnsi="SimSun" w:eastAsia="SimSun" w:cs="SimSun"/>
          <w:sz w:val="24"/>
          <w:szCs w:val="24"/>
        </w:rPr>
      </w:pPr>
      <w:r>
        <w:rPr>
          <w:rFonts w:ascii="SimSun" w:hAnsi="SimSun" w:eastAsia="SimSun" w:cs="SimSun"/>
          <w:sz w:val="24"/>
          <w:szCs w:val="24"/>
          <w:spacing w:val="-1"/>
        </w:rPr>
        <w:t>质保期内非人为原因造成的配件损坏，免费更换，质</w:t>
      </w:r>
      <w:r>
        <w:rPr>
          <w:rFonts w:ascii="SimSun" w:hAnsi="SimSun" w:eastAsia="SimSun" w:cs="SimSun"/>
          <w:sz w:val="24"/>
          <w:szCs w:val="24"/>
          <w:spacing w:val="-2"/>
        </w:rPr>
        <w:t>保期内免费上门保养两次。</w:t>
      </w:r>
      <w:r>
        <w:rPr>
          <w:rFonts w:ascii="SimSun" w:hAnsi="SimSun" w:eastAsia="SimSun" w:cs="SimSun"/>
          <w:sz w:val="24"/>
          <w:szCs w:val="24"/>
        </w:rPr>
        <w:t xml:space="preserve"> </w:t>
      </w:r>
      <w:r>
        <w:rPr>
          <w:rFonts w:ascii="SimSun" w:hAnsi="SimSun" w:eastAsia="SimSun" w:cs="SimSun"/>
          <w:sz w:val="24"/>
          <w:szCs w:val="24"/>
          <w:spacing w:val="-3"/>
        </w:rPr>
        <w:t>质保期外更换零配件，以配件成本收费，免收工时费等。质保期</w:t>
      </w:r>
      <w:r>
        <w:rPr>
          <w:rFonts w:ascii="SimSun" w:hAnsi="SimSun" w:eastAsia="SimSun" w:cs="SimSun"/>
          <w:sz w:val="24"/>
          <w:szCs w:val="24"/>
          <w:spacing w:val="-4"/>
        </w:rPr>
        <w:t>外免费提供上门</w:t>
      </w:r>
    </w:p>
    <w:p>
      <w:pPr>
        <w:ind w:left="105"/>
        <w:spacing w:line="219" w:lineRule="auto"/>
        <w:rPr>
          <w:rFonts w:ascii="SimSun" w:hAnsi="SimSun" w:eastAsia="SimSun" w:cs="SimSun"/>
          <w:sz w:val="24"/>
          <w:szCs w:val="24"/>
        </w:rPr>
      </w:pPr>
      <w:r>
        <w:rPr>
          <w:rFonts w:ascii="SimSun" w:hAnsi="SimSun" w:eastAsia="SimSun" w:cs="SimSun"/>
          <w:sz w:val="24"/>
          <w:szCs w:val="24"/>
          <w:spacing w:val="21"/>
        </w:rPr>
        <w:t>巡检4次/年。</w:t>
      </w:r>
    </w:p>
    <w:p>
      <w:pPr>
        <w:ind w:left="105"/>
        <w:spacing w:before="185" w:line="219" w:lineRule="auto"/>
        <w:rPr>
          <w:rFonts w:ascii="SimSun" w:hAnsi="SimSun" w:eastAsia="SimSun" w:cs="SimSun"/>
          <w:sz w:val="24"/>
          <w:szCs w:val="24"/>
        </w:rPr>
      </w:pPr>
      <w:r>
        <w:rPr>
          <w:rFonts w:ascii="SimSun" w:hAnsi="SimSun" w:eastAsia="SimSun" w:cs="SimSun"/>
          <w:sz w:val="24"/>
          <w:szCs w:val="24"/>
          <w:spacing w:val="-4"/>
        </w:rPr>
        <w:t>★其他售后服务相关内容</w:t>
      </w:r>
    </w:p>
    <w:p>
      <w:pPr>
        <w:ind w:left="105"/>
        <w:spacing w:before="194" w:line="219" w:lineRule="auto"/>
        <w:rPr>
          <w:rFonts w:ascii="SimSun" w:hAnsi="SimSun" w:eastAsia="SimSun" w:cs="SimSun"/>
          <w:sz w:val="24"/>
          <w:szCs w:val="24"/>
        </w:rPr>
      </w:pPr>
      <w:r>
        <w:rPr>
          <w:rFonts w:ascii="SimSun" w:hAnsi="SimSun" w:eastAsia="SimSun" w:cs="SimSun"/>
          <w:sz w:val="24"/>
          <w:szCs w:val="24"/>
          <w:spacing w:val="-3"/>
        </w:rPr>
        <w:t>1、我单位保证本次所投设备均是全新合格产品。</w:t>
      </w:r>
    </w:p>
    <w:p>
      <w:pPr>
        <w:ind w:left="105"/>
        <w:spacing w:before="186" w:line="469" w:lineRule="exact"/>
        <w:rPr>
          <w:rFonts w:ascii="SimSun" w:hAnsi="SimSun" w:eastAsia="SimSun" w:cs="SimSun"/>
          <w:sz w:val="24"/>
          <w:szCs w:val="24"/>
        </w:rPr>
      </w:pPr>
      <w:r>
        <w:rPr>
          <w:rFonts w:ascii="SimSun" w:hAnsi="SimSun" w:eastAsia="SimSun" w:cs="SimSun"/>
          <w:sz w:val="24"/>
          <w:szCs w:val="24"/>
          <w:position w:val="17"/>
        </w:rPr>
        <w:t>2、响应本次采购项目均为交钥匙项目，所需的一切设备、材料、费用等，全部</w:t>
      </w:r>
    </w:p>
    <w:p>
      <w:pPr>
        <w:ind w:left="105"/>
        <w:spacing w:before="1" w:line="217" w:lineRule="auto"/>
        <w:rPr>
          <w:rFonts w:ascii="SimSun" w:hAnsi="SimSun" w:eastAsia="SimSun" w:cs="SimSun"/>
          <w:sz w:val="24"/>
          <w:szCs w:val="24"/>
        </w:rPr>
      </w:pPr>
      <w:r>
        <w:rPr>
          <w:rFonts w:ascii="SimSun" w:hAnsi="SimSun" w:eastAsia="SimSun" w:cs="SimSun"/>
          <w:sz w:val="24"/>
          <w:szCs w:val="24"/>
          <w:spacing w:val="-2"/>
        </w:rPr>
        <w:t>包含在投标报价之中，采购人无须再追加任何费用。</w:t>
      </w:r>
    </w:p>
    <w:p>
      <w:pPr>
        <w:ind w:left="105"/>
        <w:spacing w:before="199" w:line="219" w:lineRule="auto"/>
        <w:rPr>
          <w:rFonts w:ascii="SimSun" w:hAnsi="SimSun" w:eastAsia="SimSun" w:cs="SimSun"/>
          <w:sz w:val="24"/>
          <w:szCs w:val="24"/>
        </w:rPr>
      </w:pPr>
      <w:r>
        <w:rPr>
          <w:rFonts w:ascii="SimSun" w:hAnsi="SimSun" w:eastAsia="SimSun" w:cs="SimSun"/>
          <w:sz w:val="24"/>
          <w:szCs w:val="24"/>
          <w:spacing w:val="-2"/>
        </w:rPr>
        <w:t>3、我单位对上述内容的真实性承担相应法律责任。</w:t>
      </w:r>
    </w:p>
    <w:p>
      <w:pPr>
        <w:pStyle w:val="BodyText"/>
        <w:spacing w:line="284" w:lineRule="auto"/>
        <w:rPr/>
      </w:pPr>
      <w:r/>
    </w:p>
    <w:p>
      <w:pPr>
        <w:pStyle w:val="BodyText"/>
        <w:spacing w:line="284" w:lineRule="auto"/>
        <w:rPr/>
      </w:pPr>
      <w:r/>
    </w:p>
    <w:p>
      <w:pPr>
        <w:ind w:left="2828"/>
        <w:spacing w:before="78" w:line="219" w:lineRule="auto"/>
        <w:rPr>
          <w:rFonts w:ascii="SimSun" w:hAnsi="SimSun" w:eastAsia="SimSun" w:cs="SimSun"/>
          <w:sz w:val="24"/>
          <w:szCs w:val="24"/>
        </w:rPr>
      </w:pPr>
      <w:r>
        <w:rPr>
          <w:rFonts w:ascii="SimSun" w:hAnsi="SimSun" w:eastAsia="SimSun" w:cs="SimSun"/>
          <w:sz w:val="24"/>
          <w:szCs w:val="24"/>
          <w:b/>
          <w:bCs/>
          <w:spacing w:val="-4"/>
        </w:rPr>
        <w:t>★常驻本地化售后服务团队</w:t>
      </w:r>
    </w:p>
    <w:p>
      <w:pPr>
        <w:pStyle w:val="BodyText"/>
        <w:spacing w:line="284" w:lineRule="auto"/>
        <w:rPr/>
      </w:pPr>
      <w:r/>
    </w:p>
    <w:p>
      <w:pPr>
        <w:pStyle w:val="BodyText"/>
        <w:spacing w:line="285" w:lineRule="auto"/>
        <w:rPr/>
      </w:pPr>
      <w:r/>
    </w:p>
    <w:p>
      <w:pPr>
        <w:ind w:left="3774"/>
        <w:spacing w:before="79" w:line="220" w:lineRule="auto"/>
        <w:rPr>
          <w:rFonts w:ascii="SimSun" w:hAnsi="SimSun" w:eastAsia="SimSun" w:cs="SimSun"/>
          <w:sz w:val="24"/>
          <w:szCs w:val="24"/>
        </w:rPr>
      </w:pPr>
      <w:r>
        <w:rPr>
          <w:rFonts w:ascii="SimSun" w:hAnsi="SimSun" w:eastAsia="SimSun" w:cs="SimSun"/>
          <w:sz w:val="24"/>
          <w:szCs w:val="24"/>
          <w:spacing w:val="2"/>
        </w:rPr>
        <w:t>人员名单</w:t>
      </w:r>
    </w:p>
    <w:p>
      <w:pPr>
        <w:spacing w:line="88" w:lineRule="exact"/>
        <w:rPr/>
      </w:pPr>
      <w:r/>
    </w:p>
    <w:tbl>
      <w:tblPr>
        <w:tblStyle w:val="TableNormal"/>
        <w:tblW w:w="8500" w:type="dxa"/>
        <w:tblInd w:w="5" w:type="dxa"/>
        <w:tblLayout w:type="fixed"/>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tblGrid>
        <w:gridCol w:w="674"/>
        <w:gridCol w:w="889"/>
        <w:gridCol w:w="1338"/>
        <w:gridCol w:w="1099"/>
        <w:gridCol w:w="2977"/>
        <w:gridCol w:w="1523"/>
      </w:tblGrid>
      <w:tr>
        <w:trPr>
          <w:trHeight w:val="533" w:hRule="atLeast"/>
        </w:trPr>
        <w:tc>
          <w:tcPr>
            <w:tcW w:w="674" w:type="dxa"/>
            <w:vAlign w:val="top"/>
          </w:tcPr>
          <w:p>
            <w:pPr>
              <w:pStyle w:val="TableText"/>
              <w:ind w:left="115"/>
              <w:spacing w:before="164" w:line="221" w:lineRule="auto"/>
              <w:rPr>
                <w:sz w:val="21"/>
                <w:szCs w:val="21"/>
              </w:rPr>
            </w:pPr>
            <w:r>
              <w:rPr>
                <w:sz w:val="21"/>
                <w:szCs w:val="21"/>
                <w:spacing w:val="6"/>
              </w:rPr>
              <w:t>序号</w:t>
            </w:r>
          </w:p>
        </w:tc>
        <w:tc>
          <w:tcPr>
            <w:tcW w:w="889" w:type="dxa"/>
            <w:vAlign w:val="top"/>
          </w:tcPr>
          <w:p>
            <w:pPr>
              <w:pStyle w:val="TableText"/>
              <w:ind w:left="220"/>
              <w:spacing w:before="163" w:line="219" w:lineRule="auto"/>
              <w:rPr>
                <w:sz w:val="21"/>
                <w:szCs w:val="21"/>
              </w:rPr>
            </w:pPr>
            <w:r>
              <w:rPr>
                <w:sz w:val="21"/>
                <w:szCs w:val="21"/>
                <w:spacing w:val="13"/>
              </w:rPr>
              <w:t>姓名</w:t>
            </w:r>
          </w:p>
        </w:tc>
        <w:tc>
          <w:tcPr>
            <w:tcW w:w="1338" w:type="dxa"/>
            <w:vAlign w:val="top"/>
          </w:tcPr>
          <w:p>
            <w:pPr>
              <w:pStyle w:val="TableText"/>
              <w:ind w:left="451"/>
              <w:spacing w:before="164" w:line="221" w:lineRule="auto"/>
              <w:rPr>
                <w:sz w:val="21"/>
                <w:szCs w:val="21"/>
              </w:rPr>
            </w:pPr>
            <w:r>
              <w:rPr>
                <w:sz w:val="21"/>
                <w:szCs w:val="21"/>
                <w:spacing w:val="-3"/>
              </w:rPr>
              <w:t>职位</w:t>
            </w:r>
          </w:p>
        </w:tc>
        <w:tc>
          <w:tcPr>
            <w:tcW w:w="1099" w:type="dxa"/>
            <w:vAlign w:val="top"/>
          </w:tcPr>
          <w:p>
            <w:pPr>
              <w:pStyle w:val="TableText"/>
              <w:ind w:left="123"/>
              <w:spacing w:before="163" w:line="219" w:lineRule="auto"/>
              <w:rPr>
                <w:sz w:val="21"/>
                <w:szCs w:val="21"/>
              </w:rPr>
            </w:pPr>
            <w:r>
              <w:rPr>
                <w:sz w:val="21"/>
                <w:szCs w:val="21"/>
                <w:spacing w:val="2"/>
              </w:rPr>
              <w:t>工作年限</w:t>
            </w:r>
          </w:p>
        </w:tc>
        <w:tc>
          <w:tcPr>
            <w:tcW w:w="2977" w:type="dxa"/>
            <w:vAlign w:val="top"/>
          </w:tcPr>
          <w:p>
            <w:pPr>
              <w:pStyle w:val="TableText"/>
              <w:ind w:left="1064"/>
              <w:spacing w:before="163" w:line="219" w:lineRule="auto"/>
              <w:rPr>
                <w:sz w:val="21"/>
                <w:szCs w:val="21"/>
              </w:rPr>
            </w:pPr>
            <w:r>
              <w:rPr>
                <w:sz w:val="21"/>
                <w:szCs w:val="21"/>
                <w:spacing w:val="-2"/>
              </w:rPr>
              <w:t>主要任务</w:t>
            </w:r>
          </w:p>
        </w:tc>
        <w:tc>
          <w:tcPr>
            <w:tcW w:w="1523" w:type="dxa"/>
            <w:vAlign w:val="top"/>
          </w:tcPr>
          <w:p>
            <w:pPr>
              <w:pStyle w:val="TableText"/>
              <w:ind w:left="337"/>
              <w:spacing w:before="166" w:line="221" w:lineRule="auto"/>
              <w:rPr>
                <w:sz w:val="21"/>
                <w:szCs w:val="21"/>
              </w:rPr>
            </w:pPr>
            <w:r>
              <w:rPr>
                <w:sz w:val="21"/>
                <w:szCs w:val="21"/>
                <w:spacing w:val="-2"/>
              </w:rPr>
              <w:t>联系电话</w:t>
            </w:r>
          </w:p>
        </w:tc>
      </w:tr>
      <w:tr>
        <w:trPr>
          <w:trHeight w:val="1536" w:hRule="atLeast"/>
        </w:trPr>
        <w:tc>
          <w:tcPr>
            <w:tcW w:w="674" w:type="dxa"/>
            <w:vAlign w:val="top"/>
          </w:tcPr>
          <w:p>
            <w:pPr>
              <w:spacing w:line="325" w:lineRule="auto"/>
              <w:rPr>
                <w:rFonts w:ascii="Arial"/>
                <w:sz w:val="21"/>
              </w:rPr>
            </w:pPr>
            <w:r/>
          </w:p>
          <w:p>
            <w:pPr>
              <w:spacing w:line="326" w:lineRule="auto"/>
              <w:rPr>
                <w:rFonts w:ascii="Arial"/>
                <w:sz w:val="21"/>
              </w:rPr>
            </w:pPr>
            <w:r/>
          </w:p>
          <w:p>
            <w:pPr>
              <w:pStyle w:val="TableText"/>
              <w:ind w:left="275"/>
              <w:spacing w:before="68" w:line="184" w:lineRule="auto"/>
              <w:rPr>
                <w:sz w:val="21"/>
                <w:szCs w:val="21"/>
              </w:rPr>
            </w:pPr>
            <w:r>
              <w:rPr>
                <w:sz w:val="21"/>
                <w:szCs w:val="21"/>
              </w:rPr>
              <w:t>1</w:t>
            </w:r>
          </w:p>
        </w:tc>
        <w:tc>
          <w:tcPr>
            <w:tcW w:w="889" w:type="dxa"/>
            <w:vAlign w:val="top"/>
          </w:tcPr>
          <w:p>
            <w:pPr>
              <w:spacing w:line="299" w:lineRule="auto"/>
              <w:rPr>
                <w:rFonts w:ascii="Arial"/>
                <w:sz w:val="21"/>
              </w:rPr>
            </w:pPr>
            <w:r/>
          </w:p>
          <w:p>
            <w:pPr>
              <w:spacing w:line="299" w:lineRule="auto"/>
              <w:rPr>
                <w:rFonts w:ascii="Arial"/>
                <w:sz w:val="21"/>
              </w:rPr>
            </w:pPr>
            <w:r/>
          </w:p>
          <w:p>
            <w:pPr>
              <w:pStyle w:val="TableText"/>
              <w:ind w:left="220"/>
              <w:spacing w:before="69" w:line="219" w:lineRule="auto"/>
              <w:rPr>
                <w:sz w:val="21"/>
                <w:szCs w:val="21"/>
              </w:rPr>
            </w:pPr>
            <w:r>
              <w:rPr>
                <w:sz w:val="21"/>
                <w:szCs w:val="21"/>
                <w:spacing w:val="-3"/>
              </w:rPr>
              <w:t>杨娜</w:t>
            </w:r>
          </w:p>
        </w:tc>
        <w:tc>
          <w:tcPr>
            <w:tcW w:w="1338" w:type="dxa"/>
            <w:vAlign w:val="top"/>
          </w:tcPr>
          <w:p>
            <w:pPr>
              <w:spacing w:line="299" w:lineRule="auto"/>
              <w:rPr>
                <w:rFonts w:ascii="Arial"/>
                <w:sz w:val="21"/>
              </w:rPr>
            </w:pPr>
            <w:r/>
          </w:p>
          <w:p>
            <w:pPr>
              <w:spacing w:line="299" w:lineRule="auto"/>
              <w:rPr>
                <w:rFonts w:ascii="Arial"/>
                <w:sz w:val="21"/>
              </w:rPr>
            </w:pPr>
            <w:r/>
          </w:p>
          <w:p>
            <w:pPr>
              <w:pStyle w:val="TableText"/>
              <w:ind w:left="241"/>
              <w:spacing w:before="69" w:line="219" w:lineRule="auto"/>
              <w:rPr>
                <w:sz w:val="21"/>
                <w:szCs w:val="21"/>
              </w:rPr>
            </w:pPr>
            <w:r>
              <w:rPr>
                <w:sz w:val="21"/>
                <w:szCs w:val="21"/>
                <w:spacing w:val="-2"/>
              </w:rPr>
              <w:t>业务经理</w:t>
            </w:r>
          </w:p>
        </w:tc>
        <w:tc>
          <w:tcPr>
            <w:tcW w:w="1099" w:type="dxa"/>
            <w:vAlign w:val="top"/>
          </w:tcPr>
          <w:p>
            <w:pPr>
              <w:spacing w:line="299" w:lineRule="auto"/>
              <w:rPr>
                <w:rFonts w:ascii="Arial"/>
                <w:sz w:val="21"/>
              </w:rPr>
            </w:pPr>
            <w:r/>
          </w:p>
          <w:p>
            <w:pPr>
              <w:spacing w:line="299" w:lineRule="auto"/>
              <w:rPr>
                <w:rFonts w:ascii="Arial"/>
                <w:sz w:val="21"/>
              </w:rPr>
            </w:pPr>
            <w:r/>
          </w:p>
          <w:p>
            <w:pPr>
              <w:pStyle w:val="TableText"/>
              <w:ind w:left="333"/>
              <w:spacing w:before="69" w:line="219" w:lineRule="auto"/>
              <w:rPr>
                <w:sz w:val="21"/>
                <w:szCs w:val="21"/>
              </w:rPr>
            </w:pPr>
            <w:r>
              <w:rPr>
                <w:sz w:val="21"/>
                <w:szCs w:val="21"/>
                <w:spacing w:val="3"/>
              </w:rPr>
              <w:t>15年</w:t>
            </w:r>
          </w:p>
        </w:tc>
        <w:tc>
          <w:tcPr>
            <w:tcW w:w="2977" w:type="dxa"/>
            <w:vAlign w:val="top"/>
          </w:tcPr>
          <w:p>
            <w:pPr>
              <w:pStyle w:val="TableText"/>
              <w:ind w:left="115"/>
              <w:spacing w:before="39" w:line="219" w:lineRule="auto"/>
              <w:rPr>
                <w:sz w:val="21"/>
                <w:szCs w:val="21"/>
              </w:rPr>
            </w:pPr>
            <w:r>
              <w:rPr>
                <w:sz w:val="21"/>
                <w:szCs w:val="21"/>
              </w:rPr>
              <w:t>负责本项目的沟通协调，使项</w:t>
            </w:r>
          </w:p>
          <w:p>
            <w:pPr>
              <w:pStyle w:val="TableText"/>
              <w:ind w:left="115"/>
              <w:spacing w:before="62" w:line="219" w:lineRule="auto"/>
              <w:rPr>
                <w:sz w:val="21"/>
                <w:szCs w:val="21"/>
              </w:rPr>
            </w:pPr>
            <w:r>
              <w:rPr>
                <w:sz w:val="21"/>
                <w:szCs w:val="21"/>
              </w:rPr>
              <w:t>目顺利实施，进快完美的解决</w:t>
            </w:r>
          </w:p>
          <w:p>
            <w:pPr>
              <w:pStyle w:val="TableText"/>
              <w:ind w:left="324"/>
              <w:spacing w:before="60" w:line="219" w:lineRule="auto"/>
              <w:rPr>
                <w:sz w:val="21"/>
                <w:szCs w:val="21"/>
              </w:rPr>
            </w:pPr>
            <w:r>
              <w:rPr>
                <w:sz w:val="21"/>
                <w:szCs w:val="21"/>
                <w:spacing w:val="2"/>
              </w:rPr>
              <w:t>项目中的问题，得到客户</w:t>
            </w:r>
          </w:p>
          <w:p>
            <w:pPr>
              <w:pStyle w:val="TableText"/>
              <w:ind w:left="1274"/>
              <w:spacing w:before="155" w:line="183" w:lineRule="auto"/>
              <w:rPr>
                <w:sz w:val="21"/>
                <w:szCs w:val="21"/>
              </w:rPr>
            </w:pPr>
            <w:r>
              <w:rPr>
                <w:sz w:val="21"/>
                <w:szCs w:val="21"/>
                <w:spacing w:val="-3"/>
              </w:rPr>
              <w:t>200%</w:t>
            </w:r>
          </w:p>
          <w:p>
            <w:pPr>
              <w:pStyle w:val="TableText"/>
              <w:ind w:left="1004"/>
              <w:spacing w:before="17" w:line="207" w:lineRule="auto"/>
              <w:rPr>
                <w:sz w:val="21"/>
                <w:szCs w:val="21"/>
              </w:rPr>
            </w:pPr>
            <w:r>
              <w:rPr>
                <w:sz w:val="21"/>
                <w:szCs w:val="21"/>
                <w:spacing w:val="1"/>
              </w:rPr>
              <w:t>的满意度。</w:t>
            </w:r>
          </w:p>
        </w:tc>
        <w:tc>
          <w:tcPr>
            <w:tcW w:w="1523" w:type="dxa"/>
            <w:vAlign w:val="top"/>
          </w:tcPr>
          <w:p>
            <w:pPr>
              <w:spacing w:line="325" w:lineRule="auto"/>
              <w:rPr>
                <w:rFonts w:ascii="Arial"/>
                <w:sz w:val="21"/>
              </w:rPr>
            </w:pPr>
            <w:r/>
          </w:p>
          <w:p>
            <w:pPr>
              <w:spacing w:line="326" w:lineRule="auto"/>
              <w:rPr>
                <w:rFonts w:ascii="Arial"/>
                <w:sz w:val="21"/>
              </w:rPr>
            </w:pPr>
            <w:r/>
          </w:p>
          <w:p>
            <w:pPr>
              <w:pStyle w:val="TableText"/>
              <w:ind w:left="177"/>
              <w:spacing w:before="68" w:line="184" w:lineRule="auto"/>
              <w:rPr>
                <w:sz w:val="21"/>
                <w:szCs w:val="21"/>
              </w:rPr>
            </w:pPr>
            <w:r>
              <w:rPr>
                <w:sz w:val="21"/>
                <w:szCs w:val="21"/>
                <w:spacing w:val="-2"/>
              </w:rPr>
              <w:t>13598826452</w:t>
            </w:r>
          </w:p>
        </w:tc>
      </w:tr>
      <w:tr>
        <w:trPr>
          <w:trHeight w:val="628" w:hRule="atLeast"/>
        </w:trPr>
        <w:tc>
          <w:tcPr>
            <w:tcW w:w="674" w:type="dxa"/>
            <w:vAlign w:val="top"/>
          </w:tcPr>
          <w:p>
            <w:pPr>
              <w:pStyle w:val="TableText"/>
              <w:ind w:left="275"/>
              <w:spacing w:before="268" w:line="183" w:lineRule="auto"/>
              <w:rPr>
                <w:sz w:val="21"/>
                <w:szCs w:val="21"/>
              </w:rPr>
            </w:pPr>
            <w:r>
              <w:rPr>
                <w:sz w:val="21"/>
                <w:szCs w:val="21"/>
              </w:rPr>
              <w:t>2</w:t>
            </w:r>
          </w:p>
        </w:tc>
        <w:tc>
          <w:tcPr>
            <w:tcW w:w="889" w:type="dxa"/>
            <w:vAlign w:val="top"/>
          </w:tcPr>
          <w:p>
            <w:pPr>
              <w:pStyle w:val="TableText"/>
              <w:ind w:left="120"/>
              <w:spacing w:before="215" w:line="221" w:lineRule="auto"/>
              <w:rPr>
                <w:sz w:val="21"/>
                <w:szCs w:val="21"/>
              </w:rPr>
            </w:pPr>
            <w:r>
              <w:rPr>
                <w:sz w:val="21"/>
                <w:szCs w:val="21"/>
                <w:spacing w:val="-3"/>
              </w:rPr>
              <w:t>李建武</w:t>
            </w:r>
          </w:p>
        </w:tc>
        <w:tc>
          <w:tcPr>
            <w:tcW w:w="1338" w:type="dxa"/>
            <w:vAlign w:val="top"/>
          </w:tcPr>
          <w:p>
            <w:pPr>
              <w:pStyle w:val="TableText"/>
              <w:ind w:left="132"/>
              <w:spacing w:before="214" w:line="219" w:lineRule="auto"/>
              <w:rPr>
                <w:sz w:val="21"/>
                <w:szCs w:val="21"/>
              </w:rPr>
            </w:pPr>
            <w:r>
              <w:rPr>
                <w:sz w:val="21"/>
                <w:szCs w:val="21"/>
                <w:spacing w:val="2"/>
              </w:rPr>
              <w:t>高级检修工</w:t>
            </w:r>
          </w:p>
        </w:tc>
        <w:tc>
          <w:tcPr>
            <w:tcW w:w="1099" w:type="dxa"/>
            <w:vAlign w:val="top"/>
          </w:tcPr>
          <w:p>
            <w:pPr>
              <w:pStyle w:val="TableText"/>
              <w:ind w:left="333"/>
              <w:spacing w:before="214" w:line="219" w:lineRule="auto"/>
              <w:rPr>
                <w:sz w:val="21"/>
                <w:szCs w:val="21"/>
              </w:rPr>
            </w:pPr>
            <w:r>
              <w:rPr>
                <w:sz w:val="21"/>
                <w:szCs w:val="21"/>
                <w:spacing w:val="-2"/>
              </w:rPr>
              <w:t>21年</w:t>
            </w:r>
          </w:p>
        </w:tc>
        <w:tc>
          <w:tcPr>
            <w:tcW w:w="2977" w:type="dxa"/>
            <w:vAlign w:val="top"/>
          </w:tcPr>
          <w:p>
            <w:pPr>
              <w:pStyle w:val="TableText"/>
              <w:ind w:left="1374" w:right="110" w:hanging="1259"/>
              <w:spacing w:before="44" w:line="251" w:lineRule="auto"/>
              <w:rPr>
                <w:sz w:val="21"/>
                <w:szCs w:val="21"/>
              </w:rPr>
            </w:pPr>
            <w:r>
              <w:rPr>
                <w:sz w:val="21"/>
                <w:szCs w:val="21"/>
              </w:rPr>
              <w:t>负责本项目中化学相关检修工</w:t>
            </w:r>
            <w:r>
              <w:rPr>
                <w:sz w:val="21"/>
                <w:szCs w:val="21"/>
                <w:spacing w:val="10"/>
              </w:rPr>
              <w:t xml:space="preserve"> </w:t>
            </w:r>
            <w:r>
              <w:rPr>
                <w:sz w:val="21"/>
                <w:szCs w:val="21"/>
              </w:rPr>
              <w:t>作</w:t>
            </w:r>
          </w:p>
        </w:tc>
        <w:tc>
          <w:tcPr>
            <w:tcW w:w="1523" w:type="dxa"/>
            <w:vAlign w:val="top"/>
          </w:tcPr>
          <w:p>
            <w:pPr>
              <w:pStyle w:val="TableText"/>
              <w:ind w:left="177"/>
              <w:spacing w:before="267" w:line="184" w:lineRule="auto"/>
              <w:rPr>
                <w:sz w:val="21"/>
                <w:szCs w:val="21"/>
              </w:rPr>
            </w:pPr>
            <w:r>
              <w:rPr>
                <w:sz w:val="21"/>
                <w:szCs w:val="21"/>
                <w:spacing w:val="-2"/>
              </w:rPr>
              <w:t>13626825145</w:t>
            </w:r>
          </w:p>
        </w:tc>
      </w:tr>
      <w:tr>
        <w:trPr>
          <w:trHeight w:val="733" w:hRule="atLeast"/>
        </w:trPr>
        <w:tc>
          <w:tcPr>
            <w:tcW w:w="674" w:type="dxa"/>
            <w:vAlign w:val="top"/>
          </w:tcPr>
          <w:p>
            <w:pPr>
              <w:spacing w:line="251" w:lineRule="auto"/>
              <w:rPr>
                <w:rFonts w:ascii="Arial"/>
                <w:sz w:val="21"/>
              </w:rPr>
            </w:pPr>
            <w:r/>
          </w:p>
          <w:p>
            <w:pPr>
              <w:pStyle w:val="TableText"/>
              <w:ind w:left="275"/>
              <w:spacing w:before="68" w:line="183" w:lineRule="auto"/>
              <w:rPr>
                <w:sz w:val="21"/>
                <w:szCs w:val="21"/>
              </w:rPr>
            </w:pPr>
            <w:r>
              <w:rPr>
                <w:sz w:val="21"/>
                <w:szCs w:val="21"/>
              </w:rPr>
              <w:t>3</w:t>
            </w:r>
          </w:p>
        </w:tc>
        <w:tc>
          <w:tcPr>
            <w:tcW w:w="889" w:type="dxa"/>
            <w:vAlign w:val="top"/>
          </w:tcPr>
          <w:p>
            <w:pPr>
              <w:pStyle w:val="TableText"/>
              <w:ind w:left="120"/>
              <w:spacing w:before="266" w:line="219" w:lineRule="auto"/>
              <w:rPr>
                <w:sz w:val="21"/>
                <w:szCs w:val="21"/>
              </w:rPr>
            </w:pPr>
            <w:r>
              <w:rPr>
                <w:sz w:val="21"/>
                <w:szCs w:val="21"/>
                <w:spacing w:val="3"/>
              </w:rPr>
              <w:t>高建民</w:t>
            </w:r>
          </w:p>
        </w:tc>
        <w:tc>
          <w:tcPr>
            <w:tcW w:w="1338" w:type="dxa"/>
            <w:vAlign w:val="top"/>
          </w:tcPr>
          <w:p>
            <w:pPr>
              <w:pStyle w:val="TableText"/>
              <w:ind w:left="241"/>
              <w:spacing w:before="266" w:line="219" w:lineRule="auto"/>
              <w:rPr>
                <w:sz w:val="21"/>
                <w:szCs w:val="21"/>
              </w:rPr>
            </w:pPr>
            <w:r>
              <w:rPr>
                <w:sz w:val="21"/>
                <w:szCs w:val="21"/>
                <w:spacing w:val="2"/>
              </w:rPr>
              <w:t>高级电工</w:t>
            </w:r>
          </w:p>
        </w:tc>
        <w:tc>
          <w:tcPr>
            <w:tcW w:w="1099" w:type="dxa"/>
            <w:vAlign w:val="top"/>
          </w:tcPr>
          <w:p>
            <w:pPr>
              <w:pStyle w:val="TableText"/>
              <w:ind w:left="333"/>
              <w:spacing w:before="266" w:line="219" w:lineRule="auto"/>
              <w:rPr>
                <w:sz w:val="21"/>
                <w:szCs w:val="21"/>
              </w:rPr>
            </w:pPr>
            <w:r>
              <w:rPr>
                <w:sz w:val="21"/>
                <w:szCs w:val="21"/>
                <w:spacing w:val="3"/>
              </w:rPr>
              <w:t>16年</w:t>
            </w:r>
          </w:p>
        </w:tc>
        <w:tc>
          <w:tcPr>
            <w:tcW w:w="2977" w:type="dxa"/>
            <w:vAlign w:val="top"/>
          </w:tcPr>
          <w:p>
            <w:pPr>
              <w:pStyle w:val="TableText"/>
              <w:ind w:left="115"/>
              <w:spacing w:before="115" w:line="219" w:lineRule="auto"/>
              <w:rPr>
                <w:sz w:val="21"/>
                <w:szCs w:val="21"/>
              </w:rPr>
            </w:pPr>
            <w:r>
              <w:rPr>
                <w:sz w:val="21"/>
                <w:szCs w:val="21"/>
                <w:spacing w:val="1"/>
              </w:rPr>
              <w:t>负责本项目中电力相关问题的</w:t>
            </w:r>
          </w:p>
          <w:p>
            <w:pPr>
              <w:pStyle w:val="TableText"/>
              <w:ind w:left="694"/>
              <w:spacing w:before="62" w:line="219" w:lineRule="auto"/>
              <w:rPr>
                <w:sz w:val="21"/>
                <w:szCs w:val="21"/>
              </w:rPr>
            </w:pPr>
            <w:r>
              <w:rPr>
                <w:sz w:val="21"/>
                <w:szCs w:val="21"/>
                <w:spacing w:val="-1"/>
              </w:rPr>
              <w:t>检修和维护工作。</w:t>
            </w:r>
          </w:p>
        </w:tc>
        <w:tc>
          <w:tcPr>
            <w:tcW w:w="1523" w:type="dxa"/>
            <w:vAlign w:val="top"/>
          </w:tcPr>
          <w:p>
            <w:pPr>
              <w:spacing w:line="250" w:lineRule="auto"/>
              <w:rPr>
                <w:rFonts w:ascii="Arial"/>
                <w:sz w:val="21"/>
              </w:rPr>
            </w:pPr>
            <w:r/>
          </w:p>
          <w:p>
            <w:pPr>
              <w:pStyle w:val="TableText"/>
              <w:ind w:left="177"/>
              <w:spacing w:before="68" w:line="184" w:lineRule="auto"/>
              <w:rPr>
                <w:sz w:val="21"/>
                <w:szCs w:val="21"/>
              </w:rPr>
            </w:pPr>
            <w:r>
              <w:rPr>
                <w:sz w:val="21"/>
                <w:szCs w:val="21"/>
                <w:spacing w:val="-2"/>
              </w:rPr>
              <w:t>17836652697</w:t>
            </w:r>
          </w:p>
        </w:tc>
      </w:tr>
    </w:tbl>
    <w:p>
      <w:pPr>
        <w:pStyle w:val="BodyText"/>
        <w:rPr/>
      </w:pPr>
      <w:r/>
    </w:p>
    <w:p>
      <w:pPr>
        <w:sectPr>
          <w:pgSz w:w="11920" w:h="16840"/>
          <w:pgMar w:top="1431" w:right="1724" w:bottom="0" w:left="1685" w:header="0" w:footer="0" w:gutter="0"/>
        </w:sectPr>
        <w:rPr/>
      </w:pPr>
    </w:p>
    <w:p>
      <w:pPr>
        <w:ind w:left="106"/>
        <w:spacing w:before="163" w:line="225" w:lineRule="auto"/>
        <w:rPr>
          <w:rFonts w:ascii="KaiTi" w:hAnsi="KaiTi" w:eastAsia="KaiTi" w:cs="KaiTi"/>
          <w:sz w:val="33"/>
          <w:szCs w:val="33"/>
        </w:rPr>
      </w:pPr>
      <w:r>
        <w:drawing>
          <wp:anchor distT="0" distB="0" distL="0" distR="0" simplePos="0" relativeHeight="251719680" behindDoc="0" locked="0" layoutInCell="0" allowOverlap="1">
            <wp:simplePos x="0" y="0"/>
            <wp:positionH relativeFrom="page">
              <wp:posOffset>6894054</wp:posOffset>
            </wp:positionH>
            <wp:positionV relativeFrom="page">
              <wp:posOffset>4546092</wp:posOffset>
            </wp:positionV>
            <wp:extent cx="300470" cy="1130978"/>
            <wp:effectExtent l="0" t="0" r="0" b="0"/>
            <wp:wrapNone/>
            <wp:docPr id="18" name="IM 18"/>
            <wp:cNvGraphicFramePr/>
            <a:graphic>
              <a:graphicData uri="http://schemas.openxmlformats.org/drawingml/2006/picture">
                <pic:pic>
                  <pic:nvPicPr>
                    <pic:cNvPr id="18" name="IM 18"/>
                    <pic:cNvPicPr/>
                  </pic:nvPicPr>
                  <pic:blipFill>
                    <a:blip r:embed="rId55"/>
                    <a:stretch>
                      <a:fillRect/>
                    </a:stretch>
                  </pic:blipFill>
                  <pic:spPr>
                    <a:xfrm rot="0">
                      <a:off x="0" y="0"/>
                      <a:ext cx="300470" cy="1130978"/>
                    </a:xfrm>
                    <a:prstGeom prst="rect">
                      <a:avLst/>
                    </a:prstGeom>
                  </pic:spPr>
                </pic:pic>
              </a:graphicData>
            </a:graphic>
          </wp:anchor>
        </w:drawing>
      </w:r>
      <w:r>
        <w:drawing>
          <wp:anchor distT="0" distB="0" distL="0" distR="0" simplePos="0" relativeHeight="251720704" behindDoc="0" locked="0" layoutInCell="0" allowOverlap="1">
            <wp:simplePos x="0" y="0"/>
            <wp:positionH relativeFrom="page">
              <wp:posOffset>7226314</wp:posOffset>
            </wp:positionH>
            <wp:positionV relativeFrom="page">
              <wp:posOffset>6933700</wp:posOffset>
            </wp:positionV>
            <wp:extent cx="196798" cy="705343"/>
            <wp:effectExtent l="0" t="0" r="0" b="0"/>
            <wp:wrapNone/>
            <wp:docPr id="20" name="IM 20"/>
            <wp:cNvGraphicFramePr/>
            <a:graphic>
              <a:graphicData uri="http://schemas.openxmlformats.org/drawingml/2006/picture">
                <pic:pic>
                  <pic:nvPicPr>
                    <pic:cNvPr id="20" name="IM 20"/>
                    <pic:cNvPicPr/>
                  </pic:nvPicPr>
                  <pic:blipFill>
                    <a:blip r:embed="rId56"/>
                    <a:stretch>
                      <a:fillRect/>
                    </a:stretch>
                  </pic:blipFill>
                  <pic:spPr>
                    <a:xfrm rot="0">
                      <a:off x="0" y="0"/>
                      <a:ext cx="196798" cy="705343"/>
                    </a:xfrm>
                    <a:prstGeom prst="rect">
                      <a:avLst/>
                    </a:prstGeom>
                  </pic:spPr>
                </pic:pic>
              </a:graphicData>
            </a:graphic>
          </wp:anchor>
        </w:drawing>
      </w:r>
      <w:r>
        <w:rPr>
          <w:rFonts w:ascii="KaiTi" w:hAnsi="KaiTi" w:eastAsia="KaiTi" w:cs="KaiTi"/>
          <w:sz w:val="33"/>
          <w:szCs w:val="33"/>
          <w:b/>
          <w:bCs/>
          <w:spacing w:val="-17"/>
        </w:rPr>
        <w:t>中标通知书</w:t>
      </w:r>
    </w:p>
    <w:p>
      <w:pPr>
        <w:pStyle w:val="BodyText"/>
        <w:spacing w:line="252" w:lineRule="auto"/>
        <w:rPr/>
      </w:pPr>
      <w:r/>
    </w:p>
    <w:p>
      <w:pPr>
        <w:pStyle w:val="BodyText"/>
        <w:spacing w:line="252" w:lineRule="auto"/>
        <w:rPr/>
      </w:pPr>
      <w:r/>
    </w:p>
    <w:p>
      <w:pPr>
        <w:pStyle w:val="BodyText"/>
        <w:spacing w:line="252" w:lineRule="auto"/>
        <w:rPr/>
      </w:pPr>
      <w:r/>
    </w:p>
    <w:p>
      <w:pPr>
        <w:pStyle w:val="BodyText"/>
        <w:spacing w:line="252" w:lineRule="auto"/>
        <w:rPr/>
      </w:pPr>
      <w:r/>
    </w:p>
    <w:p>
      <w:pPr>
        <w:pStyle w:val="BodyText"/>
        <w:spacing w:line="253" w:lineRule="auto"/>
        <w:rPr/>
      </w:pPr>
      <w:r/>
    </w:p>
    <w:p>
      <w:pPr>
        <w:pStyle w:val="BodyText"/>
        <w:spacing w:line="253" w:lineRule="auto"/>
        <w:rPr/>
      </w:pPr>
      <w:r/>
    </w:p>
    <w:p>
      <w:pPr>
        <w:ind w:left="1631"/>
        <w:spacing w:before="277" w:line="219" w:lineRule="auto"/>
        <w:rPr>
          <w:rFonts w:ascii="SimSun" w:hAnsi="SimSun" w:eastAsia="SimSun" w:cs="SimSun"/>
          <w:sz w:val="85"/>
          <w:szCs w:val="85"/>
        </w:rPr>
      </w:pPr>
      <w:r>
        <w:rPr>
          <w:rFonts w:ascii="SimSun" w:hAnsi="SimSun" w:eastAsia="SimSun" w:cs="SimSun"/>
          <w:sz w:val="85"/>
          <w:szCs w:val="85"/>
          <w:b/>
          <w:bCs/>
          <w:spacing w:val="-79"/>
          <w:w w:val="88"/>
        </w:rPr>
        <w:t>中标(成交)通知书</w:t>
      </w:r>
    </w:p>
    <w:p>
      <w:pPr>
        <w:pStyle w:val="BodyText"/>
        <w:spacing w:line="315" w:lineRule="auto"/>
        <w:rPr/>
      </w:pPr>
      <w:r/>
    </w:p>
    <w:p>
      <w:pPr>
        <w:pStyle w:val="BodyText"/>
        <w:spacing w:line="315" w:lineRule="auto"/>
        <w:rPr/>
      </w:pPr>
      <w:r/>
    </w:p>
    <w:p>
      <w:pPr>
        <w:ind w:firstLine="932"/>
        <w:spacing w:line="60" w:lineRule="exact"/>
        <w:rPr/>
      </w:pPr>
      <w:r>
        <w:rPr>
          <w:position w:val="-1"/>
        </w:rPr>
        <w:drawing>
          <wp:inline distT="0" distB="0" distL="0" distR="0">
            <wp:extent cx="4121126" cy="38068"/>
            <wp:effectExtent l="0" t="0" r="0" b="0"/>
            <wp:docPr id="22" name="IM 22"/>
            <wp:cNvGraphicFramePr/>
            <a:graphic>
              <a:graphicData uri="http://schemas.openxmlformats.org/drawingml/2006/picture">
                <pic:pic>
                  <pic:nvPicPr>
                    <pic:cNvPr id="22" name="IM 22"/>
                    <pic:cNvPicPr/>
                  </pic:nvPicPr>
                  <pic:blipFill>
                    <a:blip r:embed="rId57"/>
                    <a:stretch>
                      <a:fillRect/>
                    </a:stretch>
                  </pic:blipFill>
                  <pic:spPr>
                    <a:xfrm rot="0">
                      <a:off x="0" y="0"/>
                      <a:ext cx="4121126" cy="38068"/>
                    </a:xfrm>
                    <a:prstGeom prst="rect">
                      <a:avLst/>
                    </a:prstGeom>
                  </pic:spPr>
                </pic:pic>
              </a:graphicData>
            </a:graphic>
          </wp:inline>
        </w:drawing>
      </w:r>
    </w:p>
    <w:p>
      <w:pPr>
        <w:ind w:left="1115"/>
        <w:spacing w:before="216" w:line="219" w:lineRule="auto"/>
        <w:rPr>
          <w:rFonts w:ascii="SimSun" w:hAnsi="SimSun" w:eastAsia="SimSun" w:cs="SimSun"/>
          <w:sz w:val="25"/>
          <w:szCs w:val="25"/>
        </w:rPr>
      </w:pPr>
      <w:r>
        <w:rPr>
          <w:rFonts w:ascii="SimSun" w:hAnsi="SimSun" w:eastAsia="SimSun" w:cs="SimSun"/>
          <w:sz w:val="25"/>
          <w:szCs w:val="25"/>
          <w:b/>
          <w:bCs/>
          <w:spacing w:val="-30"/>
        </w:rPr>
        <w:t>河南立畅仪器设备有限公司：</w:t>
      </w:r>
    </w:p>
    <w:p>
      <w:pPr>
        <w:ind w:left="1602"/>
        <w:spacing w:before="166" w:line="429" w:lineRule="exact"/>
        <w:rPr>
          <w:rFonts w:ascii="SimSun" w:hAnsi="SimSun" w:eastAsia="SimSun" w:cs="SimSun"/>
          <w:sz w:val="25"/>
          <w:szCs w:val="25"/>
        </w:rPr>
      </w:pPr>
      <w:r>
        <w:rPr>
          <w:rFonts w:ascii="SimSun" w:hAnsi="SimSun" w:eastAsia="SimSun" w:cs="SimSun"/>
          <w:sz w:val="25"/>
          <w:szCs w:val="25"/>
          <w:spacing w:val="-24"/>
          <w:position w:val="13"/>
        </w:rPr>
        <w:t>贵单位在河南省地质局地质灾害防治中心专用设备</w:t>
      </w:r>
      <w:r>
        <w:rPr>
          <w:rFonts w:ascii="SimSun" w:hAnsi="SimSun" w:eastAsia="SimSun" w:cs="SimSun"/>
          <w:sz w:val="25"/>
          <w:szCs w:val="25"/>
          <w:spacing w:val="-25"/>
          <w:position w:val="13"/>
        </w:rPr>
        <w:t>购置项</w:t>
      </w:r>
    </w:p>
    <w:p>
      <w:pPr>
        <w:ind w:left="1112"/>
        <w:spacing w:before="1" w:line="218" w:lineRule="auto"/>
        <w:rPr>
          <w:rFonts w:ascii="SimSun" w:hAnsi="SimSun" w:eastAsia="SimSun" w:cs="SimSun"/>
          <w:sz w:val="25"/>
          <w:szCs w:val="25"/>
        </w:rPr>
      </w:pPr>
      <w:r>
        <w:rPr>
          <w:rFonts w:ascii="SimSun" w:hAnsi="SimSun" w:eastAsia="SimSun" w:cs="SimSun"/>
          <w:sz w:val="25"/>
          <w:szCs w:val="25"/>
          <w:spacing w:val="-24"/>
        </w:rPr>
        <w:t>目(豫财磋商采购-2024-431)磋商中，经磋商小组评审推荐，采</w:t>
      </w:r>
    </w:p>
    <w:p>
      <w:pPr>
        <w:ind w:left="1112"/>
        <w:spacing w:before="133" w:line="219" w:lineRule="auto"/>
        <w:rPr>
          <w:rFonts w:ascii="SimSun" w:hAnsi="SimSun" w:eastAsia="SimSun" w:cs="SimSun"/>
          <w:sz w:val="25"/>
          <w:szCs w:val="25"/>
        </w:rPr>
      </w:pPr>
      <w:r>
        <w:rPr>
          <w:rFonts w:ascii="SimSun" w:hAnsi="SimSun" w:eastAsia="SimSun" w:cs="SimSun"/>
          <w:sz w:val="25"/>
          <w:szCs w:val="25"/>
          <w:spacing w:val="-20"/>
        </w:rPr>
        <w:t>购人确定你单位为包1成交供应商，成交金额：壹佰贰拾玖万</w:t>
      </w:r>
    </w:p>
    <w:p>
      <w:pPr>
        <w:ind w:left="1112"/>
        <w:spacing w:before="134" w:line="219" w:lineRule="auto"/>
        <w:rPr>
          <w:rFonts w:ascii="SimSun" w:hAnsi="SimSun" w:eastAsia="SimSun" w:cs="SimSun"/>
          <w:sz w:val="25"/>
          <w:szCs w:val="25"/>
        </w:rPr>
      </w:pPr>
      <w:r>
        <w:rPr>
          <w:rFonts w:ascii="SimSun" w:hAnsi="SimSun" w:eastAsia="SimSun" w:cs="SimSun"/>
          <w:sz w:val="25"/>
          <w:szCs w:val="25"/>
          <w:spacing w:val="-15"/>
        </w:rPr>
        <w:t>柒仟伍佰元整(¥1297500.00)</w:t>
      </w:r>
      <w:r>
        <w:rPr>
          <w:rFonts w:ascii="SimSun" w:hAnsi="SimSun" w:eastAsia="SimSun" w:cs="SimSun"/>
          <w:sz w:val="25"/>
          <w:szCs w:val="25"/>
          <w:spacing w:val="-16"/>
        </w:rPr>
        <w:t>。请接到本成交通知书后15日内</w:t>
      </w:r>
    </w:p>
    <w:p>
      <w:pPr>
        <w:ind w:left="1112"/>
        <w:spacing w:before="135" w:line="219" w:lineRule="auto"/>
        <w:rPr>
          <w:rFonts w:ascii="SimSun" w:hAnsi="SimSun" w:eastAsia="SimSun" w:cs="SimSun"/>
          <w:sz w:val="25"/>
          <w:szCs w:val="25"/>
        </w:rPr>
      </w:pPr>
      <w:r>
        <w:rPr>
          <w:rFonts w:ascii="SimSun" w:hAnsi="SimSun" w:eastAsia="SimSun" w:cs="SimSun"/>
          <w:sz w:val="25"/>
          <w:szCs w:val="25"/>
          <w:spacing w:val="-25"/>
        </w:rPr>
        <w:t>与河南省地质局地质灾害防治中心办理签订合同事宜，合同编</w:t>
      </w:r>
    </w:p>
    <w:p>
      <w:pPr>
        <w:ind w:left="1112"/>
        <w:spacing w:before="132" w:line="219" w:lineRule="auto"/>
        <w:rPr>
          <w:rFonts w:ascii="SimSun" w:hAnsi="SimSun" w:eastAsia="SimSun" w:cs="SimSun"/>
          <w:sz w:val="25"/>
          <w:szCs w:val="25"/>
        </w:rPr>
      </w:pPr>
      <w:r>
        <w:rPr>
          <w:rFonts w:ascii="SimSun" w:hAnsi="SimSun" w:eastAsia="SimSun" w:cs="SimSun"/>
          <w:sz w:val="25"/>
          <w:szCs w:val="25"/>
          <w:spacing w:val="-24"/>
        </w:rPr>
        <w:t>号：豫财磋商采购-2024-431。合同签订后将原件一份报送河南</w:t>
      </w:r>
    </w:p>
    <w:p>
      <w:pPr>
        <w:ind w:left="1112"/>
        <w:spacing w:before="133" w:line="219" w:lineRule="auto"/>
        <w:rPr>
          <w:rFonts w:ascii="SimSun" w:hAnsi="SimSun" w:eastAsia="SimSun" w:cs="SimSun"/>
          <w:sz w:val="25"/>
          <w:szCs w:val="25"/>
        </w:rPr>
      </w:pPr>
      <w:r>
        <w:rPr>
          <w:rFonts w:ascii="SimSun" w:hAnsi="SimSun" w:eastAsia="SimSun" w:cs="SimSun"/>
          <w:sz w:val="25"/>
          <w:szCs w:val="25"/>
          <w:spacing w:val="-27"/>
        </w:rPr>
        <w:t>省科教仪器设备招标有限公司。</w:t>
      </w:r>
    </w:p>
    <w:p>
      <w:pPr>
        <w:pStyle w:val="BodyText"/>
        <w:spacing w:line="244" w:lineRule="auto"/>
        <w:rPr/>
      </w:pPr>
      <w:r/>
    </w:p>
    <w:p>
      <w:pPr>
        <w:pStyle w:val="BodyText"/>
        <w:spacing w:line="244" w:lineRule="auto"/>
        <w:rPr/>
      </w:pPr>
      <w:r/>
    </w:p>
    <w:p>
      <w:pPr>
        <w:pStyle w:val="BodyText"/>
        <w:spacing w:line="244" w:lineRule="auto"/>
        <w:rPr/>
      </w:pPr>
      <w:r/>
    </w:p>
    <w:p>
      <w:pPr>
        <w:pStyle w:val="BodyText"/>
        <w:spacing w:line="245" w:lineRule="auto"/>
        <w:rPr/>
      </w:pPr>
      <w:r/>
    </w:p>
    <w:p>
      <w:pPr>
        <w:ind w:left="1112"/>
        <w:spacing w:before="82" w:line="219" w:lineRule="auto"/>
        <w:rPr>
          <w:rFonts w:ascii="SimSun" w:hAnsi="SimSun" w:eastAsia="SimSun" w:cs="SimSun"/>
          <w:sz w:val="25"/>
          <w:szCs w:val="25"/>
        </w:rPr>
      </w:pPr>
      <w:r>
        <w:rPr>
          <w:rFonts w:ascii="SimSun" w:hAnsi="SimSun" w:eastAsia="SimSun" w:cs="SimSun"/>
          <w:sz w:val="25"/>
          <w:szCs w:val="25"/>
          <w:spacing w:val="-25"/>
        </w:rPr>
        <w:t>河南省地质局地质灾害防治中心</w:t>
      </w:r>
    </w:p>
    <w:p>
      <w:pPr>
        <w:pStyle w:val="BodyText"/>
        <w:spacing w:line="291" w:lineRule="auto"/>
        <w:rPr/>
      </w:pPr>
      <w:r/>
    </w:p>
    <w:p>
      <w:pPr>
        <w:pStyle w:val="BodyText"/>
        <w:spacing w:line="292" w:lineRule="auto"/>
        <w:rPr/>
      </w:pPr>
      <w:r/>
    </w:p>
    <w:p>
      <w:pPr>
        <w:pStyle w:val="BodyText"/>
        <w:spacing w:line="292" w:lineRule="auto"/>
        <w:rPr/>
      </w:pPr>
      <w:r/>
    </w:p>
    <w:p>
      <w:pPr>
        <w:ind w:left="3571"/>
        <w:spacing w:before="81" w:line="219" w:lineRule="auto"/>
        <w:rPr>
          <w:rFonts w:ascii="SimSun" w:hAnsi="SimSun" w:eastAsia="SimSun" w:cs="SimSun"/>
          <w:sz w:val="25"/>
          <w:szCs w:val="25"/>
        </w:rPr>
      </w:pPr>
      <w:r>
        <w:drawing>
          <wp:anchor distT="0" distB="0" distL="0" distR="0" simplePos="0" relativeHeight="251721728" behindDoc="0" locked="0" layoutInCell="1" allowOverlap="1">
            <wp:simplePos x="0" y="0"/>
            <wp:positionH relativeFrom="column">
              <wp:posOffset>2966747</wp:posOffset>
            </wp:positionH>
            <wp:positionV relativeFrom="paragraph">
              <wp:posOffset>-176513</wp:posOffset>
            </wp:positionV>
            <wp:extent cx="1085801" cy="1085914"/>
            <wp:effectExtent l="0" t="0" r="0" b="0"/>
            <wp:wrapNone/>
            <wp:docPr id="24" name="IM 24"/>
            <wp:cNvGraphicFramePr/>
            <a:graphic>
              <a:graphicData uri="http://schemas.openxmlformats.org/drawingml/2006/picture">
                <pic:pic>
                  <pic:nvPicPr>
                    <pic:cNvPr id="24" name="IM 24"/>
                    <pic:cNvPicPr/>
                  </pic:nvPicPr>
                  <pic:blipFill>
                    <a:blip r:embed="rId58"/>
                    <a:stretch>
                      <a:fillRect/>
                    </a:stretch>
                  </pic:blipFill>
                  <pic:spPr>
                    <a:xfrm rot="0">
                      <a:off x="0" y="0"/>
                      <a:ext cx="1085801" cy="1085914"/>
                    </a:xfrm>
                    <a:prstGeom prst="rect">
                      <a:avLst/>
                    </a:prstGeom>
                  </pic:spPr>
                </pic:pic>
              </a:graphicData>
            </a:graphic>
          </wp:anchor>
        </w:drawing>
      </w:r>
      <w:r>
        <w:rPr>
          <w:rFonts w:ascii="SimSun" w:hAnsi="SimSun" w:eastAsia="SimSun" w:cs="SimSun"/>
          <w:sz w:val="25"/>
          <w:szCs w:val="25"/>
          <w:spacing w:val="-21"/>
          <w:w w:val="98"/>
        </w:rPr>
        <w:t>河南省科教仪器设备招标有限公司</w:t>
      </w:r>
    </w:p>
    <w:p>
      <w:pPr>
        <w:ind w:left="4772"/>
        <w:spacing w:before="156" w:line="219" w:lineRule="auto"/>
        <w:rPr>
          <w:rFonts w:ascii="SimSun" w:hAnsi="SimSun" w:eastAsia="SimSun" w:cs="SimSun"/>
          <w:sz w:val="25"/>
          <w:szCs w:val="25"/>
        </w:rPr>
      </w:pPr>
      <w:r>
        <w:rPr>
          <w:rFonts w:ascii="SimSun" w:hAnsi="SimSun" w:eastAsia="SimSun" w:cs="SimSun"/>
          <w:sz w:val="25"/>
          <w:szCs w:val="25"/>
          <w:spacing w:val="11"/>
        </w:rPr>
        <w:t>2024年06月17日</w:t>
      </w:r>
    </w:p>
    <w:sectPr>
      <w:pgSz w:w="11920" w:h="16840"/>
      <w:pgMar w:top="1431" w:right="230" w:bottom="0" w:left="1788"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T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86"/>
    <w:family w:val="auto"/>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FFFF0000"/>
  </w:font>
  <w:font w:name="Microsoft JhengHei">
    <w:panose1 w:val="020B0604030504040204"/>
    <w:charset w:val="88"/>
    <w:family w:val="auto"/>
    <w:pitch w:val="default"/>
    <w:sig w:usb0="000002A7" w:usb1="28CF4400" w:usb2="00000016" w:usb3="00000000" w:csb0="00100009" w:csb1="00000000"/>
  </w:font>
</w:fonts>
</file>

<file path=word/settings.xml><?xml version="1.0" encoding="utf-8"?>
<w:settings xmlns:w="http://schemas.openxmlformats.org/wordprocessingml/2006/main">
  <w:displayBackgroundShape/>
  <w:characterSpacingControl w:val="doNotCompress"/>
  <w:compat>
    <w:spaceForUL/>
    <w:ulTrailSpace/>
    <w:compatSetting w:name="compatibilityMode" w:uri="http://schemas.microsoft.com/office/word" w:val="14"/>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0="urn:schemas-microsoft-com:office:word" xmlns:sl="http://schemas.openxmlformats.org/schemaLibrary/2006/main" xmlns:w14="http://schemas.microsoft.com/office/word/2010/wordml" mc:Ignorable="w14">
  <w:docDefaults>
    <w:rPrDefault>
      <w:rPr>
        <w:rFonts w:ascii="Arial" w:hAnsi="Arial" w:eastAsia="Arial" w:cs="Arial"/>
        <w:sz w:val="21"/>
        <w:szCs w:val="21"/>
        <w:lang w:val="en-US" w:eastAsia="en-US" w:bidi="ar-SA"/>
        <w:color w:val="000000"/>
        <w:kern w:val="0"/>
        <w:snapToGrid w:val="0"/>
      </w:rPr>
    </w:rPrDefault>
  </w:docDefaults>
  <w:style w:type="paragraph" w:styleId="Normal" w:default="1">
    <w:name w:val="Normal"/>
    <w:semiHidden/>
    <w:qFormat/>
    <w:pPr>
      <w:spacing w:line="240" w:lineRule="auto"/>
      <w:jc w:val="left"/>
      <w:autoSpaceDE w:val="0"/>
      <w:autoSpaceDN w:val="0"/>
      <w:adjustRightInd w:val="0"/>
      <w:snapToGrid w:val="0"/>
      <w:kinsoku w:val="0"/>
      <w:textAlignment w:val="baseline"/>
    </w:pPr>
    <w:rPr>
      <w:color w:val="000000"/>
      <w:kern w:val="0"/>
      <w:snapToGrid w:val="0"/>
      <w:noProof w:val="1"/>
    </w:rPr>
  </w:style>
  <w:style w:type="table" w:styleId="TableNormal" w:default="1">
    <w:name w:val="Table Normal"/>
    <w:semiHidden/>
    <w:unhideWhenUsed/>
    <w:qFormat/>
    <w:tblPr>
      <w:tblCellMar>
        <w:left w:w="0" w:type="dxa"/>
        <w:right w:w="0" w:type="dxa"/>
        <w:bottom w:w="0" w:type="dxa"/>
        <w:top w:w="0" w:type="dxa"/>
      </w:tblCellMar>
    </w:tblPr>
  </w:style>
  <w:style w:type="paragraph" w:styleId="BodyText">
    <w:name w:val="Body Text"/>
    <w:basedOn w:val="Normal"/>
    <w:semiHidden/>
    <w:qFormat/>
    <w:pPr/>
    <w:rPr>
      <w:rFonts w:ascii="Arial" w:hAnsi="Arial" w:eastAsia="Arial" w:cs="Arial"/>
      <w:sz w:val="21"/>
      <w:szCs w:val="21"/>
      <w:lang w:val="en-US" w:eastAsia="en-US" w:bidi="ar-SA"/>
    </w:rPr>
  </w:style>
  <w:style w:type="paragraph" w:styleId="TableText">
    <w:name w:val="Table Text"/>
    <w:basedOn w:val="Normal"/>
    <w:semiHidden/>
    <w:qFormat/>
    <w:pPr/>
    <w:rPr>
      <w:rFonts w:ascii="SimSun" w:hAnsi="SimSun" w:eastAsia="SimSun" w:cs="SimSun"/>
      <w:sz w:val="23"/>
      <w:szCs w:val="23"/>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yperlink" Target="3.2.1.2" TargetMode="External"/><Relationship Id="rId8" Type="http://schemas.openxmlformats.org/officeDocument/2006/relationships/hyperlink" Target="3.2.1.1" TargetMode="External"/><Relationship Id="rId7" Type="http://schemas.openxmlformats.org/officeDocument/2006/relationships/image" Target="media/image7.png"/><Relationship Id="rId61" Type="http://schemas.openxmlformats.org/officeDocument/2006/relationships/fontTable" Target="fontTable.xml"/><Relationship Id="rId60" Type="http://schemas.openxmlformats.org/officeDocument/2006/relationships/styles" Target="styles.xml"/><Relationship Id="rId6" Type="http://schemas.openxmlformats.org/officeDocument/2006/relationships/image" Target="media/image6.png"/><Relationship Id="rId59" Type="http://schemas.openxmlformats.org/officeDocument/2006/relationships/settings" Target="settings.xml"/><Relationship Id="rId58" Type="http://schemas.openxmlformats.org/officeDocument/2006/relationships/image" Target="media/image12.png"/><Relationship Id="rId57" Type="http://schemas.openxmlformats.org/officeDocument/2006/relationships/image" Target="media/image11.png"/><Relationship Id="rId56" Type="http://schemas.openxmlformats.org/officeDocument/2006/relationships/image" Target="media/image10.png"/><Relationship Id="rId55" Type="http://schemas.openxmlformats.org/officeDocument/2006/relationships/image" Target="media/image9.png"/><Relationship Id="rId54" Type="http://schemas.openxmlformats.org/officeDocument/2006/relationships/image" Target="media/image8.png"/><Relationship Id="rId53" Type="http://schemas.openxmlformats.org/officeDocument/2006/relationships/hyperlink" Target="4.1.7.2" TargetMode="External"/><Relationship Id="rId52" Type="http://schemas.openxmlformats.org/officeDocument/2006/relationships/hyperlink" Target="4.1.7.1" TargetMode="External"/><Relationship Id="rId51" Type="http://schemas.openxmlformats.org/officeDocument/2006/relationships/hyperlink" Target="4.1.4.2" TargetMode="External"/><Relationship Id="rId50" Type="http://schemas.openxmlformats.org/officeDocument/2006/relationships/hyperlink" Target="4.1.4.1" TargetMode="External"/><Relationship Id="rId5" Type="http://schemas.openxmlformats.org/officeDocument/2006/relationships/image" Target="media/image5.png"/><Relationship Id="rId49" Type="http://schemas.openxmlformats.org/officeDocument/2006/relationships/hyperlink" Target="3.1.14.4" TargetMode="External"/><Relationship Id="rId48" Type="http://schemas.openxmlformats.org/officeDocument/2006/relationships/hyperlink" Target="3.1.14.3" TargetMode="External"/><Relationship Id="rId47" Type="http://schemas.openxmlformats.org/officeDocument/2006/relationships/hyperlink" Target="3.1.14.2" TargetMode="External"/><Relationship Id="rId46" Type="http://schemas.openxmlformats.org/officeDocument/2006/relationships/hyperlink" Target="3.1.14.1" TargetMode="External"/><Relationship Id="rId45" Type="http://schemas.openxmlformats.org/officeDocument/2006/relationships/hyperlink" Target="3.1.13.2" TargetMode="External"/><Relationship Id="rId44" Type="http://schemas.openxmlformats.org/officeDocument/2006/relationships/hyperlink" Target="3.1.13.1" TargetMode="External"/><Relationship Id="rId43" Type="http://schemas.openxmlformats.org/officeDocument/2006/relationships/hyperlink" Target="3.1.12.2" TargetMode="External"/><Relationship Id="rId42" Type="http://schemas.openxmlformats.org/officeDocument/2006/relationships/hyperlink" Target="3.1.12.1" TargetMode="External"/><Relationship Id="rId41" Type="http://schemas.openxmlformats.org/officeDocument/2006/relationships/hyperlink" Target="3.2.6.7" TargetMode="External"/><Relationship Id="rId40" Type="http://schemas.openxmlformats.org/officeDocument/2006/relationships/hyperlink" Target="3.2.6.6" TargetMode="External"/><Relationship Id="rId4" Type="http://schemas.openxmlformats.org/officeDocument/2006/relationships/image" Target="media/image4.png"/><Relationship Id="rId39" Type="http://schemas.openxmlformats.org/officeDocument/2006/relationships/hyperlink" Target="3.2.6.5" TargetMode="External"/><Relationship Id="rId38" Type="http://schemas.openxmlformats.org/officeDocument/2006/relationships/hyperlink" Target="3.2.6.4" TargetMode="External"/><Relationship Id="rId37" Type="http://schemas.openxmlformats.org/officeDocument/2006/relationships/hyperlink" Target="3.2.6.3" TargetMode="External"/><Relationship Id="rId36" Type="http://schemas.openxmlformats.org/officeDocument/2006/relationships/hyperlink" Target="3.2.6.2" TargetMode="External"/><Relationship Id="rId35" Type="http://schemas.openxmlformats.org/officeDocument/2006/relationships/hyperlink" Target="3.2.6.1" TargetMode="External"/><Relationship Id="rId34" Type="http://schemas.openxmlformats.org/officeDocument/2006/relationships/hyperlink" Target="3.2.5.8" TargetMode="External"/><Relationship Id="rId33" Type="http://schemas.openxmlformats.org/officeDocument/2006/relationships/hyperlink" Target="3.2.5.7" TargetMode="External"/><Relationship Id="rId32" Type="http://schemas.openxmlformats.org/officeDocument/2006/relationships/hyperlink" Target="3.2.5.5" TargetMode="External"/><Relationship Id="rId31" Type="http://schemas.openxmlformats.org/officeDocument/2006/relationships/hyperlink" Target="3.2.5.4" TargetMode="External"/><Relationship Id="rId30" Type="http://schemas.openxmlformats.org/officeDocument/2006/relationships/hyperlink" Target="3.2.5.3" TargetMode="External"/><Relationship Id="rId3" Type="http://schemas.openxmlformats.org/officeDocument/2006/relationships/image" Target="media/image3.png"/><Relationship Id="rId29" Type="http://schemas.openxmlformats.org/officeDocument/2006/relationships/hyperlink" Target="3.2.5.2" TargetMode="External"/><Relationship Id="rId28" Type="http://schemas.openxmlformats.org/officeDocument/2006/relationships/hyperlink" Target="3.2.5.1" TargetMode="External"/><Relationship Id="rId27" Type="http://schemas.openxmlformats.org/officeDocument/2006/relationships/hyperlink" Target="3.2.4.5" TargetMode="External"/><Relationship Id="rId26" Type="http://schemas.openxmlformats.org/officeDocument/2006/relationships/hyperlink" Target="3.2.4.4" TargetMode="External"/><Relationship Id="rId25" Type="http://schemas.openxmlformats.org/officeDocument/2006/relationships/hyperlink" Target="3.2.4.3" TargetMode="External"/><Relationship Id="rId24" Type="http://schemas.openxmlformats.org/officeDocument/2006/relationships/hyperlink" Target="3.2.4.2" TargetMode="External"/><Relationship Id="rId23" Type="http://schemas.openxmlformats.org/officeDocument/2006/relationships/hyperlink" Target="3.2.4.1" TargetMode="External"/><Relationship Id="rId22" Type="http://schemas.openxmlformats.org/officeDocument/2006/relationships/hyperlink" Target="3.2.3.6" TargetMode="External"/><Relationship Id="rId21" Type="http://schemas.openxmlformats.org/officeDocument/2006/relationships/hyperlink" Target="3.2.3.5" TargetMode="External"/><Relationship Id="rId20" Type="http://schemas.openxmlformats.org/officeDocument/2006/relationships/hyperlink" Target="3.2.3.4" TargetMode="External"/><Relationship Id="rId2" Type="http://schemas.openxmlformats.org/officeDocument/2006/relationships/image" Target="media/image2.png"/><Relationship Id="rId19" Type="http://schemas.openxmlformats.org/officeDocument/2006/relationships/hyperlink" Target="3.2.3.3" TargetMode="External"/><Relationship Id="rId18" Type="http://schemas.openxmlformats.org/officeDocument/2006/relationships/hyperlink" Target="3.2.3.2" TargetMode="External"/><Relationship Id="rId17" Type="http://schemas.openxmlformats.org/officeDocument/2006/relationships/hyperlink" Target="3.2.3.1" TargetMode="External"/><Relationship Id="rId16" Type="http://schemas.openxmlformats.org/officeDocument/2006/relationships/hyperlink" Target="3.2.2.5" TargetMode="External"/><Relationship Id="rId15" Type="http://schemas.openxmlformats.org/officeDocument/2006/relationships/hyperlink" Target="3.2.2.4" TargetMode="External"/><Relationship Id="rId14" Type="http://schemas.openxmlformats.org/officeDocument/2006/relationships/hyperlink" Target="3.2.2.3" TargetMode="External"/><Relationship Id="rId13" Type="http://schemas.openxmlformats.org/officeDocument/2006/relationships/hyperlink" Target="3.2.2.2" TargetMode="External"/><Relationship Id="rId12" Type="http://schemas.openxmlformats.org/officeDocument/2006/relationships/hyperlink" Target="3.2.2.1" TargetMode="External"/><Relationship Id="rId11" Type="http://schemas.openxmlformats.org/officeDocument/2006/relationships/hyperlink" Target="3.2.1.4" TargetMode="External"/><Relationship Id="rId10" Type="http://schemas.openxmlformats.org/officeDocument/2006/relationships/hyperlink" Target="3.2.1.3" TargetMode="External"/><Relationship Id="rId1" Type="http://schemas.openxmlformats.org/officeDocument/2006/relationships/image" Target="media/image1.png"/></Relationships>
</file>

<file path=docProps/app.xml><?xml version="1.0" encoding="utf-8"?>
<ap:Properties xmlns:vt="http://schemas.openxmlformats.org/officeDocument/2006/docPropsVTypes" xmlns:ap="http://schemas.openxmlformats.org/officeDocument/2006/extended-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2024-07-02T09:05:57Z</dcterms:creat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2024-07-02T09:05:59</vt:filetime>
  </property>
  <property fmtid="{D5CDD505-2E9C-101B-9397-08002B2CF9AE}" pid="4" name="UsrData">
    <vt:lpwstr>66835270136bdc0020ddce4dwl</vt:lpwstr>
  </property>
</Properties>
</file>