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D5B76">
      <w:pPr>
        <w:rPr>
          <w:rFonts w:hint="eastAsia"/>
          <w:lang w:val="en-US" w:eastAsia="zh-CN"/>
        </w:rPr>
      </w:pPr>
      <w:r>
        <w:rPr>
          <w:rFonts w:hint="eastAsia"/>
          <w:lang w:val="en-US" w:eastAsia="zh-CN"/>
        </w:rPr>
        <w:t>专家评审结果：</w:t>
      </w:r>
    </w:p>
    <w:p w14:paraId="330ED498">
      <w:pPr>
        <w:rPr>
          <w:rFonts w:hint="eastAsia"/>
          <w:lang w:val="en-US" w:eastAsia="zh-CN"/>
        </w:rPr>
      </w:pPr>
      <w:r>
        <w:rPr>
          <w:rFonts w:hint="eastAsia"/>
          <w:lang w:val="en-US" w:eastAsia="zh-CN"/>
        </w:rPr>
        <w:t>包1：</w:t>
      </w:r>
    </w:p>
    <w:p w14:paraId="024215A3">
      <w:pPr>
        <w:rPr>
          <w:rFonts w:hint="default"/>
          <w:lang w:val="en-US" w:eastAsia="zh-CN"/>
        </w:rPr>
      </w:pPr>
    </w:p>
    <w:p w14:paraId="1DE7AE49">
      <w:pPr>
        <w:rPr>
          <w:rFonts w:hint="default"/>
          <w:lang w:val="en-US" w:eastAsia="zh-CN"/>
        </w:rPr>
      </w:pPr>
      <w:r>
        <w:drawing>
          <wp:anchor distT="0" distB="0" distL="114300" distR="114300" simplePos="0" relativeHeight="251659264" behindDoc="0" locked="0" layoutInCell="1" allowOverlap="1">
            <wp:simplePos x="0" y="0"/>
            <wp:positionH relativeFrom="column">
              <wp:posOffset>-36195</wp:posOffset>
            </wp:positionH>
            <wp:positionV relativeFrom="paragraph">
              <wp:posOffset>45720</wp:posOffset>
            </wp:positionV>
            <wp:extent cx="5273040" cy="1439545"/>
            <wp:effectExtent l="0" t="0" r="3810" b="825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73040" cy="1439545"/>
                    </a:xfrm>
                    <a:prstGeom prst="rect">
                      <a:avLst/>
                    </a:prstGeom>
                    <a:noFill/>
                    <a:ln>
                      <a:noFill/>
                    </a:ln>
                  </pic:spPr>
                </pic:pic>
              </a:graphicData>
            </a:graphic>
          </wp:anchor>
        </w:drawing>
      </w:r>
    </w:p>
    <w:p w14:paraId="3A9E9B3C">
      <w:pPr>
        <w:widowControl w:val="0"/>
        <w:spacing w:line="560" w:lineRule="exact"/>
        <w:jc w:val="both"/>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 xml:space="preserve">第一中标候选人：广东广凌信息科技股份有限公司 </w:t>
      </w:r>
    </w:p>
    <w:p w14:paraId="6253D787">
      <w:pPr>
        <w:widowControl w:val="0"/>
        <w:spacing w:line="560" w:lineRule="exact"/>
        <w:jc w:val="both"/>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 xml:space="preserve">第二中标候选人：河南鑫众汇电子设备有限公司 </w:t>
      </w:r>
    </w:p>
    <w:p w14:paraId="0800C019">
      <w:pPr>
        <w:keepNext w:val="0"/>
        <w:keepLines w:val="0"/>
        <w:widowControl/>
        <w:suppressLineNumbers w:val="0"/>
        <w:jc w:val="left"/>
        <w:rPr>
          <w:rFonts w:hint="eastAsia"/>
          <w:lang w:val="en-US" w:eastAsia="zh-CN"/>
        </w:rPr>
      </w:pPr>
      <w:r>
        <w:rPr>
          <w:rFonts w:hint="eastAsia" w:eastAsia="仿宋_GB2312" w:asciiTheme="minorAscii" w:hAnsiTheme="minorAscii" w:cstheme="minorBidi"/>
          <w:kern w:val="2"/>
          <w:sz w:val="32"/>
          <w:szCs w:val="24"/>
          <w:lang w:val="en-US" w:eastAsia="zh-CN" w:bidi="ar-SA"/>
        </w:rPr>
        <w:t>第三中标候选人：河南江翰电子科技有限公司</w:t>
      </w:r>
    </w:p>
    <w:p w14:paraId="2C297855">
      <w:pPr>
        <w:rPr>
          <w:rFonts w:hint="eastAsia"/>
          <w:lang w:val="en-US" w:eastAsia="zh-CN"/>
        </w:rPr>
      </w:pPr>
      <w:r>
        <w:rPr>
          <w:rFonts w:hint="eastAsia"/>
          <w:lang w:val="en-US" w:eastAsia="zh-CN"/>
        </w:rPr>
        <w:t>采购人依法确定第一中标候选人为本项目中标人。</w:t>
      </w:r>
    </w:p>
    <w:p w14:paraId="24FF65CF">
      <w:pPr>
        <w:rPr>
          <w:rFonts w:hint="eastAsia"/>
          <w:lang w:val="en-US" w:eastAsia="zh-CN"/>
        </w:rPr>
      </w:pPr>
    </w:p>
    <w:p w14:paraId="4A39CCF9">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主要中标标的信息：</w:t>
      </w:r>
    </w:p>
    <w:tbl>
      <w:tblPr>
        <w:tblStyle w:val="9"/>
        <w:tblW w:w="45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941"/>
        <w:gridCol w:w="1389"/>
        <w:gridCol w:w="927"/>
        <w:gridCol w:w="1096"/>
        <w:gridCol w:w="1482"/>
      </w:tblGrid>
      <w:tr w14:paraId="149B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pct"/>
            <w:noWrap w:val="0"/>
            <w:vAlign w:val="center"/>
          </w:tcPr>
          <w:p w14:paraId="532A251C">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名称</w:t>
            </w:r>
          </w:p>
        </w:tc>
        <w:tc>
          <w:tcPr>
            <w:tcW w:w="605" w:type="pct"/>
            <w:noWrap w:val="0"/>
            <w:vAlign w:val="center"/>
          </w:tcPr>
          <w:p w14:paraId="3ADC12F2">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品牌</w:t>
            </w:r>
          </w:p>
        </w:tc>
        <w:tc>
          <w:tcPr>
            <w:tcW w:w="893" w:type="pct"/>
            <w:noWrap w:val="0"/>
            <w:vAlign w:val="center"/>
          </w:tcPr>
          <w:p w14:paraId="5C437C85">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规格型号</w:t>
            </w:r>
          </w:p>
        </w:tc>
        <w:tc>
          <w:tcPr>
            <w:tcW w:w="596" w:type="pct"/>
            <w:noWrap w:val="0"/>
            <w:vAlign w:val="center"/>
          </w:tcPr>
          <w:p w14:paraId="1EF321D4">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数量</w:t>
            </w:r>
          </w:p>
        </w:tc>
        <w:tc>
          <w:tcPr>
            <w:tcW w:w="705" w:type="pct"/>
            <w:noWrap w:val="0"/>
            <w:vAlign w:val="center"/>
          </w:tcPr>
          <w:p w14:paraId="5CDF86BF">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单位</w:t>
            </w:r>
          </w:p>
        </w:tc>
        <w:tc>
          <w:tcPr>
            <w:tcW w:w="953" w:type="pct"/>
            <w:noWrap w:val="0"/>
            <w:vAlign w:val="center"/>
          </w:tcPr>
          <w:p w14:paraId="6D24F4DF">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单价（元）</w:t>
            </w:r>
          </w:p>
        </w:tc>
      </w:tr>
      <w:tr w14:paraId="72BE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245" w:type="pct"/>
            <w:noWrap w:val="0"/>
            <w:vAlign w:val="center"/>
          </w:tcPr>
          <w:p w14:paraId="63697227">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五轴加工中心（核心产品）</w:t>
            </w:r>
          </w:p>
        </w:tc>
        <w:tc>
          <w:tcPr>
            <w:tcW w:w="605" w:type="pct"/>
            <w:noWrap w:val="0"/>
            <w:vAlign w:val="center"/>
          </w:tcPr>
          <w:p w14:paraId="4EAD2B75">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新贝斯特</w:t>
            </w:r>
          </w:p>
          <w:p w14:paraId="5B49A276">
            <w:pPr>
              <w:keepNext w:val="0"/>
              <w:keepLines w:val="0"/>
              <w:widowControl/>
              <w:suppressLineNumbers w:val="0"/>
              <w:jc w:val="center"/>
              <w:rPr>
                <w:rFonts w:hint="default" w:ascii="Times New Roman" w:hAnsi="Times New Roman" w:eastAsia="仿宋_GB2312" w:cs="Times New Roman"/>
                <w:sz w:val="30"/>
                <w:szCs w:val="30"/>
                <w:lang w:val="en-US" w:eastAsia="zh-CN"/>
              </w:rPr>
            </w:pPr>
          </w:p>
        </w:tc>
        <w:tc>
          <w:tcPr>
            <w:tcW w:w="893" w:type="pct"/>
            <w:noWrap w:val="0"/>
            <w:vAlign w:val="center"/>
          </w:tcPr>
          <w:p w14:paraId="69FDB540">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color w:val="000000"/>
                <w:kern w:val="0"/>
                <w:sz w:val="30"/>
                <w:szCs w:val="30"/>
                <w:lang w:val="en-US" w:eastAsia="zh-CN" w:bidi="ar"/>
              </w:rPr>
              <w:t>DV-650</w:t>
            </w:r>
          </w:p>
        </w:tc>
        <w:tc>
          <w:tcPr>
            <w:tcW w:w="596" w:type="pct"/>
            <w:noWrap w:val="0"/>
            <w:vAlign w:val="center"/>
          </w:tcPr>
          <w:p w14:paraId="54845DAD">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eastAsia" w:ascii="Times New Roman" w:hAnsi="Times New Roman" w:cs="Times New Roman"/>
                <w:sz w:val="30"/>
                <w:szCs w:val="30"/>
                <w:lang w:val="en-US" w:eastAsia="zh-CN"/>
              </w:rPr>
              <w:t>1</w:t>
            </w:r>
          </w:p>
        </w:tc>
        <w:tc>
          <w:tcPr>
            <w:tcW w:w="705" w:type="pct"/>
            <w:noWrap w:val="0"/>
            <w:vAlign w:val="center"/>
          </w:tcPr>
          <w:p w14:paraId="78308C0E">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eastAsia" w:ascii="Times New Roman" w:hAnsi="Times New Roman" w:cs="Times New Roman"/>
                <w:color w:val="000000"/>
                <w:kern w:val="0"/>
                <w:sz w:val="30"/>
                <w:szCs w:val="30"/>
                <w:lang w:val="en-US" w:eastAsia="zh-CN" w:bidi="ar"/>
              </w:rPr>
              <w:t>台</w:t>
            </w:r>
          </w:p>
        </w:tc>
        <w:tc>
          <w:tcPr>
            <w:tcW w:w="953" w:type="pct"/>
            <w:noWrap w:val="0"/>
            <w:vAlign w:val="center"/>
          </w:tcPr>
          <w:p w14:paraId="7CDA2E17">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color w:val="000000"/>
                <w:kern w:val="0"/>
                <w:sz w:val="30"/>
                <w:szCs w:val="30"/>
                <w:lang w:val="en-US" w:eastAsia="zh-CN" w:bidi="ar"/>
              </w:rPr>
              <w:t>2000000</w:t>
            </w:r>
          </w:p>
        </w:tc>
      </w:tr>
      <w:tr w14:paraId="39A1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245" w:type="pct"/>
            <w:noWrap w:val="0"/>
            <w:vAlign w:val="center"/>
          </w:tcPr>
          <w:p w14:paraId="053D6F41">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实验室智慧教学系统（核心</w:t>
            </w:r>
          </w:p>
          <w:p w14:paraId="224D43A5">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产品）</w:t>
            </w:r>
          </w:p>
        </w:tc>
        <w:tc>
          <w:tcPr>
            <w:tcW w:w="605" w:type="pct"/>
            <w:noWrap w:val="0"/>
            <w:vAlign w:val="center"/>
          </w:tcPr>
          <w:p w14:paraId="6CBE8EB5">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color w:val="000000"/>
                <w:kern w:val="0"/>
                <w:sz w:val="30"/>
                <w:szCs w:val="30"/>
                <w:lang w:val="en-US" w:eastAsia="zh-CN" w:bidi="ar"/>
              </w:rPr>
              <w:t>鸿合</w:t>
            </w:r>
          </w:p>
        </w:tc>
        <w:tc>
          <w:tcPr>
            <w:tcW w:w="893" w:type="pct"/>
            <w:noWrap w:val="0"/>
            <w:vAlign w:val="center"/>
          </w:tcPr>
          <w:p w14:paraId="5618C54E">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color w:val="000000"/>
                <w:kern w:val="0"/>
                <w:sz w:val="30"/>
                <w:szCs w:val="30"/>
                <w:lang w:val="en-US" w:eastAsia="zh-CN" w:bidi="ar"/>
              </w:rPr>
              <w:t>HB-C860F</w:t>
            </w:r>
          </w:p>
        </w:tc>
        <w:tc>
          <w:tcPr>
            <w:tcW w:w="596" w:type="pct"/>
            <w:noWrap w:val="0"/>
            <w:vAlign w:val="center"/>
          </w:tcPr>
          <w:p w14:paraId="6BE85AEE">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eastAsia" w:ascii="Times New Roman" w:hAnsi="Times New Roman" w:cs="Times New Roman"/>
                <w:sz w:val="30"/>
                <w:szCs w:val="30"/>
                <w:lang w:val="en-US" w:eastAsia="zh-CN"/>
              </w:rPr>
              <w:t>40</w:t>
            </w:r>
          </w:p>
        </w:tc>
        <w:tc>
          <w:tcPr>
            <w:tcW w:w="705" w:type="pct"/>
            <w:noWrap w:val="0"/>
            <w:vAlign w:val="center"/>
          </w:tcPr>
          <w:p w14:paraId="25604997">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eastAsia" w:ascii="Times New Roman" w:hAnsi="Times New Roman" w:cs="Times New Roman"/>
                <w:color w:val="000000"/>
                <w:kern w:val="0"/>
                <w:sz w:val="30"/>
                <w:szCs w:val="30"/>
                <w:lang w:val="en-US" w:eastAsia="zh-CN" w:bidi="ar"/>
              </w:rPr>
              <w:t>台</w:t>
            </w:r>
          </w:p>
        </w:tc>
        <w:tc>
          <w:tcPr>
            <w:tcW w:w="953" w:type="pct"/>
            <w:noWrap w:val="0"/>
            <w:vAlign w:val="center"/>
          </w:tcPr>
          <w:p w14:paraId="404A43E1">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color w:val="000000"/>
                <w:kern w:val="0"/>
                <w:sz w:val="30"/>
                <w:szCs w:val="30"/>
                <w:lang w:val="en-US" w:eastAsia="zh-CN" w:bidi="ar"/>
              </w:rPr>
              <w:t>23000</w:t>
            </w:r>
          </w:p>
        </w:tc>
      </w:tr>
    </w:tbl>
    <w:p w14:paraId="6BFE2CFD">
      <w:pPr>
        <w:rPr>
          <w:rFonts w:hint="default"/>
          <w:lang w:val="en-US" w:eastAsia="zh-CN"/>
        </w:rPr>
      </w:pPr>
    </w:p>
    <w:p w14:paraId="7BEE2E42">
      <w:pPr>
        <w:rPr>
          <w:rFonts w:hint="eastAsia"/>
          <w:lang w:val="en-US" w:eastAsia="zh-CN"/>
        </w:rPr>
      </w:pPr>
      <w:r>
        <w:rPr>
          <w:rFonts w:hint="eastAsia"/>
          <w:lang w:val="en-US" w:eastAsia="zh-CN"/>
        </w:rPr>
        <w:t>包2：</w:t>
      </w:r>
    </w:p>
    <w:p w14:paraId="1A063B07">
      <w:pPr>
        <w:rPr>
          <w:rFonts w:hint="default"/>
          <w:lang w:val="en-US" w:eastAsia="zh-CN"/>
        </w:rPr>
      </w:pPr>
      <w:r>
        <w:drawing>
          <wp:anchor distT="0" distB="0" distL="114300" distR="114300" simplePos="0" relativeHeight="251660288" behindDoc="0" locked="0" layoutInCell="1" allowOverlap="1">
            <wp:simplePos x="0" y="0"/>
            <wp:positionH relativeFrom="column">
              <wp:posOffset>-635</wp:posOffset>
            </wp:positionH>
            <wp:positionV relativeFrom="paragraph">
              <wp:posOffset>313055</wp:posOffset>
            </wp:positionV>
            <wp:extent cx="5271770" cy="1823720"/>
            <wp:effectExtent l="0" t="0" r="5080" b="508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71770" cy="1823720"/>
                    </a:xfrm>
                    <a:prstGeom prst="rect">
                      <a:avLst/>
                    </a:prstGeom>
                    <a:noFill/>
                    <a:ln>
                      <a:noFill/>
                    </a:ln>
                  </pic:spPr>
                </pic:pic>
              </a:graphicData>
            </a:graphic>
          </wp:anchor>
        </w:drawing>
      </w:r>
    </w:p>
    <w:p w14:paraId="19A5F07D">
      <w:pPr>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 xml:space="preserve">第一中标候选人：新乡翼铭教育科技有限公司 </w:t>
      </w:r>
    </w:p>
    <w:p w14:paraId="70DEC2DB">
      <w:pPr>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 xml:space="preserve">第二中标候选人：河南金心汇数码科技有限公司 </w:t>
      </w:r>
    </w:p>
    <w:p w14:paraId="08C87C0C">
      <w:pPr>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第三中标候选人：河南万溪数码科技有限公司</w:t>
      </w:r>
    </w:p>
    <w:p w14:paraId="2BEF5820">
      <w:pPr>
        <w:rPr>
          <w:rFonts w:hint="eastAsia"/>
          <w:lang w:val="en-US" w:eastAsia="zh-CN"/>
        </w:rPr>
      </w:pPr>
      <w:r>
        <w:rPr>
          <w:rFonts w:hint="eastAsia"/>
          <w:lang w:val="en-US" w:eastAsia="zh-CN"/>
        </w:rPr>
        <w:t>采购人依法确定第一中标候选人为本项目中标人。</w:t>
      </w:r>
    </w:p>
    <w:p w14:paraId="4755FE71">
      <w:pPr>
        <w:rPr>
          <w:rFonts w:hint="default"/>
          <w:lang w:val="en-US" w:eastAsia="zh-CN"/>
        </w:rPr>
      </w:pPr>
    </w:p>
    <w:p w14:paraId="6F5E48AE">
      <w:pPr>
        <w:rPr>
          <w:rFonts w:hint="eastAsia"/>
          <w:lang w:val="en-US" w:eastAsia="zh-CN"/>
        </w:rPr>
      </w:pPr>
      <w:r>
        <w:rPr>
          <w:rFonts w:hint="eastAsia"/>
          <w:lang w:val="en-US" w:eastAsia="zh-CN"/>
        </w:rPr>
        <w:t>郑州博汇精密科技有限公司不符合评审因素“投标文件应当完全响应招标文件专用部分第二章招标项目内容及要求中对应包商务要求”要求，符合性审查未通过。</w:t>
      </w:r>
    </w:p>
    <w:p w14:paraId="5A79240E">
      <w:pPr>
        <w:rPr>
          <w:rFonts w:hint="eastAsia"/>
          <w:lang w:val="en-US" w:eastAsia="zh-CN"/>
        </w:rPr>
      </w:pPr>
    </w:p>
    <w:p w14:paraId="74BDE662">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主要中标标的信息：</w:t>
      </w:r>
    </w:p>
    <w:tbl>
      <w:tblPr>
        <w:tblStyle w:val="9"/>
        <w:tblW w:w="45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941"/>
        <w:gridCol w:w="1437"/>
        <w:gridCol w:w="879"/>
        <w:gridCol w:w="1096"/>
        <w:gridCol w:w="1482"/>
      </w:tblGrid>
      <w:tr w14:paraId="2044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pct"/>
            <w:noWrap w:val="0"/>
            <w:vAlign w:val="center"/>
          </w:tcPr>
          <w:p w14:paraId="241B48C9">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名称</w:t>
            </w:r>
          </w:p>
        </w:tc>
        <w:tc>
          <w:tcPr>
            <w:tcW w:w="605" w:type="pct"/>
            <w:noWrap w:val="0"/>
            <w:vAlign w:val="center"/>
          </w:tcPr>
          <w:p w14:paraId="20EB68AD">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品牌</w:t>
            </w:r>
          </w:p>
        </w:tc>
        <w:tc>
          <w:tcPr>
            <w:tcW w:w="924" w:type="pct"/>
            <w:noWrap w:val="0"/>
            <w:vAlign w:val="center"/>
          </w:tcPr>
          <w:p w14:paraId="600321ED">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规格型号</w:t>
            </w:r>
          </w:p>
        </w:tc>
        <w:tc>
          <w:tcPr>
            <w:tcW w:w="565" w:type="pct"/>
            <w:noWrap w:val="0"/>
            <w:vAlign w:val="center"/>
          </w:tcPr>
          <w:p w14:paraId="46E815A3">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数量</w:t>
            </w:r>
          </w:p>
        </w:tc>
        <w:tc>
          <w:tcPr>
            <w:tcW w:w="705" w:type="pct"/>
            <w:noWrap w:val="0"/>
            <w:vAlign w:val="center"/>
          </w:tcPr>
          <w:p w14:paraId="1B477A5C">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单位</w:t>
            </w:r>
          </w:p>
        </w:tc>
        <w:tc>
          <w:tcPr>
            <w:tcW w:w="953" w:type="pct"/>
            <w:noWrap w:val="0"/>
            <w:vAlign w:val="center"/>
          </w:tcPr>
          <w:p w14:paraId="32B5C855">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单价（元）</w:t>
            </w:r>
          </w:p>
        </w:tc>
      </w:tr>
      <w:tr w14:paraId="7867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245" w:type="pct"/>
            <w:noWrap w:val="0"/>
            <w:vAlign w:val="center"/>
          </w:tcPr>
          <w:p w14:paraId="08222DB9">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大型离心机</w:t>
            </w:r>
          </w:p>
          <w:p w14:paraId="68C4C0A9">
            <w:pPr>
              <w:keepNext w:val="0"/>
              <w:keepLines w:val="0"/>
              <w:widowControl/>
              <w:suppressLineNumbers w:val="0"/>
              <w:jc w:val="center"/>
              <w:rPr>
                <w:rFonts w:hint="default" w:ascii="Times New Roman" w:hAnsi="Times New Roman" w:eastAsia="仿宋_GB2312" w:cs="Times New Roman"/>
                <w:sz w:val="30"/>
                <w:szCs w:val="30"/>
                <w:lang w:val="en-US" w:eastAsia="zh-CN"/>
              </w:rPr>
            </w:pPr>
          </w:p>
        </w:tc>
        <w:tc>
          <w:tcPr>
            <w:tcW w:w="605" w:type="pct"/>
            <w:noWrap w:val="0"/>
            <w:vAlign w:val="center"/>
          </w:tcPr>
          <w:p w14:paraId="4B0268F6">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赛默 </w:t>
            </w:r>
          </w:p>
          <w:p w14:paraId="288D5B92">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飞</w:t>
            </w:r>
          </w:p>
          <w:p w14:paraId="1B6D468E">
            <w:pPr>
              <w:keepNext w:val="0"/>
              <w:keepLines w:val="0"/>
              <w:widowControl/>
              <w:suppressLineNumbers w:val="0"/>
              <w:jc w:val="center"/>
              <w:rPr>
                <w:rFonts w:hint="default" w:ascii="Times New Roman" w:hAnsi="Times New Roman" w:eastAsia="仿宋_GB2312" w:cs="Times New Roman"/>
                <w:sz w:val="30"/>
                <w:szCs w:val="30"/>
                <w:lang w:val="en-US" w:eastAsia="zh-CN"/>
              </w:rPr>
            </w:pPr>
          </w:p>
        </w:tc>
        <w:tc>
          <w:tcPr>
            <w:tcW w:w="924" w:type="pct"/>
            <w:noWrap w:val="0"/>
            <w:vAlign w:val="center"/>
          </w:tcPr>
          <w:p w14:paraId="0355C273">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Sorvall </w:t>
            </w:r>
          </w:p>
          <w:p w14:paraId="1DE2A0F5">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Lynx 6000</w:t>
            </w:r>
          </w:p>
        </w:tc>
        <w:tc>
          <w:tcPr>
            <w:tcW w:w="565" w:type="pct"/>
            <w:noWrap w:val="0"/>
            <w:vAlign w:val="center"/>
          </w:tcPr>
          <w:p w14:paraId="2DBB2E2D">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eastAsia" w:ascii="Times New Roman" w:hAnsi="Times New Roman" w:cs="Times New Roman"/>
                <w:sz w:val="30"/>
                <w:szCs w:val="30"/>
                <w:lang w:val="en-US" w:eastAsia="zh-CN"/>
              </w:rPr>
              <w:t>1</w:t>
            </w:r>
          </w:p>
        </w:tc>
        <w:tc>
          <w:tcPr>
            <w:tcW w:w="705" w:type="pct"/>
            <w:noWrap w:val="0"/>
            <w:vAlign w:val="center"/>
          </w:tcPr>
          <w:p w14:paraId="1FF9EF54">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eastAsia" w:ascii="Times New Roman" w:hAnsi="Times New Roman" w:cs="Times New Roman"/>
                <w:sz w:val="30"/>
                <w:szCs w:val="30"/>
                <w:lang w:val="en-US" w:eastAsia="zh-CN"/>
              </w:rPr>
              <w:t>台</w:t>
            </w:r>
          </w:p>
        </w:tc>
        <w:tc>
          <w:tcPr>
            <w:tcW w:w="953" w:type="pct"/>
            <w:noWrap w:val="0"/>
            <w:vAlign w:val="center"/>
          </w:tcPr>
          <w:p w14:paraId="71110650">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499000</w:t>
            </w:r>
          </w:p>
        </w:tc>
      </w:tr>
      <w:tr w14:paraId="76FB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245" w:type="pct"/>
            <w:noWrap w:val="0"/>
            <w:vAlign w:val="center"/>
          </w:tcPr>
          <w:p w14:paraId="4B56E240">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蛋白纯化系</w:t>
            </w:r>
          </w:p>
          <w:p w14:paraId="1DC43F7B">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统</w:t>
            </w:r>
          </w:p>
        </w:tc>
        <w:tc>
          <w:tcPr>
            <w:tcW w:w="605" w:type="pct"/>
            <w:noWrap w:val="0"/>
            <w:vAlign w:val="center"/>
          </w:tcPr>
          <w:p w14:paraId="763945A0">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泰渡</w:t>
            </w:r>
          </w:p>
          <w:p w14:paraId="2E72E47D">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生物</w:t>
            </w:r>
          </w:p>
        </w:tc>
        <w:tc>
          <w:tcPr>
            <w:tcW w:w="924" w:type="pct"/>
            <w:noWrap w:val="0"/>
            <w:vAlign w:val="center"/>
          </w:tcPr>
          <w:p w14:paraId="79722120">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ACHROM</w:t>
            </w:r>
          </w:p>
          <w:p w14:paraId="4811806F">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Firin Plus</w:t>
            </w:r>
          </w:p>
          <w:p w14:paraId="57720EC0">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36</w:t>
            </w:r>
            <w:r>
              <w:rPr>
                <w:rFonts w:hint="eastAsia" w:ascii="Times New Roman" w:hAnsi="Times New Roman" w:cs="Times New Roman"/>
                <w:sz w:val="30"/>
                <w:szCs w:val="30"/>
                <w:lang w:val="en-US" w:eastAsia="zh-CN"/>
              </w:rPr>
              <w:t>M</w:t>
            </w:r>
          </w:p>
        </w:tc>
        <w:tc>
          <w:tcPr>
            <w:tcW w:w="565" w:type="pct"/>
            <w:noWrap w:val="0"/>
            <w:vAlign w:val="center"/>
          </w:tcPr>
          <w:p w14:paraId="062AEFA8">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eastAsia" w:ascii="Times New Roman" w:hAnsi="Times New Roman" w:cs="Times New Roman"/>
                <w:sz w:val="30"/>
                <w:szCs w:val="30"/>
                <w:lang w:val="en-US" w:eastAsia="zh-CN"/>
              </w:rPr>
              <w:t>1</w:t>
            </w:r>
          </w:p>
        </w:tc>
        <w:tc>
          <w:tcPr>
            <w:tcW w:w="705" w:type="pct"/>
            <w:noWrap w:val="0"/>
            <w:vAlign w:val="center"/>
          </w:tcPr>
          <w:p w14:paraId="232773BF">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eastAsia" w:ascii="Times New Roman" w:hAnsi="Times New Roman" w:cs="Times New Roman"/>
                <w:sz w:val="30"/>
                <w:szCs w:val="30"/>
                <w:lang w:val="en-US" w:eastAsia="zh-CN"/>
              </w:rPr>
              <w:t>台</w:t>
            </w:r>
          </w:p>
        </w:tc>
        <w:tc>
          <w:tcPr>
            <w:tcW w:w="953" w:type="pct"/>
            <w:noWrap w:val="0"/>
            <w:vAlign w:val="center"/>
          </w:tcPr>
          <w:p w14:paraId="72EEDA7B">
            <w:pPr>
              <w:keepNext w:val="0"/>
              <w:keepLines w:val="0"/>
              <w:widowControl/>
              <w:suppressLineNumbers w:val="0"/>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698000</w:t>
            </w:r>
          </w:p>
        </w:tc>
      </w:tr>
    </w:tbl>
    <w:p w14:paraId="14F0E52E">
      <w:pPr>
        <w:rPr>
          <w:rFonts w:hint="default"/>
          <w:lang w:val="en-US" w:eastAsia="zh-CN"/>
        </w:rPr>
      </w:pPr>
    </w:p>
    <w:p w14:paraId="300071F2">
      <w:pPr>
        <w:rPr>
          <w:rFonts w:hint="default"/>
          <w:lang w:val="en-US" w:eastAsia="zh-CN"/>
        </w:rPr>
      </w:pPr>
    </w:p>
    <w:p w14:paraId="56D6C04A">
      <w:pPr>
        <w:rPr>
          <w:rFonts w:hint="default"/>
          <w:lang w:val="en-US" w:eastAsia="zh-CN"/>
        </w:rPr>
      </w:pPr>
      <w:bookmarkStart w:id="0" w:name="_GoBack"/>
      <w:bookmarkEnd w:id="0"/>
    </w:p>
    <w:p w14:paraId="0A05B3D3">
      <w:pPr>
        <w:rPr>
          <w:rFonts w:hint="default" w:ascii="Times New Roman" w:hAnsi="Times New Roman" w:eastAsia="仿宋_GB2312" w:cs="Times New Roman"/>
          <w:sz w:val="30"/>
          <w:szCs w:val="30"/>
          <w:lang w:val="en-US" w:eastAsia="zh-CN"/>
        </w:rPr>
      </w:pPr>
    </w:p>
    <w:p w14:paraId="7B8282BA">
      <w:pPr>
        <w:rPr>
          <w:rFonts w:hint="default"/>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CBB1D">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FA703">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DFA703">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B5B54"/>
    <w:rsid w:val="1980492F"/>
    <w:rsid w:val="1CFD4D4B"/>
    <w:rsid w:val="45DF550E"/>
    <w:rsid w:val="4657593E"/>
    <w:rsid w:val="4B7A0DE4"/>
    <w:rsid w:val="628717A9"/>
    <w:rsid w:val="64E03399"/>
    <w:rsid w:val="77525D78"/>
    <w:rsid w:val="79B23F06"/>
    <w:rsid w:val="7EBB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paragraph" w:styleId="2">
    <w:name w:val="heading 2"/>
    <w:basedOn w:val="1"/>
    <w:next w:val="1"/>
    <w:link w:val="11"/>
    <w:semiHidden/>
    <w:unhideWhenUsed/>
    <w:qFormat/>
    <w:uiPriority w:val="0"/>
    <w:pPr>
      <w:keepNext/>
      <w:keepLines/>
      <w:spacing w:before="260" w:beforeLines="0" w:after="260" w:afterLines="0" w:line="560" w:lineRule="exact"/>
      <w:jc w:val="center"/>
      <w:outlineLvl w:val="1"/>
    </w:pPr>
    <w:rPr>
      <w:rFonts w:ascii="宋体" w:hAnsi="宋体" w:eastAsia="宋体" w:cs="宋体"/>
      <w:b/>
      <w:bCs/>
      <w:color w:val="auto"/>
      <w:sz w:val="28"/>
      <w:highlight w:val="none"/>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jc w:val="left"/>
      <w:outlineLvl w:val="2"/>
    </w:pPr>
    <w:rPr>
      <w:rFonts w:eastAsia="楷体_GB2312"/>
      <w:b/>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c 8"/>
    <w:basedOn w:val="1"/>
    <w:next w:val="1"/>
    <w:qFormat/>
    <w:uiPriority w:val="0"/>
    <w:pPr>
      <w:ind w:left="2940" w:leftChars="1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4"/>
    <w:qFormat/>
    <w:uiPriority w:val="0"/>
    <w:pPr>
      <w:widowControl/>
      <w:spacing w:line="570" w:lineRule="atLeast"/>
      <w:ind w:firstLine="640" w:firstLineChars="200"/>
    </w:pPr>
    <w:rPr>
      <w:rFonts w:ascii="Times New Roman" w:hAnsi="Times New Roman" w:eastAsia="仿宋_GB2312" w:cs="Times New Roman"/>
      <w:color w:val="333333"/>
      <w:kern w:val="0"/>
      <w:sz w:val="32"/>
      <w:szCs w:val="32"/>
      <w:shd w:val="clear" w:color="auto" w:fill="FFFFFF"/>
      <w:lang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Char"/>
    <w:link w:val="2"/>
    <w:qFormat/>
    <w:uiPriority w:val="0"/>
    <w:rPr>
      <w:rFonts w:ascii="宋体" w:hAnsi="宋体" w:eastAsia="宋体" w:cs="宋体"/>
      <w:b/>
      <w:bCs/>
      <w:color w:val="auto"/>
      <w:kern w:val="2"/>
      <w:sz w:val="28"/>
      <w:szCs w:val="24"/>
      <w:highlight w:val="no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Words>
  <Characters>306</Characters>
  <Lines>0</Lines>
  <Paragraphs>0</Paragraphs>
  <TotalTime>14</TotalTime>
  <ScaleCrop>false</ScaleCrop>
  <LinksUpToDate>false</LinksUpToDate>
  <CharactersWithSpaces>311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2024-12-13T00:07:00Z</dcterms:created>
  <dc:creator>PC</dc:creator>
  <cp:lastModifiedBy>Dove Is Bitter</cp:lastModifiedBy>
  <dcterms:modified xsi:type="dcterms:W3CDTF">2025-08-29T11:07:17Z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FD791934D07641B8A86D77435DE0B448_12</vt:lpwstr>
  </property>
  <property fmtid="{D5CDD505-2E9C-101B-9397-08002B2CF9AE}" pid="4" name="KSOTemplateDocerSaveRecord">
    <vt:lpwstr>eyJoZGlkIjoiMjBiOTIxNGNkZmQzYzU4YzBiYzY3MDg0MDU4MDNmZGIiLCJ1c2VySWQiOiI5NzU1MjU1NDUifQ==</vt:lpwstr>
  </property>
</Properties>
</file>