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DA8CA">
      <w:pPr>
        <w:pStyle w:val="3"/>
        <w:tabs>
          <w:tab w:val="left" w:pos="0"/>
        </w:tabs>
        <w:autoSpaceDE w:val="0"/>
        <w:autoSpaceDN w:val="0"/>
        <w:adjustRightInd w:val="0"/>
        <w:spacing w:before="0" w:after="0" w:line="480" w:lineRule="auto"/>
        <w:jc w:val="center"/>
        <w:rPr>
          <w:rFonts w:hint="eastAsia" w:asciiTheme="majorEastAsia" w:hAnsiTheme="majorEastAsia" w:eastAsiaTheme="majorEastAsia" w:cstheme="majorEastAsia"/>
          <w:sz w:val="28"/>
          <w:szCs w:val="28"/>
          <w:lang w:eastAsia="zh-CN"/>
        </w:rPr>
      </w:pPr>
      <w:bookmarkStart w:id="0" w:name="_Toc35393809"/>
      <w:bookmarkStart w:id="1" w:name="_Toc28359022"/>
      <w:r>
        <w:rPr>
          <w:rFonts w:hint="eastAsia" w:asciiTheme="majorEastAsia" w:hAnsiTheme="majorEastAsia" w:eastAsiaTheme="majorEastAsia" w:cstheme="majorEastAsia"/>
          <w:sz w:val="28"/>
          <w:szCs w:val="28"/>
          <w:lang w:eastAsia="zh-CN"/>
        </w:rPr>
        <w:t>《诗经淇河》图书编纂项目</w:t>
      </w:r>
    </w:p>
    <w:p w14:paraId="58A5179E">
      <w:pPr>
        <w:pStyle w:val="3"/>
        <w:tabs>
          <w:tab w:val="left" w:pos="0"/>
        </w:tabs>
        <w:autoSpaceDE w:val="0"/>
        <w:autoSpaceDN w:val="0"/>
        <w:adjustRightInd w:val="0"/>
        <w:spacing w:before="0" w:after="0" w:line="480"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成交结果公告</w:t>
      </w:r>
      <w:bookmarkEnd w:id="0"/>
      <w:bookmarkEnd w:id="1"/>
    </w:p>
    <w:p w14:paraId="3E97925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一、</w:t>
      </w:r>
      <w:r>
        <w:rPr>
          <w:rFonts w:hint="eastAsia" w:asciiTheme="majorEastAsia" w:hAnsiTheme="majorEastAsia" w:eastAsiaTheme="majorEastAsia" w:cstheme="majorEastAsia"/>
          <w:sz w:val="21"/>
          <w:szCs w:val="21"/>
          <w:lang w:eastAsia="zh-CN"/>
        </w:rPr>
        <w:t>项目基本情况</w:t>
      </w:r>
    </w:p>
    <w:p w14:paraId="1A472DC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1、采购</w:t>
      </w:r>
      <w:r>
        <w:rPr>
          <w:rFonts w:hint="eastAsia" w:asciiTheme="majorEastAsia" w:hAnsiTheme="majorEastAsia" w:eastAsiaTheme="majorEastAsia" w:cstheme="majorEastAsia"/>
          <w:sz w:val="21"/>
          <w:szCs w:val="21"/>
        </w:rPr>
        <w:t xml:space="preserve">项目编号：鹤财磋商采购-2025-5 </w:t>
      </w:r>
      <w:r>
        <w:rPr>
          <w:rFonts w:hint="eastAsia" w:asciiTheme="majorEastAsia" w:hAnsiTheme="majorEastAsia" w:eastAsiaTheme="majorEastAsia" w:cstheme="majorEastAsia"/>
          <w:sz w:val="21"/>
          <w:szCs w:val="21"/>
          <w:lang w:eastAsia="zh-CN"/>
        </w:rPr>
        <w:t xml:space="preserve"> </w:t>
      </w:r>
    </w:p>
    <w:p w14:paraId="47319D2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2、采购</w:t>
      </w:r>
      <w:r>
        <w:rPr>
          <w:rFonts w:hint="eastAsia" w:asciiTheme="majorEastAsia" w:hAnsiTheme="majorEastAsia" w:eastAsiaTheme="majorEastAsia" w:cstheme="majorEastAsia"/>
          <w:sz w:val="21"/>
          <w:szCs w:val="21"/>
        </w:rPr>
        <w:t>项目名称：</w:t>
      </w:r>
      <w:r>
        <w:rPr>
          <w:rFonts w:hint="eastAsia" w:asciiTheme="majorEastAsia" w:hAnsiTheme="majorEastAsia" w:eastAsiaTheme="majorEastAsia" w:cstheme="majorEastAsia"/>
          <w:sz w:val="21"/>
          <w:szCs w:val="21"/>
          <w:lang w:eastAsia="zh-CN"/>
        </w:rPr>
        <w:t>《诗经淇河》图书编纂项目</w:t>
      </w:r>
    </w:p>
    <w:p w14:paraId="46B6EE6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lang w:eastAsia="zh-CN"/>
        </w:rPr>
        <w:t>采购方式：竞争性磋商</w:t>
      </w:r>
    </w:p>
    <w:p w14:paraId="4E5DA74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lang w:eastAsia="zh-CN"/>
        </w:rPr>
        <w:t>采购公告发布</w:t>
      </w:r>
      <w:r>
        <w:rPr>
          <w:rFonts w:hint="eastAsia" w:asciiTheme="majorEastAsia" w:hAnsiTheme="majorEastAsia" w:eastAsiaTheme="majorEastAsia" w:cstheme="majorEastAsia"/>
          <w:color w:val="auto"/>
          <w:sz w:val="21"/>
          <w:szCs w:val="21"/>
          <w:lang w:eastAsia="zh-CN"/>
        </w:rPr>
        <w:t>日期：202</w:t>
      </w:r>
      <w:r>
        <w:rPr>
          <w:rFonts w:hint="eastAsia" w:asciiTheme="majorEastAsia" w:hAnsiTheme="majorEastAsia" w:eastAsiaTheme="majorEastAsia" w:cstheme="majorEastAsia"/>
          <w:color w:val="auto"/>
          <w:sz w:val="21"/>
          <w:szCs w:val="21"/>
          <w:lang w:val="en-US" w:eastAsia="zh-CN"/>
        </w:rPr>
        <w:t>5</w:t>
      </w:r>
      <w:r>
        <w:rPr>
          <w:rFonts w:hint="eastAsia" w:asciiTheme="majorEastAsia" w:hAnsiTheme="majorEastAsia" w:eastAsiaTheme="majorEastAsia" w:cstheme="majorEastAsia"/>
          <w:color w:val="auto"/>
          <w:sz w:val="21"/>
          <w:szCs w:val="21"/>
          <w:lang w:eastAsia="zh-CN"/>
        </w:rPr>
        <w:t>年</w:t>
      </w:r>
      <w:r>
        <w:rPr>
          <w:rFonts w:hint="eastAsia" w:asciiTheme="majorEastAsia" w:hAnsiTheme="majorEastAsia" w:eastAsiaTheme="majorEastAsia" w:cstheme="majorEastAsia"/>
          <w:color w:val="auto"/>
          <w:sz w:val="21"/>
          <w:szCs w:val="21"/>
          <w:lang w:val="en-US" w:eastAsia="zh-CN"/>
        </w:rPr>
        <w:t>2</w:t>
      </w:r>
      <w:r>
        <w:rPr>
          <w:rFonts w:hint="eastAsia" w:asciiTheme="majorEastAsia" w:hAnsiTheme="majorEastAsia" w:eastAsiaTheme="majorEastAsia" w:cstheme="majorEastAsia"/>
          <w:color w:val="auto"/>
          <w:sz w:val="21"/>
          <w:szCs w:val="21"/>
          <w:lang w:eastAsia="zh-CN"/>
        </w:rPr>
        <w:t>月</w:t>
      </w:r>
      <w:r>
        <w:rPr>
          <w:rFonts w:hint="eastAsia" w:asciiTheme="majorEastAsia" w:hAnsiTheme="majorEastAsia" w:eastAsiaTheme="majorEastAsia" w:cstheme="majorEastAsia"/>
          <w:color w:val="auto"/>
          <w:sz w:val="21"/>
          <w:szCs w:val="21"/>
          <w:lang w:val="en-US" w:eastAsia="zh-CN"/>
        </w:rPr>
        <w:t>7</w:t>
      </w:r>
      <w:r>
        <w:rPr>
          <w:rFonts w:hint="eastAsia" w:asciiTheme="majorEastAsia" w:hAnsiTheme="majorEastAsia" w:eastAsiaTheme="majorEastAsia" w:cstheme="majorEastAsia"/>
          <w:color w:val="auto"/>
          <w:sz w:val="21"/>
          <w:szCs w:val="21"/>
          <w:lang w:eastAsia="zh-CN"/>
        </w:rPr>
        <w:t>日</w:t>
      </w:r>
    </w:p>
    <w:p w14:paraId="3DA9185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lang w:eastAsia="zh-CN"/>
        </w:rPr>
        <w:t>评审日期：202</w:t>
      </w: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lang w:eastAsia="zh-CN"/>
        </w:rPr>
        <w:t>年</w:t>
      </w: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lang w:eastAsia="zh-CN"/>
        </w:rPr>
        <w:t>月</w:t>
      </w:r>
      <w:r>
        <w:rPr>
          <w:rFonts w:hint="eastAsia" w:asciiTheme="majorEastAsia" w:hAnsiTheme="majorEastAsia" w:eastAsiaTheme="majorEastAsia" w:cstheme="majorEastAsia"/>
          <w:sz w:val="21"/>
          <w:szCs w:val="21"/>
          <w:lang w:val="en-US" w:eastAsia="zh-CN"/>
        </w:rPr>
        <w:t>24</w:t>
      </w:r>
      <w:r>
        <w:rPr>
          <w:rFonts w:hint="eastAsia" w:asciiTheme="majorEastAsia" w:hAnsiTheme="majorEastAsia" w:eastAsiaTheme="majorEastAsia" w:cstheme="majorEastAsia"/>
          <w:sz w:val="21"/>
          <w:szCs w:val="21"/>
          <w:lang w:eastAsia="zh-CN"/>
        </w:rPr>
        <w:t>日</w:t>
      </w:r>
    </w:p>
    <w:p w14:paraId="68B8420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二</w:t>
      </w:r>
      <w:r>
        <w:rPr>
          <w:rFonts w:hint="eastAsia" w:asciiTheme="majorEastAsia" w:hAnsiTheme="majorEastAsia" w:eastAsiaTheme="majorEastAsia" w:cstheme="majorEastAsia"/>
          <w:sz w:val="21"/>
          <w:szCs w:val="21"/>
        </w:rPr>
        <w:t>、成交</w:t>
      </w:r>
      <w:r>
        <w:rPr>
          <w:rFonts w:hint="eastAsia" w:asciiTheme="majorEastAsia" w:hAnsiTheme="majorEastAsia" w:eastAsiaTheme="majorEastAsia" w:cstheme="majorEastAsia"/>
          <w:sz w:val="21"/>
          <w:szCs w:val="21"/>
          <w:lang w:eastAsia="zh-CN"/>
        </w:rPr>
        <w:t>情况</w:t>
      </w:r>
    </w:p>
    <w:p w14:paraId="02B65337">
      <w:pPr>
        <w:rPr>
          <w:rFonts w:hint="eastAsia" w:asciiTheme="majorEastAsia" w:hAnsiTheme="majorEastAsia" w:eastAsiaTheme="majorEastAsia" w:cstheme="majorEastAsia"/>
          <w:sz w:val="21"/>
          <w:szCs w:val="21"/>
          <w:lang w:eastAsia="zh-CN"/>
        </w:rPr>
      </w:pPr>
    </w:p>
    <w:tbl>
      <w:tblPr>
        <w:tblStyle w:val="13"/>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705"/>
        <w:gridCol w:w="1571"/>
        <w:gridCol w:w="1548"/>
        <w:gridCol w:w="1500"/>
        <w:gridCol w:w="1267"/>
        <w:gridCol w:w="2202"/>
      </w:tblGrid>
      <w:tr w14:paraId="70286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83" w:type="dxa"/>
            <w:vAlign w:val="center"/>
          </w:tcPr>
          <w:p w14:paraId="56FE5E2A">
            <w:pPr>
              <w:spacing w:line="408"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包号</w:t>
            </w:r>
          </w:p>
        </w:tc>
        <w:tc>
          <w:tcPr>
            <w:tcW w:w="2276" w:type="dxa"/>
            <w:gridSpan w:val="2"/>
            <w:vAlign w:val="center"/>
          </w:tcPr>
          <w:p w14:paraId="6674FF23">
            <w:pPr>
              <w:spacing w:line="408"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采购内容</w:t>
            </w:r>
          </w:p>
        </w:tc>
        <w:tc>
          <w:tcPr>
            <w:tcW w:w="1548" w:type="dxa"/>
            <w:vAlign w:val="center"/>
          </w:tcPr>
          <w:p w14:paraId="115001BF">
            <w:pPr>
              <w:spacing w:line="408" w:lineRule="auto"/>
              <w:jc w:val="center"/>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供应商名称</w:t>
            </w:r>
          </w:p>
        </w:tc>
        <w:tc>
          <w:tcPr>
            <w:tcW w:w="1500" w:type="dxa"/>
            <w:vAlign w:val="center"/>
          </w:tcPr>
          <w:p w14:paraId="1132C9D5">
            <w:pPr>
              <w:spacing w:line="408" w:lineRule="auto"/>
              <w:jc w:val="center"/>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地址</w:t>
            </w:r>
          </w:p>
        </w:tc>
        <w:tc>
          <w:tcPr>
            <w:tcW w:w="1267" w:type="dxa"/>
            <w:vAlign w:val="center"/>
          </w:tcPr>
          <w:p w14:paraId="0E54D9D7">
            <w:pPr>
              <w:spacing w:line="408" w:lineRule="auto"/>
              <w:jc w:val="center"/>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中标金额</w:t>
            </w:r>
          </w:p>
        </w:tc>
        <w:tc>
          <w:tcPr>
            <w:tcW w:w="2202" w:type="dxa"/>
            <w:vAlign w:val="center"/>
          </w:tcPr>
          <w:p w14:paraId="2A946E46">
            <w:pPr>
              <w:spacing w:line="408" w:lineRule="auto"/>
              <w:jc w:val="center"/>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单位</w:t>
            </w:r>
          </w:p>
        </w:tc>
      </w:tr>
      <w:tr w14:paraId="33002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883" w:type="dxa"/>
            <w:vMerge w:val="restart"/>
            <w:vAlign w:val="center"/>
          </w:tcPr>
          <w:p w14:paraId="6F43FBBB">
            <w:pPr>
              <w:pStyle w:val="11"/>
              <w:ind w:left="0" w:leftChars="0" w:firstLine="0" w:firstLineChars="0"/>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HBCG-2025-0050-01</w:t>
            </w:r>
          </w:p>
        </w:tc>
        <w:tc>
          <w:tcPr>
            <w:tcW w:w="2276" w:type="dxa"/>
            <w:gridSpan w:val="2"/>
            <w:vAlign w:val="center"/>
          </w:tcPr>
          <w:p w14:paraId="4B8AC8C0">
            <w:pPr>
              <w:jc w:val="center"/>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《诗经淇河》图书编纂项目</w:t>
            </w:r>
          </w:p>
        </w:tc>
        <w:tc>
          <w:tcPr>
            <w:tcW w:w="1548" w:type="dxa"/>
            <w:vAlign w:val="center"/>
          </w:tcPr>
          <w:p w14:paraId="404BEEE5">
            <w:pPr>
              <w:jc w:val="center"/>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河南博之雅印务有限公司</w:t>
            </w:r>
          </w:p>
        </w:tc>
        <w:tc>
          <w:tcPr>
            <w:tcW w:w="1500" w:type="dxa"/>
            <w:vAlign w:val="center"/>
          </w:tcPr>
          <w:p w14:paraId="371E061C">
            <w:pPr>
              <w:jc w:val="center"/>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 xml:space="preserve">河南省新乡市平原示范区岷江路与天山路交汇处向东20米A1栋 </w:t>
            </w:r>
          </w:p>
        </w:tc>
        <w:tc>
          <w:tcPr>
            <w:tcW w:w="1267" w:type="dxa"/>
            <w:vAlign w:val="center"/>
          </w:tcPr>
          <w:p w14:paraId="60BEDC37">
            <w:pPr>
              <w:jc w:val="center"/>
              <w:rPr>
                <w:rFonts w:hint="default" w:asciiTheme="majorEastAsia" w:hAnsiTheme="majorEastAsia" w:eastAsiaTheme="majorEastAsia" w:cstheme="majorEastAsia"/>
                <w:highlight w:val="none"/>
                <w:lang w:val="en-US" w:eastAsia="zh-CN"/>
              </w:rPr>
            </w:pPr>
            <w:r>
              <w:rPr>
                <w:rFonts w:hint="default" w:asciiTheme="majorEastAsia" w:hAnsiTheme="majorEastAsia" w:eastAsiaTheme="majorEastAsia" w:cstheme="majorEastAsia"/>
                <w:highlight w:val="none"/>
                <w:lang w:val="en-US" w:eastAsia="zh-CN"/>
              </w:rPr>
              <w:t xml:space="preserve">848000.00 </w:t>
            </w:r>
          </w:p>
        </w:tc>
        <w:tc>
          <w:tcPr>
            <w:tcW w:w="2202" w:type="dxa"/>
            <w:vAlign w:val="center"/>
          </w:tcPr>
          <w:p w14:paraId="78ABA1A2">
            <w:pPr>
              <w:jc w:val="center"/>
              <w:rPr>
                <w:rFonts w:hint="eastAsia" w:asciiTheme="majorEastAsia" w:hAnsiTheme="majorEastAsia" w:eastAsiaTheme="majorEastAsia" w:cstheme="majorEastAsia"/>
                <w:highlight w:val="none"/>
                <w:lang w:eastAsia="zh-CN"/>
              </w:rPr>
            </w:pPr>
            <w:r>
              <w:rPr>
                <w:rFonts w:hint="eastAsia" w:asciiTheme="majorEastAsia" w:hAnsiTheme="majorEastAsia" w:eastAsiaTheme="majorEastAsia" w:cstheme="majorEastAsia"/>
                <w:highlight w:val="none"/>
                <w:lang w:eastAsia="zh-CN"/>
              </w:rPr>
              <w:t>元</w:t>
            </w:r>
          </w:p>
        </w:tc>
      </w:tr>
      <w:tr w14:paraId="20DBC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83" w:type="dxa"/>
            <w:vMerge w:val="continue"/>
            <w:vAlign w:val="center"/>
          </w:tcPr>
          <w:p w14:paraId="642DE4BE">
            <w:pPr>
              <w:spacing w:line="408" w:lineRule="auto"/>
              <w:jc w:val="center"/>
              <w:rPr>
                <w:rFonts w:asciiTheme="majorEastAsia" w:hAnsiTheme="majorEastAsia" w:eastAsiaTheme="majorEastAsia" w:cstheme="majorEastAsia"/>
              </w:rPr>
            </w:pPr>
          </w:p>
        </w:tc>
        <w:tc>
          <w:tcPr>
            <w:tcW w:w="705" w:type="dxa"/>
            <w:vAlign w:val="center"/>
          </w:tcPr>
          <w:p w14:paraId="3B00A5C7">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序号</w:t>
            </w:r>
          </w:p>
        </w:tc>
        <w:tc>
          <w:tcPr>
            <w:tcW w:w="1571" w:type="dxa"/>
            <w:vAlign w:val="center"/>
          </w:tcPr>
          <w:p w14:paraId="5BA0D0B1">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名称</w:t>
            </w:r>
          </w:p>
        </w:tc>
        <w:tc>
          <w:tcPr>
            <w:tcW w:w="1548" w:type="dxa"/>
            <w:vAlign w:val="center"/>
          </w:tcPr>
          <w:p w14:paraId="20A31A9C">
            <w:pPr>
              <w:jc w:val="center"/>
              <w:rPr>
                <w:rFonts w:hint="eastAsia" w:asciiTheme="majorEastAsia" w:hAnsiTheme="majorEastAsia" w:eastAsiaTheme="majorEastAsia" w:cstheme="majorEastAsia"/>
                <w:highlight w:val="none"/>
                <w:lang w:eastAsia="zh-CN"/>
              </w:rPr>
            </w:pPr>
            <w:r>
              <w:rPr>
                <w:rFonts w:hint="eastAsia" w:asciiTheme="majorEastAsia" w:hAnsiTheme="majorEastAsia" w:eastAsiaTheme="majorEastAsia" w:cstheme="majorEastAsia"/>
                <w:highlight w:val="none"/>
                <w:lang w:eastAsia="zh-CN"/>
              </w:rPr>
              <w:t>服务范围</w:t>
            </w:r>
          </w:p>
        </w:tc>
        <w:tc>
          <w:tcPr>
            <w:tcW w:w="1500" w:type="dxa"/>
            <w:vAlign w:val="center"/>
          </w:tcPr>
          <w:p w14:paraId="6E66EB17">
            <w:pPr>
              <w:jc w:val="center"/>
              <w:rPr>
                <w:rFonts w:hint="eastAsia" w:asciiTheme="majorEastAsia" w:hAnsiTheme="majorEastAsia" w:eastAsiaTheme="majorEastAsia" w:cstheme="majorEastAsia"/>
                <w:highlight w:val="none"/>
                <w:lang w:eastAsia="zh-CN"/>
              </w:rPr>
            </w:pPr>
            <w:r>
              <w:rPr>
                <w:rFonts w:hint="eastAsia" w:asciiTheme="majorEastAsia" w:hAnsiTheme="majorEastAsia" w:eastAsiaTheme="majorEastAsia" w:cstheme="majorEastAsia"/>
                <w:highlight w:val="none"/>
                <w:lang w:eastAsia="zh-CN"/>
              </w:rPr>
              <w:t>服务要求</w:t>
            </w:r>
          </w:p>
        </w:tc>
        <w:tc>
          <w:tcPr>
            <w:tcW w:w="1267" w:type="dxa"/>
            <w:vAlign w:val="center"/>
          </w:tcPr>
          <w:p w14:paraId="455FB909">
            <w:pPr>
              <w:jc w:val="center"/>
              <w:rPr>
                <w:rFonts w:hint="eastAsia" w:asciiTheme="majorEastAsia" w:hAnsiTheme="majorEastAsia" w:eastAsiaTheme="majorEastAsia" w:cstheme="majorEastAsia"/>
                <w:highlight w:val="none"/>
                <w:lang w:eastAsia="zh-CN"/>
              </w:rPr>
            </w:pPr>
            <w:r>
              <w:rPr>
                <w:rFonts w:hint="eastAsia" w:asciiTheme="majorEastAsia" w:hAnsiTheme="majorEastAsia" w:eastAsiaTheme="majorEastAsia" w:cstheme="majorEastAsia"/>
                <w:highlight w:val="none"/>
                <w:lang w:eastAsia="zh-CN"/>
              </w:rPr>
              <w:t>服务时间</w:t>
            </w:r>
          </w:p>
        </w:tc>
        <w:tc>
          <w:tcPr>
            <w:tcW w:w="2202" w:type="dxa"/>
            <w:vAlign w:val="center"/>
          </w:tcPr>
          <w:p w14:paraId="60C594ED">
            <w:pPr>
              <w:jc w:val="center"/>
              <w:rPr>
                <w:rFonts w:hint="eastAsia" w:asciiTheme="majorEastAsia" w:hAnsiTheme="majorEastAsia" w:eastAsiaTheme="majorEastAsia" w:cstheme="majorEastAsia"/>
                <w:highlight w:val="none"/>
                <w:lang w:eastAsia="zh-CN"/>
              </w:rPr>
            </w:pPr>
            <w:r>
              <w:rPr>
                <w:rFonts w:hint="eastAsia" w:asciiTheme="majorEastAsia" w:hAnsiTheme="majorEastAsia" w:eastAsiaTheme="majorEastAsia" w:cstheme="majorEastAsia"/>
                <w:highlight w:val="none"/>
                <w:lang w:eastAsia="zh-CN"/>
              </w:rPr>
              <w:t>服务标准</w:t>
            </w:r>
          </w:p>
        </w:tc>
      </w:tr>
      <w:tr w14:paraId="0D528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83" w:type="dxa"/>
            <w:vMerge w:val="continue"/>
            <w:vAlign w:val="center"/>
          </w:tcPr>
          <w:p w14:paraId="1F1F69EC">
            <w:pPr>
              <w:spacing w:line="408" w:lineRule="auto"/>
              <w:jc w:val="center"/>
              <w:rPr>
                <w:rFonts w:asciiTheme="majorEastAsia" w:hAnsiTheme="majorEastAsia" w:eastAsiaTheme="majorEastAsia" w:cstheme="majorEastAsia"/>
              </w:rPr>
            </w:pPr>
          </w:p>
        </w:tc>
        <w:tc>
          <w:tcPr>
            <w:tcW w:w="705" w:type="dxa"/>
            <w:vAlign w:val="center"/>
          </w:tcPr>
          <w:p w14:paraId="3A989E0C">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1</w:t>
            </w:r>
          </w:p>
        </w:tc>
        <w:tc>
          <w:tcPr>
            <w:tcW w:w="1571" w:type="dxa"/>
            <w:vAlign w:val="center"/>
          </w:tcPr>
          <w:p w14:paraId="4E43AE5B">
            <w:pPr>
              <w:jc w:val="center"/>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sz w:val="21"/>
                <w:szCs w:val="21"/>
                <w:lang w:eastAsia="zh-CN"/>
              </w:rPr>
              <w:t>《诗经淇河》图书编纂项目</w:t>
            </w:r>
          </w:p>
        </w:tc>
        <w:tc>
          <w:tcPr>
            <w:tcW w:w="1548" w:type="dxa"/>
            <w:vAlign w:val="center"/>
          </w:tcPr>
          <w:p w14:paraId="4B74E848">
            <w:pPr>
              <w:jc w:val="center"/>
              <w:rPr>
                <w:rFonts w:hint="eastAsia" w:asciiTheme="majorEastAsia" w:hAnsiTheme="majorEastAsia" w:eastAsiaTheme="majorEastAsia" w:cstheme="majorEastAsia"/>
                <w:highlight w:val="none"/>
                <w:lang w:val="en-US" w:eastAsia="zh-CN"/>
              </w:rPr>
            </w:pPr>
            <w:r>
              <w:rPr>
                <w:rFonts w:hint="eastAsia" w:asciiTheme="majorEastAsia" w:hAnsiTheme="majorEastAsia" w:eastAsiaTheme="majorEastAsia" w:cstheme="majorEastAsia"/>
                <w:highlight w:val="none"/>
                <w:lang w:val="en-US" w:eastAsia="zh-CN"/>
              </w:rPr>
              <w:t>详见文件</w:t>
            </w:r>
          </w:p>
        </w:tc>
        <w:tc>
          <w:tcPr>
            <w:tcW w:w="1500" w:type="dxa"/>
            <w:vAlign w:val="center"/>
          </w:tcPr>
          <w:p w14:paraId="10AFA6A7">
            <w:pPr>
              <w:jc w:val="center"/>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val="en-US" w:eastAsia="zh-CN"/>
              </w:rPr>
              <w:t>详见文件</w:t>
            </w:r>
          </w:p>
        </w:tc>
        <w:tc>
          <w:tcPr>
            <w:tcW w:w="1267" w:type="dxa"/>
            <w:vAlign w:val="center"/>
          </w:tcPr>
          <w:p w14:paraId="1822F9B1">
            <w:pPr>
              <w:jc w:val="center"/>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highlight w:val="none"/>
                <w:lang w:val="en-US" w:eastAsia="zh-CN"/>
              </w:rPr>
              <w:t>详见文件</w:t>
            </w:r>
          </w:p>
        </w:tc>
        <w:tc>
          <w:tcPr>
            <w:tcW w:w="2202" w:type="dxa"/>
            <w:vAlign w:val="center"/>
          </w:tcPr>
          <w:p w14:paraId="33642EAF">
            <w:pPr>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highlight w:val="none"/>
                <w:lang w:val="en-US" w:eastAsia="zh-CN"/>
              </w:rPr>
              <w:t>详见文件</w:t>
            </w:r>
          </w:p>
        </w:tc>
      </w:tr>
    </w:tbl>
    <w:p w14:paraId="237DF7D4">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lang w:eastAsia="zh-CN"/>
        </w:rPr>
        <w:t>三、</w:t>
      </w:r>
      <w:r>
        <w:rPr>
          <w:rFonts w:hint="eastAsia" w:asciiTheme="majorEastAsia" w:hAnsiTheme="majorEastAsia" w:eastAsiaTheme="majorEastAsia" w:cstheme="majorEastAsia"/>
          <w:sz w:val="21"/>
          <w:szCs w:val="21"/>
          <w:highlight w:val="none"/>
        </w:rPr>
        <w:t>评审专家名单</w:t>
      </w:r>
    </w:p>
    <w:p w14:paraId="20AA7F1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eastAsia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石海奇、武艳平、郭鹏超（采购人代表）</w:t>
      </w:r>
    </w:p>
    <w:p w14:paraId="58A946C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eastAsia="zh-CN"/>
        </w:rPr>
        <w:t>四、</w:t>
      </w:r>
      <w:r>
        <w:rPr>
          <w:rFonts w:hint="eastAsia" w:asciiTheme="majorEastAsia" w:hAnsiTheme="majorEastAsia" w:eastAsiaTheme="majorEastAsia" w:cstheme="majorEastAsia"/>
          <w:sz w:val="21"/>
          <w:szCs w:val="21"/>
          <w:highlight w:val="none"/>
        </w:rPr>
        <w:t>代理服务收费标准及金额</w:t>
      </w:r>
    </w:p>
    <w:p w14:paraId="31AD60E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kern w:val="0"/>
          <w:sz w:val="21"/>
          <w:szCs w:val="21"/>
          <w:highlight w:val="none"/>
          <w:lang w:eastAsia="zh-CN"/>
        </w:rPr>
      </w:pPr>
      <w:r>
        <w:rPr>
          <w:rFonts w:hint="eastAsia" w:asciiTheme="majorEastAsia" w:hAnsiTheme="majorEastAsia" w:eastAsiaTheme="majorEastAsia" w:cstheme="majorEastAsia"/>
          <w:kern w:val="0"/>
          <w:sz w:val="21"/>
          <w:szCs w:val="21"/>
          <w:highlight w:val="none"/>
          <w:lang w:eastAsia="zh-CN"/>
        </w:rPr>
        <w:t>收费标准：</w:t>
      </w:r>
      <w:r>
        <w:rPr>
          <w:rFonts w:hint="eastAsia" w:asciiTheme="majorEastAsia" w:hAnsiTheme="majorEastAsia" w:eastAsiaTheme="majorEastAsia" w:cstheme="majorEastAsia"/>
          <w:kern w:val="0"/>
          <w:sz w:val="21"/>
          <w:szCs w:val="21"/>
          <w:highlight w:val="none"/>
          <w:lang w:val="en-US" w:eastAsia="zh-CN"/>
        </w:rPr>
        <w:t>参照</w:t>
      </w:r>
      <w:r>
        <w:rPr>
          <w:rFonts w:hint="eastAsia" w:asciiTheme="majorEastAsia" w:hAnsiTheme="majorEastAsia" w:eastAsiaTheme="majorEastAsia" w:cstheme="majorEastAsia"/>
          <w:kern w:val="0"/>
          <w:sz w:val="21"/>
          <w:szCs w:val="21"/>
          <w:highlight w:val="none"/>
          <w:lang w:eastAsia="zh-CN"/>
        </w:rPr>
        <w:t>《河南省招标代理服务收费指导意见》豫招协[2023]002号文件规定</w:t>
      </w:r>
      <w:r>
        <w:rPr>
          <w:rFonts w:hint="eastAsia" w:asciiTheme="majorEastAsia" w:hAnsiTheme="majorEastAsia" w:eastAsiaTheme="majorEastAsia" w:cstheme="majorEastAsia"/>
          <w:kern w:val="0"/>
          <w:sz w:val="21"/>
          <w:szCs w:val="21"/>
          <w:highlight w:val="none"/>
          <w:lang w:val="en-US" w:eastAsia="zh-CN"/>
        </w:rPr>
        <w:t>计取</w:t>
      </w:r>
    </w:p>
    <w:p w14:paraId="7120BD5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lang w:eastAsia="zh-CN"/>
        </w:rPr>
        <w:t>金额：</w:t>
      </w:r>
      <w:r>
        <w:rPr>
          <w:rFonts w:hint="eastAsia" w:asciiTheme="majorEastAsia" w:hAnsiTheme="majorEastAsia" w:eastAsiaTheme="majorEastAsia" w:cstheme="majorEastAsia"/>
          <w:kern w:val="0"/>
          <w:sz w:val="21"/>
          <w:szCs w:val="21"/>
          <w:highlight w:val="none"/>
          <w:lang w:val="en-US" w:eastAsia="zh-CN"/>
        </w:rPr>
        <w:t>14416元</w:t>
      </w:r>
    </w:p>
    <w:p w14:paraId="0B45AB1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eastAsia="zh-CN"/>
        </w:rPr>
        <w:t>五</w:t>
      </w:r>
      <w:r>
        <w:rPr>
          <w:rFonts w:hint="eastAsia" w:asciiTheme="majorEastAsia" w:hAnsiTheme="majorEastAsia" w:eastAsiaTheme="majorEastAsia" w:cstheme="majorEastAsia"/>
          <w:sz w:val="21"/>
          <w:szCs w:val="21"/>
          <w:highlight w:val="none"/>
        </w:rPr>
        <w:t>、公告期限</w:t>
      </w:r>
    </w:p>
    <w:p w14:paraId="61C2CCB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eastAsia="zh-CN"/>
        </w:rPr>
        <w:t>本次成交公告在《河南省政府采购网》、《鹤壁市政府采购网》、《鹤壁市公共资源交易公共服务平台》上发布，成交公告期限为</w:t>
      </w:r>
      <w:r>
        <w:rPr>
          <w:rFonts w:hint="eastAsia" w:asciiTheme="majorEastAsia" w:hAnsiTheme="majorEastAsia" w:eastAsiaTheme="majorEastAsia" w:cstheme="majorEastAsia"/>
          <w:kern w:val="0"/>
          <w:sz w:val="21"/>
          <w:szCs w:val="21"/>
        </w:rPr>
        <w:t>1个工作日。</w:t>
      </w:r>
    </w:p>
    <w:p w14:paraId="7C7CF563">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其他补充事宜</w:t>
      </w:r>
      <w:r>
        <w:rPr>
          <w:rFonts w:hint="eastAsia" w:asciiTheme="majorEastAsia" w:hAnsiTheme="majorEastAsia" w:eastAsiaTheme="majorEastAsia" w:cstheme="majorEastAsia"/>
          <w:sz w:val="21"/>
          <w:szCs w:val="21"/>
          <w:lang w:eastAsia="zh-CN"/>
        </w:rPr>
        <w:t>：</w:t>
      </w:r>
    </w:p>
    <w:p w14:paraId="3A8D391A">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20" w:firstLineChars="200"/>
        <w:textAlignment w:val="auto"/>
        <w:rPr>
          <w:rFonts w:hint="default"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highlight w:val="none"/>
          <w:lang w:val="en-US" w:eastAsia="zh-CN"/>
        </w:rPr>
        <w:t>专家评审结果及其它供应商未成交信息告知：第一成交候选人：河南博之雅印务有限公司（最终报价：</w:t>
      </w:r>
      <w:r>
        <w:rPr>
          <w:rFonts w:hint="default" w:asciiTheme="majorEastAsia" w:hAnsiTheme="majorEastAsia" w:eastAsiaTheme="majorEastAsia" w:cstheme="majorEastAsia"/>
          <w:highlight w:val="none"/>
          <w:lang w:val="en-US" w:eastAsia="zh-CN"/>
        </w:rPr>
        <w:t>848000.00</w:t>
      </w:r>
      <w:r>
        <w:rPr>
          <w:rFonts w:hint="eastAsia" w:asciiTheme="majorEastAsia" w:hAnsiTheme="majorEastAsia" w:eastAsiaTheme="majorEastAsia" w:cstheme="majorEastAsia"/>
          <w:kern w:val="0"/>
          <w:sz w:val="21"/>
          <w:szCs w:val="21"/>
          <w:highlight w:val="none"/>
          <w:lang w:val="en-US" w:eastAsia="zh-CN"/>
        </w:rPr>
        <w:t>元；得分：98.00分）；第二成交候选人：河南世纪恒泰数码彩印有限公司（最终报价：863000.00元；得分：81.48分 ）；</w:t>
      </w:r>
      <w:bookmarkStart w:id="2" w:name="_GoBack"/>
      <w:bookmarkEnd w:id="2"/>
      <w:r>
        <w:rPr>
          <w:rFonts w:hint="eastAsia" w:asciiTheme="majorEastAsia" w:hAnsiTheme="majorEastAsia" w:eastAsiaTheme="majorEastAsia" w:cstheme="majorEastAsia"/>
          <w:kern w:val="0"/>
          <w:sz w:val="21"/>
          <w:szCs w:val="21"/>
          <w:highlight w:val="none"/>
          <w:lang w:val="en-US" w:eastAsia="zh-CN"/>
        </w:rPr>
        <w:t>第三成交候选人：郑州最美印务有限公司 （最终报价：870000.00元；得分：80.57分 ）。</w:t>
      </w:r>
      <w:r>
        <w:rPr>
          <w:rFonts w:hint="eastAsia" w:asciiTheme="majorEastAsia" w:hAnsiTheme="majorEastAsia" w:eastAsiaTheme="majorEastAsia" w:cstheme="majorEastAsia"/>
          <w:kern w:val="0"/>
          <w:sz w:val="21"/>
          <w:szCs w:val="21"/>
          <w:highlight w:val="none"/>
          <w:lang w:val="en-US" w:eastAsia="zh-CN"/>
        </w:rPr>
        <w:t>采购人依法确定第一中标候选人为本项目成交供应商。 2、</w:t>
      </w:r>
      <w:r>
        <w:rPr>
          <w:rFonts w:hint="eastAsia" w:asciiTheme="majorEastAsia" w:hAnsiTheme="majorEastAsia" w:eastAsiaTheme="majorEastAsia" w:cstheme="majorEastAsia"/>
          <w:kern w:val="0"/>
          <w:sz w:val="21"/>
          <w:szCs w:val="21"/>
          <w:lang w:val="en-US" w:eastAsia="zh-CN"/>
        </w:rPr>
        <w:t>成交供应商有政府采购合同融资意向的，请登录鹤壁市政府采购网进行供应商融资意向登记或者在通知公告栏目中获取融资渠道和联系方式。3、各有关当事人对成交结果有异议的，可以在成交公告期限届满之日起七个工作日内，按中华人民共和国财政部令第94号《政府采购质疑和投诉办法》的相关规定，以书面形式向采购人和采购代理机构提出质疑。逾期提交或未按照要求提交的质疑函将不予受理。</w:t>
      </w:r>
    </w:p>
    <w:p w14:paraId="7932D8E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eastAsia="zh-CN"/>
        </w:rPr>
        <w:t>七</w:t>
      </w:r>
      <w:r>
        <w:rPr>
          <w:rFonts w:hint="eastAsia" w:asciiTheme="majorEastAsia" w:hAnsiTheme="majorEastAsia" w:eastAsiaTheme="majorEastAsia" w:cstheme="majorEastAsia"/>
          <w:kern w:val="0"/>
          <w:sz w:val="21"/>
          <w:szCs w:val="21"/>
        </w:rPr>
        <w:t>、凡对本次公告内容提出询问，请按以下方式联系。</w:t>
      </w:r>
    </w:p>
    <w:p w14:paraId="29D1C5D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1、采购人信息</w:t>
      </w:r>
    </w:p>
    <w:p w14:paraId="7C6E1B4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名  称：中国人民政治协商会议河南省鹤壁市委员会办公室</w:t>
      </w:r>
    </w:p>
    <w:p w14:paraId="1CACA7F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 xml:space="preserve">地  址：鹤壁市淇滨区九州路131号 </w:t>
      </w:r>
    </w:p>
    <w:p w14:paraId="032C8CC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联系人：彭先生、郭先生</w:t>
      </w:r>
    </w:p>
    <w:p w14:paraId="3FB4E7A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联系方式：0392-3315669</w:t>
      </w:r>
    </w:p>
    <w:p w14:paraId="240EF5E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2、采购代理机构</w:t>
      </w:r>
    </w:p>
    <w:p w14:paraId="7D951E2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名  称：汇龙工程咨询有限公司</w:t>
      </w:r>
    </w:p>
    <w:p w14:paraId="5CAA0FA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地  址：郑州市高新区冬青街46号盛鼎科技园3号楼6楼</w:t>
      </w:r>
    </w:p>
    <w:p w14:paraId="64CC8B7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联系人：周燕琴</w:t>
      </w:r>
    </w:p>
    <w:p w14:paraId="0A9B659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联系方式：13030396886</w:t>
      </w:r>
    </w:p>
    <w:p w14:paraId="4DFC0D4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3.项目联系方式</w:t>
      </w:r>
    </w:p>
    <w:p w14:paraId="1840EED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项目联系人：周燕琴</w:t>
      </w:r>
    </w:p>
    <w:p w14:paraId="269730F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联系方式：13030396886</w:t>
      </w:r>
    </w:p>
    <w:p w14:paraId="238FF287">
      <w:pPr>
        <w:rPr>
          <w:rFonts w:hint="eastAsia"/>
          <w:lang w:val="en-US" w:eastAsia="zh-CN"/>
        </w:rPr>
      </w:pPr>
    </w:p>
    <w:sectPr>
      <w:footerReference r:id="rId3" w:type="default"/>
      <w:pgSz w:w="11906" w:h="16838"/>
      <w:pgMar w:top="1440" w:right="1587"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微软雅黑 ! important">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7AAC1">
    <w:pPr>
      <w:pStyle w:val="5"/>
      <w:spacing w:line="14" w:lineRule="auto"/>
      <w:rPr>
        <w:sz w:val="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7950" cy="1524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a:effectLst/>
                    </wps:spPr>
                    <wps:txbx>
                      <w:txbxContent>
                        <w:p w14:paraId="1D72C8C3">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7</w:t>
                          </w:r>
                          <w:r>
                            <w:fldChar w:fldCharType="end"/>
                          </w:r>
                        </w:p>
                      </w:txbxContent>
                    </wps:txbx>
                    <wps:bodyPr lIns="0" tIns="0" rIns="0" bIns="0" upright="1"/>
                  </wps:wsp>
                </a:graphicData>
              </a:graphic>
            </wp:anchor>
          </w:drawing>
        </mc:Choice>
        <mc:Fallback>
          <w:pict>
            <v:shape id="文本框 1" o:spid="_x0000_s1026" o:spt="202" type="#_x0000_t202" style="position:absolute;left:0pt;margin-top:0pt;height:12pt;width:8.5pt;mso-position-horizontal:center;mso-position-horizontal-relative:margin;z-index:251659264;mso-width-relative:page;mso-height-relative:page;" filled="f" stroked="f" coordsize="21600,21600" o:gfxdata="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B7zX70wAAAAMBAAAPAAAAAAAAAAEAIAAAACIAAABkcnMvZG93bnJldi54bWxQSwECFAAU&#10;AAAACACHTuJA556KmL0BAAB/AwAADgAAAAAAAAABACAAAAAiAQAAZHJzL2Uyb0RvYy54bWxQSwUG&#10;AAAAAAYABgBZAQAAUQUAAAAA&#10;">
              <v:fill on="f" focussize="0,0"/>
              <v:stroke on="f"/>
              <v:imagedata o:title=""/>
              <o:lock v:ext="edit" aspectratio="f"/>
              <v:textbox inset="0mm,0mm,0mm,0mm">
                <w:txbxContent>
                  <w:p w14:paraId="1D72C8C3">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5087A"/>
    <w:multiLevelType w:val="singleLevel"/>
    <w:tmpl w:val="8B55087A"/>
    <w:lvl w:ilvl="0" w:tentative="0">
      <w:start w:val="1"/>
      <w:numFmt w:val="decimal"/>
      <w:suff w:val="nothing"/>
      <w:lvlText w:val="%1、"/>
      <w:lvlJc w:val="left"/>
    </w:lvl>
  </w:abstractNum>
  <w:abstractNum w:abstractNumId="1">
    <w:nsid w:val="E5EF5109"/>
    <w:multiLevelType w:val="singleLevel"/>
    <w:tmpl w:val="E5EF5109"/>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wYjQ1YjM4YmEwZDFhZmFjZjJiZDY5NzY3ZTc1NzMifQ=="/>
  </w:docVars>
  <w:rsids>
    <w:rsidRoot w:val="024954D3"/>
    <w:rsid w:val="000348FD"/>
    <w:rsid w:val="000666DB"/>
    <w:rsid w:val="00070619"/>
    <w:rsid w:val="000772D4"/>
    <w:rsid w:val="00087062"/>
    <w:rsid w:val="000B472F"/>
    <w:rsid w:val="000B61C4"/>
    <w:rsid w:val="001560A5"/>
    <w:rsid w:val="00161C13"/>
    <w:rsid w:val="001732B6"/>
    <w:rsid w:val="00193E6C"/>
    <w:rsid w:val="001A31B5"/>
    <w:rsid w:val="001B39A9"/>
    <w:rsid w:val="001D4829"/>
    <w:rsid w:val="00217726"/>
    <w:rsid w:val="00237BEB"/>
    <w:rsid w:val="0028541F"/>
    <w:rsid w:val="002A5F9A"/>
    <w:rsid w:val="003852AB"/>
    <w:rsid w:val="003B20F6"/>
    <w:rsid w:val="003C44A2"/>
    <w:rsid w:val="00425656"/>
    <w:rsid w:val="00446E67"/>
    <w:rsid w:val="004D2BB2"/>
    <w:rsid w:val="004F0703"/>
    <w:rsid w:val="00504907"/>
    <w:rsid w:val="005A6C1E"/>
    <w:rsid w:val="005C7291"/>
    <w:rsid w:val="005C7D65"/>
    <w:rsid w:val="005E26AE"/>
    <w:rsid w:val="005F1035"/>
    <w:rsid w:val="00601B69"/>
    <w:rsid w:val="006319F7"/>
    <w:rsid w:val="006474B7"/>
    <w:rsid w:val="0065051B"/>
    <w:rsid w:val="00653AC0"/>
    <w:rsid w:val="00654461"/>
    <w:rsid w:val="006959C2"/>
    <w:rsid w:val="00721F92"/>
    <w:rsid w:val="0073035B"/>
    <w:rsid w:val="007A643B"/>
    <w:rsid w:val="007C1549"/>
    <w:rsid w:val="00831D41"/>
    <w:rsid w:val="00845DF8"/>
    <w:rsid w:val="00886966"/>
    <w:rsid w:val="00896616"/>
    <w:rsid w:val="008B5DB5"/>
    <w:rsid w:val="008E5D84"/>
    <w:rsid w:val="009327E6"/>
    <w:rsid w:val="009505B1"/>
    <w:rsid w:val="0099330A"/>
    <w:rsid w:val="009D4A5B"/>
    <w:rsid w:val="009E4DBB"/>
    <w:rsid w:val="00A018A6"/>
    <w:rsid w:val="00A53867"/>
    <w:rsid w:val="00AC3B95"/>
    <w:rsid w:val="00AD47E7"/>
    <w:rsid w:val="00AF46BD"/>
    <w:rsid w:val="00B339EE"/>
    <w:rsid w:val="00B50F23"/>
    <w:rsid w:val="00B848CF"/>
    <w:rsid w:val="00B91407"/>
    <w:rsid w:val="00B94143"/>
    <w:rsid w:val="00BF0065"/>
    <w:rsid w:val="00C06F3A"/>
    <w:rsid w:val="00C27E79"/>
    <w:rsid w:val="00D85911"/>
    <w:rsid w:val="00DA6B13"/>
    <w:rsid w:val="00E153BB"/>
    <w:rsid w:val="00EA13B9"/>
    <w:rsid w:val="00F36E41"/>
    <w:rsid w:val="00F4411A"/>
    <w:rsid w:val="00F66CF8"/>
    <w:rsid w:val="00FE3BE1"/>
    <w:rsid w:val="022216EA"/>
    <w:rsid w:val="024954D3"/>
    <w:rsid w:val="02DE028C"/>
    <w:rsid w:val="036916A9"/>
    <w:rsid w:val="03B24423"/>
    <w:rsid w:val="05E834A7"/>
    <w:rsid w:val="060A6DAB"/>
    <w:rsid w:val="065B3074"/>
    <w:rsid w:val="07601EE6"/>
    <w:rsid w:val="0B423850"/>
    <w:rsid w:val="0B572C8A"/>
    <w:rsid w:val="0C022584"/>
    <w:rsid w:val="0DE346E0"/>
    <w:rsid w:val="0E0D6565"/>
    <w:rsid w:val="0F5E1886"/>
    <w:rsid w:val="119763AE"/>
    <w:rsid w:val="11E82B0E"/>
    <w:rsid w:val="12356F6E"/>
    <w:rsid w:val="12A61DC2"/>
    <w:rsid w:val="13097B17"/>
    <w:rsid w:val="147D206D"/>
    <w:rsid w:val="161A05F3"/>
    <w:rsid w:val="165753BC"/>
    <w:rsid w:val="17F32996"/>
    <w:rsid w:val="18A74D4D"/>
    <w:rsid w:val="1A311DEF"/>
    <w:rsid w:val="1A4B0B32"/>
    <w:rsid w:val="1AA90D3C"/>
    <w:rsid w:val="1FCC76BC"/>
    <w:rsid w:val="22986F56"/>
    <w:rsid w:val="23E92278"/>
    <w:rsid w:val="23FB3B19"/>
    <w:rsid w:val="259320DC"/>
    <w:rsid w:val="261A0D1D"/>
    <w:rsid w:val="27A42993"/>
    <w:rsid w:val="28B529DE"/>
    <w:rsid w:val="2A681F06"/>
    <w:rsid w:val="2D387654"/>
    <w:rsid w:val="2E6564AB"/>
    <w:rsid w:val="2E721E12"/>
    <w:rsid w:val="30A40293"/>
    <w:rsid w:val="31FE0091"/>
    <w:rsid w:val="320C43B8"/>
    <w:rsid w:val="325F39DE"/>
    <w:rsid w:val="339921E9"/>
    <w:rsid w:val="34347437"/>
    <w:rsid w:val="35B848E4"/>
    <w:rsid w:val="367D10F2"/>
    <w:rsid w:val="36A20D4C"/>
    <w:rsid w:val="36D46F18"/>
    <w:rsid w:val="36EB4B1F"/>
    <w:rsid w:val="3725484B"/>
    <w:rsid w:val="377834F5"/>
    <w:rsid w:val="39A64349"/>
    <w:rsid w:val="3BD87160"/>
    <w:rsid w:val="3C654848"/>
    <w:rsid w:val="3CCB7C93"/>
    <w:rsid w:val="3CEE5EE4"/>
    <w:rsid w:val="3EE55D09"/>
    <w:rsid w:val="3F0059FB"/>
    <w:rsid w:val="404B06FE"/>
    <w:rsid w:val="407E1FD3"/>
    <w:rsid w:val="41764F49"/>
    <w:rsid w:val="421A2093"/>
    <w:rsid w:val="431F5F71"/>
    <w:rsid w:val="436403E3"/>
    <w:rsid w:val="439C3817"/>
    <w:rsid w:val="43A923A7"/>
    <w:rsid w:val="443566E7"/>
    <w:rsid w:val="452E1987"/>
    <w:rsid w:val="45F92DDB"/>
    <w:rsid w:val="46A049C9"/>
    <w:rsid w:val="47655466"/>
    <w:rsid w:val="491A6450"/>
    <w:rsid w:val="4B5447A1"/>
    <w:rsid w:val="4CAF1A5D"/>
    <w:rsid w:val="4D537EB5"/>
    <w:rsid w:val="4E68132F"/>
    <w:rsid w:val="51C6574C"/>
    <w:rsid w:val="564927D4"/>
    <w:rsid w:val="594264EF"/>
    <w:rsid w:val="5BC929F5"/>
    <w:rsid w:val="5EE53F47"/>
    <w:rsid w:val="5F3874F9"/>
    <w:rsid w:val="6081119E"/>
    <w:rsid w:val="616058B1"/>
    <w:rsid w:val="63296040"/>
    <w:rsid w:val="640C5E50"/>
    <w:rsid w:val="642A06A6"/>
    <w:rsid w:val="64B4464E"/>
    <w:rsid w:val="65131A26"/>
    <w:rsid w:val="67A85331"/>
    <w:rsid w:val="6873729C"/>
    <w:rsid w:val="69C072BC"/>
    <w:rsid w:val="6D9C78F5"/>
    <w:rsid w:val="70830248"/>
    <w:rsid w:val="7225006B"/>
    <w:rsid w:val="722D62E3"/>
    <w:rsid w:val="731C754E"/>
    <w:rsid w:val="73EC75FA"/>
    <w:rsid w:val="75267B11"/>
    <w:rsid w:val="762F7C4C"/>
    <w:rsid w:val="781847FD"/>
    <w:rsid w:val="786A65C6"/>
    <w:rsid w:val="79B62ACE"/>
    <w:rsid w:val="7AB26F5C"/>
    <w:rsid w:val="7AD828D6"/>
    <w:rsid w:val="7D9572AB"/>
    <w:rsid w:val="7EB85E82"/>
    <w:rsid w:val="7F893BD3"/>
    <w:rsid w:val="7FDD1C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next w:val="1"/>
    <w:qFormat/>
    <w:uiPriority w:val="34"/>
    <w:pPr>
      <w:ind w:firstLine="420" w:firstLineChars="200"/>
    </w:pPr>
    <w:rPr>
      <w:szCs w:val="22"/>
    </w:rPr>
  </w:style>
  <w:style w:type="paragraph" w:styleId="5">
    <w:name w:val="Body Text"/>
    <w:basedOn w:val="1"/>
    <w:next w:val="6"/>
    <w:qFormat/>
    <w:uiPriority w:val="1"/>
    <w:rPr>
      <w:sz w:val="21"/>
      <w:szCs w:val="21"/>
    </w:rPr>
  </w:style>
  <w:style w:type="paragraph" w:styleId="6">
    <w:name w:val="Body Text 2"/>
    <w:basedOn w:val="1"/>
    <w:next w:val="5"/>
    <w:qFormat/>
    <w:uiPriority w:val="0"/>
    <w:pPr>
      <w:spacing w:after="120" w:line="480" w:lineRule="auto"/>
    </w:pPr>
  </w:style>
  <w:style w:type="paragraph" w:styleId="7">
    <w:name w:val="Plain Text"/>
    <w:basedOn w:val="1"/>
    <w:qFormat/>
    <w:uiPriority w:val="0"/>
    <w:rPr>
      <w:rFonts w:ascii="宋体" w:hAnsi="Courier New" w:eastAsia="宋体" w:cs="Times New Roman"/>
      <w:szCs w:val="22"/>
    </w:rPr>
  </w:style>
  <w:style w:type="paragraph" w:styleId="8">
    <w:name w:val="footer"/>
    <w:basedOn w:val="1"/>
    <w:link w:val="28"/>
    <w:qFormat/>
    <w:uiPriority w:val="0"/>
    <w:pPr>
      <w:tabs>
        <w:tab w:val="center" w:pos="4153"/>
        <w:tab w:val="right" w:pos="8306"/>
      </w:tabs>
      <w:snapToGrid w:val="0"/>
      <w:jc w:val="left"/>
    </w:pPr>
    <w:rPr>
      <w:sz w:val="18"/>
      <w:szCs w:val="18"/>
    </w:rPr>
  </w:style>
  <w:style w:type="paragraph" w:styleId="9">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1">
    <w:name w:val="Body Text First Indent"/>
    <w:basedOn w:val="5"/>
    <w:next w:val="1"/>
    <w:unhideWhenUsed/>
    <w:qFormat/>
    <w:uiPriority w:val="99"/>
    <w:pPr>
      <w:ind w:firstLine="420" w:firstLineChars="1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style>
  <w:style w:type="character" w:styleId="16">
    <w:name w:val="FollowedHyperlink"/>
    <w:basedOn w:val="14"/>
    <w:qFormat/>
    <w:uiPriority w:val="0"/>
    <w:rPr>
      <w:color w:val="000000"/>
      <w:u w:val="none"/>
    </w:rPr>
  </w:style>
  <w:style w:type="character" w:styleId="17">
    <w:name w:val="Emphasis"/>
    <w:basedOn w:val="14"/>
    <w:qFormat/>
    <w:uiPriority w:val="0"/>
  </w:style>
  <w:style w:type="character" w:styleId="18">
    <w:name w:val="HTML Definition"/>
    <w:basedOn w:val="14"/>
    <w:uiPriority w:val="0"/>
  </w:style>
  <w:style w:type="character" w:styleId="19">
    <w:name w:val="HTML Acronym"/>
    <w:basedOn w:val="14"/>
    <w:uiPriority w:val="0"/>
    <w:rPr>
      <w:bdr w:val="none" w:color="auto" w:sz="0" w:space="0"/>
    </w:rPr>
  </w:style>
  <w:style w:type="character" w:styleId="20">
    <w:name w:val="HTML Variable"/>
    <w:basedOn w:val="14"/>
    <w:uiPriority w:val="0"/>
  </w:style>
  <w:style w:type="character" w:styleId="21">
    <w:name w:val="Hyperlink"/>
    <w:basedOn w:val="14"/>
    <w:qFormat/>
    <w:uiPriority w:val="0"/>
    <w:rPr>
      <w:color w:val="000000"/>
      <w:u w:val="none"/>
    </w:rPr>
  </w:style>
  <w:style w:type="character" w:styleId="22">
    <w:name w:val="HTML Code"/>
    <w:basedOn w:val="14"/>
    <w:uiPriority w:val="0"/>
    <w:rPr>
      <w:rFonts w:ascii="Courier New" w:hAnsi="Courier New"/>
      <w:sz w:val="20"/>
    </w:rPr>
  </w:style>
  <w:style w:type="character" w:styleId="23">
    <w:name w:val="HTML Cite"/>
    <w:basedOn w:val="14"/>
    <w:uiPriority w:val="0"/>
  </w:style>
  <w:style w:type="paragraph" w:customStyle="1" w:styleId="24">
    <w:name w:val="正文首行缩进 21"/>
    <w:basedOn w:val="25"/>
    <w:next w:val="1"/>
    <w:qFormat/>
    <w:uiPriority w:val="0"/>
    <w:pPr>
      <w:ind w:firstLine="420" w:firstLineChars="200"/>
    </w:pPr>
  </w:style>
  <w:style w:type="paragraph" w:customStyle="1" w:styleId="25">
    <w:name w:val="正文文本缩进1"/>
    <w:basedOn w:val="1"/>
    <w:autoRedefine/>
    <w:qFormat/>
    <w:uiPriority w:val="0"/>
    <w:pPr>
      <w:spacing w:after="120"/>
      <w:ind w:left="420" w:leftChars="200"/>
    </w:pPr>
  </w:style>
  <w:style w:type="paragraph" w:customStyle="1" w:styleId="26">
    <w:name w:val="*正文"/>
    <w:basedOn w:val="1"/>
    <w:next w:val="1"/>
    <w:qFormat/>
    <w:uiPriority w:val="0"/>
    <w:pPr>
      <w:widowControl/>
      <w:ind w:firstLine="482"/>
    </w:pPr>
    <w:rPr>
      <w:rFonts w:ascii="微软雅黑" w:hAnsi="微软雅黑" w:eastAsia="微软雅黑"/>
    </w:rPr>
  </w:style>
  <w:style w:type="character" w:customStyle="1" w:styleId="27">
    <w:name w:val="页眉 Char"/>
    <w:basedOn w:val="14"/>
    <w:link w:val="9"/>
    <w:qFormat/>
    <w:uiPriority w:val="0"/>
    <w:rPr>
      <w:kern w:val="2"/>
      <w:sz w:val="18"/>
      <w:szCs w:val="18"/>
    </w:rPr>
  </w:style>
  <w:style w:type="character" w:customStyle="1" w:styleId="28">
    <w:name w:val="页脚 Char"/>
    <w:basedOn w:val="14"/>
    <w:link w:val="8"/>
    <w:qFormat/>
    <w:uiPriority w:val="0"/>
    <w:rPr>
      <w:kern w:val="2"/>
      <w:sz w:val="18"/>
      <w:szCs w:val="18"/>
    </w:rPr>
  </w:style>
  <w:style w:type="character" w:customStyle="1" w:styleId="29">
    <w:name w:val="time4"/>
    <w:basedOn w:val="14"/>
    <w:qFormat/>
    <w:uiPriority w:val="0"/>
  </w:style>
  <w:style w:type="character" w:customStyle="1" w:styleId="30">
    <w:name w:val="text-overflow"/>
    <w:basedOn w:val="14"/>
    <w:qFormat/>
    <w:uiPriority w:val="0"/>
  </w:style>
  <w:style w:type="character" w:customStyle="1" w:styleId="31">
    <w:name w:val="text-overflow1"/>
    <w:basedOn w:val="14"/>
    <w:qFormat/>
    <w:uiPriority w:val="0"/>
  </w:style>
  <w:style w:type="character" w:customStyle="1" w:styleId="32">
    <w:name w:val="hover19"/>
    <w:basedOn w:val="14"/>
    <w:qFormat/>
    <w:uiPriority w:val="0"/>
    <w:rPr>
      <w:color w:val="23527C"/>
      <w:shd w:val="clear" w:fill="EEEEEE"/>
    </w:rPr>
  </w:style>
  <w:style w:type="character" w:customStyle="1" w:styleId="33">
    <w:name w:val="first-child"/>
    <w:basedOn w:val="14"/>
    <w:qFormat/>
    <w:uiPriority w:val="0"/>
  </w:style>
  <w:style w:type="character" w:customStyle="1" w:styleId="34">
    <w:name w:val="newico"/>
    <w:basedOn w:val="14"/>
    <w:qFormat/>
    <w:uiPriority w:val="0"/>
  </w:style>
  <w:style w:type="character" w:customStyle="1" w:styleId="35">
    <w:name w:val="bold"/>
    <w:basedOn w:val="14"/>
    <w:qFormat/>
    <w:uiPriority w:val="0"/>
    <w:rPr>
      <w:b/>
    </w:rPr>
  </w:style>
  <w:style w:type="character" w:customStyle="1" w:styleId="36">
    <w:name w:val="focus1"/>
    <w:basedOn w:val="14"/>
    <w:qFormat/>
    <w:uiPriority w:val="0"/>
    <w:rPr>
      <w:color w:val="23527C"/>
      <w:shd w:val="clear" w:fill="EEEEEE"/>
    </w:rPr>
  </w:style>
  <w:style w:type="character" w:customStyle="1" w:styleId="37">
    <w:name w:val="time"/>
    <w:basedOn w:val="14"/>
    <w:qFormat/>
    <w:uiPriority w:val="0"/>
  </w:style>
  <w:style w:type="character" w:customStyle="1" w:styleId="38">
    <w:name w:val="first-child2"/>
    <w:basedOn w:val="14"/>
    <w:qFormat/>
    <w:uiPriority w:val="0"/>
  </w:style>
  <w:style w:type="character" w:customStyle="1" w:styleId="39">
    <w:name w:val="label-text"/>
    <w:basedOn w:val="14"/>
    <w:qFormat/>
    <w:uiPriority w:val="0"/>
    <w:rPr>
      <w:color w:val="8A8383"/>
    </w:rPr>
  </w:style>
  <w:style w:type="character" w:customStyle="1" w:styleId="40">
    <w:name w:val="paging-omit"/>
    <w:basedOn w:val="14"/>
    <w:qFormat/>
    <w:uiPriority w:val="0"/>
    <w:rPr>
      <w:shd w:val="clear" w:fill="E1E1E1"/>
    </w:rPr>
  </w:style>
  <w:style w:type="character" w:customStyle="1" w:styleId="41">
    <w:name w:val="warning"/>
    <w:basedOn w:val="14"/>
    <w:qFormat/>
    <w:uiPriority w:val="0"/>
    <w:rPr>
      <w:color w:val="E60012"/>
      <w:sz w:val="18"/>
      <w:szCs w:val="18"/>
    </w:rPr>
  </w:style>
  <w:style w:type="character" w:customStyle="1" w:styleId="42">
    <w:name w:val="label"/>
    <w:basedOn w:val="14"/>
    <w:qFormat/>
    <w:uiPriority w:val="0"/>
    <w:rPr>
      <w:sz w:val="27"/>
      <w:szCs w:val="27"/>
    </w:rPr>
  </w:style>
  <w:style w:type="character" w:customStyle="1" w:styleId="43">
    <w:name w:val="label1"/>
    <w:basedOn w:val="14"/>
    <w:qFormat/>
    <w:uiPriority w:val="0"/>
    <w:rPr>
      <w:color w:val="000000"/>
      <w:sz w:val="24"/>
      <w:szCs w:val="24"/>
    </w:rPr>
  </w:style>
  <w:style w:type="character" w:customStyle="1" w:styleId="44">
    <w:name w:val="label-text2"/>
    <w:basedOn w:val="14"/>
    <w:qFormat/>
    <w:uiPriority w:val="0"/>
    <w:rPr>
      <w:color w:val="8A8383"/>
    </w:rPr>
  </w:style>
  <w:style w:type="character" w:customStyle="1" w:styleId="45">
    <w:name w:val="text-decoration"/>
    <w:basedOn w:val="14"/>
    <w:qFormat/>
    <w:uiPriority w:val="0"/>
    <w:rPr>
      <w:sz w:val="24"/>
      <w:szCs w:val="24"/>
    </w:rPr>
  </w:style>
  <w:style w:type="character" w:customStyle="1" w:styleId="46">
    <w:name w:val="hover18"/>
    <w:basedOn w:val="14"/>
    <w:qFormat/>
    <w:uiPriority w:val="0"/>
  </w:style>
  <w:style w:type="character" w:customStyle="1" w:styleId="47">
    <w:name w:val="chat-user-color5"/>
    <w:basedOn w:val="14"/>
    <w:qFormat/>
    <w:uiPriority w:val="0"/>
    <w:rPr>
      <w:color w:val="08DCA7"/>
    </w:rPr>
  </w:style>
  <w:style w:type="character" w:customStyle="1" w:styleId="48">
    <w:name w:val="chat-user-color1"/>
    <w:basedOn w:val="14"/>
    <w:qFormat/>
    <w:uiPriority w:val="0"/>
    <w:rPr>
      <w:color w:val="2573F2"/>
    </w:rPr>
  </w:style>
  <w:style w:type="character" w:customStyle="1" w:styleId="49">
    <w:name w:val="chat-user-ico"/>
    <w:basedOn w:val="14"/>
    <w:qFormat/>
    <w:uiPriority w:val="0"/>
    <w:rPr>
      <w:b/>
      <w:bCs/>
      <w:color w:val="FF0000"/>
      <w:shd w:val="clear" w:fill="FFFFFF"/>
    </w:rPr>
  </w:style>
  <w:style w:type="character" w:customStyle="1" w:styleId="50">
    <w:name w:val="chat-user-color2"/>
    <w:basedOn w:val="14"/>
    <w:qFormat/>
    <w:uiPriority w:val="0"/>
    <w:rPr>
      <w:color w:val="FF8533"/>
    </w:rPr>
  </w:style>
  <w:style w:type="character" w:customStyle="1" w:styleId="51">
    <w:name w:val="chat-user-color0"/>
    <w:basedOn w:val="14"/>
    <w:qFormat/>
    <w:uiPriority w:val="0"/>
    <w:rPr>
      <w:color w:val="48B845"/>
    </w:rPr>
  </w:style>
  <w:style w:type="character" w:customStyle="1" w:styleId="52">
    <w:name w:val="chat-user-color3"/>
    <w:basedOn w:val="14"/>
    <w:qFormat/>
    <w:uiPriority w:val="0"/>
    <w:rPr>
      <w:color w:val="FFC414"/>
    </w:rPr>
  </w:style>
  <w:style w:type="character" w:customStyle="1" w:styleId="53">
    <w:name w:val="chat-user-color4"/>
    <w:basedOn w:val="14"/>
    <w:qFormat/>
    <w:uiPriority w:val="0"/>
    <w:rPr>
      <w:color w:val="1EC7FF"/>
    </w:rPr>
  </w:style>
  <w:style w:type="character" w:customStyle="1" w:styleId="54">
    <w:name w:val="chat-text"/>
    <w:basedOn w:val="14"/>
    <w:qFormat/>
    <w:uiPriority w:val="0"/>
    <w:rPr>
      <w:color w:val="333333"/>
      <w:shd w:val="clear" w:fill="FFFFFF"/>
    </w:rPr>
  </w:style>
  <w:style w:type="character" w:customStyle="1" w:styleId="55">
    <w:name w:val="chat-text1"/>
    <w:basedOn w:val="14"/>
    <w:qFormat/>
    <w:uiPriority w:val="0"/>
    <w:rPr>
      <w:color w:val="FFFFFF"/>
      <w:shd w:val="clear" w:fill="75AFD7"/>
    </w:rPr>
  </w:style>
  <w:style w:type="character" w:customStyle="1" w:styleId="56">
    <w:name w:val="colon"/>
    <w:basedOn w:val="14"/>
    <w:qFormat/>
    <w:uiPriority w:val="0"/>
  </w:style>
  <w:style w:type="character" w:customStyle="1" w:styleId="57">
    <w:name w:val="colon1"/>
    <w:basedOn w:val="14"/>
    <w:qFormat/>
    <w:uiPriority w:val="0"/>
  </w:style>
  <w:style w:type="character" w:customStyle="1" w:styleId="58">
    <w:name w:val="first-child1"/>
    <w:basedOn w:val="14"/>
    <w:qFormat/>
    <w:uiPriority w:val="0"/>
    <w:rPr>
      <w:b/>
      <w:bCs/>
      <w:color w:val="095ADF"/>
      <w:sz w:val="21"/>
      <w:szCs w:val="21"/>
      <w:bdr w:val="single" w:color="095ADF" w:sz="6" w:space="0"/>
    </w:rPr>
  </w:style>
  <w:style w:type="character" w:customStyle="1" w:styleId="59">
    <w:name w:val="nth-child(2)"/>
    <w:basedOn w:val="14"/>
    <w:qFormat/>
    <w:uiPriority w:val="0"/>
  </w:style>
  <w:style w:type="character" w:customStyle="1" w:styleId="60">
    <w:name w:val="green"/>
    <w:basedOn w:val="14"/>
    <w:qFormat/>
    <w:uiPriority w:val="0"/>
    <w:rPr>
      <w:shd w:val="clear" w:fill="12CC1A"/>
    </w:rPr>
  </w:style>
  <w:style w:type="character" w:customStyle="1" w:styleId="61">
    <w:name w:val="hover5"/>
    <w:basedOn w:val="14"/>
    <w:uiPriority w:val="0"/>
    <w:rPr>
      <w:color w:val="0063BA"/>
    </w:rPr>
  </w:style>
  <w:style w:type="character" w:customStyle="1" w:styleId="62">
    <w:name w:val="margin_right202"/>
    <w:basedOn w:val="14"/>
    <w:uiPriority w:val="0"/>
  </w:style>
  <w:style w:type="character" w:customStyle="1" w:styleId="63">
    <w:name w:val="cur"/>
    <w:basedOn w:val="14"/>
    <w:uiPriority w:val="0"/>
    <w:rPr>
      <w:color w:val="E22323"/>
    </w:rPr>
  </w:style>
  <w:style w:type="character" w:customStyle="1" w:styleId="64">
    <w:name w:val="active6"/>
    <w:basedOn w:val="14"/>
    <w:uiPriority w:val="0"/>
    <w:rPr>
      <w:color w:val="FFFFFF"/>
      <w:shd w:val="clear" w:fill="E22323"/>
    </w:rPr>
  </w:style>
  <w:style w:type="character" w:customStyle="1" w:styleId="65">
    <w:name w:val="hover17"/>
    <w:basedOn w:val="1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727</Words>
  <Characters>804</Characters>
  <Lines>1</Lines>
  <Paragraphs>1</Paragraphs>
  <TotalTime>1</TotalTime>
  <ScaleCrop>false</ScaleCrop>
  <LinksUpToDate>false</LinksUpToDate>
  <CharactersWithSpaces>815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2016-01-29T02:48:00Z</dcterms:created>
  <dc:creator>Administrator</dc:creator>
  <cp:lastModifiedBy>晋硕</cp:lastModifiedBy>
  <cp:lastPrinted>2024-08-06T00:36:00Z</cp:lastPrinted>
  <dcterms:modified xsi:type="dcterms:W3CDTF">2025-02-24T07:27:35Z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A68E74D3DE894A74BD3B5DF2EAEC58A4</vt:lpwstr>
  </property>
  <property fmtid="{D5CDD505-2E9C-101B-9397-08002B2CF9AE}" pid="4" name="KSOTemplateDocerSaveRecord">
    <vt:lpwstr>eyJoZGlkIjoiMGYwYjQ1YjM4YmEwZDFhZmFjZjJiZDY5NzY3ZTc1NzMiLCJ1c2VySWQiOiI0NDU1NDU1MTUifQ==</vt:lpwstr>
  </property>
</Properties>
</file>