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AA16F">
      <w:pPr>
        <w:keepNext w:val="0"/>
        <w:keepLines w:val="0"/>
        <w:pageBreakBefore w:val="0"/>
        <w:kinsoku/>
        <w:wordWrap w:val="0"/>
        <w:overflowPunct w:val="0"/>
        <w:topLinePunct/>
        <w:autoSpaceDE w:val="0"/>
        <w:autoSpaceDN w:val="0"/>
        <w:bidi w:val="0"/>
        <w:spacing w:before="152" w:line="360" w:lineRule="auto"/>
        <w:jc w:val="center"/>
        <w:rPr>
          <w:rFonts w:hint="eastAsia" w:ascii="宋体" w:hAnsi="宋体" w:eastAsia="宋体" w:cs="宋体"/>
          <w:color w:val="auto"/>
          <w:spacing w:val="12"/>
          <w:sz w:val="52"/>
          <w:szCs w:val="52"/>
          <w:highlight w:val="none"/>
          <w:lang w:eastAsia="zh-CN"/>
          <w14:textOutline w14:w="8630" w14:cap="flat" w14:cmpd="sng">
            <w14:solidFill>
              <w14:srgbClr w14:val="000000"/>
            </w14:solidFill>
            <w14:prstDash w14:val="solid"/>
            <w14:miter w14:val="0"/>
          </w14:textOutline>
        </w:rPr>
      </w:pPr>
    </w:p>
    <w:p w14:paraId="7E9CD99C">
      <w:pPr>
        <w:keepNext w:val="0"/>
        <w:keepLines w:val="0"/>
        <w:pageBreakBefore w:val="0"/>
        <w:kinsoku/>
        <w:wordWrap w:val="0"/>
        <w:overflowPunct w:val="0"/>
        <w:topLinePunct/>
        <w:autoSpaceDE w:val="0"/>
        <w:autoSpaceDN w:val="0"/>
        <w:bidi w:val="0"/>
        <w:spacing w:before="152" w:line="360" w:lineRule="auto"/>
        <w:jc w:val="center"/>
        <w:rPr>
          <w:rFonts w:hint="eastAsia" w:asciiTheme="majorEastAsia" w:hAnsiTheme="majorEastAsia" w:eastAsiaTheme="majorEastAsia" w:cstheme="majorEastAsia"/>
          <w:color w:val="auto"/>
          <w:spacing w:val="12"/>
          <w:sz w:val="52"/>
          <w:szCs w:val="52"/>
          <w:highlight w:val="none"/>
          <w:lang w:val="en-US" w:eastAsia="zh-CN"/>
          <w14:textOutline w14:w="8630" w14:cap="flat" w14:cmpd="sng">
            <w14:solidFill>
              <w14:srgbClr w14:val="000000"/>
            </w14:solidFill>
            <w14:prstDash w14:val="solid"/>
            <w14:miter w14:val="0"/>
          </w14:textOutline>
        </w:rPr>
      </w:pPr>
      <w:r>
        <w:rPr>
          <w:rFonts w:hint="eastAsia" w:asciiTheme="majorEastAsia" w:hAnsiTheme="majorEastAsia" w:eastAsiaTheme="majorEastAsia" w:cstheme="majorEastAsia"/>
          <w:color w:val="auto"/>
          <w:spacing w:val="12"/>
          <w:sz w:val="52"/>
          <w:szCs w:val="52"/>
          <w:highlight w:val="none"/>
          <w:lang w:val="en-US" w:eastAsia="zh-CN"/>
          <w14:textOutline w14:w="8630" w14:cap="flat" w14:cmpd="sng">
            <w14:solidFill>
              <w14:srgbClr w14:val="000000"/>
            </w14:solidFill>
            <w14:prstDash w14:val="solid"/>
            <w14:miter w14:val="0"/>
          </w14:textOutline>
        </w:rPr>
        <w:t>固始县发固资产运营有限公司</w:t>
      </w:r>
    </w:p>
    <w:p w14:paraId="24A3CC90">
      <w:pPr>
        <w:keepNext w:val="0"/>
        <w:keepLines w:val="0"/>
        <w:pageBreakBefore w:val="0"/>
        <w:kinsoku/>
        <w:wordWrap w:val="0"/>
        <w:overflowPunct w:val="0"/>
        <w:topLinePunct/>
        <w:autoSpaceDE w:val="0"/>
        <w:autoSpaceDN w:val="0"/>
        <w:bidi w:val="0"/>
        <w:spacing w:before="152" w:line="360" w:lineRule="auto"/>
        <w:jc w:val="center"/>
        <w:rPr>
          <w:rFonts w:hint="eastAsia" w:asciiTheme="majorEastAsia" w:hAnsiTheme="majorEastAsia" w:eastAsiaTheme="majorEastAsia" w:cstheme="majorEastAsia"/>
          <w:color w:val="auto"/>
          <w:spacing w:val="12"/>
          <w:sz w:val="52"/>
          <w:szCs w:val="52"/>
          <w:highlight w:val="none"/>
          <w:lang w:val="en-US" w:eastAsia="zh-CN"/>
          <w14:textOutline w14:w="8630" w14:cap="flat" w14:cmpd="sng">
            <w14:solidFill>
              <w14:srgbClr w14:val="000000"/>
            </w14:solidFill>
            <w14:prstDash w14:val="solid"/>
            <w14:miter w14:val="0"/>
          </w14:textOutline>
        </w:rPr>
      </w:pPr>
      <w:r>
        <w:rPr>
          <w:rFonts w:hint="eastAsia" w:asciiTheme="majorEastAsia" w:hAnsiTheme="majorEastAsia" w:eastAsiaTheme="majorEastAsia" w:cstheme="majorEastAsia"/>
          <w:color w:val="auto"/>
          <w:spacing w:val="12"/>
          <w:sz w:val="52"/>
          <w:szCs w:val="52"/>
          <w:highlight w:val="none"/>
          <w:lang w:val="en-US" w:eastAsia="zh-CN"/>
          <w14:textOutline w14:w="8630" w14:cap="flat" w14:cmpd="sng">
            <w14:solidFill>
              <w14:srgbClr w14:val="000000"/>
            </w14:solidFill>
            <w14:prstDash w14:val="solid"/>
            <w14:miter w14:val="0"/>
          </w14:textOutline>
        </w:rPr>
        <w:t>固始县针织服装产业园2025-2026年度</w:t>
      </w:r>
    </w:p>
    <w:p w14:paraId="51127419">
      <w:pPr>
        <w:keepNext w:val="0"/>
        <w:keepLines w:val="0"/>
        <w:pageBreakBefore w:val="0"/>
        <w:kinsoku/>
        <w:wordWrap w:val="0"/>
        <w:overflowPunct w:val="0"/>
        <w:topLinePunct/>
        <w:autoSpaceDE w:val="0"/>
        <w:autoSpaceDN w:val="0"/>
        <w:bidi w:val="0"/>
        <w:spacing w:before="152" w:line="360" w:lineRule="auto"/>
        <w:jc w:val="center"/>
        <w:rPr>
          <w:rFonts w:hint="eastAsia" w:asciiTheme="majorEastAsia" w:hAnsiTheme="majorEastAsia" w:eastAsiaTheme="majorEastAsia" w:cstheme="majorEastAsia"/>
          <w:color w:val="auto"/>
          <w:spacing w:val="12"/>
          <w:sz w:val="52"/>
          <w:szCs w:val="52"/>
          <w:highlight w:val="none"/>
          <w:lang w:eastAsia="zh-CN"/>
          <w14:textOutline w14:w="8630" w14:cap="flat" w14:cmpd="sng">
            <w14:solidFill>
              <w14:srgbClr w14:val="000000"/>
            </w14:solidFill>
            <w14:prstDash w14:val="solid"/>
            <w14:miter w14:val="0"/>
          </w14:textOutline>
        </w:rPr>
      </w:pPr>
      <w:r>
        <w:rPr>
          <w:rFonts w:hint="eastAsia" w:asciiTheme="majorEastAsia" w:hAnsiTheme="majorEastAsia" w:eastAsiaTheme="majorEastAsia" w:cstheme="majorEastAsia"/>
          <w:color w:val="auto"/>
          <w:spacing w:val="12"/>
          <w:sz w:val="52"/>
          <w:szCs w:val="52"/>
          <w:highlight w:val="none"/>
          <w:lang w:val="en-US" w:eastAsia="zh-CN"/>
          <w14:textOutline w14:w="8630" w14:cap="flat" w14:cmpd="sng">
            <w14:solidFill>
              <w14:srgbClr w14:val="000000"/>
            </w14:solidFill>
            <w14:prstDash w14:val="solid"/>
            <w14:miter w14:val="0"/>
          </w14:textOutline>
        </w:rPr>
        <w:t>物业管理招标项目</w:t>
      </w:r>
      <w:r>
        <w:rPr>
          <w:rFonts w:hint="eastAsia" w:asciiTheme="majorEastAsia" w:hAnsiTheme="majorEastAsia" w:eastAsiaTheme="majorEastAsia" w:cstheme="majorEastAsia"/>
          <w:color w:val="auto"/>
          <w:spacing w:val="12"/>
          <w:sz w:val="52"/>
          <w:szCs w:val="52"/>
          <w:highlight w:val="none"/>
          <w:lang w:eastAsia="zh-CN"/>
          <w14:textOutline w14:w="8630" w14:cap="flat" w14:cmpd="sng">
            <w14:solidFill>
              <w14:srgbClr w14:val="000000"/>
            </w14:solidFill>
            <w14:prstDash w14:val="solid"/>
            <w14:miter w14:val="0"/>
          </w14:textOutline>
        </w:rPr>
        <w:t>竞争性磋商文件</w:t>
      </w:r>
    </w:p>
    <w:p w14:paraId="1C7BD95F">
      <w:pPr>
        <w:pStyle w:val="33"/>
        <w:rPr>
          <w:rFonts w:hint="eastAsia"/>
        </w:rPr>
      </w:pPr>
    </w:p>
    <w:p w14:paraId="060952DE">
      <w:pPr>
        <w:keepNext w:val="0"/>
        <w:keepLines w:val="0"/>
        <w:pageBreakBefore w:val="0"/>
        <w:kinsoku/>
        <w:wordWrap w:val="0"/>
        <w:overflowPunct w:val="0"/>
        <w:topLinePunct/>
        <w:autoSpaceDE w:val="0"/>
        <w:autoSpaceDN w:val="0"/>
        <w:bidi w:val="0"/>
        <w:spacing w:before="234" w:line="220" w:lineRule="auto"/>
        <w:jc w:val="center"/>
        <w:rPr>
          <w:rFonts w:hint="default" w:ascii="宋体" w:hAnsi="宋体" w:eastAsia="宋体" w:cs="宋体"/>
          <w:b w:val="0"/>
          <w:bCs w:val="0"/>
          <w:color w:val="auto"/>
          <w:spacing w:val="10"/>
          <w:sz w:val="32"/>
          <w:szCs w:val="32"/>
          <w:highlight w:val="none"/>
          <w:lang w:val="en-US" w:eastAsia="zh-CN"/>
          <w14:textOutline w14:w="6540" w14:cap="flat" w14:cmpd="sng">
            <w14:solidFill>
              <w14:srgbClr w14:val="000000"/>
            </w14:solidFill>
            <w14:prstDash w14:val="solid"/>
            <w14:miter w14:val="0"/>
          </w14:textOutline>
        </w:rPr>
      </w:pPr>
      <w:r>
        <w:rPr>
          <w:rFonts w:hint="eastAsia" w:ascii="宋体" w:hAnsi="宋体" w:eastAsia="宋体" w:cs="宋体"/>
          <w:b w:val="0"/>
          <w:bCs w:val="0"/>
          <w:color w:val="auto"/>
          <w:spacing w:val="14"/>
          <w:sz w:val="32"/>
          <w:szCs w:val="32"/>
          <w:highlight w:val="none"/>
          <w14:textOutline w14:w="6540" w14:cap="flat" w14:cmpd="sng">
            <w14:solidFill>
              <w14:srgbClr w14:val="000000"/>
            </w14:solidFill>
            <w14:prstDash w14:val="solid"/>
            <w14:miter w14:val="0"/>
          </w14:textOutline>
        </w:rPr>
        <w:t>采</w:t>
      </w:r>
      <w:r>
        <w:rPr>
          <w:rFonts w:hint="eastAsia" w:ascii="宋体" w:hAnsi="宋体" w:eastAsia="宋体" w:cs="宋体"/>
          <w:b w:val="0"/>
          <w:bCs w:val="0"/>
          <w:color w:val="auto"/>
          <w:spacing w:val="10"/>
          <w:sz w:val="32"/>
          <w:szCs w:val="32"/>
          <w:highlight w:val="none"/>
          <w14:textOutline w14:w="6540" w14:cap="flat" w14:cmpd="sng">
            <w14:solidFill>
              <w14:srgbClr w14:val="000000"/>
            </w14:solidFill>
            <w14:prstDash w14:val="solid"/>
            <w14:miter w14:val="0"/>
          </w14:textOutline>
        </w:rPr>
        <w:t>购编号：</w:t>
      </w:r>
      <w:r>
        <w:rPr>
          <w:rFonts w:hint="eastAsia" w:ascii="宋体" w:hAnsi="宋体" w:eastAsia="宋体" w:cs="宋体"/>
          <w:b w:val="0"/>
          <w:bCs w:val="0"/>
          <w:color w:val="auto"/>
          <w:spacing w:val="10"/>
          <w:sz w:val="32"/>
          <w:szCs w:val="32"/>
          <w:highlight w:val="none"/>
          <w:lang w:val="en-US" w:eastAsia="zh-CN"/>
          <w14:textOutline w14:w="6540" w14:cap="flat" w14:cmpd="sng">
            <w14:solidFill>
              <w14:srgbClr w14:val="000000"/>
            </w14:solidFill>
            <w14:prstDash w14:val="solid"/>
            <w14:miter w14:val="0"/>
          </w14:textOutline>
        </w:rPr>
        <w:t>固财磋商采购-2025-32</w:t>
      </w:r>
    </w:p>
    <w:p w14:paraId="2776D42C">
      <w:pPr>
        <w:keepNext w:val="0"/>
        <w:keepLines w:val="0"/>
        <w:pageBreakBefore w:val="0"/>
        <w:kinsoku/>
        <w:wordWrap w:val="0"/>
        <w:overflowPunct w:val="0"/>
        <w:topLinePunct/>
        <w:autoSpaceDE w:val="0"/>
        <w:autoSpaceDN w:val="0"/>
        <w:bidi w:val="0"/>
        <w:spacing w:line="263" w:lineRule="auto"/>
        <w:rPr>
          <w:rFonts w:hint="eastAsia" w:ascii="宋体" w:hAnsi="宋体" w:eastAsia="宋体" w:cs="宋体"/>
          <w:color w:val="auto"/>
          <w:sz w:val="21"/>
          <w:highlight w:val="none"/>
          <w:lang w:val="en-US" w:eastAsia="zh-CN"/>
        </w:rPr>
      </w:pPr>
    </w:p>
    <w:p w14:paraId="7FE6A456">
      <w:pPr>
        <w:pStyle w:val="5"/>
        <w:rPr>
          <w:rFonts w:hint="eastAsia" w:ascii="宋体" w:hAnsi="宋体" w:eastAsia="宋体" w:cs="宋体"/>
          <w:color w:val="auto"/>
          <w:sz w:val="21"/>
          <w:highlight w:val="none"/>
          <w:lang w:val="en-US" w:eastAsia="zh-CN"/>
        </w:rPr>
      </w:pPr>
    </w:p>
    <w:p w14:paraId="2C367CD8">
      <w:pPr>
        <w:pStyle w:val="6"/>
        <w:rPr>
          <w:rFonts w:hint="eastAsia"/>
          <w:lang w:val="en-US" w:eastAsia="zh-CN"/>
        </w:rPr>
      </w:pPr>
    </w:p>
    <w:p w14:paraId="47DCE9E1">
      <w:pPr>
        <w:keepNext w:val="0"/>
        <w:keepLines w:val="0"/>
        <w:pageBreakBefore w:val="0"/>
        <w:kinsoku/>
        <w:wordWrap w:val="0"/>
        <w:overflowPunct w:val="0"/>
        <w:topLinePunct/>
        <w:autoSpaceDE w:val="0"/>
        <w:autoSpaceDN w:val="0"/>
        <w:bidi w:val="0"/>
        <w:spacing w:line="263" w:lineRule="auto"/>
        <w:jc w:val="center"/>
        <w:rPr>
          <w:rFonts w:hint="eastAsia" w:ascii="宋体" w:hAnsi="宋体" w:eastAsia="宋体" w:cs="宋体"/>
          <w:color w:val="auto"/>
          <w:sz w:val="21"/>
          <w:highlight w:val="none"/>
        </w:rPr>
      </w:pPr>
    </w:p>
    <w:p w14:paraId="299F59F2">
      <w:pPr>
        <w:keepNext w:val="0"/>
        <w:keepLines w:val="0"/>
        <w:pageBreakBefore w:val="0"/>
        <w:kinsoku/>
        <w:wordWrap w:val="0"/>
        <w:overflowPunct w:val="0"/>
        <w:topLinePunct/>
        <w:autoSpaceDE w:val="0"/>
        <w:autoSpaceDN w:val="0"/>
        <w:bidi w:val="0"/>
        <w:spacing w:line="263" w:lineRule="auto"/>
        <w:jc w:val="center"/>
        <w:rPr>
          <w:rFonts w:hint="eastAsia" w:ascii="宋体" w:hAnsi="宋体" w:eastAsia="宋体" w:cs="宋体"/>
          <w:color w:val="auto"/>
          <w:sz w:val="21"/>
          <w:highlight w:val="none"/>
        </w:rPr>
      </w:pPr>
      <w:r>
        <w:rPr>
          <w:rFonts w:hint="eastAsia" w:ascii="宋体" w:hAnsi="宋体" w:eastAsia="宋体" w:cs="宋体"/>
          <w:color w:val="auto"/>
          <w:highlight w:val="none"/>
          <w:lang w:eastAsia="zh-CN"/>
        </w:rPr>
        <w:drawing>
          <wp:inline distT="0" distB="0" distL="114300" distR="114300">
            <wp:extent cx="2051050" cy="2051050"/>
            <wp:effectExtent l="0" t="0" r="0" b="0"/>
            <wp:docPr id="1" name="图片 1" descr="采购中心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采购中心标识"/>
                    <pic:cNvPicPr>
                      <a:picLocks noChangeAspect="1"/>
                    </pic:cNvPicPr>
                  </pic:nvPicPr>
                  <pic:blipFill>
                    <a:blip r:embed="rId17"/>
                    <a:stretch>
                      <a:fillRect/>
                    </a:stretch>
                  </pic:blipFill>
                  <pic:spPr>
                    <a:xfrm>
                      <a:off x="0" y="0"/>
                      <a:ext cx="2051050" cy="2051050"/>
                    </a:xfrm>
                    <a:prstGeom prst="rect">
                      <a:avLst/>
                    </a:prstGeom>
                  </pic:spPr>
                </pic:pic>
              </a:graphicData>
            </a:graphic>
          </wp:inline>
        </w:drawing>
      </w:r>
    </w:p>
    <w:p w14:paraId="6576514D">
      <w:pPr>
        <w:keepNext w:val="0"/>
        <w:keepLines w:val="0"/>
        <w:pageBreakBefore w:val="0"/>
        <w:kinsoku/>
        <w:wordWrap w:val="0"/>
        <w:overflowPunct w:val="0"/>
        <w:topLinePunct/>
        <w:autoSpaceDE w:val="0"/>
        <w:autoSpaceDN w:val="0"/>
        <w:bidi w:val="0"/>
        <w:spacing w:line="240" w:lineRule="auto"/>
        <w:ind w:firstLine="3395"/>
        <w:textAlignment w:val="center"/>
        <w:rPr>
          <w:rFonts w:hint="eastAsia" w:ascii="宋体" w:hAnsi="宋体" w:eastAsia="宋体" w:cs="宋体"/>
          <w:color w:val="auto"/>
          <w:highlight w:val="none"/>
          <w:lang w:eastAsia="zh-CN"/>
        </w:rPr>
      </w:pPr>
    </w:p>
    <w:p w14:paraId="6B0DC187">
      <w:pPr>
        <w:pStyle w:val="33"/>
        <w:rPr>
          <w:rFonts w:hint="eastAsia"/>
          <w:lang w:eastAsia="zh-CN"/>
        </w:rPr>
      </w:pPr>
    </w:p>
    <w:p w14:paraId="0AFA51F5">
      <w:pPr>
        <w:keepNext w:val="0"/>
        <w:keepLines w:val="0"/>
        <w:pageBreakBefore w:val="0"/>
        <w:kinsoku/>
        <w:wordWrap w:val="0"/>
        <w:overflowPunct w:val="0"/>
        <w:topLinePunct/>
        <w:autoSpaceDE w:val="0"/>
        <w:autoSpaceDN w:val="0"/>
        <w:bidi w:val="0"/>
        <w:spacing w:line="240" w:lineRule="auto"/>
        <w:ind w:firstLine="3395"/>
        <w:textAlignment w:val="center"/>
        <w:rPr>
          <w:rFonts w:hint="eastAsia" w:ascii="宋体" w:hAnsi="宋体" w:eastAsia="宋体" w:cs="宋体"/>
          <w:color w:val="auto"/>
          <w:highlight w:val="none"/>
          <w:lang w:eastAsia="zh-CN"/>
        </w:rPr>
      </w:pPr>
    </w:p>
    <w:p w14:paraId="3CD17F20">
      <w:pPr>
        <w:keepNext w:val="0"/>
        <w:keepLines w:val="0"/>
        <w:pageBreakBefore w:val="0"/>
        <w:kinsoku/>
        <w:wordWrap w:val="0"/>
        <w:overflowPunct w:val="0"/>
        <w:topLinePunct/>
        <w:autoSpaceDE w:val="0"/>
        <w:autoSpaceDN w:val="0"/>
        <w:bidi w:val="0"/>
        <w:spacing w:line="246" w:lineRule="auto"/>
        <w:rPr>
          <w:rFonts w:hint="eastAsia" w:ascii="宋体" w:hAnsi="宋体" w:eastAsia="宋体" w:cs="宋体"/>
          <w:color w:val="auto"/>
          <w:sz w:val="21"/>
          <w:highlight w:val="none"/>
        </w:rPr>
      </w:pPr>
    </w:p>
    <w:p w14:paraId="4CB228E4">
      <w:pPr>
        <w:keepNext w:val="0"/>
        <w:keepLines w:val="0"/>
        <w:pageBreakBefore w:val="0"/>
        <w:kinsoku/>
        <w:wordWrap w:val="0"/>
        <w:overflowPunct w:val="0"/>
        <w:topLinePunct/>
        <w:autoSpaceDE w:val="0"/>
        <w:autoSpaceDN w:val="0"/>
        <w:bidi w:val="0"/>
        <w:spacing w:line="247" w:lineRule="auto"/>
        <w:rPr>
          <w:rFonts w:hint="eastAsia" w:ascii="宋体" w:hAnsi="宋体" w:eastAsia="宋体" w:cs="宋体"/>
          <w:color w:val="auto"/>
          <w:sz w:val="21"/>
          <w:highlight w:val="none"/>
        </w:rPr>
      </w:pPr>
    </w:p>
    <w:p w14:paraId="68A7F06E">
      <w:pPr>
        <w:keepNext w:val="0"/>
        <w:keepLines w:val="0"/>
        <w:pageBreakBefore w:val="0"/>
        <w:widowControl/>
        <w:kinsoku/>
        <w:wordWrap w:val="0"/>
        <w:overflowPunct w:val="0"/>
        <w:topLinePunct/>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b w:val="0"/>
          <w:bCs w:val="0"/>
          <w:color w:val="auto"/>
          <w:sz w:val="32"/>
          <w:szCs w:val="32"/>
          <w:highlight w:val="none"/>
          <w:lang w:val="en-US" w:eastAsia="zh-CN"/>
        </w:rPr>
      </w:pPr>
      <w:bookmarkStart w:id="0" w:name="_Toc32539"/>
      <w:bookmarkStart w:id="1" w:name="_Toc32220"/>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rPr>
        <w:t>采购人：</w:t>
      </w:r>
      <w:bookmarkEnd w:id="0"/>
      <w:bookmarkEnd w:id="1"/>
      <w:r>
        <w:rPr>
          <w:rFonts w:hint="eastAsia" w:ascii="宋体" w:hAnsi="宋体" w:eastAsia="宋体" w:cs="宋体"/>
          <w:b w:val="0"/>
          <w:bCs w:val="0"/>
          <w:color w:val="auto"/>
          <w:sz w:val="32"/>
          <w:szCs w:val="32"/>
          <w:highlight w:val="none"/>
          <w:lang w:val="en-US" w:eastAsia="zh-CN"/>
        </w:rPr>
        <w:t>固始县发固资产运营有限公司</w:t>
      </w:r>
    </w:p>
    <w:p w14:paraId="30635721">
      <w:pPr>
        <w:keepNext w:val="0"/>
        <w:keepLines w:val="0"/>
        <w:pageBreakBefore w:val="0"/>
        <w:widowControl/>
        <w:kinsoku/>
        <w:wordWrap w:val="0"/>
        <w:overflowPunct w:val="0"/>
        <w:topLinePunct/>
        <w:autoSpaceDE w:val="0"/>
        <w:autoSpaceDN w:val="0"/>
        <w:bidi w:val="0"/>
        <w:adjustRightInd w:val="0"/>
        <w:snapToGrid w:val="0"/>
        <w:spacing w:line="360" w:lineRule="auto"/>
        <w:ind w:left="0" w:leftChars="0" w:firstLine="0" w:firstLineChars="0"/>
        <w:jc w:val="center"/>
        <w:textAlignment w:val="baseline"/>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rPr>
        <w:t>采购代理机构：</w:t>
      </w:r>
      <w:r>
        <w:rPr>
          <w:rFonts w:hint="eastAsia" w:ascii="宋体" w:hAnsi="宋体" w:eastAsia="宋体" w:cs="宋体"/>
          <w:b w:val="0"/>
          <w:bCs w:val="0"/>
          <w:color w:val="auto"/>
          <w:sz w:val="32"/>
          <w:szCs w:val="32"/>
          <w:highlight w:val="none"/>
          <w:lang w:val="en-US" w:eastAsia="zh-CN"/>
        </w:rPr>
        <w:t>固始县采购中心</w:t>
      </w:r>
    </w:p>
    <w:p w14:paraId="0E1912AA">
      <w:pPr>
        <w:keepNext w:val="0"/>
        <w:keepLines w:val="0"/>
        <w:pageBreakBefore w:val="0"/>
        <w:widowControl/>
        <w:kinsoku/>
        <w:wordWrap w:val="0"/>
        <w:overflowPunct w:val="0"/>
        <w:topLinePunct/>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二〇二</w:t>
      </w:r>
      <w:r>
        <w:rPr>
          <w:rFonts w:hint="eastAsia" w:ascii="宋体" w:hAnsi="宋体" w:eastAsia="宋体" w:cs="宋体"/>
          <w:b w:val="0"/>
          <w:bCs w:val="0"/>
          <w:color w:val="auto"/>
          <w:sz w:val="32"/>
          <w:szCs w:val="32"/>
          <w:highlight w:val="none"/>
          <w:lang w:val="en-US" w:eastAsia="zh-CN"/>
        </w:rPr>
        <w:t>五</w:t>
      </w:r>
      <w:r>
        <w:rPr>
          <w:rFonts w:hint="eastAsia" w:ascii="宋体" w:hAnsi="宋体" w:eastAsia="宋体" w:cs="宋体"/>
          <w:b w:val="0"/>
          <w:bCs w:val="0"/>
          <w:color w:val="auto"/>
          <w:sz w:val="32"/>
          <w:szCs w:val="32"/>
          <w:highlight w:val="none"/>
        </w:rPr>
        <w:t>年</w:t>
      </w:r>
      <w:r>
        <w:rPr>
          <w:rFonts w:hint="eastAsia" w:ascii="宋体" w:hAnsi="宋体" w:eastAsia="宋体" w:cs="宋体"/>
          <w:b w:val="0"/>
          <w:bCs w:val="0"/>
          <w:color w:val="auto"/>
          <w:sz w:val="32"/>
          <w:szCs w:val="32"/>
          <w:highlight w:val="none"/>
          <w:lang w:val="en-US" w:eastAsia="zh-CN"/>
        </w:rPr>
        <w:t>九</w:t>
      </w:r>
      <w:r>
        <w:rPr>
          <w:rFonts w:hint="eastAsia" w:ascii="宋体" w:hAnsi="宋体" w:eastAsia="宋体" w:cs="宋体"/>
          <w:b w:val="0"/>
          <w:bCs w:val="0"/>
          <w:color w:val="auto"/>
          <w:sz w:val="32"/>
          <w:szCs w:val="32"/>
          <w:highlight w:val="none"/>
        </w:rPr>
        <w:t>月</w:t>
      </w:r>
    </w:p>
    <w:p w14:paraId="6D7144B6">
      <w:pPr>
        <w:keepNext w:val="0"/>
        <w:keepLines w:val="0"/>
        <w:pageBreakBefore w:val="0"/>
        <w:kinsoku/>
        <w:wordWrap w:val="0"/>
        <w:overflowPunct w:val="0"/>
        <w:topLinePunct/>
        <w:autoSpaceDE w:val="0"/>
        <w:autoSpaceDN w:val="0"/>
        <w:bidi w:val="0"/>
        <w:ind w:left="0" w:leftChars="0" w:firstLine="0" w:firstLineChars="0"/>
        <w:jc w:val="center"/>
        <w:rPr>
          <w:rFonts w:hint="eastAsia" w:ascii="宋体" w:hAnsi="宋体" w:eastAsia="宋体" w:cs="宋体"/>
          <w:color w:val="auto"/>
          <w:highlight w:val="none"/>
        </w:rPr>
      </w:pPr>
    </w:p>
    <w:p w14:paraId="5929537C">
      <w:pPr>
        <w:tabs>
          <w:tab w:val="left" w:pos="3517"/>
        </w:tabs>
        <w:bidi w:val="0"/>
        <w:jc w:val="left"/>
      </w:pPr>
      <w:r>
        <w:rPr>
          <w:rFonts w:hint="eastAsia" w:eastAsia="宋体" w:cs="Arial"/>
          <w:snapToGrid w:val="0"/>
          <w:color w:val="000000"/>
          <w:kern w:val="0"/>
          <w:sz w:val="21"/>
          <w:szCs w:val="21"/>
          <w:lang w:eastAsia="zh-CN"/>
        </w:rPr>
        <w:tab/>
      </w:r>
    </w:p>
    <w:sdt>
      <w:sdtPr>
        <w:rPr>
          <w:rFonts w:hint="eastAsia" w:ascii="宋体" w:hAnsi="宋体" w:eastAsia="宋体" w:cs="宋体"/>
          <w:b/>
          <w:bCs/>
          <w:snapToGrid w:val="0"/>
          <w:color w:val="auto"/>
          <w:kern w:val="0"/>
          <w:sz w:val="52"/>
          <w:szCs w:val="52"/>
          <w:highlight w:val="none"/>
        </w:rPr>
        <w:id w:val="147465218"/>
        <w15:color w:val="DBDBDB"/>
        <w:docPartObj>
          <w:docPartGallery w:val="Table of Contents"/>
          <w:docPartUnique/>
        </w:docPartObj>
      </w:sdtPr>
      <w:sdtEndPr>
        <w:rPr>
          <w:rFonts w:hint="eastAsia" w:ascii="宋体" w:hAnsi="宋体" w:eastAsia="宋体" w:cs="宋体"/>
          <w:b/>
          <w:bCs/>
          <w:snapToGrid w:val="0"/>
          <w:color w:val="auto"/>
          <w:kern w:val="0"/>
          <w:sz w:val="52"/>
          <w:szCs w:val="52"/>
          <w:highlight w:val="none"/>
        </w:rPr>
      </w:sdtEndPr>
      <w:sdtContent>
        <w:p w14:paraId="5F6BECFF">
          <w:pPr>
            <w:tabs>
              <w:tab w:val="left" w:pos="3517"/>
            </w:tabs>
            <w:bidi w:val="0"/>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目</w:t>
          </w:r>
          <w:r>
            <w:rPr>
              <w:rFonts w:hint="eastAsia" w:ascii="宋体" w:hAnsi="宋体" w:eastAsia="宋体" w:cs="宋体"/>
              <w:b/>
              <w:bCs/>
              <w:color w:val="auto"/>
              <w:sz w:val="52"/>
              <w:szCs w:val="52"/>
              <w:highlight w:val="none"/>
              <w:lang w:val="en-US" w:eastAsia="zh-CN"/>
            </w:rPr>
            <w:t xml:space="preserve">  </w:t>
          </w:r>
          <w:r>
            <w:rPr>
              <w:rFonts w:hint="eastAsia" w:ascii="宋体" w:hAnsi="宋体" w:eastAsia="宋体" w:cs="宋体"/>
              <w:b/>
              <w:bCs/>
              <w:color w:val="auto"/>
              <w:sz w:val="52"/>
              <w:szCs w:val="52"/>
              <w:highlight w:val="none"/>
            </w:rPr>
            <w:t>录</w:t>
          </w:r>
        </w:p>
        <w:p w14:paraId="49B0F5C2">
          <w:pPr>
            <w:pStyle w:val="17"/>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p w14:paraId="2866D6C2">
          <w:pPr>
            <w:pStyle w:val="18"/>
            <w:rPr>
              <w:rFonts w:hint="eastAsia" w:ascii="宋体" w:hAnsi="宋体" w:eastAsia="宋体" w:cs="宋体"/>
              <w:color w:val="auto"/>
              <w:highlight w:val="none"/>
            </w:rPr>
          </w:pPr>
        </w:p>
        <w:p w14:paraId="531DE87C">
          <w:pPr>
            <w:rPr>
              <w:rFonts w:hint="eastAsia"/>
            </w:rPr>
          </w:pPr>
        </w:p>
        <w:p w14:paraId="1FF0D07C">
          <w:pPr>
            <w:pStyle w:val="38"/>
            <w:keepNext w:val="0"/>
            <w:keepLines w:val="0"/>
            <w:pageBreakBefore w:val="0"/>
            <w:widowControl/>
            <w:tabs>
              <w:tab w:val="right" w:leader="dot" w:pos="9686"/>
            </w:tabs>
            <w:kinsoku/>
            <w:wordWrap w:val="0"/>
            <w:overflowPunct w:val="0"/>
            <w:topLinePunct/>
            <w:autoSpaceDE w:val="0"/>
            <w:autoSpaceDN w:val="0"/>
            <w:bidi w:val="0"/>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_Toc7508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18"/>
              <w:sz w:val="28"/>
              <w:szCs w:val="28"/>
              <w:highlight w:val="none"/>
              <w14:textOutline w14:w="5756" w14:cap="flat" w14:cmpd="sng">
                <w14:solidFill>
                  <w14:srgbClr w14:val="000000"/>
                </w14:solidFill>
                <w14:prstDash w14:val="solid"/>
                <w14:miter w14:val="0"/>
              </w14:textOutline>
            </w:rPr>
            <w:t>第一章</w:t>
          </w:r>
          <w:r>
            <w:rPr>
              <w:rFonts w:hint="eastAsia" w:ascii="宋体" w:hAnsi="宋体" w:eastAsia="宋体" w:cs="宋体"/>
              <w:color w:val="auto"/>
              <w:spacing w:val="18"/>
              <w:sz w:val="28"/>
              <w:szCs w:val="28"/>
              <w:highlight w:val="none"/>
            </w:rPr>
            <w:t xml:space="preserve"> </w:t>
          </w:r>
          <w:r>
            <w:rPr>
              <w:rFonts w:hint="eastAsia" w:ascii="宋体" w:hAnsi="宋体" w:cs="宋体"/>
              <w:color w:val="auto"/>
              <w:spacing w:val="18"/>
              <w:sz w:val="28"/>
              <w:szCs w:val="28"/>
              <w:highlight w:val="none"/>
              <w:lang w:val="en-US" w:eastAsia="zh-CN"/>
              <w14:textOutline w14:w="5756" w14:cap="flat" w14:cmpd="sng">
                <w14:solidFill>
                  <w14:srgbClr w14:val="000000"/>
                </w14:solidFill>
                <w14:prstDash w14:val="solid"/>
                <w14:miter w14:val="0"/>
              </w14:textOutline>
            </w:rPr>
            <w:t>竞争性磋商</w:t>
          </w:r>
          <w:r>
            <w:rPr>
              <w:rFonts w:hint="eastAsia" w:ascii="宋体" w:hAnsi="宋体" w:eastAsia="宋体" w:cs="宋体"/>
              <w:color w:val="auto"/>
              <w:spacing w:val="18"/>
              <w:sz w:val="28"/>
              <w:szCs w:val="28"/>
              <w:highlight w:val="none"/>
              <w14:textOutline w14:w="5756" w14:cap="flat" w14:cmpd="sng">
                <w14:solidFill>
                  <w14:srgbClr w14:val="000000"/>
                </w14:solidFill>
                <w14:prstDash w14:val="solid"/>
                <w14:miter w14:val="0"/>
              </w14:textOutline>
            </w:rPr>
            <w:t>公</w:t>
          </w:r>
          <w:r>
            <w:rPr>
              <w:rFonts w:hint="eastAsia" w:ascii="宋体" w:hAnsi="宋体" w:eastAsia="宋体" w:cs="宋体"/>
              <w:color w:val="auto"/>
              <w:spacing w:val="16"/>
              <w:sz w:val="28"/>
              <w:szCs w:val="28"/>
              <w:highlight w:val="none"/>
              <w14:textOutline w14:w="5756" w14:cap="flat" w14:cmpd="sng">
                <w14:solidFill>
                  <w14:srgbClr w14:val="000000"/>
                </w14:solidFill>
                <w14:prstDash w14:val="solid"/>
                <w14:miter w14:val="0"/>
              </w14:textOutline>
            </w:rPr>
            <w:t>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_Toc7508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4AD3B95">
          <w:pPr>
            <w:pStyle w:val="38"/>
            <w:keepNext w:val="0"/>
            <w:keepLines w:val="0"/>
            <w:pageBreakBefore w:val="0"/>
            <w:widowControl/>
            <w:tabs>
              <w:tab w:val="right" w:leader="dot" w:pos="9686"/>
            </w:tabs>
            <w:kinsoku/>
            <w:wordWrap w:val="0"/>
            <w:overflowPunct w:val="0"/>
            <w:topLinePunct/>
            <w:autoSpaceDE w:val="0"/>
            <w:autoSpaceDN w:val="0"/>
            <w:bidi w:val="0"/>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_Toc12418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20"/>
              <w:sz w:val="28"/>
              <w:szCs w:val="28"/>
              <w:highlight w:val="none"/>
              <w14:textOutline w14:w="5756" w14:cap="flat" w14:cmpd="sng">
                <w14:solidFill>
                  <w14:srgbClr w14:val="000000"/>
                </w14:solidFill>
                <w14:prstDash w14:val="solid"/>
                <w14:miter w14:val="0"/>
              </w14:textOutline>
            </w:rPr>
            <w:t>第</w:t>
          </w:r>
          <w:r>
            <w:rPr>
              <w:rFonts w:hint="eastAsia" w:ascii="宋体" w:hAnsi="宋体" w:eastAsia="宋体" w:cs="宋体"/>
              <w:color w:val="auto"/>
              <w:spacing w:val="18"/>
              <w:sz w:val="28"/>
              <w:szCs w:val="28"/>
              <w:highlight w:val="none"/>
              <w14:textOutline w14:w="5756" w14:cap="flat" w14:cmpd="sng">
                <w14:solidFill>
                  <w14:srgbClr w14:val="000000"/>
                </w14:solidFill>
                <w14:prstDash w14:val="solid"/>
                <w14:miter w14:val="0"/>
              </w14:textOutline>
            </w:rPr>
            <w:t>二章</w:t>
          </w:r>
          <w:r>
            <w:rPr>
              <w:rFonts w:hint="eastAsia" w:ascii="宋体" w:hAnsi="宋体" w:eastAsia="宋体" w:cs="宋体"/>
              <w:color w:val="auto"/>
              <w:spacing w:val="18"/>
              <w:sz w:val="28"/>
              <w:szCs w:val="28"/>
              <w:highlight w:val="none"/>
            </w:rPr>
            <w:t xml:space="preserve"> </w:t>
          </w:r>
          <w:r>
            <w:rPr>
              <w:rFonts w:hint="eastAsia" w:ascii="宋体" w:hAnsi="宋体" w:eastAsia="宋体" w:cs="宋体"/>
              <w:color w:val="auto"/>
              <w:spacing w:val="18"/>
              <w:sz w:val="28"/>
              <w:szCs w:val="28"/>
              <w:highlight w:val="none"/>
              <w14:textOutline w14:w="5756" w14:cap="flat" w14:cmpd="sng">
                <w14:solidFill>
                  <w14:srgbClr w14:val="000000"/>
                </w14:solidFill>
                <w14:prstDash w14:val="solid"/>
                <w14:miter w14:val="0"/>
              </w14:textOutline>
            </w:rPr>
            <w:t>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_Toc12418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36AC44F">
          <w:pPr>
            <w:pStyle w:val="38"/>
            <w:keepNext w:val="0"/>
            <w:keepLines w:val="0"/>
            <w:pageBreakBefore w:val="0"/>
            <w:widowControl/>
            <w:tabs>
              <w:tab w:val="right" w:leader="dot" w:pos="9686"/>
            </w:tabs>
            <w:kinsoku/>
            <w:wordWrap w:val="0"/>
            <w:overflowPunct w:val="0"/>
            <w:topLinePunct/>
            <w:autoSpaceDE w:val="0"/>
            <w:autoSpaceDN w:val="0"/>
            <w:bidi w:val="0"/>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_Toc11735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33"/>
              <w:sz w:val="28"/>
              <w:szCs w:val="28"/>
              <w:highlight w:val="none"/>
              <w14:textOutline w14:w="5756" w14:cap="flat" w14:cmpd="sng">
                <w14:solidFill>
                  <w14:srgbClr w14:val="000000"/>
                </w14:solidFill>
                <w14:prstDash w14:val="solid"/>
                <w14:miter w14:val="0"/>
              </w14:textOutline>
            </w:rPr>
            <w:t>第</w:t>
          </w:r>
          <w:r>
            <w:rPr>
              <w:rFonts w:hint="eastAsia" w:ascii="宋体" w:hAnsi="宋体" w:eastAsia="宋体" w:cs="宋体"/>
              <w:color w:val="auto"/>
              <w:spacing w:val="28"/>
              <w:sz w:val="28"/>
              <w:szCs w:val="28"/>
              <w:highlight w:val="none"/>
              <w14:textOutline w14:w="5756" w14:cap="flat" w14:cmpd="sng">
                <w14:solidFill>
                  <w14:srgbClr w14:val="000000"/>
                </w14:solidFill>
                <w14:prstDash w14:val="solid"/>
                <w14:miter w14:val="0"/>
              </w14:textOutline>
            </w:rPr>
            <w:t>三章</w:t>
          </w:r>
          <w:r>
            <w:rPr>
              <w:rFonts w:hint="eastAsia" w:ascii="宋体" w:hAnsi="宋体" w:eastAsia="宋体" w:cs="宋体"/>
              <w:color w:val="auto"/>
              <w:spacing w:val="28"/>
              <w:sz w:val="28"/>
              <w:szCs w:val="28"/>
              <w:highlight w:val="none"/>
            </w:rPr>
            <w:t xml:space="preserve"> </w:t>
          </w:r>
          <w:r>
            <w:rPr>
              <w:rFonts w:hint="eastAsia" w:ascii="宋体" w:hAnsi="宋体" w:eastAsia="宋体" w:cs="宋体"/>
              <w:color w:val="auto"/>
              <w:spacing w:val="28"/>
              <w:sz w:val="28"/>
              <w:szCs w:val="28"/>
              <w:highlight w:val="none"/>
              <w14:textOutline w14:w="5756" w14:cap="flat" w14:cmpd="sng">
                <w14:solidFill>
                  <w14:srgbClr w14:val="000000"/>
                </w14:solidFill>
                <w14:prstDash w14:val="solid"/>
                <w14:miter w14:val="0"/>
              </w14:textOutline>
            </w:rPr>
            <w:t>评标办法(综合评分法)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_Toc11735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861FED8">
          <w:pPr>
            <w:pStyle w:val="38"/>
            <w:keepNext w:val="0"/>
            <w:keepLines w:val="0"/>
            <w:pageBreakBefore w:val="0"/>
            <w:widowControl/>
            <w:tabs>
              <w:tab w:val="right" w:leader="dot" w:pos="9686"/>
            </w:tabs>
            <w:kinsoku/>
            <w:wordWrap w:val="0"/>
            <w:overflowPunct w:val="0"/>
            <w:topLinePunct/>
            <w:autoSpaceDE w:val="0"/>
            <w:autoSpaceDN w:val="0"/>
            <w:bidi w:val="0"/>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24"/>
              <w:sz w:val="28"/>
              <w:szCs w:val="28"/>
              <w:highlight w:val="none"/>
              <w14:textOutline w14:w="5756" w14:cap="flat" w14:cmpd="sng">
                <w14:solidFill>
                  <w14:srgbClr w14:val="000000"/>
                </w14:solidFill>
                <w14:prstDash w14:val="solid"/>
                <w14:miter w14:val="0"/>
              </w14:textOutline>
            </w:rPr>
            <w:t>第</w:t>
          </w:r>
          <w:r>
            <w:rPr>
              <w:rFonts w:hint="eastAsia" w:ascii="宋体" w:hAnsi="宋体" w:eastAsia="宋体" w:cs="宋体"/>
              <w:color w:val="auto"/>
              <w:spacing w:val="18"/>
              <w:sz w:val="28"/>
              <w:szCs w:val="28"/>
              <w:highlight w:val="none"/>
              <w14:textOutline w14:w="5756" w14:cap="flat" w14:cmpd="sng">
                <w14:solidFill>
                  <w14:srgbClr w14:val="000000"/>
                </w14:solidFill>
                <w14:prstDash w14:val="solid"/>
                <w14:miter w14:val="0"/>
              </w14:textOutline>
            </w:rPr>
            <w:t>四章</w:t>
          </w:r>
          <w:r>
            <w:rPr>
              <w:rFonts w:hint="eastAsia" w:ascii="宋体" w:hAnsi="宋体" w:eastAsia="宋体" w:cs="宋体"/>
              <w:color w:val="auto"/>
              <w:spacing w:val="18"/>
              <w:sz w:val="28"/>
              <w:szCs w:val="28"/>
              <w:highlight w:val="none"/>
            </w:rPr>
            <w:t xml:space="preserve"> </w:t>
          </w:r>
          <w:r>
            <w:rPr>
              <w:rFonts w:hint="eastAsia" w:ascii="宋体" w:hAnsi="宋体" w:eastAsia="宋体" w:cs="宋体"/>
              <w:color w:val="auto"/>
              <w:spacing w:val="24"/>
              <w:sz w:val="28"/>
              <w:szCs w:val="28"/>
              <w:highlight w:val="none"/>
              <w:lang w:val="en-US" w:eastAsia="zh-CN"/>
              <w14:textOutline w14:w="5756" w14:cap="flat" w14:cmpd="sng">
                <w14:solidFill>
                  <w14:srgbClr w14:val="000000"/>
                </w14:solidFill>
                <w14:prstDash w14:val="solid"/>
                <w14:miter w14:val="0"/>
              </w14:textOutline>
            </w:rPr>
            <w:t>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_Toc2702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29FE1FE">
          <w:pPr>
            <w:pStyle w:val="38"/>
            <w:keepNext w:val="0"/>
            <w:keepLines w:val="0"/>
            <w:pageBreakBefore w:val="0"/>
            <w:widowControl/>
            <w:tabs>
              <w:tab w:val="right" w:leader="dot" w:pos="9686"/>
            </w:tabs>
            <w:kinsoku/>
            <w:wordWrap w:val="0"/>
            <w:overflowPunct w:val="0"/>
            <w:topLinePunct/>
            <w:autoSpaceDE w:val="0"/>
            <w:autoSpaceDN w:val="0"/>
            <w:bidi w:val="0"/>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_Toc2561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24"/>
              <w:sz w:val="28"/>
              <w:szCs w:val="28"/>
              <w:highlight w:val="none"/>
              <w:lang w:val="en-US" w:eastAsia="zh-CN"/>
              <w14:textOutline w14:w="5756" w14:cap="flat" w14:cmpd="sng">
                <w14:solidFill>
                  <w14:srgbClr w14:val="000000"/>
                </w14:solidFill>
                <w14:prstDash w14:val="solid"/>
                <w14:miter w14:val="0"/>
              </w14:textOutline>
            </w:rPr>
            <w:t>第五章 政府采购合同（参考）</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_Toc2561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FAEE98C">
          <w:pPr>
            <w:pStyle w:val="38"/>
            <w:keepNext w:val="0"/>
            <w:keepLines w:val="0"/>
            <w:pageBreakBefore w:val="0"/>
            <w:widowControl/>
            <w:tabs>
              <w:tab w:val="right" w:leader="dot" w:pos="9686"/>
            </w:tabs>
            <w:kinsoku/>
            <w:wordWrap w:val="0"/>
            <w:overflowPunct w:val="0"/>
            <w:topLinePunct/>
            <w:autoSpaceDE w:val="0"/>
            <w:autoSpaceDN w:val="0"/>
            <w:bidi w:val="0"/>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_Toc22788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pacing w:val="24"/>
              <w:sz w:val="28"/>
              <w:szCs w:val="28"/>
              <w:highlight w:val="none"/>
              <w14:textOutline w14:w="5756" w14:cap="flat" w14:cmpd="sng">
                <w14:solidFill>
                  <w14:srgbClr w14:val="000000"/>
                </w14:solidFill>
                <w14:prstDash w14:val="solid"/>
                <w14:miter w14:val="0"/>
              </w14:textOutline>
            </w:rPr>
            <w:t>第</w:t>
          </w:r>
          <w:r>
            <w:rPr>
              <w:rFonts w:hint="eastAsia" w:ascii="宋体" w:hAnsi="宋体" w:eastAsia="宋体" w:cs="宋体"/>
              <w:color w:val="auto"/>
              <w:spacing w:val="18"/>
              <w:sz w:val="28"/>
              <w:szCs w:val="28"/>
              <w:highlight w:val="none"/>
              <w14:textOutline w14:w="5756" w14:cap="flat" w14:cmpd="sng">
                <w14:solidFill>
                  <w14:srgbClr w14:val="000000"/>
                </w14:solidFill>
                <w14:prstDash w14:val="solid"/>
                <w14:miter w14:val="0"/>
              </w14:textOutline>
            </w:rPr>
            <w:t>六章</w:t>
          </w:r>
          <w:r>
            <w:rPr>
              <w:rFonts w:hint="eastAsia" w:ascii="宋体" w:hAnsi="宋体" w:eastAsia="宋体" w:cs="宋体"/>
              <w:color w:val="auto"/>
              <w:spacing w:val="18"/>
              <w:sz w:val="28"/>
              <w:szCs w:val="28"/>
              <w:highlight w:val="none"/>
            </w:rPr>
            <w:t xml:space="preserve"> </w:t>
          </w:r>
          <w:r>
            <w:rPr>
              <w:rFonts w:hint="eastAsia" w:ascii="宋体" w:hAnsi="宋体" w:cs="宋体"/>
              <w:color w:val="auto"/>
              <w:spacing w:val="18"/>
              <w:sz w:val="28"/>
              <w:szCs w:val="28"/>
              <w:highlight w:val="none"/>
              <w:lang w:eastAsia="zh-CN"/>
              <w14:textOutline w14:w="5756" w14:cap="flat" w14:cmpd="sng">
                <w14:solidFill>
                  <w14:srgbClr w14:val="000000"/>
                </w14:solidFill>
                <w14:prstDash w14:val="solid"/>
                <w14:miter w14:val="0"/>
              </w14:textOutline>
            </w:rPr>
            <w:t>响应文件</w:t>
          </w:r>
          <w:r>
            <w:rPr>
              <w:rFonts w:hint="eastAsia" w:ascii="宋体" w:hAnsi="宋体" w:eastAsia="宋体" w:cs="宋体"/>
              <w:color w:val="auto"/>
              <w:spacing w:val="18"/>
              <w:sz w:val="28"/>
              <w:szCs w:val="28"/>
              <w:highlight w:val="none"/>
              <w14:textOutline w14:w="5756" w14:cap="flat" w14:cmpd="sng">
                <w14:solidFill>
                  <w14:srgbClr w14:val="000000"/>
                </w14:solidFill>
                <w14:prstDash w14:val="solid"/>
                <w14:miter w14:val="0"/>
              </w14:textOutline>
            </w:rPr>
            <w:t>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_Toc22788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9943FC3">
          <w:pPr>
            <w:pStyle w:val="38"/>
            <w:keepNext w:val="0"/>
            <w:keepLines w:val="0"/>
            <w:pageBreakBefore w:val="0"/>
            <w:widowControl/>
            <w:tabs>
              <w:tab w:val="right" w:leader="dot" w:pos="9686"/>
            </w:tabs>
            <w:kinsoku/>
            <w:wordWrap w:val="0"/>
            <w:overflowPunct w:val="0"/>
            <w:topLinePunct/>
            <w:autoSpaceDE w:val="0"/>
            <w:autoSpaceDN w:val="0"/>
            <w:bidi w:val="0"/>
            <w:spacing w:line="600" w:lineRule="exact"/>
            <w:rPr>
              <w:rFonts w:hint="eastAsia" w:ascii="宋体" w:hAnsi="宋体" w:eastAsia="宋体" w:cs="宋体"/>
              <w:color w:val="auto"/>
              <w:sz w:val="28"/>
              <w:szCs w:val="28"/>
              <w:highlight w:val="none"/>
            </w:rPr>
          </w:pPr>
        </w:p>
        <w:p w14:paraId="074667BA">
          <w:pPr>
            <w:keepNext w:val="0"/>
            <w:keepLines w:val="0"/>
            <w:pageBreakBefore w:val="0"/>
            <w:widowControl/>
            <w:kinsoku/>
            <w:wordWrap w:val="0"/>
            <w:overflowPunct w:val="0"/>
            <w:topLinePunct/>
            <w:autoSpaceDE w:val="0"/>
            <w:autoSpaceDN w:val="0"/>
            <w:bidi w:val="0"/>
            <w:spacing w:line="600" w:lineRule="exact"/>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p>
      </w:sdtContent>
    </w:sdt>
    <w:p w14:paraId="72250134">
      <w:pPr>
        <w:keepNext w:val="0"/>
        <w:keepLines w:val="0"/>
        <w:pageBreakBefore w:val="0"/>
        <w:kinsoku/>
        <w:wordWrap w:val="0"/>
        <w:overflowPunct w:val="0"/>
        <w:topLinePunct/>
        <w:autoSpaceDE w:val="0"/>
        <w:autoSpaceDN w:val="0"/>
        <w:bidi w:val="0"/>
        <w:spacing w:before="90" w:line="222" w:lineRule="auto"/>
        <w:ind w:left="4016"/>
        <w:rPr>
          <w:rFonts w:hint="eastAsia" w:ascii="宋体" w:hAnsi="宋体" w:eastAsia="宋体" w:cs="宋体"/>
          <w:color w:val="auto"/>
          <w:spacing w:val="24"/>
          <w:sz w:val="44"/>
          <w:szCs w:val="44"/>
          <w:highlight w:val="none"/>
        </w:rPr>
        <w:sectPr>
          <w:footerReference r:id="rId5" w:type="default"/>
          <w:pgSz w:w="11909" w:h="16834"/>
          <w:pgMar w:top="1440" w:right="1080" w:bottom="1440" w:left="1080" w:header="0" w:footer="984" w:gutter="0"/>
          <w:pgNumType w:fmt="decimal"/>
          <w:cols w:space="720" w:num="1"/>
        </w:sectPr>
      </w:pPr>
    </w:p>
    <w:p w14:paraId="24906A76">
      <w:pPr>
        <w:pStyle w:val="44"/>
        <w:ind w:left="0" w:leftChars="0" w:firstLine="0" w:firstLineChars="0"/>
        <w:jc w:val="center"/>
        <w:rPr>
          <w:rFonts w:hint="eastAsia" w:ascii="宋体" w:hAnsi="宋体" w:eastAsia="宋体" w:cs="宋体"/>
          <w:b/>
          <w:bCs/>
          <w:color w:val="000000"/>
          <w:sz w:val="24"/>
          <w:highlight w:val="none"/>
        </w:rPr>
      </w:pPr>
      <w:bookmarkStart w:id="2" w:name="_Toc4479"/>
      <w:bookmarkStart w:id="3" w:name="_Toc7508"/>
      <w:r>
        <w:rPr>
          <w:rFonts w:hint="eastAsia" w:ascii="宋体" w:hAnsi="宋体" w:eastAsia="宋体" w:cs="宋体"/>
          <w:b/>
          <w:color w:val="000000"/>
          <w:spacing w:val="14"/>
          <w:sz w:val="44"/>
          <w:szCs w:val="44"/>
          <w:highlight w:val="none"/>
        </w:rPr>
        <w:t>电子招投标特别提示</w:t>
      </w:r>
    </w:p>
    <w:p w14:paraId="709E275F">
      <w:pPr>
        <w:spacing w:line="360" w:lineRule="exact"/>
        <w:ind w:firstLine="440" w:firstLineChars="200"/>
        <w:rPr>
          <w:rFonts w:hint="eastAsia"/>
          <w:sz w:val="22"/>
        </w:rPr>
      </w:pPr>
      <w:r>
        <w:rPr>
          <w:rFonts w:hint="eastAsia"/>
          <w:sz w:val="22"/>
        </w:rPr>
        <w:t>一、投标人（供应商）注册</w:t>
      </w:r>
    </w:p>
    <w:p w14:paraId="7AC71873">
      <w:pPr>
        <w:spacing w:line="360" w:lineRule="exact"/>
        <w:ind w:firstLine="440" w:firstLineChars="200"/>
        <w:rPr>
          <w:rFonts w:hint="eastAsia"/>
          <w:sz w:val="22"/>
        </w:rPr>
      </w:pPr>
      <w:r>
        <w:rPr>
          <w:rFonts w:hint="eastAsia"/>
          <w:sz w:val="22"/>
        </w:rPr>
        <w:t>凡有意参加本项目的投标人（供应商），请登录</w:t>
      </w:r>
      <w:r>
        <w:rPr>
          <w:rFonts w:hint="eastAsia" w:eastAsia="宋体"/>
          <w:sz w:val="22"/>
          <w:lang w:eastAsia="zh-CN"/>
        </w:rPr>
        <w:t>“</w:t>
      </w:r>
      <w:r>
        <w:rPr>
          <w:rFonts w:hint="eastAsia"/>
          <w:sz w:val="22"/>
        </w:rPr>
        <w:t>固始县公共资源交易网（http://ggzyjy.xinyang.gov.cn/gushi/）</w:t>
      </w:r>
      <w:r>
        <w:rPr>
          <w:rFonts w:hint="eastAsia" w:eastAsia="宋体"/>
          <w:sz w:val="22"/>
          <w:lang w:eastAsia="zh-CN"/>
        </w:rPr>
        <w:t>”</w:t>
      </w:r>
      <w:r>
        <w:rPr>
          <w:rFonts w:hint="eastAsia"/>
          <w:sz w:val="22"/>
        </w:rPr>
        <w:t>网站进行交易主体自主注册，按网站公告通知有关要求填报企业信息并上传有关原件扫描件至诚信库，不需携带原件到固始县公共资源交易中心进行审核。投标人（供应商）应对所上传材料的真实性、合法性、有效性负责，其上传的信息将全部对外公示，接受社会监督。</w:t>
      </w:r>
    </w:p>
    <w:p w14:paraId="25982852">
      <w:pPr>
        <w:spacing w:line="360" w:lineRule="exact"/>
        <w:ind w:firstLine="440" w:firstLineChars="200"/>
        <w:rPr>
          <w:rFonts w:hint="eastAsia"/>
          <w:sz w:val="22"/>
        </w:rPr>
      </w:pPr>
      <w:r>
        <w:rPr>
          <w:rFonts w:hint="eastAsia"/>
          <w:sz w:val="22"/>
        </w:rPr>
        <w:t>二、办理CA数字证书</w:t>
      </w:r>
    </w:p>
    <w:p w14:paraId="6ABB7C20">
      <w:pPr>
        <w:spacing w:line="360" w:lineRule="exact"/>
        <w:ind w:firstLine="440" w:firstLineChars="200"/>
        <w:rPr>
          <w:rFonts w:hint="eastAsia"/>
          <w:sz w:val="22"/>
        </w:rPr>
      </w:pPr>
      <w:r>
        <w:rPr>
          <w:rFonts w:hint="eastAsia"/>
          <w:sz w:val="22"/>
        </w:rPr>
        <w:t>完成企业诚信库注册后，必须办理CA数字证书方可在网上办理招投标相关业务。投标人（供应商）根据《固始县公共资源交易网》左侧下载中心有关办理CA数字证书的要求，准备好CA办理所需资料，到固始县公共资源交易中心五楼CA窗口现场办理CA数字证书。</w:t>
      </w:r>
    </w:p>
    <w:p w14:paraId="7DB2526F">
      <w:pPr>
        <w:spacing w:line="360" w:lineRule="exact"/>
        <w:ind w:firstLine="440" w:firstLineChars="200"/>
        <w:rPr>
          <w:rFonts w:hint="eastAsia"/>
          <w:sz w:val="22"/>
        </w:rPr>
      </w:pPr>
      <w:r>
        <w:rPr>
          <w:rFonts w:hint="eastAsia"/>
          <w:sz w:val="22"/>
        </w:rPr>
        <w:t>三、</w:t>
      </w:r>
      <w:r>
        <w:rPr>
          <w:rFonts w:hint="eastAsia" w:eastAsia="宋体"/>
          <w:sz w:val="22"/>
          <w:lang w:eastAsia="zh-CN"/>
        </w:rPr>
        <w:t>竞争性磋商</w:t>
      </w:r>
      <w:r>
        <w:rPr>
          <w:rFonts w:hint="eastAsia"/>
          <w:sz w:val="22"/>
        </w:rPr>
        <w:t>（采购）文件获取方式</w:t>
      </w:r>
    </w:p>
    <w:p w14:paraId="4CE972FC">
      <w:pPr>
        <w:spacing w:line="360" w:lineRule="exact"/>
        <w:ind w:firstLine="440" w:firstLineChars="200"/>
        <w:rPr>
          <w:rFonts w:hint="eastAsia"/>
          <w:sz w:val="22"/>
        </w:rPr>
      </w:pPr>
      <w:r>
        <w:rPr>
          <w:rFonts w:hint="eastAsia"/>
          <w:sz w:val="22"/>
        </w:rPr>
        <w:t>投标人（供应商）凭CA数字证书登录会员系统后，即可按网上提示免费下载</w:t>
      </w:r>
      <w:r>
        <w:rPr>
          <w:rFonts w:hint="eastAsia" w:eastAsia="宋体"/>
          <w:sz w:val="22"/>
          <w:lang w:eastAsia="zh-CN"/>
        </w:rPr>
        <w:t>竞争性磋商</w:t>
      </w:r>
      <w:r>
        <w:rPr>
          <w:rFonts w:hint="eastAsia"/>
          <w:sz w:val="22"/>
        </w:rPr>
        <w:t>（采购）文件及资料（操作程序详见固始县公共资源交易中心网站下载中心栏目里投标人操作手册）。</w:t>
      </w:r>
      <w:r>
        <w:rPr>
          <w:rFonts w:hint="eastAsia" w:eastAsia="宋体"/>
          <w:sz w:val="22"/>
          <w:lang w:eastAsia="zh-CN"/>
        </w:rPr>
        <w:t>竞争性磋商</w:t>
      </w:r>
      <w:r>
        <w:rPr>
          <w:rFonts w:hint="eastAsia"/>
          <w:sz w:val="22"/>
        </w:rPr>
        <w:t>文件(*.XYZF格式)下载后需使用“</w:t>
      </w:r>
      <w:r>
        <w:rPr>
          <w:rFonts w:hint="eastAsia" w:eastAsia="宋体"/>
          <w:sz w:val="22"/>
          <w:lang w:eastAsia="zh-CN"/>
        </w:rPr>
        <w:t>响应文件</w:t>
      </w:r>
      <w:r>
        <w:rPr>
          <w:rFonts w:hint="eastAsia"/>
          <w:sz w:val="22"/>
        </w:rPr>
        <w:t>制作工具软件”打开（该工具软件可在“固始县公共资源交易网（http://ggzyjy.xinyang.gov.cn/gushi/）”网站下载中心栏目内下载或在</w:t>
      </w:r>
      <w:r>
        <w:rPr>
          <w:rFonts w:hint="eastAsia" w:eastAsia="宋体"/>
          <w:sz w:val="22"/>
          <w:lang w:eastAsia="zh-CN"/>
        </w:rPr>
        <w:t>竞争性磋商</w:t>
      </w:r>
      <w:r>
        <w:rPr>
          <w:rFonts w:hint="eastAsia"/>
          <w:sz w:val="22"/>
        </w:rPr>
        <w:t>文件领取页面下载）。</w:t>
      </w:r>
    </w:p>
    <w:p w14:paraId="17BC3880">
      <w:pPr>
        <w:spacing w:line="360" w:lineRule="exact"/>
        <w:ind w:firstLine="440" w:firstLineChars="200"/>
        <w:rPr>
          <w:rFonts w:hint="eastAsia"/>
          <w:sz w:val="22"/>
        </w:rPr>
      </w:pPr>
      <w:r>
        <w:rPr>
          <w:rFonts w:hint="eastAsia"/>
          <w:sz w:val="22"/>
        </w:rPr>
        <w:t>四、投标（响应）文件制作</w:t>
      </w:r>
    </w:p>
    <w:p w14:paraId="3BFC998C">
      <w:pPr>
        <w:spacing w:line="360" w:lineRule="exact"/>
        <w:ind w:firstLine="440" w:firstLineChars="200"/>
        <w:rPr>
          <w:rFonts w:hint="eastAsia"/>
          <w:sz w:val="22"/>
        </w:rPr>
      </w:pPr>
      <w:r>
        <w:rPr>
          <w:rFonts w:hint="eastAsia"/>
          <w:sz w:val="22"/>
        </w:rPr>
        <w:t>投标（响应）文件应使用固始县公共资源交易系统</w:t>
      </w:r>
      <w:r>
        <w:rPr>
          <w:rFonts w:hint="eastAsia" w:eastAsia="宋体"/>
          <w:sz w:val="22"/>
          <w:lang w:eastAsia="zh-CN"/>
        </w:rPr>
        <w:t>响应文件</w:t>
      </w:r>
      <w:r>
        <w:rPr>
          <w:rFonts w:hint="eastAsia"/>
          <w:sz w:val="22"/>
        </w:rPr>
        <w:t>制作软件编制，投标（响应）文件格式为“*.XYTF”。</w:t>
      </w:r>
    </w:p>
    <w:p w14:paraId="4AE8AB7E">
      <w:pPr>
        <w:spacing w:line="360" w:lineRule="exact"/>
        <w:ind w:firstLine="440" w:firstLineChars="200"/>
        <w:rPr>
          <w:rFonts w:hint="eastAsia"/>
          <w:sz w:val="22"/>
        </w:rPr>
      </w:pPr>
      <w:r>
        <w:rPr>
          <w:rFonts w:hint="eastAsia"/>
          <w:sz w:val="22"/>
        </w:rPr>
        <w:t>投标人（供应商）须在投标（响应）文件递交截止时间前制作并提交。</w:t>
      </w:r>
    </w:p>
    <w:p w14:paraId="4758945F">
      <w:pPr>
        <w:spacing w:line="360" w:lineRule="exact"/>
        <w:ind w:firstLine="440" w:firstLineChars="200"/>
        <w:rPr>
          <w:rFonts w:hint="eastAsia"/>
          <w:sz w:val="22"/>
        </w:rPr>
      </w:pPr>
      <w:r>
        <w:rPr>
          <w:rFonts w:hint="eastAsia"/>
          <w:sz w:val="22"/>
        </w:rPr>
        <w:t>五、投标（响应）文件的签字和盖章要求</w:t>
      </w:r>
    </w:p>
    <w:p w14:paraId="1F3706C6">
      <w:pPr>
        <w:spacing w:line="360" w:lineRule="exact"/>
        <w:ind w:firstLine="440" w:firstLineChars="200"/>
        <w:rPr>
          <w:rFonts w:hint="eastAsia"/>
          <w:sz w:val="22"/>
        </w:rPr>
      </w:pPr>
      <w:r>
        <w:rPr>
          <w:rFonts w:hint="eastAsia"/>
          <w:sz w:val="22"/>
        </w:rPr>
        <w:t>1、</w:t>
      </w:r>
      <w:r>
        <w:rPr>
          <w:rFonts w:hint="eastAsia" w:eastAsia="宋体"/>
          <w:sz w:val="22"/>
          <w:lang w:eastAsia="zh-CN"/>
        </w:rPr>
        <w:t>响应文件</w:t>
      </w:r>
      <w:r>
        <w:rPr>
          <w:rFonts w:hint="eastAsia"/>
          <w:sz w:val="22"/>
        </w:rPr>
        <w:t>（响应）格式中所有要求投标人（供应商）加盖公章的地方都须加盖投标人（供应商）的 CA 印章。</w:t>
      </w:r>
    </w:p>
    <w:p w14:paraId="5F2F42D3">
      <w:pPr>
        <w:spacing w:line="360" w:lineRule="exact"/>
        <w:ind w:firstLine="440" w:firstLineChars="200"/>
        <w:rPr>
          <w:rFonts w:hint="eastAsia"/>
          <w:sz w:val="22"/>
        </w:rPr>
      </w:pPr>
      <w:r>
        <w:rPr>
          <w:rFonts w:hint="eastAsia"/>
          <w:sz w:val="22"/>
        </w:rPr>
        <w:t>2、</w:t>
      </w:r>
      <w:r>
        <w:rPr>
          <w:rFonts w:hint="eastAsia" w:eastAsia="宋体"/>
          <w:sz w:val="22"/>
          <w:lang w:eastAsia="zh-CN"/>
        </w:rPr>
        <w:t>响应文件</w:t>
      </w:r>
      <w:r>
        <w:rPr>
          <w:rFonts w:hint="eastAsia"/>
          <w:sz w:val="22"/>
        </w:rPr>
        <w:t>（响应）格式中所有要求法定代表人或其委托代理人签字或盖章的地方须加盖法定代表人或其委托代理人的电子签名或个人印章。</w:t>
      </w:r>
    </w:p>
    <w:p w14:paraId="1A665B36">
      <w:pPr>
        <w:spacing w:line="360" w:lineRule="exact"/>
        <w:ind w:firstLine="440" w:firstLineChars="200"/>
        <w:rPr>
          <w:rFonts w:hint="eastAsia"/>
          <w:sz w:val="22"/>
        </w:rPr>
      </w:pPr>
      <w:r>
        <w:rPr>
          <w:rFonts w:hint="eastAsia"/>
          <w:sz w:val="22"/>
        </w:rPr>
        <w:t>六、</w:t>
      </w:r>
      <w:r>
        <w:rPr>
          <w:rFonts w:hint="eastAsia" w:eastAsia="宋体"/>
          <w:sz w:val="22"/>
          <w:lang w:eastAsia="zh-CN"/>
        </w:rPr>
        <w:t>响应文件</w:t>
      </w:r>
      <w:r>
        <w:rPr>
          <w:rFonts w:hint="eastAsia"/>
          <w:sz w:val="22"/>
        </w:rPr>
        <w:t>份数</w:t>
      </w:r>
    </w:p>
    <w:p w14:paraId="2593F7F3">
      <w:pPr>
        <w:spacing w:line="360" w:lineRule="exact"/>
        <w:ind w:firstLine="440" w:firstLineChars="200"/>
        <w:rPr>
          <w:rFonts w:hint="eastAsia"/>
          <w:sz w:val="22"/>
        </w:rPr>
      </w:pPr>
      <w:r>
        <w:rPr>
          <w:rFonts w:hint="eastAsia"/>
          <w:sz w:val="22"/>
        </w:rPr>
        <w:t>加密的电子投标（响应）文件壹份（*.XYTF 格式，在会员系统指定位置上传）。</w:t>
      </w:r>
    </w:p>
    <w:p w14:paraId="577037B2">
      <w:pPr>
        <w:spacing w:line="360" w:lineRule="exact"/>
        <w:ind w:firstLine="440" w:firstLineChars="200"/>
        <w:rPr>
          <w:rFonts w:hint="eastAsia"/>
          <w:sz w:val="22"/>
        </w:rPr>
      </w:pPr>
      <w:r>
        <w:rPr>
          <w:rFonts w:hint="eastAsia"/>
          <w:sz w:val="22"/>
        </w:rPr>
        <w:t>七、投标（响应）文件的递交</w:t>
      </w:r>
    </w:p>
    <w:p w14:paraId="799CD77E">
      <w:pPr>
        <w:spacing w:line="360" w:lineRule="exact"/>
        <w:ind w:firstLine="440" w:firstLineChars="200"/>
        <w:rPr>
          <w:rFonts w:hint="eastAsia"/>
          <w:sz w:val="22"/>
        </w:rPr>
      </w:pPr>
      <w:r>
        <w:rPr>
          <w:rFonts w:hint="eastAsia"/>
          <w:sz w:val="22"/>
        </w:rPr>
        <w:t>1、电子投标（响应）文件的递交</w:t>
      </w:r>
    </w:p>
    <w:p w14:paraId="72E32757">
      <w:pPr>
        <w:spacing w:line="360" w:lineRule="exact"/>
        <w:ind w:firstLine="440" w:firstLineChars="200"/>
        <w:rPr>
          <w:rFonts w:hint="eastAsia"/>
          <w:sz w:val="22"/>
        </w:rPr>
      </w:pPr>
      <w:r>
        <w:rPr>
          <w:rFonts w:hint="eastAsia"/>
          <w:sz w:val="22"/>
        </w:rPr>
        <w:t>各投标（供应商）人应在投标截止时间前上传加密的电子投标（响应）文件（*.XYTF）到会员系统的指定位置。上传的电子</w:t>
      </w:r>
      <w:r>
        <w:rPr>
          <w:rFonts w:hint="eastAsia" w:eastAsia="宋体"/>
          <w:sz w:val="22"/>
          <w:lang w:eastAsia="zh-CN"/>
        </w:rPr>
        <w:t>响应文件</w:t>
      </w:r>
      <w:r>
        <w:rPr>
          <w:rFonts w:hint="eastAsia"/>
          <w:sz w:val="22"/>
        </w:rPr>
        <w:t>应使用投标人CA数字证书认证并加密。上传时必须得到交易系统“上传成功”的确认回复后方为上传成功。请投标人（供应商）在上传前务必认真检查上传投标（响应）文件是否完整、正确。</w:t>
      </w:r>
    </w:p>
    <w:p w14:paraId="22193478">
      <w:pPr>
        <w:spacing w:line="360" w:lineRule="exact"/>
        <w:ind w:firstLine="440" w:firstLineChars="200"/>
        <w:rPr>
          <w:rFonts w:hint="eastAsia"/>
          <w:sz w:val="22"/>
        </w:rPr>
      </w:pPr>
      <w:r>
        <w:rPr>
          <w:rFonts w:hint="eastAsia"/>
          <w:sz w:val="22"/>
        </w:rPr>
        <w:t>2、除电子投标（响应）文件外，不再接受任何纸质文件、资料原件等。</w:t>
      </w:r>
    </w:p>
    <w:p w14:paraId="65090612">
      <w:pPr>
        <w:spacing w:line="360" w:lineRule="exact"/>
        <w:ind w:firstLine="440" w:firstLineChars="200"/>
        <w:rPr>
          <w:rFonts w:hint="eastAsia"/>
          <w:sz w:val="22"/>
        </w:rPr>
      </w:pPr>
      <w:r>
        <w:rPr>
          <w:rFonts w:hint="eastAsia"/>
          <w:sz w:val="22"/>
        </w:rPr>
        <w:t>八、澄清与变更</w:t>
      </w:r>
    </w:p>
    <w:p w14:paraId="35DFC4DD">
      <w:pPr>
        <w:spacing w:line="360" w:lineRule="exact"/>
        <w:ind w:firstLine="440" w:firstLineChars="200"/>
        <w:rPr>
          <w:rFonts w:hint="eastAsia"/>
          <w:sz w:val="22"/>
        </w:rPr>
      </w:pPr>
      <w:r>
        <w:rPr>
          <w:rFonts w:hint="eastAsia"/>
          <w:sz w:val="22"/>
        </w:rPr>
        <w:t>如有疑问，以书面形式（包括信函、电报、传真等可以有形表现所载内容的形式），要求</w:t>
      </w:r>
      <w:r>
        <w:rPr>
          <w:rFonts w:hint="eastAsia" w:eastAsia="宋体"/>
          <w:sz w:val="22"/>
          <w:lang w:eastAsia="zh-CN"/>
        </w:rPr>
        <w:t>竞争性磋商</w:t>
      </w:r>
      <w:r>
        <w:rPr>
          <w:rFonts w:hint="eastAsia"/>
          <w:sz w:val="22"/>
        </w:rPr>
        <w:t>人（采购人）对</w:t>
      </w:r>
      <w:r>
        <w:rPr>
          <w:rFonts w:hint="eastAsia" w:eastAsia="宋体"/>
          <w:sz w:val="22"/>
          <w:lang w:eastAsia="zh-CN"/>
        </w:rPr>
        <w:t>竞争性磋商</w:t>
      </w:r>
      <w:r>
        <w:rPr>
          <w:rFonts w:hint="eastAsia"/>
          <w:sz w:val="22"/>
        </w:rPr>
        <w:t>（采购）文件予以澄清。澄清或修改的内容在固始县公共资源交易系统“变更公告”或“答疑文件”菜单进行发布，投标人（供应商）应在投标（响应）文件递交截止时间前及时查看澄清或修改内容，因投标人（采购人）未及时查看而造成的后果自负。</w:t>
      </w:r>
    </w:p>
    <w:p w14:paraId="4B614EC9">
      <w:pPr>
        <w:spacing w:line="360" w:lineRule="exact"/>
        <w:ind w:firstLine="440" w:firstLineChars="200"/>
        <w:rPr>
          <w:rFonts w:hint="eastAsia"/>
          <w:sz w:val="22"/>
        </w:rPr>
      </w:pPr>
      <w:r>
        <w:rPr>
          <w:rFonts w:hint="eastAsia"/>
          <w:sz w:val="22"/>
        </w:rPr>
        <w:t xml:space="preserve">九、其他注意事项 </w:t>
      </w:r>
    </w:p>
    <w:p w14:paraId="06532D43">
      <w:pPr>
        <w:spacing w:line="360" w:lineRule="exact"/>
        <w:ind w:firstLine="440" w:firstLineChars="200"/>
        <w:rPr>
          <w:rFonts w:hint="eastAsia"/>
          <w:sz w:val="22"/>
        </w:rPr>
      </w:pPr>
      <w:r>
        <w:rPr>
          <w:rFonts w:hint="eastAsia"/>
          <w:sz w:val="22"/>
        </w:rPr>
        <w:t>1、投标人编制</w:t>
      </w:r>
      <w:r>
        <w:rPr>
          <w:rFonts w:hint="eastAsia" w:eastAsia="宋体"/>
          <w:sz w:val="22"/>
          <w:lang w:eastAsia="zh-CN"/>
        </w:rPr>
        <w:t>响应文件</w:t>
      </w:r>
      <w:r>
        <w:rPr>
          <w:rFonts w:hint="eastAsia"/>
          <w:sz w:val="22"/>
        </w:rPr>
        <w:t>时，涉及的营业执照、资质、获奖、社保、纳税等固定内容可在交易中心主体信用信息中录入。 涉及营业执照、资质、业绩、获奖、人员、财务、社保、纳税、各类证书等内容，须扫描编制在</w:t>
      </w:r>
      <w:r>
        <w:rPr>
          <w:rFonts w:hint="eastAsia" w:eastAsia="宋体"/>
          <w:sz w:val="22"/>
          <w:lang w:eastAsia="zh-CN"/>
        </w:rPr>
        <w:t>响应文件</w:t>
      </w:r>
      <w:r>
        <w:rPr>
          <w:rFonts w:hint="eastAsia"/>
          <w:sz w:val="22"/>
        </w:rPr>
        <w:t>内。评委评审只需依法对</w:t>
      </w:r>
      <w:r>
        <w:rPr>
          <w:rFonts w:hint="eastAsia" w:eastAsia="宋体"/>
          <w:sz w:val="22"/>
          <w:lang w:eastAsia="zh-CN"/>
        </w:rPr>
        <w:t>响应文件</w:t>
      </w:r>
      <w:r>
        <w:rPr>
          <w:rFonts w:hint="eastAsia"/>
          <w:sz w:val="22"/>
        </w:rPr>
        <w:t>进行评审，并以</w:t>
      </w:r>
      <w:r>
        <w:rPr>
          <w:rFonts w:hint="eastAsia" w:eastAsia="宋体"/>
          <w:sz w:val="22"/>
          <w:lang w:eastAsia="zh-CN"/>
        </w:rPr>
        <w:t>响应文件</w:t>
      </w:r>
      <w:r>
        <w:rPr>
          <w:rFonts w:hint="eastAsia"/>
          <w:sz w:val="22"/>
        </w:rPr>
        <w:t>的响应为唯一评审依据，不再比对主体信用信息。</w:t>
      </w:r>
    </w:p>
    <w:p w14:paraId="7B322F8B">
      <w:pPr>
        <w:spacing w:line="360" w:lineRule="exact"/>
        <w:ind w:firstLine="440" w:firstLineChars="200"/>
        <w:rPr>
          <w:rFonts w:hint="eastAsia"/>
          <w:sz w:val="22"/>
        </w:rPr>
      </w:pPr>
      <w:r>
        <w:rPr>
          <w:rFonts w:hint="eastAsia"/>
          <w:sz w:val="22"/>
        </w:rPr>
        <w:t>2、中标企业认为</w:t>
      </w:r>
      <w:r>
        <w:rPr>
          <w:rFonts w:hint="eastAsia" w:eastAsia="宋体"/>
          <w:sz w:val="22"/>
          <w:lang w:eastAsia="zh-CN"/>
        </w:rPr>
        <w:t>响应文件</w:t>
      </w:r>
      <w:r>
        <w:rPr>
          <w:rFonts w:hint="eastAsia"/>
          <w:sz w:val="22"/>
        </w:rPr>
        <w:t>中资料涉及商业秘密的，可以要求代理机构对相关信息模糊处理后公示。</w:t>
      </w:r>
    </w:p>
    <w:p w14:paraId="307BE313">
      <w:pPr>
        <w:spacing w:line="360" w:lineRule="exact"/>
        <w:ind w:firstLine="440" w:firstLineChars="200"/>
        <w:rPr>
          <w:rFonts w:hint="eastAsia"/>
          <w:sz w:val="22"/>
        </w:rPr>
      </w:pPr>
      <w:r>
        <w:rPr>
          <w:rFonts w:hint="eastAsia"/>
          <w:sz w:val="22"/>
        </w:rPr>
        <w:t>3、潜在供应商有异议的，可以在公告发布之日起七个工作日内，以书面形式同时向采购人与</w:t>
      </w:r>
      <w:r>
        <w:rPr>
          <w:rFonts w:hint="eastAsia" w:eastAsia="宋体"/>
          <w:sz w:val="22"/>
          <w:lang w:eastAsia="zh-CN"/>
        </w:rPr>
        <w:t>竞争性磋商</w:t>
      </w:r>
      <w:r>
        <w:rPr>
          <w:rFonts w:hint="eastAsia"/>
          <w:sz w:val="22"/>
        </w:rPr>
        <w:t>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14:paraId="206F558A">
      <w:pPr>
        <w:spacing w:line="360" w:lineRule="exact"/>
        <w:ind w:firstLine="440" w:firstLineChars="200"/>
        <w:rPr>
          <w:rFonts w:hint="eastAsia"/>
          <w:sz w:val="22"/>
        </w:rPr>
      </w:pPr>
      <w:r>
        <w:rPr>
          <w:rFonts w:hint="eastAsia"/>
          <w:sz w:val="22"/>
        </w:rPr>
        <w:t>十、特别提醒</w:t>
      </w:r>
    </w:p>
    <w:p w14:paraId="0E22CA9B">
      <w:pPr>
        <w:spacing w:line="360" w:lineRule="exact"/>
        <w:ind w:firstLine="440" w:firstLineChars="200"/>
        <w:rPr>
          <w:rFonts w:hint="eastAsia"/>
          <w:sz w:val="22"/>
        </w:rPr>
      </w:pPr>
      <w:r>
        <w:rPr>
          <w:rFonts w:hint="eastAsia"/>
          <w:sz w:val="22"/>
        </w:rPr>
        <w:t>1、</w:t>
      </w:r>
      <w:r>
        <w:rPr>
          <w:rFonts w:hint="eastAsia" w:eastAsia="宋体"/>
          <w:sz w:val="22"/>
          <w:lang w:eastAsia="zh-CN"/>
        </w:rPr>
        <w:t>响应文件</w:t>
      </w:r>
      <w:r>
        <w:rPr>
          <w:rFonts w:hint="eastAsia"/>
          <w:sz w:val="22"/>
        </w:rPr>
        <w:t>中的扫描件，在确保清晰的前提下，每张最好控制在 500kb 内，生成的加密电子</w:t>
      </w:r>
      <w:r>
        <w:rPr>
          <w:rFonts w:hint="eastAsia" w:eastAsia="宋体"/>
          <w:sz w:val="22"/>
          <w:lang w:eastAsia="zh-CN"/>
        </w:rPr>
        <w:t>响应文件</w:t>
      </w:r>
      <w:r>
        <w:rPr>
          <w:rFonts w:hint="eastAsia"/>
          <w:sz w:val="22"/>
        </w:rPr>
        <w:t>最好不要超过50MB。</w:t>
      </w:r>
    </w:p>
    <w:p w14:paraId="6BEA6D60">
      <w:pPr>
        <w:pStyle w:val="34"/>
        <w:wordWrap w:val="0"/>
        <w:spacing w:before="0" w:beforeAutospacing="0" w:after="0" w:afterAutospacing="0" w:line="360" w:lineRule="auto"/>
        <w:ind w:firstLine="440" w:firstLineChars="200"/>
        <w:rPr>
          <w:b/>
          <w:bCs/>
          <w:sz w:val="24"/>
          <w:szCs w:val="24"/>
        </w:rPr>
        <w:sectPr>
          <w:headerReference r:id="rId6" w:type="default"/>
          <w:pgSz w:w="11906" w:h="16838"/>
          <w:pgMar w:top="1440" w:right="1080" w:bottom="1440" w:left="1080" w:header="851" w:footer="992" w:gutter="0"/>
          <w:cols w:space="720" w:num="1"/>
          <w:docGrid w:type="lines" w:linePitch="312" w:charSpace="0"/>
        </w:sectPr>
      </w:pPr>
      <w:r>
        <w:rPr>
          <w:rFonts w:hint="eastAsia"/>
          <w:sz w:val="22"/>
        </w:rPr>
        <w:t>2、各投标单位请务必在开标结束后对开标记录表签章后再离席。</w:t>
      </w:r>
    </w:p>
    <w:p w14:paraId="31AC24E4">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2"/>
          <w:szCs w:val="32"/>
          <w:highlight w:val="none"/>
          <w:lang w:val="en-US" w:eastAsia="zh-CN"/>
        </w:rPr>
        <w:t>第一章 竞争性磋商公告</w:t>
      </w:r>
      <w:bookmarkEnd w:id="2"/>
      <w:bookmarkEnd w:id="3"/>
    </w:p>
    <w:p w14:paraId="3E571B90">
      <w:pPr>
        <w:pStyle w:val="17"/>
        <w:rPr>
          <w:rFonts w:hint="eastAsia"/>
          <w:lang w:val="en-US" w:eastAsia="zh-CN"/>
        </w:rPr>
      </w:pPr>
    </w:p>
    <w:p w14:paraId="4C0D2A11">
      <w:pPr>
        <w:keepNext w:val="0"/>
        <w:keepLines w:val="0"/>
        <w:pageBreakBefore w:val="0"/>
        <w:widowControl/>
        <w:kinsoku/>
        <w:wordWrap w:val="0"/>
        <w:overflowPunct w:val="0"/>
        <w:topLinePunct/>
        <w:autoSpaceDE w:val="0"/>
        <w:autoSpaceDN w:val="0"/>
        <w:bidi w:val="0"/>
        <w:adjustRightInd w:val="0"/>
        <w:snapToGrid w:val="0"/>
        <w:spacing w:before="200" w:line="400" w:lineRule="exact"/>
        <w:ind w:left="11" w:leftChars="0" w:hanging="11" w:firstLineChars="0"/>
        <w:jc w:val="center"/>
        <w:rPr>
          <w:rFonts w:hint="eastAsia" w:ascii="宋体" w:hAnsi="宋体" w:eastAsia="宋体" w:cs="宋体"/>
          <w:b/>
          <w:bCs/>
          <w:color w:val="auto"/>
          <w:spacing w:val="14"/>
          <w:sz w:val="32"/>
          <w:szCs w:val="32"/>
          <w:highlight w:val="none"/>
          <w:lang w:val="en-US" w:eastAsia="zh-CN"/>
        </w:rPr>
      </w:pPr>
      <w:r>
        <w:rPr>
          <w:rFonts w:hint="eastAsia" w:ascii="宋体" w:hAnsi="宋体" w:eastAsia="宋体" w:cs="宋体"/>
          <w:b/>
          <w:bCs/>
          <w:color w:val="auto"/>
          <w:spacing w:val="14"/>
          <w:sz w:val="32"/>
          <w:szCs w:val="32"/>
          <w:highlight w:val="none"/>
          <w:lang w:val="en-US" w:eastAsia="zh-CN"/>
        </w:rPr>
        <w:t>固始县发固资产运营有限公司固始县针织服装产业园</w:t>
      </w:r>
    </w:p>
    <w:p w14:paraId="57B1E1CA">
      <w:pPr>
        <w:keepNext w:val="0"/>
        <w:keepLines w:val="0"/>
        <w:pageBreakBefore w:val="0"/>
        <w:widowControl/>
        <w:kinsoku/>
        <w:wordWrap w:val="0"/>
        <w:overflowPunct w:val="0"/>
        <w:topLinePunct/>
        <w:autoSpaceDE w:val="0"/>
        <w:autoSpaceDN w:val="0"/>
        <w:bidi w:val="0"/>
        <w:adjustRightInd w:val="0"/>
        <w:snapToGrid w:val="0"/>
        <w:spacing w:before="200" w:line="400" w:lineRule="exact"/>
        <w:ind w:left="11" w:leftChars="0" w:hanging="11" w:firstLineChars="0"/>
        <w:jc w:val="center"/>
        <w:rPr>
          <w:rFonts w:hint="eastAsia" w:ascii="宋体" w:hAnsi="宋体" w:eastAsia="宋体" w:cs="宋体"/>
          <w:b/>
          <w:bCs/>
          <w:color w:val="auto"/>
          <w:spacing w:val="14"/>
          <w:sz w:val="32"/>
          <w:szCs w:val="32"/>
          <w:highlight w:val="none"/>
        </w:rPr>
      </w:pPr>
      <w:r>
        <w:rPr>
          <w:rFonts w:hint="eastAsia" w:ascii="宋体" w:hAnsi="宋体" w:eastAsia="宋体" w:cs="宋体"/>
          <w:b/>
          <w:bCs/>
          <w:color w:val="auto"/>
          <w:spacing w:val="14"/>
          <w:sz w:val="32"/>
          <w:szCs w:val="32"/>
          <w:highlight w:val="none"/>
          <w:lang w:val="en-US" w:eastAsia="zh-CN"/>
        </w:rPr>
        <w:t>2025-2026年度物业管理招标项目</w:t>
      </w:r>
      <w:r>
        <w:rPr>
          <w:rFonts w:hint="eastAsia" w:ascii="宋体" w:hAnsi="宋体" w:eastAsia="宋体" w:cs="宋体"/>
          <w:b/>
          <w:bCs/>
          <w:color w:val="auto"/>
          <w:spacing w:val="14"/>
          <w:sz w:val="32"/>
          <w:szCs w:val="32"/>
          <w:highlight w:val="none"/>
          <w:lang w:eastAsia="zh-CN"/>
        </w:rPr>
        <w:t>竞争性磋商</w:t>
      </w:r>
      <w:r>
        <w:rPr>
          <w:rFonts w:hint="eastAsia" w:ascii="宋体" w:hAnsi="宋体" w:eastAsia="宋体" w:cs="宋体"/>
          <w:b/>
          <w:bCs/>
          <w:color w:val="auto"/>
          <w:spacing w:val="14"/>
          <w:sz w:val="32"/>
          <w:szCs w:val="32"/>
          <w:highlight w:val="none"/>
        </w:rPr>
        <w:t>公告</w:t>
      </w:r>
    </w:p>
    <w:p w14:paraId="7FD2C076">
      <w:pPr>
        <w:pStyle w:val="5"/>
        <w:rPr>
          <w:rFonts w:hint="eastAsia"/>
        </w:rPr>
      </w:pPr>
    </w:p>
    <w:p w14:paraId="1253F6EF">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color w:val="auto"/>
          <w:highlight w:val="none"/>
        </w:rPr>
      </w:pPr>
      <w:bookmarkStart w:id="4" w:name="_Toc17140"/>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0"/>
      </w:tblGrid>
      <w:tr w14:paraId="093C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9480" w:type="dxa"/>
            <w:noWrap w:val="0"/>
            <w:vAlign w:val="top"/>
          </w:tcPr>
          <w:p w14:paraId="00893BEF">
            <w:pPr>
              <w:adjustRightInd w:val="0"/>
              <w:snapToGrid w:val="0"/>
              <w:spacing w:line="400" w:lineRule="exact"/>
              <w:ind w:firstLine="422"/>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项目概况</w:t>
            </w:r>
          </w:p>
          <w:p w14:paraId="505568D8">
            <w:pPr>
              <w:adjustRightInd w:val="0"/>
              <w:snapToGrid w:val="0"/>
              <w:spacing w:line="400" w:lineRule="exact"/>
              <w:ind w:firstLine="420"/>
              <w:rPr>
                <w:rFonts w:hint="eastAsia" w:ascii="宋体" w:hAnsi="宋体" w:eastAsia="宋体" w:cs="宋体"/>
                <w:b/>
                <w:bCs/>
                <w:color w:val="000000"/>
                <w:szCs w:val="21"/>
                <w:highlight w:val="none"/>
                <w:lang w:eastAsia="zh-CN"/>
              </w:rPr>
            </w:pPr>
            <w:r>
              <w:rPr>
                <w:rFonts w:hint="eastAsia"/>
                <w:u w:val="single"/>
                <w:lang w:val="en-US" w:eastAsia="zh-CN"/>
              </w:rPr>
              <w:t>固始县针织服装产业园2025-2026年度物业管理招标项目</w:t>
            </w:r>
            <w:r>
              <w:rPr>
                <w:rFonts w:hint="eastAsia" w:ascii="宋体" w:hAnsi="宋体" w:eastAsia="宋体" w:cs="宋体"/>
                <w:color w:val="000000"/>
                <w:szCs w:val="21"/>
                <w:highlight w:val="none"/>
              </w:rPr>
              <w:t>潜在投标人登陆“全国公共资源交易平台（河南省·固始县）（</w:t>
            </w:r>
            <w:r>
              <w:rPr>
                <w:rFonts w:hint="eastAsia" w:asciiTheme="minorEastAsia" w:hAnsiTheme="minorEastAsia" w:eastAsiaTheme="minorEastAsia" w:cstheme="minorEastAsia"/>
                <w:sz w:val="24"/>
                <w:szCs w:val="24"/>
                <w:highlight w:val="none"/>
                <w:shd w:val="clear" w:color="auto" w:fill="FFFFFF"/>
                <w:lang w:eastAsia="zh-CN"/>
              </w:rPr>
              <w:t>https://ggzyjy.xinyang.gov.cn/gushi/</w:t>
            </w:r>
            <w:r>
              <w:rPr>
                <w:rFonts w:hint="eastAsia" w:ascii="宋体" w:hAnsi="宋体" w:eastAsia="宋体" w:cs="宋体"/>
                <w:color w:val="000000"/>
                <w:szCs w:val="21"/>
                <w:highlight w:val="none"/>
              </w:rPr>
              <w:t>）”网站，凭办理的企业身份认证锁（CA数字证书）登陆会员系统进行网上投标,获取</w:t>
            </w:r>
            <w:r>
              <w:rPr>
                <w:rFonts w:hint="eastAsia" w:ascii="宋体" w:hAnsi="宋体" w:eastAsia="宋体" w:cs="宋体"/>
                <w:color w:val="000000"/>
                <w:szCs w:val="21"/>
                <w:highlight w:val="none"/>
                <w:lang w:eastAsia="zh-CN"/>
              </w:rPr>
              <w:t>竞争性磋商</w:t>
            </w:r>
            <w:r>
              <w:rPr>
                <w:rFonts w:hint="eastAsia" w:ascii="宋体" w:hAnsi="宋体" w:eastAsia="宋体" w:cs="宋体"/>
                <w:color w:val="000000"/>
                <w:szCs w:val="21"/>
                <w:highlight w:val="none"/>
              </w:rPr>
              <w:t>文件，并于</w:t>
            </w:r>
            <w:r>
              <w:rPr>
                <w:rFonts w:hint="eastAsia" w:ascii="宋体" w:hAnsi="宋体" w:eastAsia="宋体" w:cs="宋体"/>
                <w:color w:val="auto"/>
                <w:szCs w:val="21"/>
                <w:highlight w:val="none"/>
                <w:shd w:val="clear" w:color="auto" w:fill="auto"/>
                <w:lang w:eastAsia="zh-CN"/>
              </w:rPr>
              <w:t>竞争性磋商</w:t>
            </w:r>
            <w:r>
              <w:rPr>
                <w:rFonts w:hint="eastAsia" w:ascii="宋体" w:hAnsi="宋体" w:eastAsia="宋体" w:cs="宋体"/>
                <w:color w:val="auto"/>
                <w:szCs w:val="21"/>
                <w:highlight w:val="none"/>
                <w:shd w:val="clear" w:color="auto" w:fill="auto"/>
              </w:rPr>
              <w:t>文件规定的截止时间前递交</w:t>
            </w:r>
            <w:r>
              <w:rPr>
                <w:rFonts w:hint="eastAsia" w:ascii="宋体" w:hAnsi="宋体" w:eastAsia="宋体" w:cs="宋体"/>
                <w:color w:val="auto"/>
                <w:szCs w:val="21"/>
                <w:highlight w:val="none"/>
                <w:shd w:val="clear" w:color="auto" w:fill="auto"/>
                <w:lang w:val="en-US" w:eastAsia="zh-CN"/>
              </w:rPr>
              <w:t>响应</w:t>
            </w:r>
            <w:r>
              <w:rPr>
                <w:rFonts w:hint="eastAsia" w:ascii="宋体" w:hAnsi="宋体" w:eastAsia="宋体" w:cs="宋体"/>
                <w:color w:val="auto"/>
                <w:szCs w:val="21"/>
                <w:highlight w:val="none"/>
                <w:shd w:val="clear" w:color="auto" w:fill="auto"/>
              </w:rPr>
              <w:t>文件</w:t>
            </w:r>
            <w:r>
              <w:rPr>
                <w:rFonts w:hint="eastAsia" w:ascii="宋体" w:hAnsi="宋体" w:eastAsia="宋体" w:cs="宋体"/>
                <w:color w:val="auto"/>
                <w:szCs w:val="21"/>
                <w:highlight w:val="none"/>
                <w:shd w:val="clear" w:color="auto" w:fill="auto"/>
                <w:lang w:eastAsia="zh-CN"/>
              </w:rPr>
              <w:t>。</w:t>
            </w:r>
          </w:p>
        </w:tc>
      </w:tr>
    </w:tbl>
    <w:p w14:paraId="782FDAF1">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highlight w:val="none"/>
        </w:rPr>
      </w:pPr>
    </w:p>
    <w:p w14:paraId="60388B37">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一、项目基本情况</w:t>
      </w:r>
      <w:bookmarkEnd w:id="4"/>
    </w:p>
    <w:p w14:paraId="707B9061">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lang w:val="en-US" w:eastAsia="zh-CN"/>
        </w:rPr>
      </w:pPr>
      <w:bookmarkStart w:id="5" w:name="_Toc6823"/>
      <w:r>
        <w:rPr>
          <w:rFonts w:hint="eastAsia" w:ascii="宋体" w:hAnsi="宋体" w:eastAsia="宋体" w:cs="宋体"/>
          <w:color w:val="auto"/>
          <w:highlight w:val="none"/>
        </w:rPr>
        <w:t>1.</w:t>
      </w:r>
      <w:r>
        <w:rPr>
          <w:rFonts w:hint="eastAsia" w:ascii="宋体" w:hAnsi="宋体" w:eastAsia="宋体" w:cs="宋体"/>
          <w:color w:val="auto"/>
          <w:highlight w:val="none"/>
          <w:lang w:eastAsia="zh-CN"/>
        </w:rPr>
        <w:t>采购编号</w:t>
      </w:r>
      <w:r>
        <w:rPr>
          <w:rFonts w:hint="eastAsia" w:ascii="宋体" w:hAnsi="宋体" w:eastAsia="宋体" w:cs="宋体"/>
          <w:color w:val="auto"/>
          <w:highlight w:val="none"/>
        </w:rPr>
        <w:t>：</w:t>
      </w:r>
      <w:bookmarkEnd w:id="5"/>
      <w:r>
        <w:rPr>
          <w:rFonts w:hint="eastAsia"/>
          <w:lang w:val="en-US" w:eastAsia="zh-CN"/>
        </w:rPr>
        <w:t>固财磋商采购-2025-32</w:t>
      </w:r>
    </w:p>
    <w:p w14:paraId="1240DB2E">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lang w:val="en-US" w:eastAsia="zh-CN"/>
        </w:rPr>
      </w:pPr>
      <w:r>
        <w:rPr>
          <w:rFonts w:hint="eastAsia" w:ascii="宋体" w:hAnsi="宋体" w:eastAsia="宋体" w:cs="宋体"/>
          <w:color w:val="auto"/>
          <w:highlight w:val="none"/>
        </w:rPr>
        <w:t>2.项目名称：</w:t>
      </w:r>
      <w:r>
        <w:rPr>
          <w:rFonts w:hint="eastAsia"/>
          <w:lang w:val="en-US" w:eastAsia="zh-CN"/>
        </w:rPr>
        <w:t>固始县针织服装产业园2025-2026年度物业管理招标项目</w:t>
      </w:r>
    </w:p>
    <w:p w14:paraId="62BBE5D1">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3.采购方式：</w:t>
      </w:r>
      <w:r>
        <w:rPr>
          <w:rFonts w:hint="eastAsia" w:ascii="宋体" w:hAnsi="宋体" w:eastAsia="宋体" w:cs="宋体"/>
          <w:color w:val="auto"/>
          <w:highlight w:val="none"/>
          <w:lang w:eastAsia="zh-CN"/>
        </w:rPr>
        <w:t>竞争性磋商</w:t>
      </w:r>
    </w:p>
    <w:p w14:paraId="1B664987">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4.预算金额：</w:t>
      </w:r>
      <w:r>
        <w:rPr>
          <w:rFonts w:hint="eastAsia" w:ascii="宋体" w:hAnsi="宋体" w:eastAsia="宋体" w:cs="宋体"/>
          <w:color w:val="auto"/>
          <w:highlight w:val="none"/>
          <w:lang w:val="en-US" w:eastAsia="zh-CN"/>
        </w:rPr>
        <w:t>1596320.74</w:t>
      </w:r>
      <w:r>
        <w:rPr>
          <w:rFonts w:hint="eastAsia" w:ascii="宋体" w:hAnsi="宋体" w:eastAsia="宋体" w:cs="宋体"/>
          <w:color w:val="auto"/>
          <w:highlight w:val="none"/>
        </w:rPr>
        <w:t>元</w:t>
      </w:r>
    </w:p>
    <w:p w14:paraId="1FCE8509">
      <w:pPr>
        <w:keepNext w:val="0"/>
        <w:keepLines w:val="0"/>
        <w:pageBreakBefore w:val="0"/>
        <w:widowControl/>
        <w:kinsoku/>
        <w:wordWrap w:val="0"/>
        <w:overflowPunct w:val="0"/>
        <w:topLinePunct/>
        <w:autoSpaceDE w:val="0"/>
        <w:autoSpaceDN w:val="0"/>
        <w:bidi w:val="0"/>
        <w:adjustRightInd w:val="0"/>
        <w:snapToGrid w:val="0"/>
        <w:spacing w:line="360" w:lineRule="auto"/>
        <w:ind w:firstLine="630" w:firstLineChars="3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最高限价：</w:t>
      </w:r>
      <w:r>
        <w:rPr>
          <w:rFonts w:hint="eastAsia" w:ascii="宋体" w:hAnsi="宋体" w:eastAsia="宋体" w:cs="宋体"/>
          <w:color w:val="auto"/>
          <w:highlight w:val="none"/>
          <w:lang w:val="en-US" w:eastAsia="zh-CN"/>
        </w:rPr>
        <w:t>1596320.74</w:t>
      </w:r>
      <w:r>
        <w:rPr>
          <w:rFonts w:hint="eastAsia" w:ascii="宋体" w:hAnsi="宋体" w:eastAsia="宋体" w:cs="宋体"/>
          <w:color w:val="auto"/>
          <w:highlight w:val="none"/>
        </w:rPr>
        <w:t>元</w:t>
      </w:r>
    </w:p>
    <w:p w14:paraId="76C7C596">
      <w:pPr>
        <w:pStyle w:val="5"/>
        <w:rPr>
          <w:rFonts w:hint="eastAsia"/>
          <w:color w:val="auto"/>
        </w:rPr>
      </w:pPr>
    </w:p>
    <w:tbl>
      <w:tblPr>
        <w:tblStyle w:val="19"/>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455"/>
        <w:gridCol w:w="2865"/>
        <w:gridCol w:w="1621"/>
        <w:gridCol w:w="1290"/>
        <w:gridCol w:w="1310"/>
      </w:tblGrid>
      <w:tr w14:paraId="5F70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96" w:type="dxa"/>
            <w:noWrap w:val="0"/>
            <w:vAlign w:val="center"/>
          </w:tcPr>
          <w:p w14:paraId="23C8BD15">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455" w:type="dxa"/>
            <w:noWrap w:val="0"/>
            <w:vAlign w:val="center"/>
          </w:tcPr>
          <w:p w14:paraId="08AC9040">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包号</w:t>
            </w:r>
          </w:p>
        </w:tc>
        <w:tc>
          <w:tcPr>
            <w:tcW w:w="2865" w:type="dxa"/>
            <w:noWrap w:val="0"/>
            <w:vAlign w:val="center"/>
          </w:tcPr>
          <w:p w14:paraId="27D73476">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包名称</w:t>
            </w:r>
          </w:p>
        </w:tc>
        <w:tc>
          <w:tcPr>
            <w:tcW w:w="1621" w:type="dxa"/>
            <w:noWrap w:val="0"/>
            <w:vAlign w:val="center"/>
          </w:tcPr>
          <w:p w14:paraId="657554F4">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包内容</w:t>
            </w:r>
          </w:p>
        </w:tc>
        <w:tc>
          <w:tcPr>
            <w:tcW w:w="1290" w:type="dxa"/>
            <w:noWrap w:val="0"/>
            <w:vAlign w:val="center"/>
          </w:tcPr>
          <w:p w14:paraId="780C8C2E">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包预算（元）</w:t>
            </w:r>
          </w:p>
        </w:tc>
        <w:tc>
          <w:tcPr>
            <w:tcW w:w="1310" w:type="dxa"/>
            <w:noWrap w:val="0"/>
            <w:vAlign w:val="center"/>
          </w:tcPr>
          <w:p w14:paraId="0C19E1AF">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包最高限价（元）</w:t>
            </w:r>
          </w:p>
        </w:tc>
      </w:tr>
      <w:tr w14:paraId="52B0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96" w:type="dxa"/>
            <w:noWrap w:val="0"/>
            <w:vAlign w:val="center"/>
          </w:tcPr>
          <w:p w14:paraId="13B4519C">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455" w:type="dxa"/>
            <w:noWrap w:val="0"/>
            <w:vAlign w:val="center"/>
          </w:tcPr>
          <w:p w14:paraId="38EE2D6E">
            <w:pPr>
              <w:keepNext w:val="0"/>
              <w:keepLines w:val="0"/>
              <w:pageBreakBefore w:val="0"/>
              <w:kinsoku/>
              <w:wordWrap w:val="0"/>
              <w:overflowPunct w:val="0"/>
              <w:topLinePunct/>
              <w:autoSpaceDE w:val="0"/>
              <w:autoSpaceDN w:val="0"/>
              <w:bidi w:val="0"/>
              <w:jc w:val="center"/>
              <w:rPr>
                <w:rFonts w:hint="default" w:ascii="宋体" w:hAnsi="宋体" w:eastAsia="宋体" w:cs="宋体"/>
                <w:color w:val="auto"/>
                <w:highlight w:val="none"/>
                <w:lang w:val="en-US" w:eastAsia="zh-CN"/>
              </w:rPr>
            </w:pPr>
            <w:r>
              <w:rPr>
                <w:rFonts w:hint="eastAsia"/>
                <w:color w:val="auto"/>
                <w:lang w:val="en-US" w:eastAsia="zh-CN"/>
              </w:rPr>
              <w:t>固财磋商采购-2025-32-1</w:t>
            </w:r>
          </w:p>
        </w:tc>
        <w:tc>
          <w:tcPr>
            <w:tcW w:w="2865" w:type="dxa"/>
            <w:noWrap w:val="0"/>
            <w:vAlign w:val="center"/>
          </w:tcPr>
          <w:p w14:paraId="058B16F4">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固始县针织服装产业园2025-2026年度物业管理招标项目</w:t>
            </w:r>
          </w:p>
        </w:tc>
        <w:tc>
          <w:tcPr>
            <w:tcW w:w="1621" w:type="dxa"/>
            <w:noWrap w:val="0"/>
            <w:vAlign w:val="center"/>
          </w:tcPr>
          <w:p w14:paraId="5CFA1CB7">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主要包括</w:t>
            </w:r>
            <w:r>
              <w:rPr>
                <w:rFonts w:hint="eastAsia"/>
                <w:color w:val="auto"/>
                <w:lang w:val="en-US" w:eastAsia="zh-CN"/>
              </w:rPr>
              <w:t>环卫保洁</w:t>
            </w:r>
            <w:r>
              <w:rPr>
                <w:rFonts w:hint="eastAsia" w:ascii="宋体" w:hAnsi="宋体" w:eastAsia="宋体" w:cs="宋体"/>
                <w:color w:val="auto"/>
                <w:highlight w:val="none"/>
                <w:lang w:val="en-US" w:eastAsia="zh-CN"/>
              </w:rPr>
              <w:t>等服务</w:t>
            </w:r>
            <w:r>
              <w:rPr>
                <w:rFonts w:hint="eastAsia" w:ascii="宋体" w:hAnsi="宋体" w:eastAsia="宋体" w:cs="宋体"/>
                <w:color w:val="auto"/>
                <w:highlight w:val="none"/>
                <w:lang w:eastAsia="zh-CN"/>
              </w:rPr>
              <w:t xml:space="preserve"> </w:t>
            </w:r>
          </w:p>
        </w:tc>
        <w:tc>
          <w:tcPr>
            <w:tcW w:w="1290" w:type="dxa"/>
            <w:noWrap w:val="0"/>
            <w:vAlign w:val="center"/>
          </w:tcPr>
          <w:p w14:paraId="51D046B9">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1596320.74</w:t>
            </w:r>
          </w:p>
        </w:tc>
        <w:tc>
          <w:tcPr>
            <w:tcW w:w="1310" w:type="dxa"/>
            <w:noWrap w:val="0"/>
            <w:vAlign w:val="center"/>
          </w:tcPr>
          <w:p w14:paraId="0B6273A7">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1596320.74</w:t>
            </w:r>
          </w:p>
        </w:tc>
      </w:tr>
    </w:tbl>
    <w:p w14:paraId="6AA1A1ED">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p>
    <w:p w14:paraId="7FB6439B">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5.采购需求(包括但不限于标的的名称、数量、简要技术需求或服务要求等)</w:t>
      </w:r>
    </w:p>
    <w:p w14:paraId="62D19A4F">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5.1 采购内容：固始县针织服装产业园2025-2026年度物业管理，包括园区内保洁服务、安保服务、基础设施及设备的养护、运行和管理等，服务期二年。 </w:t>
      </w:r>
    </w:p>
    <w:p w14:paraId="7EC95668">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5.2 服务要求：满足采购人的实际需求 </w:t>
      </w:r>
    </w:p>
    <w:p w14:paraId="270D5F42">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5.3 质量要求：符合相关标准规范的规定、满足采购人要求 </w:t>
      </w:r>
    </w:p>
    <w:p w14:paraId="4AAF1750">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5.4 服务期限：2年</w:t>
      </w:r>
    </w:p>
    <w:p w14:paraId="31655567">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6、合同履行期限：2年</w:t>
      </w:r>
    </w:p>
    <w:p w14:paraId="08B505F4">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7、本项目是否接受联合体投标：否 </w:t>
      </w:r>
    </w:p>
    <w:p w14:paraId="711E0ED5">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8、是否接受进口产品：否 </w:t>
      </w:r>
    </w:p>
    <w:p w14:paraId="1E46C960">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9、是否为只面向中小企业采购：是</w:t>
      </w:r>
    </w:p>
    <w:p w14:paraId="75CAD7D6">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highlight w:val="none"/>
          <w:lang w:val="en-US" w:eastAsia="zh-CN"/>
        </w:rPr>
      </w:pPr>
      <w:bookmarkStart w:id="6" w:name="_Toc20039"/>
      <w:r>
        <w:rPr>
          <w:rFonts w:hint="eastAsia" w:ascii="宋体" w:hAnsi="宋体" w:eastAsia="宋体" w:cs="宋体"/>
          <w:b/>
          <w:bCs/>
          <w:color w:val="auto"/>
          <w:highlight w:val="none"/>
        </w:rPr>
        <w:t>二、申请人资格要求：</w:t>
      </w:r>
      <w:bookmarkEnd w:id="6"/>
    </w:p>
    <w:p w14:paraId="614F6D71">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bookmarkStart w:id="7" w:name="_Toc16786"/>
      <w:r>
        <w:rPr>
          <w:rFonts w:hint="eastAsia" w:ascii="宋体" w:hAnsi="宋体" w:eastAsia="宋体" w:cs="宋体"/>
          <w:color w:val="auto"/>
          <w:highlight w:val="none"/>
          <w:lang w:val="en-US" w:eastAsia="zh-CN"/>
        </w:rPr>
        <w:t>1、满足《中华人民共和国政府采购法》第二十二条规定。</w:t>
      </w:r>
    </w:p>
    <w:p w14:paraId="0A19F2CB">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落实政府采购政策满足的资格要求：本项目专门面向中小企业采购，提供《中小企业声明函》。本项目落实节约能源、保护环境、扶持不发达地区和少数民族地区、促进中小微企业、监狱企业及残疾人福利性单位发展等政府采购政策。</w:t>
      </w:r>
    </w:p>
    <w:p w14:paraId="5E8548BE">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3、本项目的特定资格要求：</w:t>
      </w:r>
    </w:p>
    <w:p w14:paraId="0AE72C73">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3.1本项目适用信用承诺（详见下述要求）</w:t>
      </w:r>
    </w:p>
    <w:p w14:paraId="716EDC7B">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在本项目政府采购活动中，供应商在响应时，可对照资格要求进行自主核对，确定符合资格要求的，可按照规定提供相关承诺函（详见响应文件格式“其他——固始县政府采购供应商信用承诺函”），供应商只需在资格审查环节提供满足相应条件的书面承诺书，不再需要提供以下证明材料：</w:t>
      </w:r>
    </w:p>
    <w:p w14:paraId="2FC07A78">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1、具有独立承担民事责任的能力（提供有效的营业执照（三证合一））；</w:t>
      </w:r>
    </w:p>
    <w:p w14:paraId="7CF7ED70">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2、具有良好的商业信誉和健全的财务会计制度（</w:t>
      </w:r>
      <w:r>
        <w:rPr>
          <w:rFonts w:hint="eastAsia" w:ascii="宋体" w:hAnsi="宋体" w:eastAsia="宋体" w:cs="宋体"/>
          <w:color w:val="auto"/>
          <w:sz w:val="21"/>
          <w:szCs w:val="21"/>
          <w:lang w:eastAsia="zh-CN"/>
        </w:rPr>
        <w:t>提供202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或202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年度经审计的财务审计报告，202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8月后</w:t>
      </w:r>
      <w:r>
        <w:rPr>
          <w:rFonts w:hint="eastAsia" w:ascii="宋体" w:hAnsi="宋体" w:eastAsia="宋体" w:cs="宋体"/>
          <w:color w:val="auto"/>
          <w:sz w:val="21"/>
          <w:szCs w:val="21"/>
          <w:lang w:eastAsia="zh-CN"/>
        </w:rPr>
        <w:t>成立的公司提供基本户的开户行开具的银行资信证明</w:t>
      </w:r>
      <w:r>
        <w:rPr>
          <w:rFonts w:hint="eastAsia" w:ascii="宋体" w:hAnsi="宋体" w:eastAsia="宋体" w:cs="宋体"/>
          <w:color w:val="auto"/>
          <w:highlight w:val="none"/>
          <w:lang w:val="en-US" w:eastAsia="zh-CN"/>
        </w:rPr>
        <w:t>）；</w:t>
      </w:r>
    </w:p>
    <w:p w14:paraId="096B4276">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3、具有履行合同所必需的设备和专业技术能力（提供企业承诺书，格式自拟）；</w:t>
      </w:r>
    </w:p>
    <w:p w14:paraId="23EF80E1">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有依法缴纳税收和社会保障资金的良好记录（提供2024年9月1日以来任意1个月依法缴纳税收和社会保险的证明，成立不足三个月的提供自成立日以来的依法缴纳税收和社会保险的证明，依法免税和免缴纳社会保障金的须提供依法免缴纳证明）；</w:t>
      </w:r>
    </w:p>
    <w:p w14:paraId="3EB10BA1">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5、参加政府采购活动前三年内，在经营活动中没有重大违法记录（提供企业承诺书，格式自拟）；</w:t>
      </w:r>
    </w:p>
    <w:p w14:paraId="5AEA86C3">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6、法律、行政法规规定的其他条件（提供企业承诺书，格式自拟）。</w:t>
      </w:r>
    </w:p>
    <w:p w14:paraId="2938C60E">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对列入失信被执行人、重大税收违法失信主体、政府采购严重违法失信行为记录名单的供应商，拒绝参与本项目采购活动；[查询渠道：“信用中国”网站（www.creditchina.gov.cn）“中国政府采购网”（www.ccgp.gov.cn）]提供查询网页截图）；</w:t>
      </w:r>
    </w:p>
    <w:p w14:paraId="79E41BAB">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8、单位负责人为同一人或者存在直接控股、管理关系的不同供应商，不得参加同一合同项下的政府采购活动（提供企业承诺书，格式自拟）。</w:t>
      </w:r>
    </w:p>
    <w:p w14:paraId="1CA8CAD0">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（二）供应商在中标（成交）后，应将上述由信用承诺书替代的证明材料提交采购人（采购代理机构）核验，经核验无误后，由采购人发出中标（成交）通知书。</w:t>
      </w:r>
    </w:p>
    <w:p w14:paraId="41414720">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3.2本项目实行资格后审，资格审查的具体要求见招标文件，资格后审不合格的投标人其投标将被否决。</w:t>
      </w:r>
    </w:p>
    <w:p w14:paraId="1E7A441E">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三、获取</w:t>
      </w:r>
      <w:r>
        <w:rPr>
          <w:rFonts w:hint="eastAsia" w:ascii="宋体" w:hAnsi="宋体" w:eastAsia="宋体" w:cs="宋体"/>
          <w:b/>
          <w:bCs/>
          <w:color w:val="auto"/>
          <w:highlight w:val="none"/>
          <w:lang w:eastAsia="zh-CN"/>
        </w:rPr>
        <w:t>竞争性磋商</w:t>
      </w:r>
      <w:r>
        <w:rPr>
          <w:rFonts w:hint="eastAsia" w:ascii="宋体" w:hAnsi="宋体" w:eastAsia="宋体" w:cs="宋体"/>
          <w:b/>
          <w:bCs/>
          <w:color w:val="auto"/>
          <w:highlight w:val="none"/>
        </w:rPr>
        <w:t>文件</w:t>
      </w:r>
      <w:bookmarkEnd w:id="7"/>
    </w:p>
    <w:p w14:paraId="1D8776C6">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FF0000"/>
          <w:highlight w:val="none"/>
        </w:rPr>
      </w:pPr>
      <w:r>
        <w:rPr>
          <w:rFonts w:hint="eastAsia" w:ascii="宋体" w:hAnsi="宋体" w:eastAsia="宋体" w:cs="宋体"/>
          <w:color w:val="auto"/>
          <w:highlight w:val="none"/>
        </w:rPr>
        <w:t>1.时间</w:t>
      </w:r>
      <w:r>
        <w:rPr>
          <w:rFonts w:hint="eastAsia" w:ascii="宋体" w:hAnsi="宋体" w:eastAsia="宋体" w:cs="宋体"/>
          <w:color w:val="FF0000"/>
          <w:highlight w:val="none"/>
        </w:rPr>
        <w:t>：202</w:t>
      </w:r>
      <w:r>
        <w:rPr>
          <w:rFonts w:hint="eastAsia" w:ascii="宋体" w:hAnsi="宋体" w:eastAsia="宋体" w:cs="宋体"/>
          <w:color w:val="FF0000"/>
          <w:highlight w:val="none"/>
          <w:lang w:val="en-US" w:eastAsia="zh-CN"/>
        </w:rPr>
        <w:t>5</w:t>
      </w:r>
      <w:r>
        <w:rPr>
          <w:rFonts w:hint="eastAsia" w:ascii="宋体" w:hAnsi="宋体" w:eastAsia="宋体" w:cs="宋体"/>
          <w:color w:val="FF0000"/>
          <w:highlight w:val="none"/>
        </w:rPr>
        <w:t>年</w:t>
      </w:r>
      <w:r>
        <w:rPr>
          <w:rFonts w:hint="eastAsia" w:ascii="宋体" w:hAnsi="宋体" w:eastAsia="宋体" w:cs="宋体"/>
          <w:color w:val="FF0000"/>
          <w:highlight w:val="none"/>
          <w:lang w:val="en-US" w:eastAsia="zh-CN"/>
        </w:rPr>
        <w:t>9</w:t>
      </w:r>
      <w:r>
        <w:rPr>
          <w:rFonts w:hint="eastAsia" w:ascii="宋体" w:hAnsi="宋体" w:eastAsia="宋体" w:cs="宋体"/>
          <w:color w:val="FF0000"/>
          <w:highlight w:val="none"/>
        </w:rPr>
        <w:t>月</w:t>
      </w:r>
      <w:r>
        <w:rPr>
          <w:rFonts w:hint="eastAsia" w:ascii="宋体" w:hAnsi="宋体" w:eastAsia="宋体" w:cs="宋体"/>
          <w:color w:val="FF0000"/>
          <w:highlight w:val="none"/>
          <w:lang w:val="en-US" w:eastAsia="zh-CN"/>
        </w:rPr>
        <w:t>9</w:t>
      </w:r>
      <w:r>
        <w:rPr>
          <w:rFonts w:hint="eastAsia" w:ascii="宋体" w:hAnsi="宋体" w:eastAsia="宋体" w:cs="宋体"/>
          <w:color w:val="FF0000"/>
          <w:highlight w:val="none"/>
        </w:rPr>
        <w:t>日至202</w:t>
      </w:r>
      <w:r>
        <w:rPr>
          <w:rFonts w:hint="eastAsia" w:ascii="宋体" w:hAnsi="宋体" w:eastAsia="宋体" w:cs="宋体"/>
          <w:color w:val="FF0000"/>
          <w:highlight w:val="none"/>
          <w:lang w:val="en-US" w:eastAsia="zh-CN"/>
        </w:rPr>
        <w:t>5</w:t>
      </w:r>
      <w:r>
        <w:rPr>
          <w:rFonts w:hint="eastAsia" w:ascii="宋体" w:hAnsi="宋体" w:eastAsia="宋体" w:cs="宋体"/>
          <w:color w:val="FF0000"/>
          <w:highlight w:val="none"/>
        </w:rPr>
        <w:t>年</w:t>
      </w:r>
      <w:r>
        <w:rPr>
          <w:rFonts w:hint="eastAsia" w:ascii="宋体" w:hAnsi="宋体" w:eastAsia="宋体" w:cs="宋体"/>
          <w:color w:val="FF0000"/>
          <w:highlight w:val="none"/>
          <w:lang w:val="en-US" w:eastAsia="zh-CN"/>
        </w:rPr>
        <w:t>9</w:t>
      </w:r>
      <w:r>
        <w:rPr>
          <w:rFonts w:hint="eastAsia" w:ascii="宋体" w:hAnsi="宋体" w:eastAsia="宋体" w:cs="宋体"/>
          <w:color w:val="FF0000"/>
          <w:highlight w:val="none"/>
        </w:rPr>
        <w:t>月</w:t>
      </w:r>
      <w:r>
        <w:rPr>
          <w:rFonts w:hint="eastAsia" w:ascii="宋体" w:hAnsi="宋体" w:eastAsia="宋体" w:cs="宋体"/>
          <w:color w:val="FF0000"/>
          <w:highlight w:val="none"/>
          <w:lang w:val="en-US" w:eastAsia="zh-CN"/>
        </w:rPr>
        <w:t>15</w:t>
      </w:r>
      <w:r>
        <w:rPr>
          <w:rFonts w:hint="eastAsia" w:ascii="宋体" w:hAnsi="宋体" w:eastAsia="宋体" w:cs="宋体"/>
          <w:color w:val="FF0000"/>
          <w:highlight w:val="none"/>
        </w:rPr>
        <w:t>日，每天上午08:00至12:00，下午</w:t>
      </w:r>
      <w:r>
        <w:rPr>
          <w:rFonts w:hint="eastAsia" w:ascii="宋体" w:hAnsi="宋体" w:eastAsia="宋体" w:cs="宋体"/>
          <w:color w:val="FF0000"/>
          <w:highlight w:val="none"/>
          <w:lang w:val="en-US" w:eastAsia="zh-CN"/>
        </w:rPr>
        <w:t>14</w:t>
      </w:r>
      <w:r>
        <w:rPr>
          <w:rFonts w:hint="eastAsia" w:ascii="宋体" w:hAnsi="宋体" w:eastAsia="宋体" w:cs="宋体"/>
          <w:color w:val="FF0000"/>
          <w:highlight w:val="none"/>
        </w:rPr>
        <w:t>:</w:t>
      </w:r>
      <w:r>
        <w:rPr>
          <w:rFonts w:hint="eastAsia" w:ascii="宋体" w:hAnsi="宋体" w:eastAsia="宋体" w:cs="宋体"/>
          <w:color w:val="FF0000"/>
          <w:highlight w:val="none"/>
          <w:lang w:val="en-US" w:eastAsia="zh-CN"/>
        </w:rPr>
        <w:t>3</w:t>
      </w:r>
      <w:r>
        <w:rPr>
          <w:rFonts w:hint="eastAsia" w:ascii="宋体" w:hAnsi="宋体" w:eastAsia="宋体" w:cs="宋体"/>
          <w:color w:val="FF0000"/>
          <w:highlight w:val="none"/>
        </w:rPr>
        <w:t xml:space="preserve">0至18:00（北京时间，法定节假日除外。） </w:t>
      </w:r>
    </w:p>
    <w:p w14:paraId="05D03011">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bookmarkStart w:id="8" w:name="_Toc2636"/>
      <w:r>
        <w:rPr>
          <w:rFonts w:hint="eastAsia" w:ascii="宋体" w:hAnsi="宋体" w:eastAsia="宋体" w:cs="宋体"/>
          <w:color w:val="auto"/>
          <w:highlight w:val="none"/>
          <w:lang w:val="en-US" w:eastAsia="zh-CN"/>
        </w:rPr>
        <w:t>2、地点：“《固始县公共资源交易网》（https://ggzyjy.xinyang.gov.cn/gushi/）”</w:t>
      </w:r>
    </w:p>
    <w:p w14:paraId="2D3FD8D9">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方式：供应商登录固始县公共资源交易系统后，即可按网上提示免费下载磋商文件及资料（操作程序详见固始县公共资源交易中心网站下载中心栏目里供应商操作手册）。磋商文件(*.XYZF格式)下载后需使用“固始县电子响应文件制作工具软件”打开（该工具软件可在“固始县公共资源交易中心（https://ggzyjy.xinyang.gov.cn/gushi/）”网站下载中心栏目内下载或在磋商文件领取页面下载）。</w:t>
      </w:r>
    </w:p>
    <w:p w14:paraId="21641971">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4.售价：0元</w:t>
      </w:r>
      <w:bookmarkEnd w:id="8"/>
      <w:r>
        <w:rPr>
          <w:rFonts w:hint="eastAsia" w:ascii="宋体" w:hAnsi="宋体" w:eastAsia="宋体" w:cs="宋体"/>
          <w:color w:val="auto"/>
          <w:highlight w:val="none"/>
        </w:rPr>
        <w:t xml:space="preserve"> </w:t>
      </w:r>
    </w:p>
    <w:p w14:paraId="5C4266FE">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highlight w:val="none"/>
        </w:rPr>
      </w:pPr>
      <w:bookmarkStart w:id="9" w:name="_Toc16207"/>
      <w:r>
        <w:rPr>
          <w:rFonts w:hint="eastAsia" w:ascii="宋体" w:hAnsi="宋体" w:eastAsia="宋体" w:cs="宋体"/>
          <w:b/>
          <w:bCs/>
          <w:color w:val="auto"/>
          <w:highlight w:val="none"/>
        </w:rPr>
        <w:t>四、投标截止时间及地点</w:t>
      </w:r>
      <w:bookmarkEnd w:id="9"/>
    </w:p>
    <w:p w14:paraId="7A401C5F">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FF0000"/>
          <w:highlight w:val="none"/>
        </w:rPr>
      </w:pPr>
      <w:r>
        <w:rPr>
          <w:rFonts w:hint="eastAsia" w:ascii="宋体" w:hAnsi="宋体" w:eastAsia="宋体" w:cs="宋体"/>
          <w:color w:val="FF0000"/>
          <w:highlight w:val="none"/>
        </w:rPr>
        <w:t>1.时间：202</w:t>
      </w:r>
      <w:r>
        <w:rPr>
          <w:rFonts w:hint="eastAsia" w:ascii="宋体" w:hAnsi="宋体" w:eastAsia="宋体" w:cs="宋体"/>
          <w:color w:val="FF0000"/>
          <w:highlight w:val="none"/>
          <w:lang w:val="en-US" w:eastAsia="zh-CN"/>
        </w:rPr>
        <w:t>5</w:t>
      </w:r>
      <w:r>
        <w:rPr>
          <w:rFonts w:hint="eastAsia" w:ascii="宋体" w:hAnsi="宋体" w:eastAsia="宋体" w:cs="宋体"/>
          <w:color w:val="FF0000"/>
          <w:highlight w:val="none"/>
        </w:rPr>
        <w:t>年</w:t>
      </w:r>
      <w:r>
        <w:rPr>
          <w:rFonts w:hint="eastAsia" w:ascii="宋体" w:hAnsi="宋体" w:eastAsia="宋体" w:cs="宋体"/>
          <w:color w:val="FF0000"/>
          <w:highlight w:val="none"/>
          <w:lang w:val="en-US" w:eastAsia="zh-CN"/>
        </w:rPr>
        <w:t>9</w:t>
      </w:r>
      <w:r>
        <w:rPr>
          <w:rFonts w:hint="eastAsia" w:ascii="宋体" w:hAnsi="宋体" w:eastAsia="宋体" w:cs="宋体"/>
          <w:color w:val="FF0000"/>
          <w:highlight w:val="none"/>
        </w:rPr>
        <w:t>月</w:t>
      </w:r>
      <w:r>
        <w:rPr>
          <w:rFonts w:hint="eastAsia" w:ascii="宋体" w:hAnsi="宋体" w:eastAsia="宋体" w:cs="宋体"/>
          <w:color w:val="FF0000"/>
          <w:highlight w:val="none"/>
          <w:lang w:val="en-US" w:eastAsia="zh-CN"/>
        </w:rPr>
        <w:t>23</w:t>
      </w:r>
      <w:r>
        <w:rPr>
          <w:rFonts w:hint="eastAsia" w:ascii="宋体" w:hAnsi="宋体" w:eastAsia="宋体" w:cs="宋体"/>
          <w:color w:val="FF0000"/>
          <w:highlight w:val="none"/>
        </w:rPr>
        <w:t>日8时30分 (北京时间) 。</w:t>
      </w:r>
    </w:p>
    <w:p w14:paraId="1D8D2CC4">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2.地点：</w:t>
      </w:r>
      <w:r>
        <w:rPr>
          <w:rFonts w:hint="eastAsia" w:ascii="宋体" w:hAnsi="宋体" w:eastAsia="宋体" w:cs="宋体"/>
          <w:color w:val="auto"/>
          <w:highlight w:val="none"/>
          <w:lang w:val="en-US" w:eastAsia="zh-CN"/>
        </w:rPr>
        <w:t>固始县公共资源交易中心六楼不见面第</w:t>
      </w:r>
      <w:r>
        <w:rPr>
          <w:rFonts w:hint="eastAsia" w:ascii="宋体" w:hAnsi="宋体" w:eastAsia="宋体" w:cs="宋体"/>
          <w:color w:val="auto"/>
          <w:highlight w:val="none"/>
          <w:u w:val="none"/>
          <w:lang w:val="en-US" w:eastAsia="zh-CN"/>
        </w:rPr>
        <w:t>一</w:t>
      </w:r>
      <w:r>
        <w:rPr>
          <w:rFonts w:hint="eastAsia" w:ascii="宋体" w:hAnsi="宋体" w:eastAsia="宋体" w:cs="宋体"/>
          <w:color w:val="auto"/>
          <w:highlight w:val="none"/>
          <w:lang w:val="en-US" w:eastAsia="zh-CN"/>
        </w:rPr>
        <w:t>开标室。</w:t>
      </w:r>
    </w:p>
    <w:p w14:paraId="21D1C031">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highlight w:val="none"/>
        </w:rPr>
      </w:pPr>
      <w:bookmarkStart w:id="10" w:name="_Toc27686"/>
      <w:r>
        <w:rPr>
          <w:rFonts w:hint="eastAsia" w:ascii="宋体" w:hAnsi="宋体" w:eastAsia="宋体" w:cs="宋体"/>
          <w:b/>
          <w:bCs/>
          <w:color w:val="auto"/>
          <w:highlight w:val="none"/>
        </w:rPr>
        <w:t>五、开标时间及地点</w:t>
      </w:r>
      <w:bookmarkEnd w:id="10"/>
    </w:p>
    <w:p w14:paraId="064B3776">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FF0000"/>
          <w:highlight w:val="none"/>
        </w:rPr>
      </w:pPr>
      <w:r>
        <w:rPr>
          <w:rFonts w:hint="eastAsia" w:ascii="宋体" w:hAnsi="宋体" w:eastAsia="宋体" w:cs="宋体"/>
          <w:color w:val="FF0000"/>
          <w:highlight w:val="none"/>
        </w:rPr>
        <w:t>1.时间：202</w:t>
      </w:r>
      <w:r>
        <w:rPr>
          <w:rFonts w:hint="eastAsia" w:ascii="宋体" w:hAnsi="宋体" w:eastAsia="宋体" w:cs="宋体"/>
          <w:color w:val="FF0000"/>
          <w:highlight w:val="none"/>
          <w:lang w:val="en-US" w:eastAsia="zh-CN"/>
        </w:rPr>
        <w:t>5</w:t>
      </w:r>
      <w:r>
        <w:rPr>
          <w:rFonts w:hint="eastAsia" w:ascii="宋体" w:hAnsi="宋体" w:eastAsia="宋体" w:cs="宋体"/>
          <w:color w:val="FF0000"/>
          <w:highlight w:val="none"/>
        </w:rPr>
        <w:t>年</w:t>
      </w:r>
      <w:r>
        <w:rPr>
          <w:rFonts w:hint="eastAsia" w:ascii="宋体" w:hAnsi="宋体" w:eastAsia="宋体" w:cs="宋体"/>
          <w:color w:val="FF0000"/>
          <w:highlight w:val="none"/>
          <w:lang w:val="en-US" w:eastAsia="zh-CN"/>
        </w:rPr>
        <w:t>9</w:t>
      </w:r>
      <w:r>
        <w:rPr>
          <w:rFonts w:hint="eastAsia" w:ascii="宋体" w:hAnsi="宋体" w:eastAsia="宋体" w:cs="宋体"/>
          <w:color w:val="FF0000"/>
          <w:highlight w:val="none"/>
        </w:rPr>
        <w:t>月</w:t>
      </w:r>
      <w:r>
        <w:rPr>
          <w:rFonts w:hint="eastAsia" w:ascii="宋体" w:hAnsi="宋体" w:eastAsia="宋体" w:cs="宋体"/>
          <w:color w:val="FF0000"/>
          <w:highlight w:val="none"/>
          <w:lang w:val="en-US" w:eastAsia="zh-CN"/>
        </w:rPr>
        <w:t>23</w:t>
      </w:r>
      <w:r>
        <w:rPr>
          <w:rFonts w:hint="eastAsia" w:ascii="宋体" w:hAnsi="宋体" w:eastAsia="宋体" w:cs="宋体"/>
          <w:color w:val="FF0000"/>
          <w:highlight w:val="none"/>
        </w:rPr>
        <w:t>日8时30分 (北京时间) 。</w:t>
      </w:r>
    </w:p>
    <w:p w14:paraId="63B9C82D">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FF0000"/>
          <w:highlight w:val="none"/>
        </w:rPr>
      </w:pPr>
      <w:bookmarkStart w:id="11" w:name="_Toc21933"/>
      <w:r>
        <w:rPr>
          <w:rFonts w:hint="eastAsia" w:ascii="宋体" w:hAnsi="宋体" w:eastAsia="宋体" w:cs="宋体"/>
          <w:color w:val="FF0000"/>
          <w:highlight w:val="none"/>
        </w:rPr>
        <w:t>2.地点：固始县公共资源交易中心六楼不见面第</w:t>
      </w:r>
      <w:r>
        <w:rPr>
          <w:rFonts w:hint="eastAsia" w:ascii="宋体" w:hAnsi="宋体" w:eastAsia="宋体" w:cs="宋体"/>
          <w:color w:val="FF0000"/>
          <w:highlight w:val="none"/>
          <w:u w:val="none"/>
          <w:lang w:val="en-US" w:eastAsia="zh-CN"/>
        </w:rPr>
        <w:t>一</w:t>
      </w:r>
      <w:r>
        <w:rPr>
          <w:rFonts w:hint="eastAsia" w:ascii="宋体" w:hAnsi="宋体" w:eastAsia="宋体" w:cs="宋体"/>
          <w:color w:val="FF0000"/>
          <w:highlight w:val="none"/>
        </w:rPr>
        <w:t>开标室。</w:t>
      </w:r>
      <w:bookmarkEnd w:id="11"/>
    </w:p>
    <w:p w14:paraId="2EE3F05D">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highlight w:val="none"/>
        </w:rPr>
      </w:pPr>
      <w:bookmarkStart w:id="12" w:name="_Toc3555"/>
      <w:r>
        <w:rPr>
          <w:rFonts w:hint="eastAsia" w:ascii="宋体" w:hAnsi="宋体" w:eastAsia="宋体" w:cs="宋体"/>
          <w:b/>
          <w:bCs/>
          <w:color w:val="auto"/>
          <w:highlight w:val="none"/>
        </w:rPr>
        <w:t>六、发布公告</w:t>
      </w:r>
      <w:r>
        <w:rPr>
          <w:rFonts w:hint="eastAsia" w:ascii="宋体" w:hAnsi="宋体" w:eastAsia="宋体" w:cs="宋体"/>
          <w:b/>
          <w:bCs/>
          <w:color w:val="auto"/>
          <w:highlight w:val="none"/>
          <w:lang w:val="en-US" w:eastAsia="zh-CN"/>
        </w:rPr>
        <w:t>的</w:t>
      </w:r>
      <w:r>
        <w:rPr>
          <w:rFonts w:hint="eastAsia" w:ascii="宋体" w:hAnsi="宋体" w:eastAsia="宋体" w:cs="宋体"/>
          <w:b/>
          <w:bCs/>
          <w:color w:val="auto"/>
          <w:highlight w:val="none"/>
        </w:rPr>
        <w:t>媒介及</w:t>
      </w:r>
      <w:r>
        <w:rPr>
          <w:rFonts w:hint="eastAsia" w:ascii="宋体" w:hAnsi="宋体" w:eastAsia="宋体" w:cs="宋体"/>
          <w:b/>
          <w:bCs/>
          <w:color w:val="auto"/>
          <w:highlight w:val="none"/>
          <w:lang w:eastAsia="zh-CN"/>
        </w:rPr>
        <w:t>竞争性磋商</w:t>
      </w:r>
      <w:r>
        <w:rPr>
          <w:rFonts w:hint="eastAsia" w:ascii="宋体" w:hAnsi="宋体" w:eastAsia="宋体" w:cs="宋体"/>
          <w:b/>
          <w:bCs/>
          <w:color w:val="auto"/>
          <w:highlight w:val="none"/>
        </w:rPr>
        <w:t>公告期限</w:t>
      </w:r>
      <w:bookmarkEnd w:id="12"/>
    </w:p>
    <w:p w14:paraId="6C0FFFF8">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本次</w:t>
      </w:r>
      <w:r>
        <w:rPr>
          <w:rFonts w:hint="eastAsia" w:ascii="宋体" w:hAnsi="宋体" w:eastAsia="宋体" w:cs="宋体"/>
          <w:color w:val="auto"/>
          <w:highlight w:val="none"/>
          <w:lang w:eastAsia="zh-CN"/>
        </w:rPr>
        <w:t>竞争性磋商</w:t>
      </w:r>
      <w:r>
        <w:rPr>
          <w:rFonts w:hint="eastAsia" w:ascii="宋体" w:hAnsi="宋体" w:eastAsia="宋体" w:cs="宋体"/>
          <w:color w:val="auto"/>
          <w:highlight w:val="none"/>
        </w:rPr>
        <w:t>公告在《河南省政府采购网》</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《全国公共资源交易平台(河南省·固始县)》上发布。</w:t>
      </w:r>
      <w:r>
        <w:rPr>
          <w:rFonts w:hint="eastAsia" w:ascii="宋体" w:hAnsi="宋体" w:eastAsia="宋体" w:cs="宋体"/>
          <w:color w:val="auto"/>
          <w:highlight w:val="none"/>
          <w:lang w:eastAsia="zh-CN"/>
        </w:rPr>
        <w:t>竞争性磋商</w:t>
      </w:r>
      <w:r>
        <w:rPr>
          <w:rFonts w:hint="eastAsia" w:ascii="宋体" w:hAnsi="宋体" w:eastAsia="宋体" w:cs="宋体"/>
          <w:color w:val="auto"/>
          <w:highlight w:val="none"/>
        </w:rPr>
        <w:t>公告期限为</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个工作日。</w:t>
      </w:r>
    </w:p>
    <w:p w14:paraId="586B1AD7">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highlight w:val="none"/>
        </w:rPr>
      </w:pPr>
      <w:bookmarkStart w:id="13" w:name="_Toc30736"/>
      <w:r>
        <w:rPr>
          <w:rFonts w:hint="eastAsia" w:ascii="宋体" w:hAnsi="宋体" w:eastAsia="宋体" w:cs="宋体"/>
          <w:b/>
          <w:bCs/>
          <w:color w:val="auto"/>
          <w:highlight w:val="none"/>
        </w:rPr>
        <w:t>七、其他补充事宜</w:t>
      </w:r>
      <w:bookmarkEnd w:id="13"/>
    </w:p>
    <w:p w14:paraId="378E5DA2">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bookmarkStart w:id="14" w:name="_Toc28040"/>
      <w:r>
        <w:rPr>
          <w:rFonts w:hint="eastAsia" w:ascii="宋体" w:hAnsi="宋体" w:eastAsia="宋体" w:cs="宋体"/>
          <w:color w:val="auto"/>
          <w:highlight w:val="none"/>
        </w:rPr>
        <w:t>1、各投标人应在</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递交截止时间前上传加密的电子响应文件到系统的指定位置。上传的电子响应文件应使用投标人CA数字证书认证并加密。上传时必须得到交易系统“上传成功”的确认回复后方为上传成功。请投标人在上传前务必认真检查上传响应文件是否完整、正确。</w:t>
      </w:r>
    </w:p>
    <w:p w14:paraId="360E94E3">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请供应商下载磋商文件后，及时关注系统业务菜单（“答疑澄清文件领取”、“控制价文件领取”）内该项目是否有新的答疑澄清文件或控制价文件。如有请直接下载，不再另行通知。</w:t>
      </w:r>
    </w:p>
    <w:p w14:paraId="16D8C69E">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、本项目采用“不见面开标”交易方式，不见面开标大厅网址为https://ggzyjy.xinyang.gov.cn/BidOpening/bidhall/xinyang/login.html。投标人无需寄送和递交非加密的电子</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，无需到现场参加开标会议，无需到达现场提交原件资料。</w:t>
      </w:r>
    </w:p>
    <w:p w14:paraId="4B670991">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、投标人应当在投标截止时间前，使用投标人CA数字证书登录不见面开标大厅，在线签到并准时参加开标活动，并在规定时间内完成</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解密、答疑澄清等。</w:t>
      </w:r>
    </w:p>
    <w:p w14:paraId="0780E0DA">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、逾期解密或者没有准时在线签到参加开标活动导致的一切后果投标人自行承担。</w:t>
      </w:r>
    </w:p>
    <w:p w14:paraId="033C6E81">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、不见面开标服务的具体事宜，请查阅固始县公共资源交易中心网站首页—下载中心—固始县不见面开标大厅系统操作手册。</w:t>
      </w:r>
    </w:p>
    <w:p w14:paraId="26AEC09F">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b/>
          <w:bCs/>
          <w:color w:val="auto"/>
          <w:highlight w:val="none"/>
        </w:rPr>
      </w:pPr>
      <w:r>
        <w:rPr>
          <w:rFonts w:hint="eastAsia" w:ascii="宋体" w:hAnsi="宋体" w:eastAsia="宋体" w:cs="宋体"/>
          <w:color w:val="auto"/>
          <w:highlight w:val="none"/>
        </w:rPr>
        <w:t>特别提示：</w:t>
      </w:r>
      <w:r>
        <w:rPr>
          <w:rFonts w:hint="eastAsia" w:ascii="宋体" w:hAnsi="宋体" w:eastAsia="宋体" w:cs="宋体"/>
          <w:b/>
          <w:bCs/>
          <w:color w:val="auto"/>
          <w:highlight w:val="none"/>
        </w:rPr>
        <w:t>投标人在线签到时，应如实准确的填写授权委托人的联系电话，开标当天请务必保证电话畅通，否则引发的后果由投标人自行承担。</w:t>
      </w:r>
    </w:p>
    <w:p w14:paraId="7A6A682E">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本项目评标以电子</w:t>
      </w: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rPr>
        <w:t>为依据，未在投标截止时间前上传电子</w:t>
      </w: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rPr>
        <w:t>的投标人，视为自动放弃其投标。</w:t>
      </w:r>
    </w:p>
    <w:p w14:paraId="65F7E4D9">
      <w:pPr>
        <w:keepNext w:val="0"/>
        <w:keepLines w:val="0"/>
        <w:pageBreakBefore w:val="0"/>
        <w:widowControl/>
        <w:kinsoku/>
        <w:wordWrap w:val="0"/>
        <w:overflowPunct w:val="0"/>
        <w:topLinePunct/>
        <w:autoSpaceDE w:val="0"/>
        <w:autoSpaceDN w:val="0"/>
        <w:bidi w:val="0"/>
        <w:adjustRightInd w:val="0"/>
        <w:snapToGrid w:val="0"/>
        <w:spacing w:line="360" w:lineRule="auto"/>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八、凡对本次</w:t>
      </w:r>
      <w:r>
        <w:rPr>
          <w:rFonts w:hint="eastAsia" w:ascii="宋体" w:hAnsi="宋体" w:eastAsia="宋体" w:cs="宋体"/>
          <w:b/>
          <w:bCs/>
          <w:color w:val="auto"/>
          <w:highlight w:val="none"/>
          <w:lang w:eastAsia="zh-CN"/>
        </w:rPr>
        <w:t>竞争性磋商</w:t>
      </w:r>
      <w:r>
        <w:rPr>
          <w:rFonts w:hint="eastAsia" w:ascii="宋体" w:hAnsi="宋体" w:eastAsia="宋体" w:cs="宋体"/>
          <w:b/>
          <w:bCs/>
          <w:color w:val="auto"/>
          <w:highlight w:val="none"/>
        </w:rPr>
        <w:t>提出询问，请按照以下方式联系：</w:t>
      </w:r>
      <w:bookmarkEnd w:id="14"/>
    </w:p>
    <w:p w14:paraId="5325F3BE">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bookmarkStart w:id="15" w:name="_Toc27605"/>
      <w:r>
        <w:rPr>
          <w:rFonts w:hint="eastAsia" w:ascii="宋体" w:hAnsi="宋体" w:eastAsia="宋体" w:cs="宋体"/>
          <w:color w:val="auto"/>
          <w:highlight w:val="none"/>
        </w:rPr>
        <w:t>1.采购人信息</w:t>
      </w:r>
      <w:bookmarkEnd w:id="15"/>
    </w:p>
    <w:p w14:paraId="18C88A15">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采购人：固始县发固资产运营有限公司</w:t>
      </w:r>
    </w:p>
    <w:p w14:paraId="230F2381">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地址：固始县阳关街道办事处凤凰园社区长江河路台商工业园CF17栋</w:t>
      </w:r>
    </w:p>
    <w:p w14:paraId="2ABBA72D">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联系人：王华超</w:t>
      </w:r>
    </w:p>
    <w:p w14:paraId="28E29AE5">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联系电话：</w:t>
      </w:r>
      <w:bookmarkStart w:id="16" w:name="_Toc9411"/>
      <w:r>
        <w:rPr>
          <w:rFonts w:hint="eastAsia" w:ascii="宋体" w:hAnsi="宋体" w:eastAsia="宋体" w:cs="宋体"/>
          <w:color w:val="auto"/>
          <w:highlight w:val="none"/>
          <w:lang w:val="en-US" w:eastAsia="zh-CN"/>
        </w:rPr>
        <w:t>15517617999</w:t>
      </w:r>
    </w:p>
    <w:p w14:paraId="334FA233">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2.采购代理机构信息（如有）</w:t>
      </w:r>
      <w:bookmarkEnd w:id="16"/>
    </w:p>
    <w:p w14:paraId="483C5B07">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固始县采购中心</w:t>
      </w:r>
    </w:p>
    <w:p w14:paraId="51FC7012">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固始县</w:t>
      </w:r>
      <w:r>
        <w:rPr>
          <w:rFonts w:hint="eastAsia" w:ascii="宋体" w:hAnsi="宋体" w:eastAsia="宋体" w:cs="宋体"/>
          <w:color w:val="auto"/>
          <w:highlight w:val="none"/>
          <w:lang w:val="en-US" w:eastAsia="zh-CN"/>
        </w:rPr>
        <w:t>财政局</w:t>
      </w:r>
    </w:p>
    <w:p w14:paraId="59E6230F">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王磊</w:t>
      </w:r>
      <w:r>
        <w:rPr>
          <w:rFonts w:hint="eastAsia" w:ascii="宋体" w:hAnsi="宋体" w:eastAsia="宋体" w:cs="宋体"/>
          <w:color w:val="auto"/>
          <w:highlight w:val="none"/>
        </w:rPr>
        <w:t>        </w:t>
      </w:r>
    </w:p>
    <w:p w14:paraId="70F7C55B">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highlight w:val="none"/>
          <w:lang w:val="en-US"/>
        </w:rPr>
      </w:pPr>
      <w:r>
        <w:rPr>
          <w:rFonts w:hint="eastAsia" w:ascii="宋体" w:hAnsi="宋体" w:eastAsia="宋体" w:cs="宋体"/>
          <w:color w:val="auto"/>
          <w:highlight w:val="none"/>
        </w:rPr>
        <w:t>联系方式：</w:t>
      </w:r>
      <w:r>
        <w:rPr>
          <w:rFonts w:hint="eastAsia" w:ascii="宋体" w:hAnsi="宋体" w:eastAsia="宋体" w:cs="宋体"/>
          <w:color w:val="auto"/>
          <w:highlight w:val="none"/>
          <w:lang w:val="en-US" w:eastAsia="zh-CN"/>
        </w:rPr>
        <w:t>13607614246</w:t>
      </w:r>
    </w:p>
    <w:p w14:paraId="5D2F2E40">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bookmarkStart w:id="17" w:name="_Toc11943"/>
      <w:r>
        <w:rPr>
          <w:rFonts w:hint="eastAsia" w:ascii="宋体" w:hAnsi="宋体" w:eastAsia="宋体" w:cs="宋体"/>
          <w:color w:val="auto"/>
          <w:highlight w:val="none"/>
          <w:lang w:val="en-US" w:eastAsia="zh-CN"/>
        </w:rPr>
        <w:t>3.项目联系方式</w:t>
      </w:r>
      <w:bookmarkEnd w:id="17"/>
    </w:p>
    <w:p w14:paraId="3ED5F1B6">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val="en-US" w:eastAsia="zh-CN"/>
        </w:rPr>
        <w:t>王磊</w:t>
      </w:r>
    </w:p>
    <w:p w14:paraId="7556F457">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联系方式：</w:t>
      </w:r>
      <w:r>
        <w:rPr>
          <w:rFonts w:hint="eastAsia" w:ascii="宋体" w:hAnsi="宋体" w:eastAsia="宋体" w:cs="宋体"/>
          <w:color w:val="auto"/>
          <w:highlight w:val="none"/>
          <w:lang w:val="en-US" w:eastAsia="zh-CN"/>
        </w:rPr>
        <w:t>13607614246</w:t>
      </w:r>
    </w:p>
    <w:p w14:paraId="0A1EB90F">
      <w:pPr>
        <w:keepNext w:val="0"/>
        <w:keepLines w:val="0"/>
        <w:pageBreakBefore w:val="0"/>
        <w:kinsoku/>
        <w:wordWrap w:val="0"/>
        <w:overflowPunct w:val="0"/>
        <w:topLinePunct/>
        <w:autoSpaceDE w:val="0"/>
        <w:autoSpaceDN w:val="0"/>
        <w:bidi w:val="0"/>
        <w:rPr>
          <w:rFonts w:hint="eastAsia" w:ascii="宋体" w:hAnsi="宋体" w:eastAsia="宋体" w:cs="宋体"/>
          <w:b/>
          <w:bCs/>
          <w:color w:val="auto"/>
          <w:sz w:val="30"/>
          <w:szCs w:val="30"/>
          <w:highlight w:val="none"/>
          <w:lang w:val="en-US" w:eastAsia="zh-CN"/>
        </w:rPr>
      </w:pPr>
      <w:bookmarkStart w:id="18" w:name="_Toc16995"/>
      <w:bookmarkStart w:id="19" w:name="_Toc12418"/>
      <w:r>
        <w:rPr>
          <w:rFonts w:hint="eastAsia" w:ascii="宋体" w:hAnsi="宋体" w:eastAsia="宋体" w:cs="宋体"/>
          <w:b/>
          <w:bCs/>
          <w:color w:val="auto"/>
          <w:sz w:val="30"/>
          <w:szCs w:val="30"/>
          <w:highlight w:val="none"/>
          <w:lang w:val="en-US" w:eastAsia="zh-CN"/>
        </w:rPr>
        <w:br w:type="page"/>
      </w:r>
    </w:p>
    <w:p w14:paraId="02199C9E">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第二章 投标人须知</w:t>
      </w:r>
      <w:bookmarkEnd w:id="18"/>
      <w:bookmarkEnd w:id="19"/>
    </w:p>
    <w:p w14:paraId="3A189B05">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24"/>
          <w:szCs w:val="24"/>
          <w:highlight w:val="none"/>
          <w:lang w:val="en-US" w:eastAsia="zh-CN"/>
        </w:rPr>
      </w:pPr>
      <w:bookmarkStart w:id="20" w:name="_Toc17572"/>
    </w:p>
    <w:p w14:paraId="7C72D3C3">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投标须知前附表</w:t>
      </w:r>
      <w:bookmarkEnd w:id="20"/>
    </w:p>
    <w:p w14:paraId="645885C7">
      <w:pPr>
        <w:keepNext w:val="0"/>
        <w:keepLines w:val="0"/>
        <w:pageBreakBefore w:val="0"/>
        <w:kinsoku/>
        <w:wordWrap w:val="0"/>
        <w:overflowPunct w:val="0"/>
        <w:topLinePunct/>
        <w:autoSpaceDE w:val="0"/>
        <w:autoSpaceDN w:val="0"/>
        <w:bidi w:val="0"/>
        <w:spacing w:line="151" w:lineRule="exact"/>
        <w:rPr>
          <w:rFonts w:hint="eastAsia" w:ascii="宋体" w:hAnsi="宋体" w:eastAsia="宋体" w:cs="宋体"/>
          <w:color w:val="auto"/>
          <w:highlight w:val="none"/>
        </w:rPr>
      </w:pPr>
    </w:p>
    <w:tbl>
      <w:tblPr>
        <w:tblStyle w:val="37"/>
        <w:tblW w:w="94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737"/>
        <w:gridCol w:w="6825"/>
      </w:tblGrid>
      <w:tr w14:paraId="1857B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900" w:type="dxa"/>
            <w:tcBorders>
              <w:top w:val="single" w:color="000000" w:sz="2" w:space="0"/>
              <w:bottom w:val="single" w:color="000000" w:sz="2" w:space="0"/>
            </w:tcBorders>
            <w:vAlign w:val="center"/>
          </w:tcPr>
          <w:p w14:paraId="7C96607E">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条款号</w:t>
            </w:r>
          </w:p>
        </w:tc>
        <w:tc>
          <w:tcPr>
            <w:tcW w:w="1737" w:type="dxa"/>
            <w:tcBorders>
              <w:top w:val="single" w:color="000000" w:sz="2" w:space="0"/>
              <w:bottom w:val="single" w:color="000000" w:sz="2" w:space="0"/>
            </w:tcBorders>
            <w:vAlign w:val="center"/>
          </w:tcPr>
          <w:p w14:paraId="2BF88D4A">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条 款 名 称</w:t>
            </w:r>
          </w:p>
        </w:tc>
        <w:tc>
          <w:tcPr>
            <w:tcW w:w="6825" w:type="dxa"/>
            <w:tcBorders>
              <w:top w:val="single" w:color="000000" w:sz="2" w:space="0"/>
              <w:bottom w:val="single" w:color="000000" w:sz="2" w:space="0"/>
            </w:tcBorders>
            <w:vAlign w:val="center"/>
          </w:tcPr>
          <w:p w14:paraId="4C1045C2">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编 列 内 容</w:t>
            </w:r>
          </w:p>
        </w:tc>
      </w:tr>
      <w:tr w14:paraId="74DD8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900" w:type="dxa"/>
            <w:tcBorders>
              <w:top w:val="single" w:color="000000" w:sz="2" w:space="0"/>
              <w:bottom w:val="single" w:color="000000" w:sz="2" w:space="0"/>
            </w:tcBorders>
            <w:vAlign w:val="center"/>
          </w:tcPr>
          <w:p w14:paraId="4F6A9A52">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1.1.2</w:t>
            </w:r>
          </w:p>
        </w:tc>
        <w:tc>
          <w:tcPr>
            <w:tcW w:w="1737" w:type="dxa"/>
            <w:tcBorders>
              <w:top w:val="single" w:color="000000" w:sz="2" w:space="0"/>
              <w:bottom w:val="single" w:color="000000" w:sz="2" w:space="0"/>
            </w:tcBorders>
            <w:vAlign w:val="center"/>
          </w:tcPr>
          <w:p w14:paraId="50B515FB">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825" w:type="dxa"/>
            <w:tcBorders>
              <w:top w:val="single" w:color="000000" w:sz="2" w:space="0"/>
              <w:bottom w:val="single" w:color="000000" w:sz="2" w:space="0"/>
            </w:tcBorders>
            <w:vAlign w:val="center"/>
          </w:tcPr>
          <w:p w14:paraId="01394099">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采购人：固始县发固资产运营有限公司</w:t>
            </w:r>
          </w:p>
          <w:p w14:paraId="390E7196">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地址：固始县阳关街道办事处凤凰园社区长江河路台商工业园CF17栋</w:t>
            </w:r>
          </w:p>
          <w:p w14:paraId="190AA22C">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联系人：王华超</w:t>
            </w:r>
          </w:p>
          <w:p w14:paraId="7D128E1F">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联系电话：15517617999</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p>
        </w:tc>
      </w:tr>
      <w:tr w14:paraId="2CB3B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atLeast"/>
        </w:trPr>
        <w:tc>
          <w:tcPr>
            <w:tcW w:w="900" w:type="dxa"/>
            <w:tcBorders>
              <w:top w:val="single" w:color="000000" w:sz="2" w:space="0"/>
              <w:bottom w:val="single" w:color="000000" w:sz="2" w:space="0"/>
            </w:tcBorders>
            <w:vAlign w:val="center"/>
          </w:tcPr>
          <w:p w14:paraId="48AAD3E9">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1.1.3</w:t>
            </w:r>
          </w:p>
        </w:tc>
        <w:tc>
          <w:tcPr>
            <w:tcW w:w="1737" w:type="dxa"/>
            <w:tcBorders>
              <w:top w:val="single" w:color="000000" w:sz="2" w:space="0"/>
              <w:bottom w:val="single" w:color="000000" w:sz="2" w:space="0"/>
            </w:tcBorders>
            <w:vAlign w:val="center"/>
          </w:tcPr>
          <w:p w14:paraId="0019C44A">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采购代理机构</w:t>
            </w:r>
          </w:p>
        </w:tc>
        <w:tc>
          <w:tcPr>
            <w:tcW w:w="6825" w:type="dxa"/>
            <w:tcBorders>
              <w:top w:val="single" w:color="000000" w:sz="2" w:space="0"/>
              <w:bottom w:val="single" w:color="000000" w:sz="2" w:space="0"/>
            </w:tcBorders>
            <w:vAlign w:val="center"/>
          </w:tcPr>
          <w:p w14:paraId="78C4C23A">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采购代理机构：</w:t>
            </w:r>
            <w:r>
              <w:rPr>
                <w:rFonts w:hint="eastAsia" w:ascii="宋体" w:hAnsi="宋体" w:eastAsia="宋体" w:cs="宋体"/>
                <w:color w:val="auto"/>
                <w:highlight w:val="none"/>
                <w:lang w:eastAsia="zh-CN"/>
              </w:rPr>
              <w:t>固始县采购中心</w:t>
            </w:r>
          </w:p>
          <w:p w14:paraId="21DD1761">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固始县</w:t>
            </w:r>
            <w:r>
              <w:rPr>
                <w:rFonts w:hint="eastAsia" w:ascii="宋体" w:hAnsi="宋体" w:eastAsia="宋体" w:cs="宋体"/>
                <w:color w:val="auto"/>
                <w:highlight w:val="none"/>
                <w:lang w:val="en-US" w:eastAsia="zh-CN"/>
              </w:rPr>
              <w:t>财政局</w:t>
            </w:r>
          </w:p>
          <w:p w14:paraId="7B278B9C">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王磊</w:t>
            </w:r>
          </w:p>
          <w:p w14:paraId="71DD848F">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电话：</w:t>
            </w:r>
            <w:r>
              <w:rPr>
                <w:rFonts w:hint="eastAsia" w:ascii="宋体" w:hAnsi="宋体" w:eastAsia="宋体" w:cs="宋体"/>
                <w:color w:val="auto"/>
                <w:highlight w:val="none"/>
                <w:lang w:val="en-US" w:eastAsia="zh-CN"/>
              </w:rPr>
              <w:t>13607614246</w:t>
            </w:r>
          </w:p>
        </w:tc>
      </w:tr>
      <w:tr w14:paraId="6AACE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00" w:type="dxa"/>
            <w:tcBorders>
              <w:top w:val="single" w:color="000000" w:sz="2" w:space="0"/>
              <w:bottom w:val="single" w:color="000000" w:sz="2" w:space="0"/>
            </w:tcBorders>
            <w:vAlign w:val="center"/>
          </w:tcPr>
          <w:p w14:paraId="70338AC0">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1.1.4</w:t>
            </w:r>
          </w:p>
        </w:tc>
        <w:tc>
          <w:tcPr>
            <w:tcW w:w="1737" w:type="dxa"/>
            <w:tcBorders>
              <w:top w:val="single" w:color="000000" w:sz="2" w:space="0"/>
              <w:bottom w:val="single" w:color="000000" w:sz="2" w:space="0"/>
            </w:tcBorders>
            <w:vAlign w:val="center"/>
          </w:tcPr>
          <w:p w14:paraId="745E20E0">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825" w:type="dxa"/>
            <w:tcBorders>
              <w:top w:val="single" w:color="000000" w:sz="2" w:space="0"/>
              <w:bottom w:val="single" w:color="000000" w:sz="2" w:space="0"/>
            </w:tcBorders>
            <w:vAlign w:val="center"/>
          </w:tcPr>
          <w:p w14:paraId="5F0D67D0">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eastAsia" w:ascii="宋体" w:hAnsi="宋体" w:eastAsia="宋体" w:cs="宋体"/>
                <w:color w:val="auto"/>
                <w:highlight w:val="none"/>
                <w:lang w:eastAsia="zh-CN"/>
              </w:rPr>
            </w:pPr>
            <w:r>
              <w:rPr>
                <w:rFonts w:hint="eastAsia"/>
                <w:lang w:val="en-US" w:eastAsia="zh-CN"/>
              </w:rPr>
              <w:t>固始县针织服装产业园2025-2026年度物业管理招标项目</w:t>
            </w:r>
          </w:p>
        </w:tc>
      </w:tr>
      <w:tr w14:paraId="62935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900" w:type="dxa"/>
            <w:tcBorders>
              <w:top w:val="single" w:color="000000" w:sz="2" w:space="0"/>
              <w:bottom w:val="single" w:color="000000" w:sz="2" w:space="0"/>
            </w:tcBorders>
            <w:vAlign w:val="center"/>
          </w:tcPr>
          <w:p w14:paraId="7E1C900F">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1.1.5</w:t>
            </w:r>
          </w:p>
        </w:tc>
        <w:tc>
          <w:tcPr>
            <w:tcW w:w="1737" w:type="dxa"/>
            <w:tcBorders>
              <w:top w:val="single" w:color="000000" w:sz="2" w:space="0"/>
              <w:bottom w:val="single" w:color="000000" w:sz="2" w:space="0"/>
            </w:tcBorders>
            <w:vAlign w:val="center"/>
          </w:tcPr>
          <w:p w14:paraId="4C98F3F6">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包段划分及最高限价</w:t>
            </w:r>
          </w:p>
        </w:tc>
        <w:tc>
          <w:tcPr>
            <w:tcW w:w="6825" w:type="dxa"/>
            <w:tcBorders>
              <w:top w:val="single" w:color="000000" w:sz="2" w:space="0"/>
              <w:bottom w:val="single" w:color="000000" w:sz="2" w:space="0"/>
            </w:tcBorders>
            <w:vAlign w:val="center"/>
          </w:tcPr>
          <w:p w14:paraId="18FEB2AD">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包段划分：共分为1个包段。</w:t>
            </w:r>
          </w:p>
          <w:p w14:paraId="00DE0A6C">
            <w:pPr>
              <w:keepNext w:val="0"/>
              <w:keepLines w:val="0"/>
              <w:pageBreakBefore w:val="0"/>
              <w:widowControl/>
              <w:kinsoku/>
              <w:wordWrap/>
              <w:overflowPunct w:val="0"/>
              <w:topLinePunct/>
              <w:autoSpaceDE w:val="0"/>
              <w:autoSpaceDN w:val="0"/>
              <w:bidi w:val="0"/>
              <w:adjustRightInd w:val="0"/>
              <w:snapToGrid w:val="0"/>
              <w:spacing w:line="40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本项目最高限价</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1596320.74</w:t>
            </w:r>
            <w:r>
              <w:rPr>
                <w:rFonts w:hint="eastAsia" w:ascii="宋体" w:hAnsi="宋体" w:eastAsia="宋体" w:cs="宋体"/>
                <w:color w:val="auto"/>
                <w:highlight w:val="none"/>
              </w:rPr>
              <w:t>元</w:t>
            </w:r>
          </w:p>
        </w:tc>
      </w:tr>
      <w:tr w14:paraId="229BF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900" w:type="dxa"/>
            <w:tcBorders>
              <w:top w:val="single" w:color="000000" w:sz="2" w:space="0"/>
              <w:bottom w:val="single" w:color="000000" w:sz="2" w:space="0"/>
            </w:tcBorders>
            <w:vAlign w:val="center"/>
          </w:tcPr>
          <w:p w14:paraId="3340FAA0">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1.1.6</w:t>
            </w:r>
          </w:p>
        </w:tc>
        <w:tc>
          <w:tcPr>
            <w:tcW w:w="1737" w:type="dxa"/>
            <w:tcBorders>
              <w:top w:val="single" w:color="000000" w:sz="2" w:space="0"/>
              <w:bottom w:val="single" w:color="000000" w:sz="2" w:space="0"/>
            </w:tcBorders>
            <w:vAlign w:val="center"/>
          </w:tcPr>
          <w:p w14:paraId="5ED97DF7">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采购方式</w:t>
            </w:r>
          </w:p>
        </w:tc>
        <w:tc>
          <w:tcPr>
            <w:tcW w:w="6825" w:type="dxa"/>
            <w:tcBorders>
              <w:top w:val="single" w:color="000000" w:sz="2" w:space="0"/>
              <w:bottom w:val="single" w:color="000000" w:sz="2" w:space="0"/>
            </w:tcBorders>
            <w:vAlign w:val="center"/>
          </w:tcPr>
          <w:p w14:paraId="7F14BC77">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竞争性磋商</w:t>
            </w:r>
          </w:p>
        </w:tc>
      </w:tr>
      <w:tr w14:paraId="469C4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0" w:type="dxa"/>
            <w:tcBorders>
              <w:top w:val="single" w:color="000000" w:sz="2" w:space="0"/>
              <w:bottom w:val="single" w:color="000000" w:sz="2" w:space="0"/>
            </w:tcBorders>
            <w:vAlign w:val="center"/>
          </w:tcPr>
          <w:p w14:paraId="2B0442B3">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1.2.1</w:t>
            </w:r>
          </w:p>
        </w:tc>
        <w:tc>
          <w:tcPr>
            <w:tcW w:w="1737" w:type="dxa"/>
            <w:tcBorders>
              <w:top w:val="single" w:color="000000" w:sz="2" w:space="0"/>
              <w:bottom w:val="single" w:color="000000" w:sz="2" w:space="0"/>
            </w:tcBorders>
            <w:vAlign w:val="center"/>
          </w:tcPr>
          <w:p w14:paraId="51B308BC">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资金来源</w:t>
            </w:r>
          </w:p>
        </w:tc>
        <w:tc>
          <w:tcPr>
            <w:tcW w:w="6825" w:type="dxa"/>
            <w:tcBorders>
              <w:top w:val="single" w:color="000000" w:sz="2" w:space="0"/>
              <w:bottom w:val="single" w:color="000000" w:sz="2" w:space="0"/>
            </w:tcBorders>
            <w:vAlign w:val="center"/>
          </w:tcPr>
          <w:p w14:paraId="04325B10">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自有</w:t>
            </w:r>
            <w:r>
              <w:rPr>
                <w:rFonts w:hint="eastAsia" w:ascii="宋体" w:hAnsi="宋体" w:eastAsia="宋体" w:cs="宋体"/>
                <w:color w:val="auto"/>
                <w:highlight w:val="none"/>
              </w:rPr>
              <w:t>资金</w:t>
            </w:r>
          </w:p>
        </w:tc>
      </w:tr>
      <w:tr w14:paraId="5D80D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900" w:type="dxa"/>
            <w:tcBorders>
              <w:top w:val="single" w:color="000000" w:sz="2" w:space="0"/>
              <w:bottom w:val="single" w:color="000000" w:sz="2" w:space="0"/>
            </w:tcBorders>
            <w:vAlign w:val="center"/>
          </w:tcPr>
          <w:p w14:paraId="2F2506A0">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1.2.2</w:t>
            </w:r>
          </w:p>
        </w:tc>
        <w:tc>
          <w:tcPr>
            <w:tcW w:w="1737" w:type="dxa"/>
            <w:tcBorders>
              <w:top w:val="single" w:color="000000" w:sz="2" w:space="0"/>
              <w:bottom w:val="single" w:color="000000" w:sz="2" w:space="0"/>
            </w:tcBorders>
            <w:vAlign w:val="center"/>
          </w:tcPr>
          <w:p w14:paraId="7F228BFA">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出资比例</w:t>
            </w:r>
          </w:p>
        </w:tc>
        <w:tc>
          <w:tcPr>
            <w:tcW w:w="6825" w:type="dxa"/>
            <w:tcBorders>
              <w:top w:val="single" w:color="000000" w:sz="2" w:space="0"/>
              <w:bottom w:val="single" w:color="000000" w:sz="2" w:space="0"/>
            </w:tcBorders>
            <w:vAlign w:val="center"/>
          </w:tcPr>
          <w:p w14:paraId="5808030D">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100%</w:t>
            </w:r>
          </w:p>
        </w:tc>
      </w:tr>
      <w:tr w14:paraId="4E476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900" w:type="dxa"/>
            <w:tcBorders>
              <w:top w:val="single" w:color="000000" w:sz="2" w:space="0"/>
              <w:bottom w:val="single" w:color="000000" w:sz="2" w:space="0"/>
            </w:tcBorders>
            <w:vAlign w:val="center"/>
          </w:tcPr>
          <w:p w14:paraId="50FEED50">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1737" w:type="dxa"/>
            <w:tcBorders>
              <w:top w:val="single" w:color="000000" w:sz="2" w:space="0"/>
              <w:bottom w:val="single" w:color="000000" w:sz="2" w:space="0"/>
            </w:tcBorders>
            <w:vAlign w:val="center"/>
          </w:tcPr>
          <w:p w14:paraId="2F9726A2">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采购内容</w:t>
            </w:r>
          </w:p>
        </w:tc>
        <w:tc>
          <w:tcPr>
            <w:tcW w:w="6825" w:type="dxa"/>
            <w:tcBorders>
              <w:top w:val="single" w:color="000000" w:sz="2" w:space="0"/>
              <w:bottom w:val="single" w:color="000000" w:sz="2" w:space="0"/>
            </w:tcBorders>
            <w:vAlign w:val="center"/>
          </w:tcPr>
          <w:p w14:paraId="76B443ED">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固始县针织服装产业园2025-2026年度物业管理，包括园区内保洁服务、安保服务、基础设施及设备的养护、运行和管理等，服务期二年</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具体详见磋商文件第四章</w:t>
            </w:r>
            <w:r>
              <w:rPr>
                <w:rFonts w:hint="eastAsia" w:ascii="宋体" w:hAnsi="宋体" w:eastAsia="宋体" w:cs="宋体"/>
                <w:color w:val="auto"/>
                <w:highlight w:val="none"/>
                <w:lang w:eastAsia="zh-CN"/>
              </w:rPr>
              <w:t>）</w:t>
            </w:r>
          </w:p>
        </w:tc>
      </w:tr>
      <w:tr w14:paraId="39B44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00" w:type="dxa"/>
            <w:tcBorders>
              <w:top w:val="single" w:color="000000" w:sz="2" w:space="0"/>
              <w:bottom w:val="single" w:color="000000" w:sz="2" w:space="0"/>
            </w:tcBorders>
            <w:vAlign w:val="center"/>
          </w:tcPr>
          <w:p w14:paraId="444F044E">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1.3.2</w:t>
            </w:r>
          </w:p>
        </w:tc>
        <w:tc>
          <w:tcPr>
            <w:tcW w:w="1737" w:type="dxa"/>
            <w:tcBorders>
              <w:top w:val="single" w:color="000000" w:sz="2" w:space="0"/>
              <w:bottom w:val="single" w:color="000000" w:sz="2" w:space="0"/>
            </w:tcBorders>
            <w:vAlign w:val="center"/>
          </w:tcPr>
          <w:p w14:paraId="05A50F97">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质量要求</w:t>
            </w:r>
          </w:p>
        </w:tc>
        <w:tc>
          <w:tcPr>
            <w:tcW w:w="6825" w:type="dxa"/>
            <w:tcBorders>
              <w:top w:val="single" w:color="000000" w:sz="2" w:space="0"/>
              <w:bottom w:val="single" w:color="000000" w:sz="2" w:space="0"/>
            </w:tcBorders>
            <w:vAlign w:val="center"/>
          </w:tcPr>
          <w:p w14:paraId="3C07B66A">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Theme="minorEastAsia" w:hAnsiTheme="minorEastAsia" w:eastAsiaTheme="minorEastAsia" w:cstheme="minorEastAsia"/>
                <w:color w:val="auto"/>
                <w:highlight w:val="none"/>
                <w:lang w:val="en-US" w:eastAsia="zh-CN"/>
              </w:rPr>
              <w:t>符合相关标准规范的规定、满足采购人要求</w:t>
            </w:r>
          </w:p>
        </w:tc>
      </w:tr>
      <w:tr w14:paraId="4DE17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00" w:type="dxa"/>
            <w:tcBorders>
              <w:top w:val="single" w:color="000000" w:sz="2" w:space="0"/>
              <w:bottom w:val="single" w:color="000000" w:sz="2" w:space="0"/>
            </w:tcBorders>
            <w:vAlign w:val="center"/>
          </w:tcPr>
          <w:p w14:paraId="36CB62AF">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1.3.3</w:t>
            </w:r>
          </w:p>
        </w:tc>
        <w:tc>
          <w:tcPr>
            <w:tcW w:w="1737" w:type="dxa"/>
            <w:tcBorders>
              <w:top w:val="single" w:color="000000" w:sz="2" w:space="0"/>
              <w:bottom w:val="single" w:color="000000" w:sz="2" w:space="0"/>
            </w:tcBorders>
            <w:vAlign w:val="center"/>
          </w:tcPr>
          <w:p w14:paraId="195068BD">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合同履行</w:t>
            </w:r>
            <w:r>
              <w:rPr>
                <w:rFonts w:hint="eastAsia" w:ascii="宋体" w:hAnsi="宋体" w:eastAsia="宋体" w:cs="宋体"/>
                <w:color w:val="auto"/>
                <w:highlight w:val="none"/>
              </w:rPr>
              <w:t>期限</w:t>
            </w:r>
          </w:p>
        </w:tc>
        <w:tc>
          <w:tcPr>
            <w:tcW w:w="6825" w:type="dxa"/>
            <w:tcBorders>
              <w:top w:val="single" w:color="000000" w:sz="2" w:space="0"/>
              <w:bottom w:val="single" w:color="000000" w:sz="2" w:space="0"/>
            </w:tcBorders>
            <w:vAlign w:val="center"/>
          </w:tcPr>
          <w:p w14:paraId="2598F2C9">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二年。</w:t>
            </w:r>
          </w:p>
        </w:tc>
      </w:tr>
      <w:tr w14:paraId="4BFFB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00" w:type="dxa"/>
            <w:tcBorders>
              <w:top w:val="single" w:color="000000" w:sz="2" w:space="0"/>
              <w:bottom w:val="single" w:color="000000" w:sz="2" w:space="0"/>
            </w:tcBorders>
            <w:vAlign w:val="center"/>
          </w:tcPr>
          <w:p w14:paraId="4BCDEC6F">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1.3.4</w:t>
            </w:r>
          </w:p>
        </w:tc>
        <w:tc>
          <w:tcPr>
            <w:tcW w:w="1737" w:type="dxa"/>
            <w:tcBorders>
              <w:top w:val="single" w:color="000000" w:sz="2" w:space="0"/>
              <w:bottom w:val="single" w:color="000000" w:sz="2" w:space="0"/>
            </w:tcBorders>
            <w:vAlign w:val="center"/>
          </w:tcPr>
          <w:p w14:paraId="0F7A178C">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实施地点</w:t>
            </w:r>
          </w:p>
        </w:tc>
        <w:tc>
          <w:tcPr>
            <w:tcW w:w="6825" w:type="dxa"/>
            <w:tcBorders>
              <w:top w:val="single" w:color="000000" w:sz="2" w:space="0"/>
              <w:bottom w:val="single" w:color="000000" w:sz="2" w:space="0"/>
            </w:tcBorders>
            <w:vAlign w:val="center"/>
          </w:tcPr>
          <w:p w14:paraId="6D887175">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采购人指定地点 </w:t>
            </w:r>
          </w:p>
        </w:tc>
      </w:tr>
      <w:tr w14:paraId="757A9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14:paraId="7DB7A72C">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1.4.1</w:t>
            </w:r>
          </w:p>
        </w:tc>
        <w:tc>
          <w:tcPr>
            <w:tcW w:w="1737" w:type="dxa"/>
            <w:tcBorders>
              <w:top w:val="single" w:color="000000" w:sz="2" w:space="0"/>
              <w:bottom w:val="single" w:color="000000" w:sz="2" w:space="0"/>
            </w:tcBorders>
            <w:vAlign w:val="center"/>
          </w:tcPr>
          <w:p w14:paraId="59BC9CBE">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投标人资格要求</w:t>
            </w:r>
          </w:p>
        </w:tc>
        <w:tc>
          <w:tcPr>
            <w:tcW w:w="6825" w:type="dxa"/>
            <w:tcBorders>
              <w:top w:val="single" w:color="000000" w:sz="2" w:space="0"/>
              <w:bottom w:val="single" w:color="000000" w:sz="2" w:space="0"/>
            </w:tcBorders>
            <w:vAlign w:val="center"/>
          </w:tcPr>
          <w:p w14:paraId="048876D3">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1、满足《中华人民共和国政府采购法》第二十二条规定。</w:t>
            </w:r>
          </w:p>
          <w:p w14:paraId="316D99D9">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落实政府采购政策满足的资格要求：本项目专门面向中小企业采购，需提供《中小企业声明函》。本项目落实节约能源、保护环境、扶持不发达地区和少数民族地区、促进中小微企业、监狱企业及残疾人福利性单位发展等政府采购政策。</w:t>
            </w:r>
          </w:p>
          <w:p w14:paraId="7AACC1D5">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3、本项目的特定资格要求：</w:t>
            </w:r>
          </w:p>
          <w:p w14:paraId="48F45DD4">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3.1本项目适用信用承诺（详见下述要求）</w:t>
            </w:r>
          </w:p>
          <w:p w14:paraId="762D50DB">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在本项目政府采购活动中，供应商在响应时，可对照资格要求进行自主核对，确定符合资格要求的，可按照规定提供相关承诺函（详见响应文件格式“其他——固始县政府采购供应商信用承诺函”），供应商只需在资格审查环节提供满足相应条件的书面承诺书，不再需要提供以下证明材料：</w:t>
            </w:r>
          </w:p>
          <w:p w14:paraId="6C6F2F5C">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1、具有独立承担民事责任的能力（提供有效的营业执照（三证合一））；</w:t>
            </w:r>
          </w:p>
          <w:p w14:paraId="38F30E48">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2、具有良好的商业信誉和健全的财务会计制度（</w:t>
            </w:r>
            <w:r>
              <w:rPr>
                <w:rFonts w:hint="eastAsia" w:ascii="宋体" w:hAnsi="宋体" w:eastAsia="宋体" w:cs="宋体"/>
                <w:color w:val="auto"/>
                <w:sz w:val="21"/>
                <w:szCs w:val="21"/>
                <w:lang w:eastAsia="zh-CN"/>
              </w:rPr>
              <w:t>提供202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或202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年度经审计的财务审计报告，202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8月后</w:t>
            </w:r>
            <w:r>
              <w:rPr>
                <w:rFonts w:hint="eastAsia" w:ascii="宋体" w:hAnsi="宋体" w:eastAsia="宋体" w:cs="宋体"/>
                <w:color w:val="auto"/>
                <w:sz w:val="21"/>
                <w:szCs w:val="21"/>
                <w:lang w:eastAsia="zh-CN"/>
              </w:rPr>
              <w:t>成立的公司提供基本户的开户行开具的银行资信证明</w:t>
            </w:r>
            <w:r>
              <w:rPr>
                <w:rFonts w:hint="eastAsia" w:ascii="宋体" w:hAnsi="宋体" w:eastAsia="宋体" w:cs="宋体"/>
                <w:color w:val="auto"/>
                <w:highlight w:val="none"/>
                <w:lang w:val="en-US" w:eastAsia="zh-CN"/>
              </w:rPr>
              <w:t>）；</w:t>
            </w:r>
          </w:p>
          <w:p w14:paraId="6CED9B5B">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3、具有履行合同所必需的设备和专业技术能力（提供企业承诺书，格式自拟）；</w:t>
            </w:r>
          </w:p>
          <w:p w14:paraId="6D7DBC7D">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有依法缴纳税收和社会保障资金的良好记录（提供2024年9月1日以来任意1个月依法缴纳税收和社会保险的证明，成立不足三个月的提供自成立日以来的依法缴纳税收和社会保险的证明，依法免税和免缴纳社会保障金的须提供依法免缴纳证明）；</w:t>
            </w:r>
          </w:p>
          <w:p w14:paraId="4A9715D1">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5、参加政府采购活动前三年内，在经营活动中没有重大违法记录（提供企业承诺书，格式自拟）；</w:t>
            </w:r>
          </w:p>
          <w:p w14:paraId="32F28E89">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6、法律、行政法规规定的其他条件（提供企业承诺书，格式自拟）。</w:t>
            </w:r>
          </w:p>
          <w:p w14:paraId="66000EBD">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对列入失信被执行人、重大税收违法失信主体、政府采购严重违法失信行为记录名单的供应商，拒绝参与本项目采购活动；[查询渠道：“信用中国”网站（www.creditchina.gov.cn）“中国政府采购网”（www.ccgp.gov.cn）]提供查询网页截图）；</w:t>
            </w:r>
          </w:p>
          <w:p w14:paraId="4DEFCE5C">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8、单位负责人为同一人或者存在直接控股、管理关系的不同供应商，不得参加同一合同项下的政府采购活动（提供企业承诺书，格式自拟）。</w:t>
            </w:r>
          </w:p>
          <w:p w14:paraId="390B11ED">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（二）供应商在中标（成交）后，应将上述由信用承诺书替代的证明材料提交采购人（采购代理机构）核验，经核验无误后，由采购人发出中标（成交）通知书。</w:t>
            </w:r>
          </w:p>
          <w:p w14:paraId="510C12A6">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3.2本项目实行资格后审，资格审查的具体要求见招标文件，资格后审不合格的投标人其投标将被否决。</w:t>
            </w:r>
          </w:p>
        </w:tc>
      </w:tr>
      <w:tr w14:paraId="38E2E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14:paraId="2E020318">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1.4.2</w:t>
            </w:r>
          </w:p>
        </w:tc>
        <w:tc>
          <w:tcPr>
            <w:tcW w:w="1737" w:type="dxa"/>
            <w:tcBorders>
              <w:top w:val="single" w:color="000000" w:sz="2" w:space="0"/>
              <w:bottom w:val="single" w:color="000000" w:sz="2" w:space="0"/>
            </w:tcBorders>
            <w:vAlign w:val="center"/>
          </w:tcPr>
          <w:p w14:paraId="11257C98">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6825" w:type="dxa"/>
            <w:tcBorders>
              <w:top w:val="single" w:color="000000" w:sz="2" w:space="0"/>
              <w:bottom w:val="single" w:color="000000" w:sz="2" w:space="0"/>
            </w:tcBorders>
            <w:vAlign w:val="center"/>
          </w:tcPr>
          <w:p w14:paraId="018E5F3C">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不接受</w:t>
            </w:r>
          </w:p>
        </w:tc>
      </w:tr>
      <w:tr w14:paraId="5930C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900" w:type="dxa"/>
            <w:tcBorders>
              <w:top w:val="single" w:color="000000" w:sz="2" w:space="0"/>
              <w:bottom w:val="single" w:color="000000" w:sz="2" w:space="0"/>
            </w:tcBorders>
            <w:vAlign w:val="center"/>
          </w:tcPr>
          <w:p w14:paraId="0516BCA0">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737" w:type="dxa"/>
            <w:tcBorders>
              <w:top w:val="single" w:color="000000" w:sz="2" w:space="0"/>
              <w:bottom w:val="single" w:color="000000" w:sz="2" w:space="0"/>
            </w:tcBorders>
            <w:vAlign w:val="center"/>
          </w:tcPr>
          <w:p w14:paraId="37722352">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付款方式</w:t>
            </w:r>
          </w:p>
        </w:tc>
        <w:tc>
          <w:tcPr>
            <w:tcW w:w="6825" w:type="dxa"/>
            <w:tcBorders>
              <w:top w:val="single" w:color="000000" w:sz="2" w:space="0"/>
              <w:bottom w:val="single" w:color="000000" w:sz="2" w:space="0"/>
            </w:tcBorders>
            <w:vAlign w:val="center"/>
          </w:tcPr>
          <w:p w14:paraId="220E8A52">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双方另行协商</w:t>
            </w:r>
          </w:p>
        </w:tc>
      </w:tr>
      <w:tr w14:paraId="45111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900" w:type="dxa"/>
            <w:tcBorders>
              <w:top w:val="single" w:color="000000" w:sz="2" w:space="0"/>
              <w:bottom w:val="single" w:color="000000" w:sz="2" w:space="0"/>
            </w:tcBorders>
            <w:vAlign w:val="center"/>
          </w:tcPr>
          <w:p w14:paraId="53B1586E">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1.10</w:t>
            </w:r>
          </w:p>
        </w:tc>
        <w:tc>
          <w:tcPr>
            <w:tcW w:w="1737" w:type="dxa"/>
            <w:tcBorders>
              <w:top w:val="single" w:color="000000" w:sz="2" w:space="0"/>
              <w:bottom w:val="single" w:color="000000" w:sz="2" w:space="0"/>
            </w:tcBorders>
            <w:vAlign w:val="center"/>
          </w:tcPr>
          <w:p w14:paraId="6C016D53">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投标预备会</w:t>
            </w:r>
          </w:p>
        </w:tc>
        <w:tc>
          <w:tcPr>
            <w:tcW w:w="6825" w:type="dxa"/>
            <w:tcBorders>
              <w:top w:val="single" w:color="000000" w:sz="2" w:space="0"/>
              <w:bottom w:val="single" w:color="000000" w:sz="2" w:space="0"/>
            </w:tcBorders>
            <w:vAlign w:val="center"/>
          </w:tcPr>
          <w:p w14:paraId="61B3B3E6">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采购人不再统一组织投标预备会。</w:t>
            </w:r>
          </w:p>
        </w:tc>
      </w:tr>
      <w:tr w14:paraId="1C512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0" w:type="dxa"/>
            <w:tcBorders>
              <w:top w:val="single" w:color="000000" w:sz="2" w:space="0"/>
              <w:bottom w:val="single" w:color="000000" w:sz="2" w:space="0"/>
            </w:tcBorders>
            <w:vAlign w:val="center"/>
          </w:tcPr>
          <w:p w14:paraId="2375F455">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1.11</w:t>
            </w:r>
          </w:p>
        </w:tc>
        <w:tc>
          <w:tcPr>
            <w:tcW w:w="1737" w:type="dxa"/>
            <w:tcBorders>
              <w:top w:val="single" w:color="000000" w:sz="2" w:space="0"/>
              <w:bottom w:val="single" w:color="000000" w:sz="2" w:space="0"/>
            </w:tcBorders>
            <w:vAlign w:val="center"/>
          </w:tcPr>
          <w:p w14:paraId="26E243E8">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偏离</w:t>
            </w:r>
          </w:p>
        </w:tc>
        <w:tc>
          <w:tcPr>
            <w:tcW w:w="6825" w:type="dxa"/>
            <w:tcBorders>
              <w:top w:val="single" w:color="000000" w:sz="2" w:space="0"/>
              <w:bottom w:val="single" w:color="000000" w:sz="2" w:space="0"/>
            </w:tcBorders>
            <w:vAlign w:val="center"/>
          </w:tcPr>
          <w:p w14:paraId="2D0FFE25">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400D5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14:paraId="21D55B03">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737" w:type="dxa"/>
            <w:tcBorders>
              <w:top w:val="single" w:color="000000" w:sz="2" w:space="0"/>
              <w:bottom w:val="single" w:color="000000" w:sz="2" w:space="0"/>
            </w:tcBorders>
            <w:vAlign w:val="center"/>
          </w:tcPr>
          <w:p w14:paraId="58EC3A69">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构成磋商文件的其他材料</w:t>
            </w:r>
          </w:p>
        </w:tc>
        <w:tc>
          <w:tcPr>
            <w:tcW w:w="6825" w:type="dxa"/>
            <w:tcBorders>
              <w:top w:val="single" w:color="000000" w:sz="2" w:space="0"/>
              <w:bottom w:val="single" w:color="000000" w:sz="2" w:space="0"/>
            </w:tcBorders>
            <w:vAlign w:val="center"/>
          </w:tcPr>
          <w:p w14:paraId="603037DD">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除磋商文件外，采购人在磋商期间发出的澄清、修改、补充、补遗和其它有效正式函件等内容均是磋商文件的组成部分</w:t>
            </w:r>
          </w:p>
        </w:tc>
      </w:tr>
      <w:tr w14:paraId="7471B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14:paraId="31D0880B">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2</w:t>
            </w:r>
          </w:p>
        </w:tc>
        <w:tc>
          <w:tcPr>
            <w:tcW w:w="1737" w:type="dxa"/>
            <w:tcBorders>
              <w:top w:val="single" w:color="000000" w:sz="2" w:space="0"/>
              <w:bottom w:val="single" w:color="000000" w:sz="2" w:space="0"/>
            </w:tcBorders>
            <w:vAlign w:val="center"/>
          </w:tcPr>
          <w:p w14:paraId="3A4B29B5">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采购人澄清磋商文件的截止时间</w:t>
            </w:r>
          </w:p>
        </w:tc>
        <w:tc>
          <w:tcPr>
            <w:tcW w:w="6825" w:type="dxa"/>
            <w:tcBorders>
              <w:top w:val="single" w:color="000000" w:sz="2" w:space="0"/>
              <w:bottom w:val="single" w:color="000000" w:sz="2" w:space="0"/>
            </w:tcBorders>
            <w:vAlign w:val="center"/>
          </w:tcPr>
          <w:p w14:paraId="36F9EE37">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递交响应文件截止之日5天前</w:t>
            </w:r>
          </w:p>
        </w:tc>
      </w:tr>
      <w:tr w14:paraId="23574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14:paraId="2AE2B276">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2.3</w:t>
            </w:r>
          </w:p>
        </w:tc>
        <w:tc>
          <w:tcPr>
            <w:tcW w:w="1737" w:type="dxa"/>
            <w:tcBorders>
              <w:top w:val="single" w:color="000000" w:sz="2" w:space="0"/>
              <w:bottom w:val="single" w:color="000000" w:sz="2" w:space="0"/>
            </w:tcBorders>
            <w:vAlign w:val="center"/>
          </w:tcPr>
          <w:p w14:paraId="16333DE1">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供应商确认收到磋商文件澄清的时间</w:t>
            </w:r>
          </w:p>
        </w:tc>
        <w:tc>
          <w:tcPr>
            <w:tcW w:w="6825" w:type="dxa"/>
            <w:tcBorders>
              <w:top w:val="single" w:color="000000" w:sz="2" w:space="0"/>
              <w:bottom w:val="single" w:color="000000" w:sz="2" w:space="0"/>
            </w:tcBorders>
            <w:vAlign w:val="center"/>
          </w:tcPr>
          <w:p w14:paraId="190B602F">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在收到相应澄清文件后 24 小时内</w:t>
            </w:r>
          </w:p>
        </w:tc>
      </w:tr>
      <w:tr w14:paraId="54C7C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14:paraId="345B2B6E">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p>
        </w:tc>
        <w:tc>
          <w:tcPr>
            <w:tcW w:w="1737" w:type="dxa"/>
            <w:tcBorders>
              <w:top w:val="single" w:color="000000" w:sz="2" w:space="0"/>
              <w:bottom w:val="single" w:color="000000" w:sz="2" w:space="0"/>
            </w:tcBorders>
            <w:vAlign w:val="center"/>
          </w:tcPr>
          <w:p w14:paraId="09E8F8BD">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供应商确认收到磋商文件修改的时间</w:t>
            </w:r>
          </w:p>
        </w:tc>
        <w:tc>
          <w:tcPr>
            <w:tcW w:w="6825" w:type="dxa"/>
            <w:tcBorders>
              <w:top w:val="single" w:color="000000" w:sz="2" w:space="0"/>
              <w:bottom w:val="single" w:color="000000" w:sz="2" w:space="0"/>
            </w:tcBorders>
            <w:vAlign w:val="center"/>
          </w:tcPr>
          <w:p w14:paraId="0E6C6926">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在收到相应修改文件后 24 小时内</w:t>
            </w:r>
          </w:p>
        </w:tc>
      </w:tr>
      <w:tr w14:paraId="42F05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14:paraId="5A3C5B10">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3.1</w:t>
            </w:r>
          </w:p>
        </w:tc>
        <w:tc>
          <w:tcPr>
            <w:tcW w:w="1737" w:type="dxa"/>
            <w:tcBorders>
              <w:top w:val="single" w:color="000000" w:sz="2" w:space="0"/>
              <w:bottom w:val="single" w:color="000000" w:sz="2" w:space="0"/>
            </w:tcBorders>
            <w:vAlign w:val="center"/>
          </w:tcPr>
          <w:p w14:paraId="3F7A7884">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构成</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的其他材料</w:t>
            </w:r>
          </w:p>
        </w:tc>
        <w:tc>
          <w:tcPr>
            <w:tcW w:w="6825" w:type="dxa"/>
            <w:tcBorders>
              <w:top w:val="single" w:color="000000" w:sz="2" w:space="0"/>
              <w:bottom w:val="single" w:color="000000" w:sz="2" w:space="0"/>
            </w:tcBorders>
            <w:vAlign w:val="center"/>
          </w:tcPr>
          <w:p w14:paraId="3DDB7464">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按</w:t>
            </w:r>
            <w:r>
              <w:rPr>
                <w:rFonts w:hint="eastAsia" w:ascii="宋体" w:hAnsi="宋体" w:eastAsia="宋体" w:cs="宋体"/>
                <w:color w:val="auto"/>
                <w:highlight w:val="none"/>
                <w:lang w:eastAsia="zh-CN"/>
              </w:rPr>
              <w:t>竞争性磋商</w:t>
            </w:r>
            <w:r>
              <w:rPr>
                <w:rFonts w:hint="eastAsia" w:ascii="宋体" w:hAnsi="宋体" w:eastAsia="宋体" w:cs="宋体"/>
                <w:color w:val="auto"/>
                <w:highlight w:val="none"/>
              </w:rPr>
              <w:t>文件要求</w:t>
            </w:r>
          </w:p>
        </w:tc>
      </w:tr>
      <w:tr w14:paraId="78C81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14:paraId="5EFE6F04">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3.2</w:t>
            </w:r>
          </w:p>
        </w:tc>
        <w:tc>
          <w:tcPr>
            <w:tcW w:w="1737" w:type="dxa"/>
            <w:tcBorders>
              <w:top w:val="single" w:color="000000" w:sz="2" w:space="0"/>
              <w:bottom w:val="single" w:color="000000" w:sz="2" w:space="0"/>
            </w:tcBorders>
            <w:vAlign w:val="center"/>
          </w:tcPr>
          <w:p w14:paraId="40830CB9">
            <w:pPr>
              <w:keepNext w:val="0"/>
              <w:keepLines w:val="0"/>
              <w:pageBreakBefore w:val="0"/>
              <w:widowControl/>
              <w:kinsoku/>
              <w:wordWrap w:val="0"/>
              <w:overflowPunct w:val="0"/>
              <w:topLinePunct/>
              <w:autoSpaceDE w:val="0"/>
              <w:autoSpaceDN w:val="0"/>
              <w:bidi w:val="0"/>
              <w:adjustRightInd w:val="0"/>
              <w:snapToGrid w:val="0"/>
              <w:spacing w:line="400" w:lineRule="exact"/>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磋商报价</w:t>
            </w:r>
          </w:p>
        </w:tc>
        <w:tc>
          <w:tcPr>
            <w:tcW w:w="6825" w:type="dxa"/>
            <w:tcBorders>
              <w:top w:val="single" w:color="000000" w:sz="2" w:space="0"/>
              <w:bottom w:val="single" w:color="000000" w:sz="2" w:space="0"/>
            </w:tcBorders>
            <w:vAlign w:val="center"/>
          </w:tcPr>
          <w:p w14:paraId="01A690EC">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自主报价，超出最高限价的文件为无效文件</w:t>
            </w:r>
          </w:p>
        </w:tc>
      </w:tr>
      <w:tr w14:paraId="25CAB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14:paraId="36502F6D">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3.3.1</w:t>
            </w:r>
          </w:p>
        </w:tc>
        <w:tc>
          <w:tcPr>
            <w:tcW w:w="1737" w:type="dxa"/>
            <w:tcBorders>
              <w:top w:val="single" w:color="000000" w:sz="2" w:space="0"/>
              <w:bottom w:val="single" w:color="000000" w:sz="2" w:space="0"/>
            </w:tcBorders>
            <w:vAlign w:val="center"/>
          </w:tcPr>
          <w:p w14:paraId="4FDF0E7E">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有效期</w:t>
            </w:r>
          </w:p>
        </w:tc>
        <w:tc>
          <w:tcPr>
            <w:tcW w:w="6825" w:type="dxa"/>
            <w:tcBorders>
              <w:top w:val="single" w:color="000000" w:sz="2" w:space="0"/>
              <w:bottom w:val="single" w:color="000000" w:sz="2" w:space="0"/>
            </w:tcBorders>
            <w:vAlign w:val="center"/>
          </w:tcPr>
          <w:p w14:paraId="2D60B19E">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60日历天(从</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截止之日算起)</w:t>
            </w:r>
          </w:p>
        </w:tc>
      </w:tr>
      <w:tr w14:paraId="78308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900" w:type="dxa"/>
            <w:tcBorders>
              <w:top w:val="single" w:color="000000" w:sz="2" w:space="0"/>
              <w:bottom w:val="single" w:color="000000" w:sz="2" w:space="0"/>
            </w:tcBorders>
            <w:vAlign w:val="center"/>
          </w:tcPr>
          <w:p w14:paraId="02CA6BEC">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3.4</w:t>
            </w:r>
          </w:p>
        </w:tc>
        <w:tc>
          <w:tcPr>
            <w:tcW w:w="1737" w:type="dxa"/>
            <w:tcBorders>
              <w:top w:val="single" w:color="000000" w:sz="2" w:space="0"/>
              <w:bottom w:val="single" w:color="000000" w:sz="2" w:space="0"/>
            </w:tcBorders>
            <w:vAlign w:val="center"/>
          </w:tcPr>
          <w:p w14:paraId="4ED9093E">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6825" w:type="dxa"/>
            <w:tcBorders>
              <w:top w:val="single" w:color="000000" w:sz="2" w:space="0"/>
              <w:bottom w:val="single" w:color="000000" w:sz="2" w:space="0"/>
            </w:tcBorders>
            <w:vAlign w:val="center"/>
          </w:tcPr>
          <w:p w14:paraId="5BB469B2">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无</w:t>
            </w:r>
          </w:p>
        </w:tc>
      </w:tr>
      <w:tr w14:paraId="242D3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14:paraId="75D11FC0">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3.5.3</w:t>
            </w:r>
          </w:p>
        </w:tc>
        <w:tc>
          <w:tcPr>
            <w:tcW w:w="1737" w:type="dxa"/>
            <w:tcBorders>
              <w:top w:val="single" w:color="000000" w:sz="2" w:space="0"/>
              <w:bottom w:val="single" w:color="000000" w:sz="2" w:space="0"/>
            </w:tcBorders>
            <w:vAlign w:val="center"/>
          </w:tcPr>
          <w:p w14:paraId="5A241793">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签字和盖章要求</w:t>
            </w:r>
          </w:p>
        </w:tc>
        <w:tc>
          <w:tcPr>
            <w:tcW w:w="6825" w:type="dxa"/>
            <w:tcBorders>
              <w:top w:val="single" w:color="000000" w:sz="2" w:space="0"/>
              <w:bottom w:val="single" w:color="000000" w:sz="2" w:space="0"/>
            </w:tcBorders>
            <w:vAlign w:val="center"/>
          </w:tcPr>
          <w:p w14:paraId="6975CD33">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xml:space="preserve">(1)所有要求投标人加盖公章的地方都须加盖投标人的CA印章。   </w:t>
            </w:r>
          </w:p>
          <w:p w14:paraId="1B891437">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(2)所有要求法定代表人或其委托代理人签字的地方都须加盖法定代表人或其委托代理人的CA印章或签字。</w:t>
            </w:r>
          </w:p>
        </w:tc>
      </w:tr>
      <w:tr w14:paraId="17B50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14:paraId="392832FF">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5.4</w:t>
            </w:r>
          </w:p>
        </w:tc>
        <w:tc>
          <w:tcPr>
            <w:tcW w:w="1737" w:type="dxa"/>
            <w:tcBorders>
              <w:top w:val="single" w:color="000000" w:sz="2" w:space="0"/>
              <w:bottom w:val="single" w:color="000000" w:sz="2" w:space="0"/>
            </w:tcBorders>
            <w:vAlign w:val="center"/>
          </w:tcPr>
          <w:p w14:paraId="5AAD5C25">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响应文件份数及其他要求</w:t>
            </w:r>
          </w:p>
        </w:tc>
        <w:tc>
          <w:tcPr>
            <w:tcW w:w="6825" w:type="dxa"/>
            <w:tcBorders>
              <w:top w:val="single" w:color="000000" w:sz="2" w:space="0"/>
              <w:bottom w:val="single" w:color="000000" w:sz="2" w:space="0"/>
            </w:tcBorders>
            <w:vAlign w:val="center"/>
          </w:tcPr>
          <w:p w14:paraId="125BFE42">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加密的电子响应文件壹份（*.</w:t>
            </w:r>
            <w:r>
              <w:rPr>
                <w:rFonts w:hint="eastAsia" w:ascii="宋体" w:hAnsi="宋体" w:eastAsia="宋体" w:cs="宋体"/>
                <w:color w:val="auto"/>
                <w:highlight w:val="none"/>
                <w:lang w:eastAsia="zh-CN"/>
              </w:rPr>
              <w:t>XYTF</w:t>
            </w:r>
            <w:r>
              <w:rPr>
                <w:rFonts w:hint="eastAsia" w:ascii="宋体" w:hAnsi="宋体" w:eastAsia="宋体" w:cs="宋体"/>
                <w:color w:val="auto"/>
                <w:highlight w:val="none"/>
              </w:rPr>
              <w:t xml:space="preserve"> 格式，在会员系统指定位置上传）</w:t>
            </w:r>
          </w:p>
        </w:tc>
      </w:tr>
      <w:tr w14:paraId="3253D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shd w:val="clear" w:color="auto" w:fill="auto"/>
            <w:vAlign w:val="center"/>
          </w:tcPr>
          <w:p w14:paraId="5E773BC1">
            <w:pPr>
              <w:keepNext w:val="0"/>
              <w:keepLines w:val="0"/>
              <w:pageBreakBefore w:val="0"/>
              <w:kinsoku/>
              <w:wordWrap w:val="0"/>
              <w:overflowPunct w:val="0"/>
              <w:topLinePunct/>
              <w:autoSpaceDE w:val="0"/>
              <w:autoSpaceDN w:val="0"/>
              <w:bidi w:val="0"/>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highlight w:val="none"/>
              </w:rPr>
              <w:t>4.1.1</w:t>
            </w:r>
          </w:p>
        </w:tc>
        <w:tc>
          <w:tcPr>
            <w:tcW w:w="1737" w:type="dxa"/>
            <w:tcBorders>
              <w:top w:val="single" w:color="000000" w:sz="2" w:space="0"/>
              <w:bottom w:val="single" w:color="000000" w:sz="2" w:space="0"/>
            </w:tcBorders>
            <w:shd w:val="clear" w:color="auto" w:fill="auto"/>
            <w:vAlign w:val="center"/>
          </w:tcPr>
          <w:p w14:paraId="2CA82F9B">
            <w:pPr>
              <w:keepNext w:val="0"/>
              <w:keepLines w:val="0"/>
              <w:pageBreakBefore w:val="0"/>
              <w:kinsoku/>
              <w:wordWrap w:val="0"/>
              <w:overflowPunct w:val="0"/>
              <w:topLinePunct/>
              <w:autoSpaceDE w:val="0"/>
              <w:autoSpaceDN w:val="0"/>
              <w:bidi w:val="0"/>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highlight w:val="none"/>
              </w:rPr>
              <w:t>递交</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截止时间</w:t>
            </w:r>
          </w:p>
        </w:tc>
        <w:tc>
          <w:tcPr>
            <w:tcW w:w="6825" w:type="dxa"/>
            <w:tcBorders>
              <w:top w:val="single" w:color="000000" w:sz="2" w:space="0"/>
              <w:bottom w:val="single" w:color="000000" w:sz="2" w:space="0"/>
            </w:tcBorders>
            <w:shd w:val="clear" w:color="auto" w:fill="auto"/>
            <w:vAlign w:val="center"/>
          </w:tcPr>
          <w:p w14:paraId="005E8FBD">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snapToGrid w:val="0"/>
                <w:color w:val="FF0000"/>
                <w:kern w:val="0"/>
                <w:sz w:val="21"/>
                <w:szCs w:val="21"/>
                <w:highlight w:val="none"/>
                <w:lang w:val="en-US" w:eastAsia="zh-CN"/>
              </w:rPr>
            </w:pPr>
            <w:r>
              <w:rPr>
                <w:rFonts w:hint="eastAsia" w:ascii="宋体" w:hAnsi="宋体" w:eastAsia="宋体" w:cs="宋体"/>
                <w:color w:val="auto"/>
                <w:highlight w:val="none"/>
                <w:lang w:val="en-US" w:eastAsia="zh-CN"/>
              </w:rPr>
              <w:t>同竞争性磋商公告递交响应文件截止时间</w:t>
            </w:r>
          </w:p>
        </w:tc>
      </w:tr>
      <w:tr w14:paraId="1C351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14:paraId="62CA9483">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w:t>
            </w:r>
            <w:r>
              <w:rPr>
                <w:rFonts w:hint="eastAsia" w:ascii="宋体" w:hAnsi="宋体" w:eastAsia="宋体" w:cs="宋体"/>
                <w:color w:val="auto"/>
                <w:highlight w:val="none"/>
                <w:lang w:val="en-US" w:eastAsia="zh-CN"/>
              </w:rPr>
              <w:t>2</w:t>
            </w:r>
          </w:p>
        </w:tc>
        <w:tc>
          <w:tcPr>
            <w:tcW w:w="1737" w:type="dxa"/>
            <w:tcBorders>
              <w:top w:val="single" w:color="000000" w:sz="2" w:space="0"/>
              <w:bottom w:val="single" w:color="000000" w:sz="2" w:space="0"/>
            </w:tcBorders>
            <w:vAlign w:val="center"/>
          </w:tcPr>
          <w:p w14:paraId="04BE1D88">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响应文件递交</w:t>
            </w:r>
          </w:p>
        </w:tc>
        <w:tc>
          <w:tcPr>
            <w:tcW w:w="6825" w:type="dxa"/>
            <w:tcBorders>
              <w:top w:val="single" w:color="000000" w:sz="2" w:space="0"/>
              <w:bottom w:val="single" w:color="000000" w:sz="2" w:space="0"/>
            </w:tcBorders>
            <w:vAlign w:val="center"/>
          </w:tcPr>
          <w:p w14:paraId="0BA8E503">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Theme="minorEastAsia" w:hAnsiTheme="minorEastAsia" w:eastAsiaTheme="minorEastAsia" w:cstheme="minorEastAsia"/>
                <w:sz w:val="24"/>
                <w:szCs w:val="24"/>
              </w:rPr>
              <w:t>1</w:t>
            </w:r>
            <w:r>
              <w:rPr>
                <w:rFonts w:hint="eastAsia" w:ascii="宋体" w:hAnsi="宋体" w:eastAsia="宋体" w:cs="宋体"/>
                <w:color w:val="auto"/>
                <w:highlight w:val="none"/>
                <w:lang w:val="en-US" w:eastAsia="zh-CN"/>
              </w:rPr>
              <w:t>、电子响应文件的递交</w:t>
            </w:r>
          </w:p>
          <w:p w14:paraId="2282057D">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各供应商应在投标截止时间前上传加密的电子响应文件（**.XYTF）到会员系统的指定位置。上传时必须得到交易系统“上传成功”的确认回复后方为上传成功。请供应商在上传前务必认真检查上传响应文件是否完整、正确。</w:t>
            </w:r>
          </w:p>
          <w:p w14:paraId="01DED5ED">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FF0000"/>
                <w:highlight w:val="none"/>
              </w:rPr>
            </w:pPr>
            <w:r>
              <w:rPr>
                <w:rFonts w:hint="eastAsia" w:ascii="宋体" w:hAnsi="宋体" w:eastAsia="宋体" w:cs="宋体"/>
                <w:color w:val="auto"/>
                <w:highlight w:val="none"/>
                <w:lang w:val="en-US" w:eastAsia="zh-CN"/>
              </w:rPr>
              <w:t>2、本项目采用“不见面开标”交易方式，不见面开标大厅网址为https://ggzyjy.xinyang.gov.cn/BidOpening/bidhall/xinyang/login.html，供应商无需寄送和递交非加密的电子响应文件，无需到现场参加开标会议，无需到达现场提交原件资料。</w:t>
            </w:r>
          </w:p>
        </w:tc>
      </w:tr>
      <w:tr w14:paraId="4AA32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14:paraId="49798A10">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5.1.1</w:t>
            </w:r>
          </w:p>
        </w:tc>
        <w:tc>
          <w:tcPr>
            <w:tcW w:w="1737" w:type="dxa"/>
            <w:tcBorders>
              <w:top w:val="single" w:color="000000" w:sz="2" w:space="0"/>
              <w:bottom w:val="single" w:color="000000" w:sz="2" w:space="0"/>
            </w:tcBorders>
            <w:vAlign w:val="center"/>
          </w:tcPr>
          <w:p w14:paraId="4D59CBB3">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开标时间</w:t>
            </w:r>
          </w:p>
        </w:tc>
        <w:tc>
          <w:tcPr>
            <w:tcW w:w="6825" w:type="dxa"/>
            <w:tcBorders>
              <w:top w:val="single" w:color="000000" w:sz="2" w:space="0"/>
              <w:bottom w:val="single" w:color="000000" w:sz="2" w:space="0"/>
            </w:tcBorders>
            <w:vAlign w:val="center"/>
          </w:tcPr>
          <w:p w14:paraId="1202F0F1">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FF0000"/>
                <w:highlight w:val="none"/>
              </w:rPr>
            </w:pPr>
            <w:r>
              <w:rPr>
                <w:rFonts w:hint="eastAsia" w:ascii="宋体" w:hAnsi="宋体" w:eastAsia="宋体" w:cs="宋体"/>
                <w:color w:val="auto"/>
                <w:highlight w:val="none"/>
                <w:lang w:val="en-US" w:eastAsia="zh-CN"/>
              </w:rPr>
              <w:t>同竞争性磋商公告开标时间</w:t>
            </w:r>
          </w:p>
        </w:tc>
      </w:tr>
      <w:tr w14:paraId="6C8E6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14:paraId="391C0716">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5.2</w:t>
            </w:r>
          </w:p>
        </w:tc>
        <w:tc>
          <w:tcPr>
            <w:tcW w:w="1737" w:type="dxa"/>
            <w:tcBorders>
              <w:top w:val="single" w:color="000000" w:sz="2" w:space="0"/>
              <w:bottom w:val="single" w:color="000000" w:sz="2" w:space="0"/>
            </w:tcBorders>
            <w:vAlign w:val="center"/>
          </w:tcPr>
          <w:p w14:paraId="55D3619B">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开标程序</w:t>
            </w:r>
          </w:p>
        </w:tc>
        <w:tc>
          <w:tcPr>
            <w:tcW w:w="6825" w:type="dxa"/>
            <w:tcBorders>
              <w:top w:val="single" w:color="000000" w:sz="2" w:space="0"/>
              <w:bottom w:val="single" w:color="000000" w:sz="2" w:space="0"/>
            </w:tcBorders>
            <w:vAlign w:val="center"/>
          </w:tcPr>
          <w:p w14:paraId="17C145FB">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投标人应当在投标截止时间前，使用投标人 CA 数字证书登录不见面开标大厅，在线签到并准时参加开标活动，并在规定时间内完成</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解密、答疑澄清等。</w:t>
            </w:r>
          </w:p>
          <w:p w14:paraId="2FA937DD">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逾期解密或者没有准时在线签到参加开标活动导致的一切后果投标人自行承担。</w:t>
            </w:r>
          </w:p>
          <w:p w14:paraId="4AC3D9B5">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不见面开标服务的具体事宜，请查阅固始县公共资源交易中心网站首页—下载中心—固始县不见面开标大厅系统操作手册。</w:t>
            </w:r>
          </w:p>
          <w:p w14:paraId="6028F4F2">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特别提示：投标人在线签到时，应如实准确地填写授权委托人的联系电话，开标当天请务必保证电话保持畅通。</w:t>
            </w:r>
          </w:p>
        </w:tc>
      </w:tr>
      <w:tr w14:paraId="25398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00" w:type="dxa"/>
            <w:tcBorders>
              <w:top w:val="single" w:color="000000" w:sz="2" w:space="0"/>
              <w:bottom w:val="single" w:color="000000" w:sz="2" w:space="0"/>
            </w:tcBorders>
            <w:vAlign w:val="center"/>
          </w:tcPr>
          <w:p w14:paraId="4A2E9F1E">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6.1.1</w:t>
            </w:r>
          </w:p>
        </w:tc>
        <w:tc>
          <w:tcPr>
            <w:tcW w:w="1737" w:type="dxa"/>
            <w:tcBorders>
              <w:top w:val="single" w:color="000000" w:sz="2" w:space="0"/>
              <w:bottom w:val="single" w:color="000000" w:sz="2" w:space="0"/>
            </w:tcBorders>
            <w:vAlign w:val="center"/>
          </w:tcPr>
          <w:p w14:paraId="2D067D59">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磋商小组的组建</w:t>
            </w:r>
          </w:p>
        </w:tc>
        <w:tc>
          <w:tcPr>
            <w:tcW w:w="6825" w:type="dxa"/>
            <w:tcBorders>
              <w:top w:val="single" w:color="000000" w:sz="2" w:space="0"/>
              <w:bottom w:val="single" w:color="000000" w:sz="2" w:space="0"/>
            </w:tcBorders>
            <w:vAlign w:val="center"/>
          </w:tcPr>
          <w:p w14:paraId="4AD89982">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磋商小组构成：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人，其中业主评委 </w:t>
            </w:r>
            <w:r>
              <w:rPr>
                <w:rFonts w:hint="eastAsia" w:ascii="宋体" w:hAnsi="宋体" w:eastAsia="宋体" w:cs="宋体"/>
                <w:color w:val="auto"/>
                <w:highlight w:val="none"/>
                <w:u w:val="single"/>
              </w:rPr>
              <w:t xml:space="preserve">1 </w:t>
            </w:r>
            <w:r>
              <w:rPr>
                <w:rFonts w:hint="eastAsia" w:ascii="宋体" w:hAnsi="宋体" w:eastAsia="宋体" w:cs="宋体"/>
                <w:color w:val="auto"/>
                <w:highlight w:val="none"/>
              </w:rPr>
              <w:t xml:space="preserve">人，技术、经济类专家 </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rPr>
              <w:t xml:space="preserve"> 人；</w:t>
            </w:r>
          </w:p>
          <w:p w14:paraId="7FD66179">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磋商前</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评审专家从河南省政府采购专家库</w:t>
            </w:r>
            <w:r>
              <w:rPr>
                <w:rFonts w:hint="eastAsia" w:ascii="宋体" w:hAnsi="宋体" w:eastAsia="宋体" w:cs="宋体"/>
                <w:color w:val="auto"/>
                <w:highlight w:val="none"/>
                <w:lang w:val="en-US" w:eastAsia="zh-CN"/>
              </w:rPr>
              <w:t>信阳分库</w:t>
            </w:r>
            <w:r>
              <w:rPr>
                <w:rFonts w:hint="eastAsia" w:ascii="宋体" w:hAnsi="宋体" w:eastAsia="宋体" w:cs="宋体"/>
                <w:color w:val="auto"/>
                <w:highlight w:val="none"/>
              </w:rPr>
              <w:t>中随机抽取</w:t>
            </w:r>
          </w:p>
        </w:tc>
      </w:tr>
      <w:tr w14:paraId="31A3F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14:paraId="08615E5B">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p>
          <w:p w14:paraId="5DE398DC">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7.1</w:t>
            </w:r>
          </w:p>
        </w:tc>
        <w:tc>
          <w:tcPr>
            <w:tcW w:w="1737" w:type="dxa"/>
            <w:tcBorders>
              <w:top w:val="single" w:color="000000" w:sz="2" w:space="0"/>
              <w:bottom w:val="single" w:color="000000" w:sz="2" w:space="0"/>
            </w:tcBorders>
            <w:vAlign w:val="center"/>
          </w:tcPr>
          <w:p w14:paraId="74A4DE7F">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是否授权评标委 员会确定中标人</w:t>
            </w:r>
          </w:p>
        </w:tc>
        <w:tc>
          <w:tcPr>
            <w:tcW w:w="6825" w:type="dxa"/>
            <w:tcBorders>
              <w:top w:val="single" w:color="000000" w:sz="2" w:space="0"/>
              <w:bottom w:val="single" w:color="000000" w:sz="2" w:space="0"/>
            </w:tcBorders>
            <w:vAlign w:val="center"/>
          </w:tcPr>
          <w:p w14:paraId="2C04EF34">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否；推荐的中标候选人数：1-3 名</w:t>
            </w:r>
          </w:p>
        </w:tc>
      </w:tr>
      <w:tr w14:paraId="61D7A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14:paraId="337DCDEB">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7.3.1</w:t>
            </w:r>
          </w:p>
        </w:tc>
        <w:tc>
          <w:tcPr>
            <w:tcW w:w="1737" w:type="dxa"/>
            <w:tcBorders>
              <w:top w:val="single" w:color="000000" w:sz="2" w:space="0"/>
              <w:bottom w:val="single" w:color="000000" w:sz="2" w:space="0"/>
            </w:tcBorders>
            <w:vAlign w:val="center"/>
          </w:tcPr>
          <w:p w14:paraId="66F8E953">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履约担保</w:t>
            </w:r>
          </w:p>
        </w:tc>
        <w:tc>
          <w:tcPr>
            <w:tcW w:w="6825" w:type="dxa"/>
            <w:tcBorders>
              <w:top w:val="single" w:color="000000" w:sz="2" w:space="0"/>
              <w:bottom w:val="single" w:color="000000" w:sz="2" w:space="0"/>
            </w:tcBorders>
            <w:vAlign w:val="center"/>
          </w:tcPr>
          <w:p w14:paraId="5A5C65E2">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无</w:t>
            </w:r>
          </w:p>
        </w:tc>
      </w:tr>
      <w:tr w14:paraId="36F0D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14:paraId="3BC7AB6B">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7.3.2</w:t>
            </w:r>
          </w:p>
        </w:tc>
        <w:tc>
          <w:tcPr>
            <w:tcW w:w="1737" w:type="dxa"/>
            <w:tcBorders>
              <w:top w:val="single" w:color="000000" w:sz="2" w:space="0"/>
              <w:bottom w:val="single" w:color="000000" w:sz="2" w:space="0"/>
            </w:tcBorders>
            <w:vAlign w:val="center"/>
          </w:tcPr>
          <w:p w14:paraId="66687AE5">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分包/转包</w:t>
            </w:r>
          </w:p>
        </w:tc>
        <w:tc>
          <w:tcPr>
            <w:tcW w:w="6825" w:type="dxa"/>
            <w:tcBorders>
              <w:top w:val="single" w:color="000000" w:sz="2" w:space="0"/>
              <w:bottom w:val="single" w:color="000000" w:sz="2" w:space="0"/>
            </w:tcBorders>
            <w:vAlign w:val="center"/>
          </w:tcPr>
          <w:p w14:paraId="0EE540B3">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不允许转包和分包</w:t>
            </w:r>
          </w:p>
        </w:tc>
      </w:tr>
      <w:tr w14:paraId="48D5D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14:paraId="04981EAA">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8.1</w:t>
            </w:r>
          </w:p>
        </w:tc>
        <w:tc>
          <w:tcPr>
            <w:tcW w:w="1737" w:type="dxa"/>
            <w:tcBorders>
              <w:top w:val="single" w:color="000000" w:sz="2" w:space="0"/>
              <w:bottom w:val="single" w:color="000000" w:sz="2" w:space="0"/>
            </w:tcBorders>
            <w:vAlign w:val="center"/>
          </w:tcPr>
          <w:p w14:paraId="1047CFA5">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中标、成交结果公告媒介及期限</w:t>
            </w:r>
          </w:p>
        </w:tc>
        <w:tc>
          <w:tcPr>
            <w:tcW w:w="6825" w:type="dxa"/>
            <w:tcBorders>
              <w:top w:val="single" w:color="000000" w:sz="2" w:space="0"/>
              <w:bottom w:val="single" w:color="000000" w:sz="2" w:space="0"/>
            </w:tcBorders>
            <w:vAlign w:val="center"/>
          </w:tcPr>
          <w:p w14:paraId="0DCAE7A1">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公告媒介：竞争性磋商公告发布的同一媒介 </w:t>
            </w:r>
          </w:p>
          <w:p w14:paraId="33A2D2CE">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公告期限：1个工作日</w:t>
            </w:r>
          </w:p>
        </w:tc>
      </w:tr>
      <w:tr w14:paraId="24693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14:paraId="46C8325E">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8.2</w:t>
            </w:r>
          </w:p>
        </w:tc>
        <w:tc>
          <w:tcPr>
            <w:tcW w:w="1737" w:type="dxa"/>
            <w:tcBorders>
              <w:top w:val="single" w:color="000000" w:sz="2" w:space="0"/>
              <w:bottom w:val="single" w:color="000000" w:sz="2" w:space="0"/>
            </w:tcBorders>
            <w:vAlign w:val="center"/>
          </w:tcPr>
          <w:p w14:paraId="0C6B5670">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是否授权评标委员 会确定中标人</w:t>
            </w:r>
          </w:p>
        </w:tc>
        <w:tc>
          <w:tcPr>
            <w:tcW w:w="6825" w:type="dxa"/>
            <w:tcBorders>
              <w:top w:val="single" w:color="000000" w:sz="2" w:space="0"/>
              <w:bottom w:val="single" w:color="000000" w:sz="2" w:space="0"/>
            </w:tcBorders>
            <w:vAlign w:val="center"/>
          </w:tcPr>
          <w:p w14:paraId="1A4257CC">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否</w:t>
            </w:r>
          </w:p>
        </w:tc>
      </w:tr>
      <w:tr w14:paraId="3FCDC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900" w:type="dxa"/>
            <w:tcBorders>
              <w:top w:val="single" w:color="000000" w:sz="2" w:space="0"/>
              <w:bottom w:val="single" w:color="000000" w:sz="2" w:space="0"/>
            </w:tcBorders>
            <w:vAlign w:val="center"/>
          </w:tcPr>
          <w:p w14:paraId="50CEB794">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8.4.1</w:t>
            </w:r>
          </w:p>
        </w:tc>
        <w:tc>
          <w:tcPr>
            <w:tcW w:w="1737" w:type="dxa"/>
            <w:tcBorders>
              <w:top w:val="single" w:color="000000" w:sz="2" w:space="0"/>
              <w:bottom w:val="single" w:color="000000" w:sz="2" w:space="0"/>
            </w:tcBorders>
            <w:vAlign w:val="center"/>
          </w:tcPr>
          <w:p w14:paraId="720B2695">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履约保证金</w:t>
            </w:r>
          </w:p>
        </w:tc>
        <w:tc>
          <w:tcPr>
            <w:tcW w:w="6825" w:type="dxa"/>
            <w:tcBorders>
              <w:top w:val="single" w:color="000000" w:sz="2" w:space="0"/>
              <w:bottom w:val="single" w:color="000000" w:sz="2" w:space="0"/>
            </w:tcBorders>
            <w:vAlign w:val="center"/>
          </w:tcPr>
          <w:p w14:paraId="003B8CE9">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双方自行协商。</w:t>
            </w:r>
          </w:p>
        </w:tc>
      </w:tr>
      <w:tr w14:paraId="002D6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bottom w:val="single" w:color="000000" w:sz="2" w:space="0"/>
            </w:tcBorders>
            <w:vAlign w:val="center"/>
          </w:tcPr>
          <w:p w14:paraId="44327FEC">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9.5</w:t>
            </w:r>
          </w:p>
        </w:tc>
        <w:tc>
          <w:tcPr>
            <w:tcW w:w="1737" w:type="dxa"/>
            <w:tcBorders>
              <w:top w:val="single" w:color="000000" w:sz="2" w:space="0"/>
              <w:bottom w:val="single" w:color="000000" w:sz="2" w:space="0"/>
            </w:tcBorders>
            <w:vAlign w:val="center"/>
          </w:tcPr>
          <w:p w14:paraId="11C8157B">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质疑(异议)、投诉</w:t>
            </w:r>
          </w:p>
        </w:tc>
        <w:tc>
          <w:tcPr>
            <w:tcW w:w="6825" w:type="dxa"/>
            <w:tcBorders>
              <w:top w:val="single" w:color="000000" w:sz="2" w:space="0"/>
              <w:bottom w:val="single" w:color="000000" w:sz="2" w:space="0"/>
            </w:tcBorders>
            <w:vAlign w:val="center"/>
          </w:tcPr>
          <w:p w14:paraId="1BB57EDD">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和其他利害关系人认为本次招标活动违反法律、法规和规章规定的，可以自知道或者应当知道之日起10日内；供应商对采购文件、采购过程、中标或者成交结果的有质疑（异议），可以在知道或者应知其权益受到损害之日起7个工作日内；在固始县公共资源交易平台上网上质疑（异议）、投诉通道一次性提出（在线上质疑（异议）、投诉的同时，供应商也可向招标人或招标代理机构提供书面申请）。</w:t>
            </w:r>
          </w:p>
          <w:p w14:paraId="5B7A48D3">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操作流程详见</w:t>
            </w:r>
          </w:p>
          <w:p w14:paraId="4185282B">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“质疑流程https://ggzyjy.xinyang.gov.cn/gushi//xzjd/001001/20230424/24338233-8372-48ba-9519-a74188f109aa.html”</w:t>
            </w:r>
          </w:p>
          <w:p w14:paraId="7D226A39">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“投诉流程https://ggzyjy.xinyang.gov.cn/gushi//xzjd/001001/20230421/d6715f40-071e-4cb1-acf3-26d64cf67d8a.html”。采购人或采购代理机构不接受投标人对同一采购环节的多次质疑。</w:t>
            </w:r>
          </w:p>
        </w:tc>
      </w:tr>
      <w:tr w14:paraId="34DC7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tcBorders>
            <w:vAlign w:val="center"/>
          </w:tcPr>
          <w:p w14:paraId="4F1D0772">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1737" w:type="dxa"/>
            <w:tcBorders>
              <w:top w:val="single" w:color="000000" w:sz="2" w:space="0"/>
            </w:tcBorders>
            <w:vAlign w:val="center"/>
          </w:tcPr>
          <w:p w14:paraId="7A1A441F">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需要补充的其他内 容</w:t>
            </w:r>
          </w:p>
        </w:tc>
        <w:tc>
          <w:tcPr>
            <w:tcW w:w="6825" w:type="dxa"/>
            <w:tcBorders>
              <w:top w:val="single" w:color="000000" w:sz="2" w:space="0"/>
              <w:bottom w:val="single" w:color="000000" w:sz="2" w:space="0"/>
            </w:tcBorders>
            <w:vAlign w:val="top"/>
          </w:tcPr>
          <w:p w14:paraId="340F225E">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1、响应文件中的扫描件，每张最好控制在500kb内,生成的加密电子响应文件最好不要超过 50MB。 </w:t>
            </w:r>
          </w:p>
          <w:p w14:paraId="594DD3F1">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2、文件制作机器码、文件创建标识码有相同的按废标处理。</w:t>
            </w:r>
          </w:p>
          <w:p w14:paraId="45EF15FE">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、因投标人在投标过程中串标、围标或采用其他违法行为获取中标的，一旦被有关单位发现，</w:t>
            </w:r>
            <w:r>
              <w:rPr>
                <w:rFonts w:hint="eastAsia" w:ascii="宋体" w:hAnsi="宋体" w:eastAsia="宋体" w:cs="宋体"/>
                <w:color w:val="auto"/>
                <w:highlight w:val="none"/>
                <w:lang w:eastAsia="zh-CN"/>
              </w:rPr>
              <w:t>竞争性磋商</w:t>
            </w:r>
            <w:r>
              <w:rPr>
                <w:rFonts w:hint="eastAsia" w:ascii="宋体" w:hAnsi="宋体" w:eastAsia="宋体" w:cs="宋体"/>
                <w:color w:val="auto"/>
                <w:highlight w:val="none"/>
              </w:rPr>
              <w:t>人有权单方解除合同，同时投标人应赔偿由此给</w:t>
            </w:r>
            <w:r>
              <w:rPr>
                <w:rFonts w:hint="eastAsia" w:ascii="宋体" w:hAnsi="宋体" w:eastAsia="宋体" w:cs="宋体"/>
                <w:color w:val="auto"/>
                <w:highlight w:val="none"/>
                <w:lang w:eastAsia="zh-CN"/>
              </w:rPr>
              <w:t>竞争性磋商</w:t>
            </w:r>
            <w:r>
              <w:rPr>
                <w:rFonts w:hint="eastAsia" w:ascii="宋体" w:hAnsi="宋体" w:eastAsia="宋体" w:cs="宋体"/>
                <w:color w:val="auto"/>
                <w:highlight w:val="none"/>
              </w:rPr>
              <w:t>人所带来的一切损失。</w:t>
            </w:r>
          </w:p>
          <w:p w14:paraId="4A5A1AEE">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竞争性磋商</w:t>
            </w:r>
            <w:r>
              <w:rPr>
                <w:rFonts w:hint="eastAsia" w:ascii="宋体" w:hAnsi="宋体" w:eastAsia="宋体" w:cs="宋体"/>
                <w:color w:val="auto"/>
                <w:highlight w:val="none"/>
              </w:rPr>
              <w:t>人不承诺最低价中标，而且</w:t>
            </w:r>
            <w:r>
              <w:rPr>
                <w:rFonts w:hint="eastAsia" w:ascii="宋体" w:hAnsi="宋体" w:eastAsia="宋体" w:cs="宋体"/>
                <w:color w:val="auto"/>
                <w:highlight w:val="none"/>
                <w:lang w:eastAsia="zh-CN"/>
              </w:rPr>
              <w:t>竞争性磋商</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无</w:t>
            </w:r>
            <w:r>
              <w:rPr>
                <w:rFonts w:hint="eastAsia" w:ascii="宋体" w:hAnsi="宋体" w:eastAsia="宋体" w:cs="宋体"/>
                <w:color w:val="auto"/>
                <w:highlight w:val="none"/>
              </w:rPr>
              <w:t>义务解释说明未中标原因。</w:t>
            </w:r>
          </w:p>
          <w:p w14:paraId="0D097474">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、本项目具体服务形式按照双方最终签订的合同约定。</w:t>
            </w:r>
          </w:p>
          <w:p w14:paraId="17BB749C">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、本</w:t>
            </w:r>
            <w:r>
              <w:rPr>
                <w:rFonts w:hint="eastAsia" w:ascii="宋体" w:hAnsi="宋体" w:eastAsia="宋体" w:cs="宋体"/>
                <w:color w:val="auto"/>
                <w:highlight w:val="none"/>
                <w:lang w:eastAsia="zh-CN"/>
              </w:rPr>
              <w:t>竞争性磋商</w:t>
            </w:r>
            <w:r>
              <w:rPr>
                <w:rFonts w:hint="eastAsia" w:ascii="宋体" w:hAnsi="宋体" w:eastAsia="宋体" w:cs="宋体"/>
                <w:color w:val="auto"/>
                <w:highlight w:val="none"/>
              </w:rPr>
              <w:t>文件最终解释权归</w:t>
            </w:r>
            <w:r>
              <w:rPr>
                <w:rFonts w:hint="eastAsia" w:ascii="宋体" w:hAnsi="宋体" w:eastAsia="宋体" w:cs="宋体"/>
                <w:color w:val="auto"/>
                <w:highlight w:val="none"/>
                <w:lang w:eastAsia="zh-CN"/>
              </w:rPr>
              <w:t>竞争性磋商</w:t>
            </w:r>
            <w:r>
              <w:rPr>
                <w:rFonts w:hint="eastAsia" w:ascii="宋体" w:hAnsi="宋体" w:eastAsia="宋体" w:cs="宋体"/>
                <w:color w:val="auto"/>
                <w:highlight w:val="none"/>
              </w:rPr>
              <w:t>人。</w:t>
            </w:r>
          </w:p>
        </w:tc>
      </w:tr>
      <w:tr w14:paraId="50124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tcBorders>
            <w:vAlign w:val="center"/>
          </w:tcPr>
          <w:p w14:paraId="7D52F01A">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10.1</w:t>
            </w:r>
          </w:p>
        </w:tc>
        <w:tc>
          <w:tcPr>
            <w:tcW w:w="1737" w:type="dxa"/>
            <w:tcBorders>
              <w:top w:val="single" w:color="000000" w:sz="2" w:space="0"/>
            </w:tcBorders>
            <w:vAlign w:val="center"/>
          </w:tcPr>
          <w:p w14:paraId="2408739A">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竞争性磋商</w:t>
            </w:r>
            <w:r>
              <w:rPr>
                <w:rFonts w:hint="eastAsia" w:ascii="宋体" w:hAnsi="宋体" w:eastAsia="宋体" w:cs="宋体"/>
                <w:color w:val="auto"/>
                <w:highlight w:val="none"/>
              </w:rPr>
              <w:t>代理服务费</w:t>
            </w:r>
          </w:p>
        </w:tc>
        <w:tc>
          <w:tcPr>
            <w:tcW w:w="6825" w:type="dxa"/>
            <w:tcBorders>
              <w:top w:val="single" w:color="000000" w:sz="2" w:space="0"/>
              <w:bottom w:val="single" w:color="000000" w:sz="2" w:space="0"/>
            </w:tcBorders>
            <w:vAlign w:val="center"/>
          </w:tcPr>
          <w:p w14:paraId="62A427F4">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000000"/>
                <w:kern w:val="0"/>
                <w:sz w:val="21"/>
                <w:szCs w:val="21"/>
                <w:highlight w:val="none"/>
                <w:lang w:val="en-US" w:eastAsia="zh-CN" w:bidi="ar-SA"/>
              </w:rPr>
              <w:t>按照政府采购法及其条例规定，本项目由固始县政府集中采购部门免费代理。中标方不需要交纳代理服务费。</w:t>
            </w:r>
            <w:r>
              <w:rPr>
                <w:rFonts w:hint="eastAsia" w:ascii="宋体" w:hAnsi="宋体" w:eastAsia="宋体" w:cs="宋体"/>
                <w:color w:val="auto"/>
                <w:highlight w:val="none"/>
                <w:lang w:val="en-US" w:eastAsia="zh-CN"/>
              </w:rPr>
              <w:t xml:space="preserve"> </w:t>
            </w:r>
          </w:p>
        </w:tc>
      </w:tr>
      <w:tr w14:paraId="08A35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tcBorders>
              <w:top w:val="single" w:color="000000" w:sz="2" w:space="0"/>
            </w:tcBorders>
            <w:vAlign w:val="center"/>
          </w:tcPr>
          <w:p w14:paraId="1297EC70">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p>
          <w:p w14:paraId="10417A9A">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10.2</w:t>
            </w:r>
          </w:p>
        </w:tc>
        <w:tc>
          <w:tcPr>
            <w:tcW w:w="1737" w:type="dxa"/>
            <w:tcBorders>
              <w:top w:val="single" w:color="000000" w:sz="2" w:space="0"/>
            </w:tcBorders>
            <w:vAlign w:val="center"/>
          </w:tcPr>
          <w:p w14:paraId="4F264D3E">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p>
          <w:p w14:paraId="3DCBFD98">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特别提示</w:t>
            </w:r>
          </w:p>
        </w:tc>
        <w:tc>
          <w:tcPr>
            <w:tcW w:w="6825" w:type="dxa"/>
            <w:tcBorders>
              <w:top w:val="single" w:color="000000" w:sz="2" w:space="0"/>
              <w:bottom w:val="single" w:color="000000" w:sz="2" w:space="0"/>
            </w:tcBorders>
            <w:vAlign w:val="top"/>
          </w:tcPr>
          <w:p w14:paraId="49031717">
            <w:pPr>
              <w:keepNext w:val="0"/>
              <w:keepLines w:val="0"/>
              <w:pageBreakBefore w:val="0"/>
              <w:widowControl/>
              <w:kinsoku/>
              <w:wordWrap w:val="0"/>
              <w:overflowPunct w:val="0"/>
              <w:topLinePunct/>
              <w:autoSpaceDE w:val="0"/>
              <w:autoSpaceDN w:val="0"/>
              <w:bidi w:val="0"/>
              <w:adjustRightInd w:val="0"/>
              <w:snapToGrid w:val="0"/>
              <w:spacing w:line="400" w:lineRule="exact"/>
              <w:jc w:val="both"/>
              <w:textAlignment w:val="baseline"/>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auto"/>
                <w:highlight w:val="none"/>
              </w:rPr>
              <w:t>构成本磋商文件的各个组成文件应互为解释，互为说明；如有不明确或不一致，按竞争性磋商公告、供应商须知、评审办法、竞争性磋商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7E970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637" w:type="dxa"/>
            <w:gridSpan w:val="2"/>
            <w:tcBorders>
              <w:top w:val="single" w:color="000000" w:sz="2" w:space="0"/>
              <w:bottom w:val="single" w:color="000000" w:sz="2" w:space="0"/>
            </w:tcBorders>
            <w:vAlign w:val="center"/>
          </w:tcPr>
          <w:p w14:paraId="212AABA8">
            <w:pPr>
              <w:keepNext w:val="0"/>
              <w:keepLines w:val="0"/>
              <w:pageBreakBefore w:val="0"/>
              <w:kinsoku/>
              <w:wordWrap w:val="0"/>
              <w:overflowPunct w:val="0"/>
              <w:topLinePunct/>
              <w:autoSpaceDE w:val="0"/>
              <w:autoSpaceDN w:val="0"/>
              <w:bidi w:val="0"/>
              <w:adjustRightInd w:val="0"/>
              <w:snapToGrid w:val="0"/>
              <w:spacing w:line="320" w:lineRule="exact"/>
              <w:ind w:left="0" w:leftChars="0" w:right="0" w:rightChars="0" w:firstLine="0" w:firstLineChars="0"/>
              <w:jc w:val="center"/>
              <w:textAlignment w:val="auto"/>
              <w:rPr>
                <w:rFonts w:hint="eastAsia" w:ascii="宋体" w:hAnsi="宋体" w:eastAsia="宋体" w:cs="宋体"/>
                <w:color w:val="auto"/>
                <w:spacing w:val="-1"/>
                <w:sz w:val="21"/>
                <w:szCs w:val="21"/>
                <w:highlight w:val="none"/>
              </w:rPr>
            </w:pPr>
            <w:r>
              <w:rPr>
                <w:rFonts w:hint="eastAsia" w:ascii="宋体" w:hAnsi="宋体" w:eastAsia="宋体" w:cs="宋体"/>
                <w:b/>
                <w:color w:val="auto"/>
                <w:spacing w:val="0"/>
                <w:w w:val="100"/>
                <w:sz w:val="21"/>
                <w:szCs w:val="21"/>
                <w:highlight w:val="none"/>
              </w:rPr>
              <w:t>本项目对应的中小企业划分标准所属行业</w:t>
            </w:r>
          </w:p>
        </w:tc>
        <w:tc>
          <w:tcPr>
            <w:tcW w:w="6825" w:type="dxa"/>
            <w:tcBorders>
              <w:top w:val="single" w:color="000000" w:sz="2" w:space="0"/>
              <w:bottom w:val="single" w:color="000000" w:sz="2" w:space="0"/>
            </w:tcBorders>
            <w:vAlign w:val="center"/>
          </w:tcPr>
          <w:p w14:paraId="700DADCD">
            <w:pPr>
              <w:keepNext w:val="0"/>
              <w:keepLines w:val="0"/>
              <w:pageBreakBefore w:val="0"/>
              <w:kinsoku/>
              <w:wordWrap w:val="0"/>
              <w:overflowPunct w:val="0"/>
              <w:topLinePunct/>
              <w:autoSpaceDE w:val="0"/>
              <w:autoSpaceDN w:val="0"/>
              <w:bidi w:val="0"/>
              <w:adjustRightInd w:val="0"/>
              <w:spacing w:line="320" w:lineRule="exact"/>
              <w:ind w:left="0" w:leftChars="0" w:right="0" w:rightChars="0" w:firstLine="0" w:firstLineChars="0"/>
              <w:jc w:val="left"/>
              <w:textAlignment w:val="auto"/>
              <w:rPr>
                <w:rFonts w:hint="eastAsia" w:ascii="宋体" w:hAnsi="宋体" w:eastAsia="宋体" w:cs="宋体"/>
                <w:color w:val="auto"/>
                <w:spacing w:val="-1"/>
                <w:sz w:val="21"/>
                <w:szCs w:val="21"/>
                <w:highlight w:val="none"/>
                <w:lang w:val="en-US" w:eastAsia="zh-CN"/>
              </w:rPr>
            </w:pPr>
            <w:r>
              <w:rPr>
                <w:rFonts w:hint="eastAsia" w:ascii="宋体" w:hAnsi="宋体" w:eastAsia="宋体" w:cs="宋体"/>
                <w:b/>
                <w:bCs/>
                <w:color w:val="auto"/>
                <w:spacing w:val="0"/>
                <w:w w:val="100"/>
                <w:kern w:val="0"/>
                <w:sz w:val="21"/>
                <w:szCs w:val="21"/>
                <w:highlight w:val="none"/>
                <w:lang w:eastAsia="zh-CN"/>
              </w:rPr>
              <w:t>物业</w:t>
            </w:r>
            <w:r>
              <w:rPr>
                <w:rFonts w:hint="eastAsia" w:ascii="宋体" w:hAnsi="宋体" w:eastAsia="宋体" w:cs="宋体"/>
                <w:b/>
                <w:bCs/>
                <w:color w:val="auto"/>
                <w:spacing w:val="0"/>
                <w:w w:val="100"/>
                <w:kern w:val="0"/>
                <w:sz w:val="21"/>
                <w:szCs w:val="21"/>
                <w:highlight w:val="none"/>
                <w:lang w:val="en-US" w:eastAsia="zh-CN"/>
              </w:rPr>
              <w:t>管理</w:t>
            </w:r>
          </w:p>
        </w:tc>
      </w:tr>
      <w:tr w14:paraId="3478B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462" w:type="dxa"/>
            <w:gridSpan w:val="3"/>
            <w:tcBorders>
              <w:top w:val="single" w:color="000000" w:sz="2" w:space="0"/>
              <w:bottom w:val="single" w:color="000000" w:sz="2" w:space="0"/>
            </w:tcBorders>
            <w:vAlign w:val="center"/>
          </w:tcPr>
          <w:p w14:paraId="137AB565">
            <w:pPr>
              <w:keepNext w:val="0"/>
              <w:keepLines w:val="0"/>
              <w:pageBreakBefore w:val="0"/>
              <w:widowControl/>
              <w:suppressLineNumbers w:val="0"/>
              <w:kinsoku/>
              <w:wordWrap w:val="0"/>
              <w:overflowPunct w:val="0"/>
              <w:topLinePunct/>
              <w:autoSpaceDE w:val="0"/>
              <w:autoSpaceDN w:val="0"/>
              <w:bidi w:val="0"/>
              <w:jc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未尽事宜按现行采购的有关法律法规和规定执行。</w:t>
            </w:r>
          </w:p>
        </w:tc>
      </w:tr>
    </w:tbl>
    <w:p w14:paraId="5907684A">
      <w:pPr>
        <w:wordWrap w:val="0"/>
        <w:spacing w:line="360" w:lineRule="auto"/>
        <w:ind w:firstLine="482" w:firstLineChars="200"/>
        <w:outlineLvl w:val="1"/>
        <w:rPr>
          <w:rFonts w:hint="eastAsia" w:asciiTheme="minorEastAsia" w:hAnsiTheme="minorEastAsia" w:eastAsiaTheme="minorEastAsia" w:cstheme="minorEastAsia"/>
          <w:b/>
          <w:bCs/>
          <w:sz w:val="24"/>
          <w:szCs w:val="24"/>
        </w:rPr>
      </w:pPr>
      <w:bookmarkStart w:id="21" w:name="_Toc27364"/>
      <w:bookmarkStart w:id="22" w:name="_Toc16296"/>
      <w:bookmarkStart w:id="23" w:name="_Toc5975"/>
      <w:r>
        <w:rPr>
          <w:rFonts w:hint="eastAsia" w:asciiTheme="minorEastAsia" w:hAnsiTheme="minorEastAsia" w:eastAsiaTheme="minorEastAsia" w:cstheme="minorEastAsia"/>
          <w:b/>
          <w:bCs/>
          <w:sz w:val="24"/>
          <w:szCs w:val="24"/>
        </w:rPr>
        <w:t>1.总则</w:t>
      </w:r>
      <w:bookmarkEnd w:id="21"/>
      <w:bookmarkEnd w:id="22"/>
      <w:bookmarkStart w:id="24" w:name="_Toc455080109"/>
      <w:bookmarkStart w:id="25" w:name="_Toc31404"/>
      <w:bookmarkStart w:id="26" w:name="_Toc9136"/>
      <w:bookmarkStart w:id="27" w:name="_Toc281380952"/>
      <w:bookmarkStart w:id="28" w:name="_Toc455867769"/>
      <w:bookmarkStart w:id="29" w:name="_Toc6747"/>
      <w:bookmarkStart w:id="30" w:name="_Toc21266"/>
      <w:bookmarkStart w:id="31" w:name="_Toc466298092"/>
      <w:bookmarkStart w:id="32" w:name="_Toc15709"/>
      <w:bookmarkStart w:id="33" w:name="_Toc20827"/>
      <w:bookmarkStart w:id="34" w:name="_Toc318450675"/>
      <w:bookmarkStart w:id="35" w:name="_Toc274409866"/>
      <w:bookmarkStart w:id="36" w:name="_Toc490667828"/>
      <w:bookmarkStart w:id="37" w:name="_Toc21458"/>
      <w:bookmarkStart w:id="38" w:name="_Toc1172"/>
      <w:bookmarkStart w:id="39" w:name="_Toc10273"/>
      <w:bookmarkStart w:id="40" w:name="_Toc658"/>
      <w:bookmarkStart w:id="41" w:name="_Toc29023"/>
      <w:bookmarkStart w:id="42" w:name="_Toc152045531"/>
      <w:bookmarkStart w:id="43" w:name="_Toc144974499"/>
      <w:bookmarkStart w:id="44" w:name="_Toc152042307"/>
    </w:p>
    <w:p w14:paraId="2D6CF3CF">
      <w:pPr>
        <w:wordWrap w:val="0"/>
        <w:spacing w:line="360" w:lineRule="auto"/>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 xml:space="preserve">1.1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hint="eastAsia" w:asciiTheme="minorEastAsia" w:hAnsiTheme="minorEastAsia" w:eastAsiaTheme="minorEastAsia" w:cstheme="minorEastAsia"/>
          <w:b/>
          <w:bCs/>
          <w:sz w:val="24"/>
          <w:szCs w:val="24"/>
          <w:lang w:val="en-US" w:eastAsia="zh-CN"/>
        </w:rPr>
        <w:t>采购项目概括</w:t>
      </w:r>
    </w:p>
    <w:p w14:paraId="0C8BEF0B">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根据《中华人民共和国政府采购法》、《中华人民共和国政府采购法实施条例》、《政府采购竞争性磋商采购方式管理暂行办法》等有关法律、法规和规章的规定，编制本项目磋商文件。</w:t>
      </w:r>
      <w:bookmarkStart w:id="45" w:name="_Toc2929"/>
      <w:bookmarkStart w:id="46" w:name="_Toc455080110"/>
      <w:bookmarkStart w:id="47" w:name="_Toc318450676"/>
      <w:bookmarkStart w:id="48" w:name="_Toc31929"/>
      <w:bookmarkStart w:id="49" w:name="_Toc710"/>
      <w:bookmarkStart w:id="50" w:name="_Toc30891"/>
      <w:bookmarkStart w:id="51" w:name="_Toc10269"/>
      <w:bookmarkStart w:id="52" w:name="_Toc32619"/>
      <w:bookmarkStart w:id="53" w:name="_Toc274409867"/>
      <w:bookmarkStart w:id="54" w:name="_Toc466298093"/>
      <w:bookmarkStart w:id="55" w:name="_Toc24852"/>
      <w:bookmarkStart w:id="56" w:name="_Toc490667829"/>
      <w:bookmarkStart w:id="57" w:name="_Toc3336"/>
      <w:bookmarkStart w:id="58" w:name="_Toc281405468"/>
      <w:bookmarkStart w:id="59" w:name="_Toc25773"/>
      <w:bookmarkStart w:id="60" w:name="_Toc10556"/>
      <w:bookmarkStart w:id="61" w:name="_Toc455867770"/>
      <w:bookmarkStart w:id="62" w:name="_Toc7237"/>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14:paraId="2997EDCF">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 本项目采购人：见供应商须知前附表。</w:t>
      </w:r>
    </w:p>
    <w:p w14:paraId="6AC03BE4">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本项目采购代理机构：见供应商须知前附表。</w:t>
      </w:r>
    </w:p>
    <w:p w14:paraId="4BC98D29">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本项目名称：见供应商须知前附表。</w:t>
      </w:r>
    </w:p>
    <w:p w14:paraId="45818B83">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 本项目采购方式：见供应商须知前附表。</w:t>
      </w:r>
    </w:p>
    <w:p w14:paraId="586662F0">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本项目预算价（最高限价）：见供应商须知前附表。</w:t>
      </w:r>
      <w:bookmarkStart w:id="63" w:name="_Toc455867771"/>
      <w:bookmarkStart w:id="64" w:name="_Toc4122"/>
      <w:bookmarkStart w:id="65" w:name="_Toc281405469"/>
      <w:bookmarkStart w:id="66" w:name="_Toc3477"/>
      <w:bookmarkStart w:id="67" w:name="_Toc274409868"/>
      <w:bookmarkStart w:id="68" w:name="_Toc17146"/>
      <w:bookmarkStart w:id="69" w:name="_Toc18960"/>
      <w:bookmarkStart w:id="70" w:name="_Toc16931"/>
      <w:bookmarkStart w:id="71" w:name="_Toc1373"/>
      <w:bookmarkStart w:id="72" w:name="_Toc318450677"/>
      <w:bookmarkStart w:id="73" w:name="_Toc490667830"/>
      <w:bookmarkStart w:id="74" w:name="_Toc17016"/>
      <w:bookmarkStart w:id="75" w:name="_Toc455080111"/>
      <w:bookmarkStart w:id="76" w:name="_Toc4952"/>
      <w:bookmarkStart w:id="77" w:name="_Toc466298094"/>
      <w:bookmarkStart w:id="78" w:name="_Toc4563"/>
      <w:bookmarkStart w:id="79" w:name="_Toc22979"/>
      <w:bookmarkStart w:id="80" w:name="_Toc2415"/>
    </w:p>
    <w:p w14:paraId="717C36A2">
      <w:pPr>
        <w:wordWrap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 xml:space="preserve"> 采购项目的资金来源及付款方式</w:t>
      </w:r>
    </w:p>
    <w:p w14:paraId="138ED01C">
      <w:pPr>
        <w:wordWrap w:val="0"/>
        <w:spacing w:line="360" w:lineRule="auto"/>
        <w:ind w:firstLine="480" w:firstLineChars="20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1.2.1资金来源：</w:t>
      </w:r>
      <w:r>
        <w:rPr>
          <w:rFonts w:hint="eastAsia" w:asciiTheme="minorEastAsia" w:hAnsiTheme="minorEastAsia" w:eastAsiaTheme="minorEastAsia" w:cstheme="minorEastAsia"/>
          <w:sz w:val="24"/>
          <w:szCs w:val="24"/>
        </w:rPr>
        <w:t>见供应商须知前附表。</w:t>
      </w:r>
    </w:p>
    <w:p w14:paraId="32E54D94">
      <w:pPr>
        <w:pStyle w:val="7"/>
        <w:ind w:firstLine="480" w:firstLineChars="20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1.2.2出资比例：</w:t>
      </w:r>
      <w:r>
        <w:rPr>
          <w:rFonts w:hint="eastAsia" w:asciiTheme="minorEastAsia" w:hAnsiTheme="minorEastAsia" w:eastAsiaTheme="minorEastAsia" w:cstheme="minorEastAsia"/>
          <w:sz w:val="24"/>
          <w:szCs w:val="24"/>
        </w:rPr>
        <w:t>见供应商须知前附表。</w:t>
      </w:r>
    </w:p>
    <w:p w14:paraId="1089DDA5">
      <w:pPr>
        <w:wordWrap w:val="0"/>
        <w:spacing w:line="360" w:lineRule="auto"/>
        <w:ind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1.2.3</w:t>
      </w:r>
      <w:r>
        <w:rPr>
          <w:rFonts w:hint="eastAsia" w:asciiTheme="minorEastAsia" w:hAnsiTheme="minorEastAsia" w:eastAsiaTheme="minorEastAsia" w:cstheme="minorEastAsia"/>
          <w:b w:val="0"/>
          <w:bCs/>
          <w:sz w:val="24"/>
          <w:szCs w:val="24"/>
        </w:rPr>
        <w:t>定义及解释</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B149F8E">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 采购人：依法进行政府采购的国家机关、事业单位、团体组织。</w:t>
      </w:r>
    </w:p>
    <w:p w14:paraId="2F0ECE9F">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3.2</w:t>
      </w:r>
      <w:r>
        <w:rPr>
          <w:rFonts w:hint="eastAsia" w:asciiTheme="minorEastAsia" w:hAnsiTheme="minorEastAsia" w:eastAsiaTheme="minorEastAsia" w:cstheme="minorEastAsia"/>
          <w:sz w:val="24"/>
          <w:szCs w:val="24"/>
        </w:rPr>
        <w:t xml:space="preserve"> 采购代理机构：取得政府采购招标代理资质，受采购人委托组织招标活动的社会中介组织。</w:t>
      </w:r>
    </w:p>
    <w:p w14:paraId="0ED38678">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3.3</w:t>
      </w:r>
      <w:r>
        <w:rPr>
          <w:rFonts w:hint="eastAsia" w:asciiTheme="minorEastAsia" w:hAnsiTheme="minorEastAsia" w:eastAsiaTheme="minorEastAsia" w:cstheme="minorEastAsia"/>
          <w:sz w:val="24"/>
          <w:szCs w:val="24"/>
        </w:rPr>
        <w:t>服务：系指根据本磋商文件规定供应商须承担的服务以及其他类似的义务等。</w:t>
      </w:r>
    </w:p>
    <w:p w14:paraId="490B2298">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3.4</w:t>
      </w:r>
      <w:r>
        <w:rPr>
          <w:rFonts w:hint="eastAsia" w:asciiTheme="minorEastAsia" w:hAnsiTheme="minorEastAsia" w:eastAsiaTheme="minorEastAsia" w:cstheme="minorEastAsia"/>
          <w:sz w:val="24"/>
          <w:szCs w:val="24"/>
        </w:rPr>
        <w:t>供应商：供应商是响应磋商文件、参加磋商竞争的中华人民共和国境内的法人、其他组织。</w:t>
      </w:r>
    </w:p>
    <w:p w14:paraId="2F409F2E">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3.5</w:t>
      </w:r>
      <w:r>
        <w:rPr>
          <w:rFonts w:hint="eastAsia" w:asciiTheme="minorEastAsia" w:hAnsiTheme="minorEastAsia" w:eastAsiaTheme="minorEastAsia" w:cstheme="minorEastAsia"/>
          <w:sz w:val="24"/>
          <w:szCs w:val="24"/>
        </w:rPr>
        <w:t>响应文件：指供应商根据竞争性磋商文件提交的所有文件。</w:t>
      </w:r>
    </w:p>
    <w:p w14:paraId="2D7B414F">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3.6</w:t>
      </w:r>
      <w:r>
        <w:rPr>
          <w:rFonts w:hint="eastAsia" w:asciiTheme="minorEastAsia" w:hAnsiTheme="minorEastAsia" w:eastAsiaTheme="minorEastAsia" w:cstheme="minorEastAsia"/>
          <w:sz w:val="24"/>
          <w:szCs w:val="24"/>
        </w:rPr>
        <w:t>磋商小组：依据《中华人民共和国政府采购法》及有关法律、法规的规定依法组建的专门负责本次评标工作的临时机构。</w:t>
      </w:r>
    </w:p>
    <w:p w14:paraId="259AF119">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3.7</w:t>
      </w:r>
      <w:r>
        <w:rPr>
          <w:rFonts w:hint="eastAsia" w:asciiTheme="minorEastAsia" w:hAnsiTheme="minorEastAsia" w:eastAsiaTheme="minorEastAsia" w:cstheme="minorEastAsia"/>
          <w:sz w:val="24"/>
          <w:szCs w:val="24"/>
        </w:rPr>
        <w:t>偏离：响应文件的响应相对于竞争性磋商文件要求的偏差，该偏差优于竞争性磋商文件要求的为正偏离；劣于的，为负偏离。</w:t>
      </w:r>
    </w:p>
    <w:p w14:paraId="4B73EBDD">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3.8</w:t>
      </w:r>
      <w:r>
        <w:rPr>
          <w:rFonts w:hint="eastAsia" w:asciiTheme="minorEastAsia" w:hAnsiTheme="minorEastAsia" w:eastAsiaTheme="minorEastAsia" w:cstheme="minorEastAsia"/>
          <w:sz w:val="24"/>
          <w:szCs w:val="24"/>
        </w:rPr>
        <w:t>“日期”或“天”：指日历天。</w:t>
      </w:r>
    </w:p>
    <w:p w14:paraId="16B6DA8C">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3.9</w:t>
      </w:r>
      <w:r>
        <w:rPr>
          <w:rFonts w:hint="eastAsia" w:asciiTheme="minorEastAsia" w:hAnsiTheme="minorEastAsia" w:eastAsiaTheme="minorEastAsia" w:cstheme="minorEastAsia"/>
          <w:sz w:val="24"/>
          <w:szCs w:val="24"/>
        </w:rPr>
        <w:t xml:space="preserve"> 合同：指依据本次服务采购招标结果签订的协议或合约文件。</w:t>
      </w:r>
    </w:p>
    <w:p w14:paraId="36E671D1">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3.10</w:t>
      </w:r>
      <w:r>
        <w:rPr>
          <w:rFonts w:hint="eastAsia" w:asciiTheme="minorEastAsia" w:hAnsiTheme="minorEastAsia" w:eastAsiaTheme="minorEastAsia" w:cstheme="minorEastAsia"/>
          <w:sz w:val="24"/>
          <w:szCs w:val="24"/>
        </w:rPr>
        <w:t>竞争性磋商文件中的标题或题名仅起引导作用，而不应视为对竞争性磋商文件内容的理解和解释。</w:t>
      </w:r>
      <w:bookmarkEnd w:id="42"/>
      <w:bookmarkEnd w:id="43"/>
      <w:bookmarkEnd w:id="44"/>
      <w:bookmarkStart w:id="81" w:name="_Toc17808"/>
      <w:bookmarkStart w:id="82" w:name="_Toc490667831"/>
      <w:bookmarkStart w:id="83" w:name="_Toc152042308"/>
      <w:bookmarkStart w:id="84" w:name="_Toc21766"/>
      <w:bookmarkStart w:id="85" w:name="_Toc12752"/>
      <w:bookmarkStart w:id="86" w:name="_Toc466298095"/>
      <w:bookmarkStart w:id="87" w:name="_Toc14043"/>
      <w:bookmarkStart w:id="88" w:name="_Toc16470"/>
      <w:bookmarkStart w:id="89" w:name="_Toc27407"/>
      <w:bookmarkStart w:id="90" w:name="_Toc144974500"/>
      <w:bookmarkStart w:id="91" w:name="_Toc19363"/>
      <w:bookmarkStart w:id="92" w:name="_Toc32236"/>
      <w:bookmarkStart w:id="93" w:name="_Toc318450678"/>
      <w:bookmarkStart w:id="94" w:name="_Toc152045532"/>
      <w:bookmarkStart w:id="95" w:name="_Toc10894"/>
      <w:bookmarkStart w:id="96" w:name="_Toc17908"/>
      <w:bookmarkStart w:id="97" w:name="_Toc26189"/>
      <w:bookmarkStart w:id="98" w:name="_Toc455080112"/>
      <w:bookmarkStart w:id="99" w:name="_Toc455867772"/>
    </w:p>
    <w:p w14:paraId="38E71CBD">
      <w:pPr>
        <w:wordWrap w:val="0"/>
        <w:spacing w:line="360" w:lineRule="auto"/>
        <w:ind w:firstLine="482" w:firstLineChars="200"/>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 xml:space="preserve"> 采购内容、</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asciiTheme="minorEastAsia" w:hAnsiTheme="minorEastAsia" w:eastAsiaTheme="minorEastAsia" w:cstheme="minorEastAsia"/>
          <w:b/>
          <w:sz w:val="24"/>
          <w:szCs w:val="24"/>
          <w:lang w:val="en-US" w:eastAsia="zh-CN"/>
        </w:rPr>
        <w:t>服务限期</w:t>
      </w:r>
      <w:r>
        <w:rPr>
          <w:rFonts w:hint="eastAsia" w:asciiTheme="minorEastAsia" w:hAnsiTheme="minorEastAsia" w:eastAsiaTheme="minorEastAsia" w:cstheme="minorEastAsia"/>
          <w:b/>
          <w:sz w:val="24"/>
          <w:szCs w:val="24"/>
        </w:rPr>
        <w:t>、质量要求</w:t>
      </w:r>
    </w:p>
    <w:p w14:paraId="2731E525">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 本次采购内容：见供应商须知前附表。</w:t>
      </w:r>
    </w:p>
    <w:p w14:paraId="22FDED86">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 本项目的</w:t>
      </w:r>
      <w:r>
        <w:rPr>
          <w:rFonts w:hint="eastAsia" w:asciiTheme="minorEastAsia" w:hAnsiTheme="minorEastAsia" w:eastAsiaTheme="minorEastAsia" w:cstheme="minorEastAsia"/>
          <w:sz w:val="24"/>
          <w:szCs w:val="24"/>
          <w:lang w:val="en-US" w:eastAsia="zh-CN"/>
        </w:rPr>
        <w:t>服务限期</w:t>
      </w:r>
      <w:r>
        <w:rPr>
          <w:rFonts w:hint="eastAsia" w:asciiTheme="minorEastAsia" w:hAnsiTheme="minorEastAsia" w:eastAsiaTheme="minorEastAsia" w:cstheme="minorEastAsia"/>
          <w:sz w:val="24"/>
          <w:szCs w:val="24"/>
        </w:rPr>
        <w:t>：见供应商须知前附表。</w:t>
      </w:r>
    </w:p>
    <w:p w14:paraId="4381E6D8">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.3 本项目的质量要求：见供应商须知前附表。</w:t>
      </w:r>
      <w:bookmarkStart w:id="100" w:name="_Toc152045534"/>
      <w:bookmarkStart w:id="101" w:name="_Toc152042310"/>
      <w:bookmarkStart w:id="102" w:name="_Toc318450679"/>
      <w:bookmarkStart w:id="103" w:name="_Toc144974502"/>
      <w:bookmarkStart w:id="104" w:name="_Toc490667832"/>
      <w:bookmarkStart w:id="105" w:name="_Toc4301"/>
      <w:bookmarkStart w:id="106" w:name="_Toc466298096"/>
      <w:bookmarkStart w:id="107" w:name="_Toc4711"/>
      <w:bookmarkStart w:id="108" w:name="_Toc455867773"/>
      <w:bookmarkStart w:id="109" w:name="_Toc10081"/>
      <w:bookmarkStart w:id="110" w:name="_Toc22643"/>
      <w:bookmarkStart w:id="111" w:name="_Toc18004"/>
      <w:bookmarkStart w:id="112" w:name="_Toc18689"/>
      <w:bookmarkStart w:id="113" w:name="_Toc11063"/>
      <w:bookmarkStart w:id="114" w:name="_Toc7209"/>
      <w:bookmarkStart w:id="115" w:name="_Toc455080113"/>
      <w:bookmarkStart w:id="116" w:name="_Toc32156"/>
      <w:bookmarkStart w:id="117" w:name="_Toc1602"/>
      <w:bookmarkStart w:id="118" w:name="_Toc5019"/>
    </w:p>
    <w:p w14:paraId="733C96AF">
      <w:pPr>
        <w:wordWrap w:val="0"/>
        <w:spacing w:line="360" w:lineRule="auto"/>
        <w:ind w:firstLine="480" w:firstLineChars="200"/>
        <w:rPr>
          <w:rFonts w:hint="eastAsia"/>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 本项目的</w:t>
      </w:r>
      <w:r>
        <w:rPr>
          <w:rFonts w:hint="eastAsia" w:asciiTheme="minorEastAsia" w:hAnsiTheme="minorEastAsia" w:eastAsiaTheme="minorEastAsia" w:cstheme="minorEastAsia"/>
          <w:sz w:val="24"/>
          <w:szCs w:val="24"/>
          <w:lang w:val="en-US" w:eastAsia="zh-CN"/>
        </w:rPr>
        <w:t>地点</w:t>
      </w:r>
      <w:r>
        <w:rPr>
          <w:rFonts w:hint="eastAsia" w:asciiTheme="minorEastAsia" w:hAnsiTheme="minorEastAsia" w:eastAsiaTheme="minorEastAsia" w:cstheme="minorEastAsia"/>
          <w:sz w:val="24"/>
          <w:szCs w:val="24"/>
        </w:rPr>
        <w:t>：见供应商须知前附表。</w:t>
      </w:r>
    </w:p>
    <w:p w14:paraId="524BFB42">
      <w:pPr>
        <w:wordWrap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 xml:space="preserve"> </w:t>
      </w:r>
      <w:bookmarkEnd w:id="100"/>
      <w:bookmarkEnd w:id="101"/>
      <w:bookmarkEnd w:id="102"/>
      <w:bookmarkEnd w:id="103"/>
      <w:r>
        <w:rPr>
          <w:rFonts w:hint="eastAsia" w:asciiTheme="minorEastAsia" w:hAnsiTheme="minorEastAsia" w:eastAsiaTheme="minorEastAsia" w:cstheme="minorEastAsia"/>
          <w:b/>
          <w:sz w:val="24"/>
          <w:szCs w:val="24"/>
        </w:rPr>
        <w:t>供应商资质条件和能力</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D88BD19">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 供应商资质及能力要求：见供应商须知前附表。</w:t>
      </w:r>
    </w:p>
    <w:p w14:paraId="6BC5570F">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 是否接受联合体：见供应商须知前附表。</w:t>
      </w:r>
      <w:bookmarkStart w:id="119" w:name="_Toc152042311"/>
      <w:bookmarkStart w:id="120" w:name="_Toc455867774"/>
      <w:bookmarkStart w:id="121" w:name="_Toc318450680"/>
      <w:bookmarkStart w:id="122" w:name="_Toc466298097"/>
      <w:bookmarkStart w:id="123" w:name="_Toc11905"/>
      <w:bookmarkStart w:id="124" w:name="_Toc490667833"/>
      <w:bookmarkStart w:id="125" w:name="_Toc152045535"/>
      <w:bookmarkStart w:id="126" w:name="_Toc32446"/>
      <w:bookmarkStart w:id="127" w:name="_Toc144974503"/>
      <w:bookmarkStart w:id="128" w:name="_Toc9505"/>
      <w:bookmarkStart w:id="129" w:name="_Toc12403"/>
      <w:bookmarkStart w:id="130" w:name="_Toc981"/>
      <w:bookmarkStart w:id="131" w:name="_Toc5162"/>
      <w:bookmarkStart w:id="132" w:name="_Toc651"/>
      <w:bookmarkStart w:id="133" w:name="_Toc31497"/>
      <w:bookmarkStart w:id="134" w:name="_Toc455080114"/>
      <w:bookmarkStart w:id="135" w:name="_Toc28135"/>
      <w:bookmarkStart w:id="136" w:name="_Toc31854"/>
      <w:bookmarkStart w:id="137" w:name="_Toc16889"/>
    </w:p>
    <w:p w14:paraId="60E6C2F7">
      <w:pPr>
        <w:wordWrap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5</w:t>
      </w:r>
      <w:r>
        <w:rPr>
          <w:rFonts w:hint="eastAsia" w:asciiTheme="minorEastAsia" w:hAnsiTheme="minorEastAsia" w:eastAsiaTheme="minorEastAsia" w:cstheme="minorEastAsia"/>
          <w:b/>
          <w:sz w:val="24"/>
          <w:szCs w:val="24"/>
        </w:rPr>
        <w:t xml:space="preserve"> 费用承担</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7E02B5C5">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供应商准备和参加磋商活动发生的费用自理，不论磋商的结果如何，采购人和采购代理机构在任何情况下均无义务和责任承担这些费用。</w:t>
      </w:r>
      <w:bookmarkStart w:id="138" w:name="_Toc490667834"/>
      <w:bookmarkStart w:id="139" w:name="_Toc455867775"/>
      <w:bookmarkStart w:id="140" w:name="_Toc5402"/>
      <w:bookmarkStart w:id="141" w:name="_Toc144974504"/>
      <w:bookmarkStart w:id="142" w:name="_Toc8055"/>
      <w:bookmarkStart w:id="143" w:name="_Toc2622"/>
      <w:bookmarkStart w:id="144" w:name="_Toc20145"/>
      <w:bookmarkStart w:id="145" w:name="_Toc466298098"/>
      <w:bookmarkStart w:id="146" w:name="_Toc318450681"/>
      <w:bookmarkStart w:id="147" w:name="_Toc8598"/>
      <w:bookmarkStart w:id="148" w:name="_Toc6014"/>
      <w:bookmarkStart w:id="149" w:name="_Toc22136"/>
      <w:bookmarkStart w:id="150" w:name="_Toc24601"/>
      <w:bookmarkStart w:id="151" w:name="_Toc455080115"/>
      <w:bookmarkStart w:id="152" w:name="_Toc152045536"/>
      <w:bookmarkStart w:id="153" w:name="_Toc32053"/>
      <w:bookmarkStart w:id="154" w:name="_Toc152042312"/>
      <w:bookmarkStart w:id="155" w:name="_Toc1879"/>
      <w:bookmarkStart w:id="156" w:name="_Toc22800"/>
    </w:p>
    <w:p w14:paraId="178B35AF">
      <w:pPr>
        <w:wordWrap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rPr>
        <w:t xml:space="preserve"> 保密</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12239455">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参与磋商活动的各方应对竞争性磋商文件和响应文件中的商业和技术等秘密保密，违者应对由此造成的后果承担法律责任。</w:t>
      </w:r>
      <w:bookmarkStart w:id="157" w:name="_Toc144974505"/>
      <w:bookmarkStart w:id="158" w:name="_Toc152045537"/>
      <w:bookmarkStart w:id="159" w:name="_Toc3628"/>
      <w:bookmarkStart w:id="160" w:name="_Toc455867776"/>
      <w:bookmarkStart w:id="161" w:name="_Toc7031"/>
      <w:bookmarkStart w:id="162" w:name="_Toc15673"/>
      <w:bookmarkStart w:id="163" w:name="_Toc6615"/>
      <w:bookmarkStart w:id="164" w:name="_Toc30583"/>
      <w:bookmarkStart w:id="165" w:name="_Toc490667835"/>
      <w:bookmarkStart w:id="166" w:name="_Toc318450682"/>
      <w:bookmarkStart w:id="167" w:name="_Toc152042313"/>
      <w:bookmarkStart w:id="168" w:name="_Toc21089"/>
      <w:bookmarkStart w:id="169" w:name="_Toc25517"/>
      <w:bookmarkStart w:id="170" w:name="_Toc466298099"/>
      <w:bookmarkStart w:id="171" w:name="_Toc22226"/>
      <w:bookmarkStart w:id="172" w:name="_Toc455080116"/>
      <w:bookmarkStart w:id="173" w:name="_Toc13976"/>
      <w:bookmarkStart w:id="174" w:name="_Toc30747"/>
    </w:p>
    <w:p w14:paraId="3DD5574D">
      <w:pPr>
        <w:wordWrap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 xml:space="preserve"> 语言</w:t>
      </w:r>
      <w:bookmarkEnd w:id="157"/>
      <w:r>
        <w:rPr>
          <w:rFonts w:hint="eastAsia" w:asciiTheme="minorEastAsia" w:hAnsiTheme="minorEastAsia" w:eastAsiaTheme="minorEastAsia" w:cstheme="minorEastAsia"/>
          <w:b/>
          <w:sz w:val="24"/>
          <w:szCs w:val="24"/>
        </w:rPr>
        <w:t>文字</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1C8C9C0E">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除专用术语外，与磋商有关的语言均使用中文。必要时专用术语应附有中文注释，对不同文字文本响应文件的解释发生异议的，以中文文本为准。</w:t>
      </w:r>
      <w:bookmarkStart w:id="175" w:name="_Toc21543"/>
      <w:bookmarkStart w:id="176" w:name="_Toc4501"/>
      <w:bookmarkStart w:id="177" w:name="_Toc152042314"/>
      <w:bookmarkStart w:id="178" w:name="_Toc144974506"/>
      <w:bookmarkStart w:id="179" w:name="_Toc455867777"/>
      <w:bookmarkStart w:id="180" w:name="_Toc24337"/>
      <w:bookmarkStart w:id="181" w:name="_Toc490667836"/>
      <w:bookmarkStart w:id="182" w:name="_Toc18357"/>
      <w:bookmarkStart w:id="183" w:name="_Toc466298100"/>
      <w:bookmarkStart w:id="184" w:name="_Toc22415"/>
      <w:bookmarkStart w:id="185" w:name="_Toc455080117"/>
      <w:bookmarkStart w:id="186" w:name="_Toc4237"/>
      <w:bookmarkStart w:id="187" w:name="_Toc318450683"/>
      <w:bookmarkStart w:id="188" w:name="_Toc9446"/>
      <w:bookmarkStart w:id="189" w:name="_Toc14934"/>
      <w:bookmarkStart w:id="190" w:name="_Toc152045538"/>
      <w:bookmarkStart w:id="191" w:name="_Toc22378"/>
      <w:bookmarkStart w:id="192" w:name="_Toc32507"/>
    </w:p>
    <w:p w14:paraId="317493F8">
      <w:pPr>
        <w:wordWrap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 xml:space="preserve"> 计量单位</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71B5B704">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所有计量均采用中华人民共和国法定计量单位。</w:t>
      </w:r>
      <w:bookmarkStart w:id="193" w:name="_Toc284"/>
      <w:bookmarkStart w:id="194" w:name="_Toc12027"/>
      <w:bookmarkStart w:id="195" w:name="_Toc144974508"/>
      <w:bookmarkStart w:id="196" w:name="_Toc18589"/>
      <w:bookmarkStart w:id="197" w:name="_Toc19685"/>
      <w:bookmarkStart w:id="198" w:name="_Toc27570"/>
      <w:bookmarkStart w:id="199" w:name="_Toc29845"/>
      <w:bookmarkStart w:id="200" w:name="_Toc2508"/>
      <w:bookmarkStart w:id="201" w:name="_Toc338"/>
      <w:bookmarkStart w:id="202" w:name="_Toc152045540"/>
      <w:bookmarkStart w:id="203" w:name="_Toc490667837"/>
      <w:bookmarkStart w:id="204" w:name="_Toc152042316"/>
      <w:bookmarkStart w:id="205" w:name="_Toc455080118"/>
      <w:bookmarkStart w:id="206" w:name="_Toc318450684"/>
      <w:bookmarkStart w:id="207" w:name="_Toc455867778"/>
      <w:bookmarkStart w:id="208" w:name="_Toc466298101"/>
      <w:bookmarkStart w:id="209" w:name="_Toc31195"/>
      <w:bookmarkStart w:id="210" w:name="_Toc13675"/>
      <w:bookmarkStart w:id="211" w:name="_Toc32253"/>
    </w:p>
    <w:p w14:paraId="28B93FC2">
      <w:pPr>
        <w:wordWrap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rPr>
        <w:t xml:space="preserve"> </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hint="eastAsia" w:asciiTheme="minorEastAsia" w:hAnsiTheme="minorEastAsia" w:eastAsiaTheme="minorEastAsia" w:cstheme="minorEastAsia"/>
          <w:b/>
          <w:sz w:val="24"/>
          <w:szCs w:val="24"/>
        </w:rPr>
        <w:t>现场踏勘</w:t>
      </w:r>
      <w:bookmarkEnd w:id="211"/>
      <w:bookmarkStart w:id="212" w:name="_Toc3853"/>
      <w:bookmarkStart w:id="213" w:name="_Toc455867779"/>
      <w:bookmarkStart w:id="214" w:name="_Toc144974509"/>
      <w:bookmarkStart w:id="215" w:name="_Toc31725"/>
      <w:bookmarkStart w:id="216" w:name="_Toc11744"/>
      <w:bookmarkStart w:id="217" w:name="_Toc466298102"/>
      <w:bookmarkStart w:id="218" w:name="_Toc490667838"/>
      <w:bookmarkStart w:id="219" w:name="_Toc455080119"/>
      <w:bookmarkStart w:id="220" w:name="_Toc23678"/>
      <w:bookmarkStart w:id="221" w:name="_Toc152042317"/>
      <w:bookmarkStart w:id="222" w:name="_Toc28719"/>
      <w:bookmarkStart w:id="223" w:name="_Toc23635"/>
      <w:bookmarkStart w:id="224" w:name="_Toc32757"/>
      <w:bookmarkStart w:id="225" w:name="_Toc9182"/>
      <w:bookmarkStart w:id="226" w:name="_Toc152045541"/>
      <w:bookmarkStart w:id="227" w:name="_Toc24262"/>
      <w:bookmarkStart w:id="228" w:name="_Toc25208"/>
      <w:bookmarkStart w:id="229" w:name="_Toc318450685"/>
    </w:p>
    <w:p w14:paraId="593CE0B2">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不组织。</w:t>
      </w:r>
    </w:p>
    <w:p w14:paraId="510F125C">
      <w:pPr>
        <w:wordWrap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w:t>
      </w:r>
      <w:r>
        <w:rPr>
          <w:rFonts w:hint="eastAsia" w:asciiTheme="minorEastAsia" w:hAnsiTheme="minorEastAsia" w:eastAsiaTheme="minorEastAsia" w:cstheme="minorEastAsia"/>
          <w:b/>
          <w:sz w:val="24"/>
          <w:szCs w:val="24"/>
          <w:lang w:val="en-US" w:eastAsia="zh-CN"/>
        </w:rPr>
        <w:t>0</w:t>
      </w:r>
      <w:r>
        <w:rPr>
          <w:rFonts w:hint="eastAsia" w:asciiTheme="minorEastAsia" w:hAnsiTheme="minorEastAsia" w:eastAsiaTheme="minorEastAsia" w:cstheme="minorEastAsia"/>
          <w:b/>
          <w:sz w:val="24"/>
          <w:szCs w:val="24"/>
        </w:rPr>
        <w:t xml:space="preserve"> 分包</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2EA4ED38">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是否允许分包：见供应商须知前附表。</w:t>
      </w:r>
      <w:bookmarkStart w:id="230" w:name="_Toc152045542"/>
      <w:bookmarkStart w:id="231" w:name="_Toc455080120"/>
      <w:bookmarkStart w:id="232" w:name="_Toc144974510"/>
      <w:bookmarkStart w:id="233" w:name="_Toc152042318"/>
    </w:p>
    <w:bookmarkEnd w:id="230"/>
    <w:bookmarkEnd w:id="231"/>
    <w:bookmarkEnd w:id="232"/>
    <w:bookmarkEnd w:id="233"/>
    <w:p w14:paraId="3BBF0896">
      <w:pPr>
        <w:wordWrap w:val="0"/>
        <w:spacing w:line="360" w:lineRule="auto"/>
        <w:ind w:firstLine="482" w:firstLineChars="200"/>
        <w:rPr>
          <w:rFonts w:hint="eastAsia" w:asciiTheme="minorEastAsia" w:hAnsiTheme="minorEastAsia" w:eastAsiaTheme="minorEastAsia" w:cstheme="minorEastAsia"/>
          <w:b/>
          <w:sz w:val="24"/>
          <w:szCs w:val="24"/>
        </w:rPr>
      </w:pPr>
      <w:bookmarkStart w:id="234" w:name="_Toc2792"/>
      <w:bookmarkStart w:id="235" w:name="_Toc24635"/>
      <w:r>
        <w:rPr>
          <w:rFonts w:hint="eastAsia" w:asciiTheme="minorEastAsia" w:hAnsiTheme="minorEastAsia" w:eastAsiaTheme="minorEastAsia" w:cstheme="minorEastAsia"/>
          <w:b/>
          <w:sz w:val="24"/>
          <w:szCs w:val="24"/>
        </w:rPr>
        <w:t>2.竞争性磋商文件</w:t>
      </w:r>
      <w:bookmarkEnd w:id="234"/>
      <w:bookmarkEnd w:id="235"/>
      <w:bookmarkStart w:id="236" w:name="_Toc9780"/>
      <w:bookmarkStart w:id="237" w:name="_Toc23649"/>
      <w:bookmarkStart w:id="238" w:name="_Toc1008"/>
      <w:bookmarkStart w:id="239" w:name="_Toc152042319"/>
      <w:bookmarkStart w:id="240" w:name="_Toc318450687"/>
      <w:bookmarkStart w:id="241" w:name="_Toc11567"/>
      <w:bookmarkStart w:id="242" w:name="_Toc32711"/>
      <w:bookmarkStart w:id="243" w:name="_Toc455080121"/>
      <w:bookmarkStart w:id="244" w:name="_Toc152045543"/>
      <w:bookmarkStart w:id="245" w:name="_Toc490667840"/>
      <w:bookmarkStart w:id="246" w:name="_Toc3982"/>
      <w:bookmarkStart w:id="247" w:name="_Toc11599"/>
      <w:bookmarkStart w:id="248" w:name="_Toc12640"/>
      <w:bookmarkStart w:id="249" w:name="_Toc466298104"/>
      <w:bookmarkStart w:id="250" w:name="_Toc7999"/>
      <w:bookmarkStart w:id="251" w:name="_Toc12004"/>
      <w:bookmarkStart w:id="252" w:name="_Toc455867781"/>
      <w:bookmarkStart w:id="253" w:name="_Toc25982"/>
      <w:bookmarkStart w:id="254" w:name="_Toc144974511"/>
    </w:p>
    <w:p w14:paraId="7FE38F31">
      <w:pPr>
        <w:wordWrap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 竞争性磋商文件的组成</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41BAA03A">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本竞争性磋商文件包括：</w:t>
      </w:r>
    </w:p>
    <w:p w14:paraId="3771D6F7">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（1）竞争性磋商公告；</w:t>
      </w:r>
    </w:p>
    <w:p w14:paraId="73C92F53">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（2）供应商须知；</w:t>
      </w:r>
    </w:p>
    <w:p w14:paraId="3306CBF5">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评标</w:t>
      </w:r>
      <w:r>
        <w:rPr>
          <w:rFonts w:hint="eastAsia" w:asciiTheme="minorEastAsia" w:hAnsiTheme="minorEastAsia" w:eastAsiaTheme="minorEastAsia" w:cstheme="minorEastAsia"/>
          <w:sz w:val="24"/>
          <w:szCs w:val="24"/>
        </w:rPr>
        <w:t>办法（综合评分法）；</w:t>
      </w:r>
    </w:p>
    <w:p w14:paraId="14BE9028">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（4）河南省政府采购合同（参考文本）；</w:t>
      </w:r>
    </w:p>
    <w:p w14:paraId="74624268">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（5）采购要求；</w:t>
      </w:r>
    </w:p>
    <w:p w14:paraId="52A8B379">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（6）竞争性磋商响应文件格式。</w:t>
      </w:r>
    </w:p>
    <w:p w14:paraId="3633AC6E">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根据本章第2.2款和第2.3款对竞争性磋商文件所作的澄清、修改，构成竞争性磋商文件的组成部分。</w:t>
      </w:r>
      <w:bookmarkStart w:id="255" w:name="_Toc6508"/>
      <w:bookmarkStart w:id="256" w:name="_Toc15658"/>
      <w:bookmarkStart w:id="257" w:name="_Toc144974514"/>
      <w:bookmarkStart w:id="258" w:name="_Toc152045546"/>
      <w:bookmarkStart w:id="259" w:name="_Toc152042322"/>
      <w:bookmarkStart w:id="260" w:name="_Toc455080124"/>
    </w:p>
    <w:p w14:paraId="078D1F0F">
      <w:pPr>
        <w:wordWrap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2.2 竞争性磋商文件的澄清</w:t>
      </w:r>
      <w:bookmarkEnd w:id="255"/>
      <w:bookmarkEnd w:id="256"/>
    </w:p>
    <w:p w14:paraId="395A7B2F">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 供应商应仔细阅读和检查竞争性磋商文件的全部内容。如发现缺页或附件不全，应及时向采购人提出，以便补齐。如有疑问，应在供应商须知前附表规定的时间前以书面形式（包括信函、电报、传真等可以有形表现所载内容的形式，下同），要求采购人对竞争性磋商文件予以澄清。</w:t>
      </w:r>
    </w:p>
    <w:p w14:paraId="52DFA31E">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 竞争性磋商文件的澄清将在供应商须知前附表规定的响应文件递交截止时间5天前在信阳市公共资源交易系统“变更公告”或“答疑文件”将澄清内容予以发布，但不指明澄清问题的来源。如果澄清的内容可能影响响应文件编制且发出的时间距响应文件递交截止时间不足5天，相应延长投标截止时间。</w:t>
      </w:r>
    </w:p>
    <w:p w14:paraId="6D634F47">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2.2.3 供应商应在响应文件递交截止时间前及时查看澄清内容，因供应商未及时查看而造成的后果自负。</w:t>
      </w:r>
      <w:bookmarkStart w:id="261" w:name="_Toc8263"/>
      <w:bookmarkStart w:id="262" w:name="_Toc9923"/>
    </w:p>
    <w:p w14:paraId="194B5558">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 竞争性磋商文件的修改</w:t>
      </w:r>
      <w:bookmarkEnd w:id="261"/>
      <w:bookmarkEnd w:id="262"/>
    </w:p>
    <w:p w14:paraId="18908FD9">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 在响应文件递交截止时间5天前，采购人可以修改竞争性磋商文件。如有修改，应在信阳市公共资源交易系统“变更公告”或“答疑文件”将修改内容予以发布。如果修改的内容可能影响响应文件编制且发出的时间距响应文件递交截止时间不足5天，相应延长响应文件递交截止时间。</w:t>
      </w:r>
    </w:p>
    <w:p w14:paraId="522B0E10">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 当竞争性磋商文件的澄清、修改、补充等在同一内容的表述上不一致时，以最后在信阳市公共资源交易系统发出的文件为准。</w:t>
      </w:r>
    </w:p>
    <w:p w14:paraId="50A7ECE6">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2.3.3 供应商应在响应文件递交截止时间前及时查看修改内容，因供应商未及时查看而造成的后果自负。</w:t>
      </w:r>
    </w:p>
    <w:p w14:paraId="6FA00FF3">
      <w:pPr>
        <w:wordWrap w:val="0"/>
        <w:spacing w:line="360" w:lineRule="auto"/>
        <w:ind w:firstLine="482" w:firstLineChars="200"/>
        <w:rPr>
          <w:rFonts w:hint="eastAsia" w:asciiTheme="minorEastAsia" w:hAnsiTheme="minorEastAsia" w:eastAsiaTheme="minorEastAsia" w:cstheme="minorEastAsia"/>
          <w:b/>
          <w:sz w:val="24"/>
          <w:szCs w:val="24"/>
        </w:rPr>
      </w:pPr>
      <w:bookmarkStart w:id="263" w:name="_Toc26311"/>
      <w:bookmarkStart w:id="264" w:name="_Toc20484"/>
      <w:bookmarkStart w:id="265" w:name="_Toc4666"/>
      <w:r>
        <w:rPr>
          <w:rFonts w:hint="eastAsia" w:asciiTheme="minorEastAsia" w:hAnsiTheme="minorEastAsia" w:eastAsiaTheme="minorEastAsia" w:cstheme="minorEastAsia"/>
          <w:b/>
          <w:sz w:val="24"/>
          <w:szCs w:val="24"/>
        </w:rPr>
        <w:t xml:space="preserve">3. </w:t>
      </w:r>
      <w:bookmarkEnd w:id="257"/>
      <w:bookmarkEnd w:id="258"/>
      <w:bookmarkEnd w:id="259"/>
      <w:r>
        <w:rPr>
          <w:rFonts w:hint="eastAsia" w:asciiTheme="minorEastAsia" w:hAnsiTheme="minorEastAsia" w:eastAsiaTheme="minorEastAsia" w:cstheme="minorEastAsia"/>
          <w:b/>
          <w:sz w:val="24"/>
          <w:szCs w:val="24"/>
        </w:rPr>
        <w:t>响应文件</w:t>
      </w:r>
      <w:bookmarkEnd w:id="260"/>
      <w:bookmarkEnd w:id="263"/>
      <w:bookmarkEnd w:id="264"/>
      <w:bookmarkEnd w:id="265"/>
      <w:bookmarkStart w:id="266" w:name="_Toc16198"/>
      <w:bookmarkStart w:id="267" w:name="_Toc10096"/>
      <w:bookmarkStart w:id="268" w:name="_Toc152042323"/>
      <w:bookmarkStart w:id="269" w:name="_Toc1102"/>
      <w:bookmarkStart w:id="270" w:name="_Toc9273"/>
      <w:bookmarkStart w:id="271" w:name="_Toc15810"/>
      <w:bookmarkStart w:id="272" w:name="_Toc24440"/>
      <w:bookmarkStart w:id="273" w:name="_Toc490667844"/>
      <w:bookmarkStart w:id="274" w:name="_Toc144974515"/>
      <w:bookmarkStart w:id="275" w:name="_Toc152045547"/>
      <w:bookmarkStart w:id="276" w:name="_Toc27373"/>
      <w:bookmarkStart w:id="277" w:name="_Toc318450691"/>
    </w:p>
    <w:p w14:paraId="0F01DCA7">
      <w:pPr>
        <w:wordWrap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3.1 响应文件的组成</w:t>
      </w:r>
      <w:bookmarkEnd w:id="266"/>
      <w:bookmarkEnd w:id="267"/>
      <w:bookmarkEnd w:id="268"/>
      <w:bookmarkEnd w:id="269"/>
      <w:bookmarkEnd w:id="270"/>
      <w:bookmarkEnd w:id="271"/>
      <w:bookmarkEnd w:id="272"/>
      <w:bookmarkEnd w:id="273"/>
      <w:bookmarkEnd w:id="274"/>
      <w:bookmarkEnd w:id="275"/>
      <w:bookmarkEnd w:id="276"/>
      <w:bookmarkEnd w:id="277"/>
    </w:p>
    <w:p w14:paraId="79489E24">
      <w:pPr>
        <w:wordWrap w:val="0"/>
        <w:spacing w:line="360" w:lineRule="auto"/>
        <w:ind w:firstLine="480" w:firstLineChars="200"/>
        <w:rPr>
          <w:rFonts w:hint="eastAsia" w:asciiTheme="minorEastAsia" w:hAnsiTheme="minorEastAsia" w:eastAsiaTheme="minorEastAsia" w:cstheme="minorEastAsia"/>
          <w:sz w:val="24"/>
          <w:szCs w:val="24"/>
          <w:highlight w:val="none"/>
        </w:rPr>
      </w:pPr>
      <w:bookmarkStart w:id="278" w:name="_Toc899"/>
      <w:bookmarkStart w:id="279" w:name="_Toc152042324"/>
      <w:bookmarkStart w:id="280" w:name="_Toc144974516"/>
      <w:bookmarkStart w:id="281" w:name="_Toc318450692"/>
      <w:bookmarkStart w:id="282" w:name="_Toc26291"/>
      <w:bookmarkStart w:id="283" w:name="_Toc152045548"/>
      <w:bookmarkStart w:id="284" w:name="_Toc279156232"/>
      <w:r>
        <w:rPr>
          <w:rFonts w:hint="eastAsia" w:asciiTheme="minorEastAsia" w:hAnsiTheme="minorEastAsia" w:eastAsiaTheme="minorEastAsia" w:cstheme="minorEastAsia"/>
          <w:sz w:val="24"/>
          <w:szCs w:val="24"/>
          <w:highlight w:val="none"/>
        </w:rPr>
        <w:t>响应文件应包括下列内容：</w:t>
      </w:r>
    </w:p>
    <w:p w14:paraId="47EC8F38">
      <w:pPr>
        <w:wordWrap w:val="0"/>
        <w:spacing w:line="360" w:lineRule="auto"/>
        <w:ind w:firstLine="480" w:firstLineChars="200"/>
        <w:rPr>
          <w:rFonts w:hint="eastAsia" w:asciiTheme="minorEastAsia" w:hAnsiTheme="minorEastAsia" w:eastAsiaTheme="minorEastAsia" w:cstheme="minorEastAsia"/>
          <w:b w:val="0"/>
          <w:bCs/>
          <w:sz w:val="24"/>
          <w:szCs w:val="24"/>
          <w:highlight w:val="none"/>
        </w:rPr>
      </w:pPr>
      <w:bookmarkStart w:id="285" w:name="_Toc4592"/>
      <w:r>
        <w:rPr>
          <w:rFonts w:hint="eastAsia" w:asciiTheme="minorEastAsia" w:hAnsiTheme="minorEastAsia" w:eastAsiaTheme="minorEastAsia" w:cstheme="minorEastAsia"/>
          <w:b w:val="0"/>
          <w:bCs/>
          <w:sz w:val="24"/>
          <w:szCs w:val="24"/>
          <w:highlight w:val="none"/>
        </w:rPr>
        <w:t>一、响应函及响应函附录</w:t>
      </w:r>
    </w:p>
    <w:p w14:paraId="439EF5BF">
      <w:pPr>
        <w:wordWrap w:val="0"/>
        <w:spacing w:line="360" w:lineRule="auto"/>
        <w:ind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二、分项报价表</w:t>
      </w:r>
    </w:p>
    <w:p w14:paraId="2D34A1F9">
      <w:pPr>
        <w:wordWrap w:val="0"/>
        <w:spacing w:line="360" w:lineRule="auto"/>
        <w:ind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三、法定代表人（单位负责人）身份证明</w:t>
      </w:r>
    </w:p>
    <w:p w14:paraId="036129C7">
      <w:pPr>
        <w:wordWrap w:val="0"/>
        <w:spacing w:line="360" w:lineRule="auto"/>
        <w:ind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授权委托书</w:t>
      </w:r>
    </w:p>
    <w:p w14:paraId="28F113D2">
      <w:pPr>
        <w:wordWrap w:val="0"/>
        <w:spacing w:line="360" w:lineRule="auto"/>
        <w:ind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四、商务条款偏离表</w:t>
      </w:r>
    </w:p>
    <w:p w14:paraId="39E1C856">
      <w:pPr>
        <w:wordWrap w:val="0"/>
        <w:spacing w:line="360" w:lineRule="auto"/>
        <w:ind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五</w:t>
      </w:r>
      <w:r>
        <w:rPr>
          <w:rFonts w:hint="eastAsia" w:asciiTheme="minorEastAsia" w:hAnsiTheme="minorEastAsia" w:eastAsiaTheme="minorEastAsia" w:cstheme="minorEastAsia"/>
          <w:b w:val="0"/>
          <w:bCs/>
          <w:sz w:val="24"/>
          <w:szCs w:val="24"/>
          <w:highlight w:val="none"/>
        </w:rPr>
        <w:t>、资格证明材料</w:t>
      </w:r>
    </w:p>
    <w:p w14:paraId="514013F6">
      <w:pPr>
        <w:wordWrap w:val="0"/>
        <w:spacing w:line="360" w:lineRule="auto"/>
        <w:ind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六</w:t>
      </w:r>
      <w:r>
        <w:rPr>
          <w:rFonts w:hint="eastAsia" w:asciiTheme="minorEastAsia" w:hAnsiTheme="minorEastAsia" w:eastAsiaTheme="minorEastAsia" w:cstheme="minorEastAsia"/>
          <w:b w:val="0"/>
          <w:bCs/>
          <w:sz w:val="24"/>
          <w:szCs w:val="24"/>
          <w:highlight w:val="none"/>
        </w:rPr>
        <w:t>、技术部分</w:t>
      </w:r>
    </w:p>
    <w:p w14:paraId="3DFDBBB7">
      <w:pPr>
        <w:wordWrap w:val="0"/>
        <w:spacing w:line="360" w:lineRule="auto"/>
        <w:ind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七</w:t>
      </w:r>
      <w:r>
        <w:rPr>
          <w:rFonts w:hint="eastAsia" w:asciiTheme="minorEastAsia" w:hAnsiTheme="minorEastAsia" w:eastAsiaTheme="minorEastAsia" w:cstheme="minorEastAsia"/>
          <w:b w:val="0"/>
          <w:bCs/>
          <w:sz w:val="24"/>
          <w:szCs w:val="24"/>
          <w:highlight w:val="none"/>
        </w:rPr>
        <w:t>、其他材料</w:t>
      </w:r>
    </w:p>
    <w:p w14:paraId="68978149">
      <w:pPr>
        <w:wordWrap w:val="0"/>
        <w:spacing w:line="360" w:lineRule="auto"/>
        <w:ind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八</w:t>
      </w:r>
      <w:r>
        <w:rPr>
          <w:rFonts w:hint="eastAsia" w:asciiTheme="minorEastAsia" w:hAnsiTheme="minorEastAsia" w:eastAsiaTheme="minorEastAsia" w:cstheme="minorEastAsia"/>
          <w:b w:val="0"/>
          <w:bCs/>
          <w:sz w:val="24"/>
          <w:szCs w:val="24"/>
          <w:highlight w:val="none"/>
        </w:rPr>
        <w:t>、供应商认为应该提交的其他材料</w:t>
      </w:r>
    </w:p>
    <w:p w14:paraId="3EA5991F">
      <w:pPr>
        <w:wordWrap w:val="0"/>
        <w:spacing w:line="360" w:lineRule="auto"/>
        <w:ind w:firstLine="480" w:firstLineChars="20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lang w:val="en-US" w:eastAsia="zh-CN"/>
        </w:rPr>
        <w:t>九</w:t>
      </w:r>
      <w:r>
        <w:rPr>
          <w:rFonts w:hint="eastAsia" w:asciiTheme="minorEastAsia" w:hAnsiTheme="minorEastAsia" w:eastAsiaTheme="minorEastAsia" w:cstheme="minorEastAsia"/>
          <w:b w:val="0"/>
          <w:bCs/>
          <w:sz w:val="24"/>
          <w:szCs w:val="24"/>
          <w:highlight w:val="none"/>
        </w:rPr>
        <w:t>、关于政府采购政策（有则附，没有不附）</w:t>
      </w:r>
    </w:p>
    <w:p w14:paraId="5BE4854C">
      <w:pPr>
        <w:wordWrap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 磋商报价</w:t>
      </w:r>
      <w:bookmarkEnd w:id="278"/>
      <w:bookmarkEnd w:id="279"/>
      <w:bookmarkEnd w:id="280"/>
      <w:bookmarkEnd w:id="281"/>
      <w:bookmarkEnd w:id="282"/>
      <w:bookmarkEnd w:id="283"/>
      <w:bookmarkEnd w:id="284"/>
      <w:bookmarkEnd w:id="285"/>
    </w:p>
    <w:p w14:paraId="4DFC971A">
      <w:pPr>
        <w:wordWrap w:val="0"/>
        <w:spacing w:line="360" w:lineRule="auto"/>
        <w:ind w:firstLine="480" w:firstLineChars="200"/>
        <w:rPr>
          <w:rFonts w:hint="eastAsia" w:asciiTheme="minorEastAsia" w:hAnsiTheme="minorEastAsia" w:eastAsiaTheme="minorEastAsia" w:cstheme="minorEastAsia"/>
          <w:sz w:val="24"/>
          <w:szCs w:val="24"/>
        </w:rPr>
      </w:pPr>
      <w:bookmarkStart w:id="286" w:name="_Toc12402"/>
      <w:bookmarkStart w:id="287" w:name="_Toc21600"/>
      <w:bookmarkStart w:id="288" w:name="_Toc3624"/>
      <w:bookmarkStart w:id="289" w:name="_Toc318450693"/>
      <w:bookmarkStart w:id="290" w:name="_Toc152042325"/>
      <w:bookmarkStart w:id="291" w:name="_Toc152045549"/>
      <w:bookmarkStart w:id="292" w:name="_Toc455080126"/>
      <w:bookmarkStart w:id="293" w:name="_Toc21680"/>
      <w:bookmarkStart w:id="294" w:name="_Toc144974517"/>
      <w:bookmarkStart w:id="295" w:name="_Toc29133"/>
      <w:bookmarkStart w:id="296" w:name="_Toc466298109"/>
      <w:bookmarkStart w:id="297" w:name="_Toc7910"/>
      <w:bookmarkStart w:id="298" w:name="_Toc25387"/>
      <w:bookmarkStart w:id="299" w:name="_Toc11968"/>
      <w:bookmarkStart w:id="300" w:name="_Toc6105"/>
      <w:bookmarkStart w:id="301" w:name="_Toc490667846"/>
      <w:bookmarkStart w:id="302" w:name="_Toc455867786"/>
      <w:bookmarkStart w:id="303" w:name="_Toc7105"/>
      <w:bookmarkStart w:id="304" w:name="_Toc2425"/>
      <w:r>
        <w:rPr>
          <w:rFonts w:hint="eastAsia" w:asciiTheme="minorEastAsia" w:hAnsiTheme="minorEastAsia" w:eastAsiaTheme="minorEastAsia" w:cstheme="minorEastAsia"/>
          <w:sz w:val="24"/>
          <w:szCs w:val="24"/>
        </w:rPr>
        <w:t xml:space="preserve">3.2.1 </w:t>
      </w:r>
      <w:bookmarkEnd w:id="286"/>
      <w:r>
        <w:rPr>
          <w:rFonts w:hint="eastAsia" w:asciiTheme="minorEastAsia" w:hAnsiTheme="minorEastAsia" w:eastAsiaTheme="minorEastAsia" w:cstheme="minorEastAsia"/>
          <w:sz w:val="24"/>
          <w:szCs w:val="24"/>
        </w:rPr>
        <w:t>本项目的磋商报价应按照磋商文件、补充通知、答疑纪要、现场情况、承包范围，并充分考虑服务期间各类风险和国家政策性调整等风险系数，由各响应人根据自身情况，在合理范围内，自主考虑、优惠报价</w:t>
      </w:r>
      <w:r>
        <w:rPr>
          <w:rFonts w:hint="eastAsia" w:asciiTheme="minorEastAsia" w:hAnsiTheme="minorEastAsia" w:eastAsiaTheme="minorEastAsia" w:cstheme="minorEastAsia"/>
          <w:sz w:val="24"/>
          <w:szCs w:val="24"/>
          <w:lang w:val="en-US" w:eastAsia="zh-CN"/>
        </w:rPr>
        <w:t>以及报价须含所有经费和招标代理费等费用</w:t>
      </w:r>
      <w:r>
        <w:rPr>
          <w:rFonts w:hint="eastAsia" w:asciiTheme="minorEastAsia" w:hAnsiTheme="minorEastAsia" w:eastAsiaTheme="minorEastAsia" w:cstheme="minorEastAsia"/>
          <w:sz w:val="24"/>
          <w:szCs w:val="24"/>
        </w:rPr>
        <w:t>，但不得低于企业成本，分二次报价：第一次报价必须按照磋商文件的报价格式填报，第二次报价在磋商中填报，第二次报价（不得高于一次报价）即为最终报价。</w:t>
      </w:r>
    </w:p>
    <w:p w14:paraId="3250761A">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 供应商应充分了解该项目的总体情况以及影响磋商报价的其它要素，考虑服务期间的价格风险因素，成交价在合同实施期内不得调整，同时也不因市场价格变动而调整。</w:t>
      </w:r>
    </w:p>
    <w:p w14:paraId="28381CD3">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 响应报价表中的大写金额和小写金额不一致的，以大写金额为准。</w:t>
      </w:r>
    </w:p>
    <w:p w14:paraId="096CB8F2">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3.2.4 供应商的报价明显低于其他通过符合性审查供应商的报价，有可能影响服务质量或者不能诚信履约的，磋商委员会应当要求其在磋商现场（或电子交易系统）合理的时间内提供书面说明（或电子澄清说明文件），必要时提交相关证明材料；供应商不能证明其报价合理性的，磋商委员会应当将其作为无效投标处理。</w:t>
      </w:r>
    </w:p>
    <w:p w14:paraId="172BD7B0">
      <w:pPr>
        <w:wordWrap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注：磋商价格为含税价，供应商应充分了解该项目的总体情况以及影响磋商报价的其它要素，考虑</w:t>
      </w:r>
      <w:r>
        <w:rPr>
          <w:rFonts w:hint="eastAsia" w:asciiTheme="minorEastAsia" w:hAnsiTheme="minorEastAsia" w:eastAsiaTheme="minorEastAsia" w:cstheme="minorEastAsia"/>
          <w:b/>
          <w:sz w:val="24"/>
          <w:szCs w:val="24"/>
          <w:lang w:val="en-US" w:eastAsia="zh-CN"/>
        </w:rPr>
        <w:t>项目周期内</w:t>
      </w:r>
      <w:r>
        <w:rPr>
          <w:rFonts w:hint="eastAsia" w:asciiTheme="minorEastAsia" w:hAnsiTheme="minorEastAsia" w:eastAsiaTheme="minorEastAsia" w:cstheme="minorEastAsia"/>
          <w:b/>
          <w:sz w:val="24"/>
          <w:szCs w:val="24"/>
        </w:rPr>
        <w:t>的价格风险因素，成交价在合同实施期内不得调整，同时也不因市场价格变动而调整。</w:t>
      </w:r>
    </w:p>
    <w:p w14:paraId="300F6102">
      <w:pPr>
        <w:wordWrap w:val="0"/>
        <w:spacing w:line="360" w:lineRule="auto"/>
        <w:ind w:firstLine="482" w:firstLineChars="200"/>
        <w:rPr>
          <w:rFonts w:hint="eastAsia" w:asciiTheme="minorEastAsia" w:hAnsiTheme="minorEastAsia" w:eastAsiaTheme="minorEastAsia" w:cstheme="minorEastAsia"/>
          <w:b/>
          <w:sz w:val="24"/>
          <w:szCs w:val="24"/>
        </w:rPr>
      </w:pPr>
      <w:bookmarkStart w:id="305" w:name="_Toc31126"/>
      <w:r>
        <w:rPr>
          <w:rFonts w:hint="eastAsia" w:asciiTheme="minorEastAsia" w:hAnsiTheme="minorEastAsia" w:eastAsiaTheme="minorEastAsia" w:cstheme="minorEastAsia"/>
          <w:b/>
          <w:sz w:val="24"/>
          <w:szCs w:val="24"/>
        </w:rPr>
        <w:t>3.3 磋商有效期</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0FC36316">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在供应商须知前附表规定的磋商有效期内，供应商不得要求撤销或修改其响应文件。</w:t>
      </w:r>
    </w:p>
    <w:p w14:paraId="6E09575C">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3.3.2 出现特殊情况需要延长磋商有效期的，采购人以书面形式通知所有供应商延长磋商有效期。供应商同意延长的，但不得要求或被允许修改或撤销其响应文件；供应商拒绝延长的，其响应文件失效。</w:t>
      </w:r>
    </w:p>
    <w:p w14:paraId="7962DC9A">
      <w:pPr>
        <w:wordWrap w:val="0"/>
        <w:spacing w:line="360" w:lineRule="auto"/>
        <w:ind w:firstLine="482" w:firstLineChars="200"/>
        <w:rPr>
          <w:rFonts w:hint="eastAsia" w:asciiTheme="minorEastAsia" w:hAnsiTheme="minorEastAsia" w:eastAsiaTheme="minorEastAsia" w:cstheme="minorEastAsia"/>
          <w:sz w:val="24"/>
          <w:szCs w:val="24"/>
        </w:rPr>
      </w:pPr>
      <w:bookmarkStart w:id="306" w:name="_Toc22634"/>
      <w:bookmarkStart w:id="307" w:name="_Toc10370"/>
      <w:bookmarkStart w:id="308" w:name="_Toc4165"/>
      <w:bookmarkStart w:id="309" w:name="_Toc7973"/>
      <w:bookmarkStart w:id="310" w:name="_Toc7057"/>
      <w:bookmarkStart w:id="311" w:name="_Toc318450694"/>
      <w:bookmarkStart w:id="312" w:name="_Toc8406"/>
      <w:bookmarkStart w:id="313" w:name="_Toc455867787"/>
      <w:bookmarkStart w:id="314" w:name="_Toc30697"/>
      <w:bookmarkStart w:id="315" w:name="_Toc144974518"/>
      <w:bookmarkStart w:id="316" w:name="_Toc152042326"/>
      <w:bookmarkStart w:id="317" w:name="_Toc2505"/>
      <w:bookmarkStart w:id="318" w:name="_Toc490667847"/>
      <w:bookmarkStart w:id="319" w:name="_Toc152045550"/>
      <w:bookmarkStart w:id="320" w:name="_Toc466298110"/>
      <w:bookmarkStart w:id="321" w:name="_Toc7618"/>
      <w:bookmarkStart w:id="322" w:name="_Toc455080127"/>
      <w:bookmarkStart w:id="323" w:name="_Toc1907"/>
      <w:bookmarkStart w:id="324" w:name="_Toc13921"/>
      <w:r>
        <w:rPr>
          <w:rFonts w:hint="eastAsia" w:asciiTheme="minorEastAsia" w:hAnsiTheme="minorEastAsia" w:eastAsiaTheme="minorEastAsia" w:cstheme="minorEastAsia"/>
          <w:b/>
          <w:sz w:val="24"/>
          <w:szCs w:val="24"/>
        </w:rPr>
        <w:t>3.4 磋商保证金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Start w:id="325" w:name="_Toc152042328"/>
      <w:bookmarkStart w:id="326" w:name="_Toc318450695"/>
      <w:bookmarkStart w:id="327" w:name="_Toc144974520"/>
      <w:bookmarkStart w:id="328" w:name="_Toc152045552"/>
    </w:p>
    <w:p w14:paraId="677CFAEB">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bookmarkEnd w:id="323"/>
      <w:bookmarkEnd w:id="324"/>
    </w:p>
    <w:p w14:paraId="79F0DA91">
      <w:pPr>
        <w:wordWrap w:val="0"/>
        <w:spacing w:line="360" w:lineRule="auto"/>
        <w:ind w:firstLine="482" w:firstLineChars="200"/>
        <w:rPr>
          <w:rFonts w:hint="eastAsia" w:asciiTheme="minorEastAsia" w:hAnsiTheme="minorEastAsia" w:eastAsiaTheme="minorEastAsia" w:cstheme="minorEastAsia"/>
          <w:b/>
          <w:sz w:val="24"/>
          <w:szCs w:val="24"/>
        </w:rPr>
      </w:pPr>
      <w:bookmarkStart w:id="329" w:name="_Toc22384"/>
      <w:bookmarkStart w:id="330" w:name="_Toc490667848"/>
      <w:bookmarkStart w:id="331" w:name="_Toc20328"/>
      <w:bookmarkStart w:id="332" w:name="_Toc16747"/>
      <w:bookmarkStart w:id="333" w:name="_Toc27579"/>
      <w:bookmarkStart w:id="334" w:name="_Toc455867788"/>
      <w:bookmarkStart w:id="335" w:name="_Toc11077"/>
      <w:bookmarkStart w:id="336" w:name="_Toc13680"/>
      <w:bookmarkStart w:id="337" w:name="_Toc15547"/>
      <w:bookmarkStart w:id="338" w:name="_Toc455080128"/>
      <w:bookmarkStart w:id="339" w:name="_Toc22527"/>
      <w:bookmarkStart w:id="340" w:name="_Toc27678"/>
      <w:bookmarkStart w:id="341" w:name="_Toc17153"/>
      <w:bookmarkStart w:id="342" w:name="_Toc466298111"/>
      <w:r>
        <w:rPr>
          <w:rFonts w:hint="eastAsia" w:asciiTheme="minorEastAsia" w:hAnsiTheme="minorEastAsia" w:eastAsiaTheme="minorEastAsia" w:cstheme="minorEastAsia"/>
          <w:b/>
          <w:sz w:val="24"/>
          <w:szCs w:val="24"/>
        </w:rPr>
        <w:t>3.5 资格审查资料</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4B631186">
      <w:pPr>
        <w:wordWrap w:val="0"/>
        <w:spacing w:line="360" w:lineRule="auto"/>
        <w:ind w:firstLine="480" w:firstLineChars="200"/>
        <w:rPr>
          <w:rFonts w:hint="eastAsia" w:asciiTheme="minorEastAsia" w:hAnsiTheme="minorEastAsia" w:eastAsiaTheme="minorEastAsia" w:cstheme="minorEastAsia"/>
          <w:sz w:val="24"/>
          <w:szCs w:val="24"/>
        </w:rPr>
      </w:pPr>
      <w:bookmarkStart w:id="343" w:name="_Toc4586"/>
      <w:bookmarkStart w:id="344" w:name="_Toc455080129"/>
      <w:bookmarkStart w:id="345" w:name="_Toc318450696"/>
      <w:bookmarkStart w:id="346" w:name="_Toc3286"/>
      <w:bookmarkStart w:id="347" w:name="_Toc5132"/>
      <w:bookmarkStart w:id="348" w:name="_Toc455867789"/>
      <w:bookmarkStart w:id="349" w:name="_Toc152042329"/>
      <w:bookmarkStart w:id="350" w:name="_Toc19724"/>
      <w:bookmarkStart w:id="351" w:name="_Toc1228"/>
      <w:bookmarkStart w:id="352" w:name="_Toc26258"/>
      <w:bookmarkStart w:id="353" w:name="_Toc144974521"/>
      <w:bookmarkStart w:id="354" w:name="_Toc9015"/>
      <w:bookmarkStart w:id="355" w:name="_Toc11694"/>
      <w:bookmarkStart w:id="356" w:name="_Toc466298112"/>
      <w:bookmarkStart w:id="357" w:name="_Toc152045553"/>
      <w:bookmarkStart w:id="358" w:name="_Toc30442"/>
      <w:bookmarkStart w:id="359" w:name="_Toc18915"/>
      <w:bookmarkStart w:id="360" w:name="_Toc490667849"/>
      <w:r>
        <w:rPr>
          <w:rFonts w:hint="eastAsia" w:asciiTheme="minorEastAsia" w:hAnsiTheme="minorEastAsia" w:eastAsiaTheme="minorEastAsia" w:cstheme="minorEastAsia"/>
          <w:sz w:val="24"/>
          <w:szCs w:val="24"/>
        </w:rPr>
        <w:t>按照第二章供应商须知表“供应商须知前附表”1.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.1要求，提供其他相关材料。</w:t>
      </w:r>
      <w:bookmarkEnd w:id="343"/>
    </w:p>
    <w:p w14:paraId="403526BD">
      <w:pPr>
        <w:wordWrap w:val="0"/>
        <w:spacing w:line="360" w:lineRule="auto"/>
        <w:ind w:firstLine="482" w:firstLineChars="200"/>
        <w:rPr>
          <w:rFonts w:hint="eastAsia" w:asciiTheme="minorEastAsia" w:hAnsiTheme="minorEastAsia" w:eastAsiaTheme="minorEastAsia" w:cstheme="minorEastAsia"/>
          <w:b/>
          <w:sz w:val="24"/>
          <w:szCs w:val="24"/>
        </w:rPr>
      </w:pPr>
      <w:bookmarkStart w:id="361" w:name="_Toc3708"/>
      <w:bookmarkStart w:id="362" w:name="_Toc24859"/>
      <w:r>
        <w:rPr>
          <w:rFonts w:hint="eastAsia" w:asciiTheme="minorEastAsia" w:hAnsiTheme="minorEastAsia" w:eastAsiaTheme="minorEastAsia" w:cstheme="minorEastAsia"/>
          <w:b/>
          <w:sz w:val="24"/>
          <w:szCs w:val="24"/>
        </w:rPr>
        <w:t>3.6 备选方案</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54D3F2F1">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除供应商须知前附表另有规定外，供应商不得递交备选磋商方案。</w:t>
      </w:r>
    </w:p>
    <w:p w14:paraId="7E8079F3">
      <w:pPr>
        <w:wordWrap w:val="0"/>
        <w:spacing w:line="360" w:lineRule="auto"/>
        <w:ind w:firstLine="482" w:firstLineChars="200"/>
        <w:rPr>
          <w:rFonts w:hint="eastAsia" w:asciiTheme="minorEastAsia" w:hAnsiTheme="minorEastAsia" w:eastAsiaTheme="minorEastAsia" w:cstheme="minorEastAsia"/>
          <w:b/>
          <w:sz w:val="24"/>
          <w:szCs w:val="24"/>
        </w:rPr>
      </w:pPr>
      <w:bookmarkStart w:id="363" w:name="_Toc144974522"/>
      <w:bookmarkStart w:id="364" w:name="_Toc18912"/>
      <w:bookmarkStart w:id="365" w:name="_Toc12541"/>
      <w:bookmarkStart w:id="366" w:name="_Toc25620"/>
      <w:bookmarkStart w:id="367" w:name="_Toc6323"/>
      <w:bookmarkStart w:id="368" w:name="_Toc7626"/>
      <w:bookmarkStart w:id="369" w:name="_Toc490667850"/>
      <w:bookmarkStart w:id="370" w:name="_Toc7966"/>
      <w:bookmarkStart w:id="371" w:name="_Toc466298113"/>
      <w:bookmarkStart w:id="372" w:name="_Toc28656"/>
      <w:bookmarkStart w:id="373" w:name="_Toc455867790"/>
      <w:bookmarkStart w:id="374" w:name="_Toc318450697"/>
      <w:bookmarkStart w:id="375" w:name="_Toc17697"/>
      <w:bookmarkStart w:id="376" w:name="_Toc12275"/>
      <w:bookmarkStart w:id="377" w:name="_Toc5516"/>
      <w:bookmarkStart w:id="378" w:name="_Toc455080130"/>
      <w:bookmarkStart w:id="379" w:name="_Toc152042330"/>
      <w:bookmarkStart w:id="380" w:name="_Toc17982"/>
      <w:bookmarkStart w:id="381" w:name="_Toc152045554"/>
      <w:r>
        <w:rPr>
          <w:rFonts w:hint="eastAsia" w:asciiTheme="minorEastAsia" w:hAnsiTheme="minorEastAsia" w:eastAsiaTheme="minorEastAsia" w:cstheme="minorEastAsia"/>
          <w:b/>
          <w:sz w:val="24"/>
          <w:szCs w:val="24"/>
        </w:rPr>
        <w:t>3.7 响应文件的编制</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Start w:id="382" w:name="_Toc455080131"/>
      <w:bookmarkStart w:id="383" w:name="_Toc152045555"/>
      <w:bookmarkStart w:id="384" w:name="_Toc152042331"/>
      <w:bookmarkStart w:id="385" w:name="_Toc144974523"/>
    </w:p>
    <w:p w14:paraId="05B9D386">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3.7.1 响应文件应按第六章“竞争性磋商响应文件格式”进行编写，如有必要，可以增加附页，作为响应文件的组成部分。其中，响应函附录在满足竞争性磋商文件实质性要求的基础上，可以提出比竞争性磋商文件要求更有利于采购人的承诺。</w:t>
      </w:r>
    </w:p>
    <w:p w14:paraId="3984A0EC">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3.7.2 响应文件应当对竞争性磋商文件有关采购内容、</w:t>
      </w:r>
      <w:r>
        <w:rPr>
          <w:rFonts w:hint="eastAsia" w:asciiTheme="minorEastAsia" w:hAnsiTheme="minorEastAsia" w:eastAsiaTheme="minorEastAsia" w:cstheme="minorEastAsia"/>
          <w:sz w:val="24"/>
          <w:szCs w:val="24"/>
          <w:lang w:val="en-US" w:eastAsia="zh-CN"/>
        </w:rPr>
        <w:t>服务期限</w:t>
      </w:r>
      <w:r>
        <w:rPr>
          <w:rFonts w:hint="eastAsia" w:asciiTheme="minorEastAsia" w:hAnsiTheme="minorEastAsia" w:eastAsiaTheme="minorEastAsia" w:cstheme="minorEastAsia"/>
          <w:sz w:val="24"/>
          <w:szCs w:val="24"/>
        </w:rPr>
        <w:t>、质量要求作出响应。</w:t>
      </w:r>
    </w:p>
    <w:p w14:paraId="435592D8">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3.7.3 响应文件应使用信阳市公共资源交易系统响应文件制作专用工具软件编制，竞争性磋商响应文件格式为“**.</w:t>
      </w:r>
      <w:r>
        <w:rPr>
          <w:rFonts w:hint="eastAsia" w:asciiTheme="minorEastAsia" w:hAnsiTheme="minorEastAsia" w:eastAsiaTheme="minorEastAsia" w:cstheme="minorEastAsia"/>
          <w:sz w:val="24"/>
          <w:szCs w:val="24"/>
          <w:lang w:eastAsia="zh-CN"/>
        </w:rPr>
        <w:t>XYTF</w:t>
      </w:r>
      <w:r>
        <w:rPr>
          <w:rFonts w:hint="eastAsia" w:asciiTheme="minorEastAsia" w:hAnsiTheme="minorEastAsia" w:eastAsiaTheme="minorEastAsia" w:cstheme="minorEastAsia"/>
          <w:sz w:val="24"/>
          <w:szCs w:val="24"/>
        </w:rPr>
        <w:t>”。电子响应文件签字或盖章的具体要求见供应商须知前附表。供应商须在响应文件递交截止时间前制作并提交。</w:t>
      </w:r>
    </w:p>
    <w:p w14:paraId="4C013DE3">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3.7.4 响应文件份数见供应商须知前附表。</w:t>
      </w:r>
    </w:p>
    <w:p w14:paraId="5E442DE9">
      <w:pPr>
        <w:wordWrap w:val="0"/>
        <w:spacing w:line="360" w:lineRule="auto"/>
        <w:ind w:firstLine="482" w:firstLineChars="200"/>
        <w:rPr>
          <w:rFonts w:hint="eastAsia" w:asciiTheme="minorEastAsia" w:hAnsiTheme="minorEastAsia" w:eastAsiaTheme="minorEastAsia" w:cstheme="minorEastAsia"/>
          <w:b/>
          <w:sz w:val="24"/>
          <w:szCs w:val="24"/>
        </w:rPr>
      </w:pPr>
      <w:bookmarkStart w:id="386" w:name="_Toc19433"/>
      <w:bookmarkStart w:id="387" w:name="_Toc28805"/>
      <w:bookmarkStart w:id="388" w:name="_Toc10732"/>
      <w:r>
        <w:rPr>
          <w:rFonts w:hint="eastAsia" w:asciiTheme="minorEastAsia" w:hAnsiTheme="minorEastAsia" w:eastAsiaTheme="minorEastAsia" w:cstheme="minorEastAsia"/>
          <w:b/>
          <w:sz w:val="24"/>
          <w:szCs w:val="24"/>
        </w:rPr>
        <w:t xml:space="preserve">4. </w:t>
      </w:r>
      <w:bookmarkEnd w:id="382"/>
      <w:bookmarkEnd w:id="383"/>
      <w:bookmarkEnd w:id="384"/>
      <w:bookmarkEnd w:id="385"/>
      <w:r>
        <w:rPr>
          <w:rFonts w:hint="eastAsia" w:asciiTheme="minorEastAsia" w:hAnsiTheme="minorEastAsia" w:eastAsiaTheme="minorEastAsia" w:cstheme="minorEastAsia"/>
          <w:b/>
          <w:sz w:val="24"/>
          <w:szCs w:val="24"/>
        </w:rPr>
        <w:t>磋商</w:t>
      </w:r>
      <w:bookmarkEnd w:id="386"/>
      <w:bookmarkEnd w:id="387"/>
      <w:bookmarkEnd w:id="388"/>
      <w:bookmarkStart w:id="389" w:name="_Toc18820"/>
      <w:bookmarkStart w:id="390" w:name="_Toc16962"/>
      <w:bookmarkStart w:id="391" w:name="_Toc26550"/>
      <w:bookmarkStart w:id="392" w:name="_Toc26583"/>
      <w:bookmarkStart w:id="393" w:name="_Toc22961"/>
      <w:bookmarkStart w:id="394" w:name="_Toc152042332"/>
      <w:bookmarkStart w:id="395" w:name="_Toc466298115"/>
      <w:bookmarkStart w:id="396" w:name="_Toc11243"/>
      <w:bookmarkStart w:id="397" w:name="_Toc144974524"/>
      <w:bookmarkStart w:id="398" w:name="_Toc318450699"/>
      <w:bookmarkStart w:id="399" w:name="_Toc455867792"/>
      <w:bookmarkStart w:id="400" w:name="_Toc31492"/>
      <w:bookmarkStart w:id="401" w:name="_Toc152045556"/>
      <w:bookmarkStart w:id="402" w:name="_Toc16344"/>
      <w:bookmarkStart w:id="403" w:name="_Toc490667852"/>
      <w:bookmarkStart w:id="404" w:name="_Toc455080132"/>
      <w:bookmarkStart w:id="405" w:name="_Toc16783"/>
      <w:bookmarkStart w:id="406" w:name="_Toc21145"/>
      <w:bookmarkStart w:id="407" w:name="_Toc19950"/>
    </w:p>
    <w:p w14:paraId="37233D24">
      <w:pPr>
        <w:wordWrap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4.1 响应文件的</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hint="eastAsia" w:asciiTheme="minorEastAsia" w:hAnsiTheme="minorEastAsia" w:eastAsiaTheme="minorEastAsia" w:cstheme="minorEastAsia"/>
          <w:b/>
          <w:sz w:val="24"/>
          <w:szCs w:val="24"/>
        </w:rPr>
        <w:t>上传</w:t>
      </w:r>
      <w:bookmarkEnd w:id="406"/>
      <w:bookmarkEnd w:id="407"/>
    </w:p>
    <w:p w14:paraId="65704563">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4.1.1 网上上传的电子响应文件应使用供应商数字证书认证并加密。</w:t>
      </w:r>
    </w:p>
    <w:p w14:paraId="0FE4707B">
      <w:pPr>
        <w:wordWrap w:val="0"/>
        <w:spacing w:line="360" w:lineRule="auto"/>
        <w:ind w:firstLine="482" w:firstLineChars="200"/>
        <w:rPr>
          <w:rFonts w:hint="eastAsia" w:asciiTheme="minorEastAsia" w:hAnsiTheme="minorEastAsia" w:eastAsiaTheme="minorEastAsia" w:cstheme="minorEastAsia"/>
          <w:b/>
          <w:sz w:val="24"/>
          <w:szCs w:val="24"/>
        </w:rPr>
      </w:pPr>
      <w:bookmarkStart w:id="408" w:name="_Toc152042333"/>
      <w:bookmarkStart w:id="409" w:name="_Toc455867793"/>
      <w:bookmarkStart w:id="410" w:name="_Toc27132"/>
      <w:bookmarkStart w:id="411" w:name="_Toc152045557"/>
      <w:bookmarkStart w:id="412" w:name="_Toc490667853"/>
      <w:bookmarkStart w:id="413" w:name="_Toc144974525"/>
      <w:bookmarkStart w:id="414" w:name="_Toc462"/>
      <w:bookmarkStart w:id="415" w:name="_Toc466298116"/>
      <w:bookmarkStart w:id="416" w:name="_Toc8754"/>
      <w:bookmarkStart w:id="417" w:name="_Toc5518"/>
      <w:bookmarkStart w:id="418" w:name="_Toc455080133"/>
      <w:bookmarkStart w:id="419" w:name="_Toc21897"/>
      <w:bookmarkStart w:id="420" w:name="_Toc318450700"/>
      <w:bookmarkStart w:id="421" w:name="_Toc28272"/>
      <w:bookmarkStart w:id="422" w:name="_Toc7663"/>
      <w:bookmarkStart w:id="423" w:name="_Toc21072"/>
      <w:bookmarkStart w:id="424" w:name="_Toc20259"/>
      <w:bookmarkStart w:id="425" w:name="_Toc4767"/>
      <w:bookmarkStart w:id="426" w:name="_Toc16832"/>
      <w:r>
        <w:rPr>
          <w:rFonts w:hint="eastAsia" w:asciiTheme="minorEastAsia" w:hAnsiTheme="minorEastAsia" w:eastAsiaTheme="minorEastAsia" w:cstheme="minorEastAsia"/>
          <w:b/>
          <w:sz w:val="24"/>
          <w:szCs w:val="24"/>
        </w:rPr>
        <w:t>4.2 响应文件的递交</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0D882489">
      <w:pPr>
        <w:wordWrap w:val="0"/>
        <w:spacing w:line="360" w:lineRule="auto"/>
        <w:ind w:firstLine="480" w:firstLineChars="200"/>
        <w:rPr>
          <w:rFonts w:hint="eastAsia" w:asciiTheme="minorEastAsia" w:hAnsiTheme="minorEastAsia" w:eastAsiaTheme="minorEastAsia" w:cstheme="minorEastAsia"/>
          <w:sz w:val="24"/>
          <w:szCs w:val="24"/>
        </w:rPr>
      </w:pPr>
      <w:bookmarkStart w:id="427" w:name="_Toc17161"/>
      <w:bookmarkStart w:id="428" w:name="_Toc455080134"/>
      <w:bookmarkStart w:id="429" w:name="_Toc30860"/>
      <w:bookmarkStart w:id="430" w:name="_Toc11817"/>
      <w:bookmarkStart w:id="431" w:name="_Toc152045558"/>
      <w:bookmarkStart w:id="432" w:name="_Toc455867794"/>
      <w:bookmarkStart w:id="433" w:name="_Toc19951"/>
      <w:bookmarkStart w:id="434" w:name="_Toc20281"/>
      <w:bookmarkStart w:id="435" w:name="_Toc26684"/>
      <w:bookmarkStart w:id="436" w:name="_Toc5102"/>
      <w:bookmarkStart w:id="437" w:name="_Toc152042334"/>
      <w:bookmarkStart w:id="438" w:name="_Toc490667854"/>
      <w:bookmarkStart w:id="439" w:name="_Toc144974526"/>
      <w:bookmarkStart w:id="440" w:name="_Toc318450701"/>
      <w:bookmarkStart w:id="441" w:name="_Toc21890"/>
      <w:bookmarkStart w:id="442" w:name="_Toc466298117"/>
      <w:bookmarkStart w:id="443" w:name="_Toc2952"/>
      <w:r>
        <w:rPr>
          <w:rFonts w:hint="eastAsia" w:asciiTheme="minorEastAsia" w:hAnsiTheme="minorEastAsia" w:eastAsiaTheme="minorEastAsia" w:cstheme="minorEastAsia"/>
          <w:sz w:val="24"/>
          <w:szCs w:val="24"/>
        </w:rPr>
        <w:t>4.2.1 电子响应文件的递交</w:t>
      </w:r>
    </w:p>
    <w:p w14:paraId="4D34BAF2">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各供应商应在响应文件提交截止时间前上传加密的电子响应文件（**.</w:t>
      </w:r>
      <w:r>
        <w:rPr>
          <w:rFonts w:hint="eastAsia" w:asciiTheme="minorEastAsia" w:hAnsiTheme="minorEastAsia" w:eastAsiaTheme="minorEastAsia" w:cstheme="minorEastAsia"/>
          <w:sz w:val="24"/>
          <w:szCs w:val="24"/>
          <w:lang w:eastAsia="zh-CN"/>
        </w:rPr>
        <w:t>XYTF</w:t>
      </w:r>
      <w:r>
        <w:rPr>
          <w:rFonts w:hint="eastAsia" w:asciiTheme="minorEastAsia" w:hAnsiTheme="minorEastAsia" w:eastAsiaTheme="minorEastAsia" w:cstheme="minorEastAsia"/>
          <w:sz w:val="24"/>
          <w:szCs w:val="24"/>
        </w:rPr>
        <w:t>）到会员系统的指定位置。上传的电子响应文件应使用供应商CA数字证书认证并加密。上传时必须得到交易系统“上传成功”的确认回复后方为上传成功。请供应商在上传前务必认真检查上传响应文件是否完整、正确。</w:t>
      </w:r>
      <w:bookmarkStart w:id="444" w:name="_Toc1790"/>
      <w:bookmarkStart w:id="445" w:name="_Toc30434"/>
    </w:p>
    <w:p w14:paraId="427D8A2D">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4.2.2 逾期上传的投标文件，招标人不予受理。</w:t>
      </w:r>
    </w:p>
    <w:p w14:paraId="31B4C896">
      <w:pPr>
        <w:wordWrap w:val="0"/>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4.2.3</w:t>
      </w:r>
      <w:r>
        <w:rPr>
          <w:rFonts w:hint="eastAsia" w:asciiTheme="minorEastAsia" w:hAnsiTheme="minorEastAsia" w:eastAsiaTheme="minorEastAsia" w:cstheme="minorEastAsia"/>
          <w:b/>
          <w:bCs/>
          <w:sz w:val="24"/>
          <w:szCs w:val="24"/>
        </w:rPr>
        <w:t>投标人因电子招投标交易平台问题无法上传电子投标文件时，请及时与固始县公共资源交易中心联系，新点软件技术人员联系电话：1</w:t>
      </w:r>
      <w:r>
        <w:rPr>
          <w:rFonts w:hint="eastAsia" w:asciiTheme="minorEastAsia" w:hAnsiTheme="minorEastAsia" w:eastAsiaTheme="minorEastAsia" w:cstheme="minorEastAsia"/>
          <w:b/>
          <w:bCs/>
          <w:sz w:val="24"/>
          <w:szCs w:val="24"/>
          <w:lang w:val="en-US" w:eastAsia="zh-CN"/>
        </w:rPr>
        <w:t>8537677109</w:t>
      </w:r>
      <w:r>
        <w:rPr>
          <w:rFonts w:hint="eastAsia" w:asciiTheme="minorEastAsia" w:hAnsiTheme="minorEastAsia" w:eastAsiaTheme="minorEastAsia" w:cstheme="minorEastAsia"/>
          <w:b/>
          <w:bCs/>
          <w:sz w:val="24"/>
          <w:szCs w:val="24"/>
        </w:rPr>
        <w:t>，交易中心信息科：4096606。</w:t>
      </w:r>
    </w:p>
    <w:p w14:paraId="21E7331F">
      <w:pPr>
        <w:wordWrap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4.3 响应文件的修改与撤回</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4C2DB73A">
      <w:pPr>
        <w:wordWrap w:val="0"/>
        <w:spacing w:line="360" w:lineRule="auto"/>
        <w:ind w:firstLine="480" w:firstLineChars="200"/>
        <w:rPr>
          <w:rFonts w:hint="eastAsia" w:asciiTheme="minorEastAsia" w:hAnsiTheme="minorEastAsia" w:eastAsiaTheme="minorEastAsia" w:cstheme="minorEastAsia"/>
          <w:sz w:val="24"/>
          <w:szCs w:val="24"/>
        </w:rPr>
      </w:pPr>
      <w:bookmarkStart w:id="446" w:name="_Toc144974527"/>
      <w:bookmarkStart w:id="447" w:name="_Toc152042335"/>
      <w:bookmarkStart w:id="448" w:name="_Toc152045559"/>
      <w:bookmarkStart w:id="449" w:name="_Toc455080135"/>
      <w:r>
        <w:rPr>
          <w:rFonts w:hint="eastAsia" w:asciiTheme="minorEastAsia" w:hAnsiTheme="minorEastAsia" w:eastAsiaTheme="minorEastAsia" w:cstheme="minorEastAsia"/>
          <w:sz w:val="24"/>
          <w:szCs w:val="24"/>
        </w:rPr>
        <w:t>4.3.1 在第一章“竞争性磋商公告”规定的响应文件提交截止时间前，供应商可以多次修改或撤回已递交的响应文件，最终响应文件以响应文件提交截止时间前完成上传至信阳市公共资源交易中心交易系统最后一份响应文件为准。</w:t>
      </w:r>
    </w:p>
    <w:p w14:paraId="0AF5EF62">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4.3.2 修改的响应文件应按照本章第3.7条、第4.2条规定进行编制和递交。</w:t>
      </w:r>
    </w:p>
    <w:bookmarkEnd w:id="446"/>
    <w:bookmarkEnd w:id="447"/>
    <w:bookmarkEnd w:id="448"/>
    <w:p w14:paraId="41912A87">
      <w:pPr>
        <w:wordWrap w:val="0"/>
        <w:spacing w:line="360" w:lineRule="auto"/>
        <w:ind w:firstLine="482" w:firstLineChars="200"/>
        <w:rPr>
          <w:rFonts w:hint="eastAsia" w:asciiTheme="minorEastAsia" w:hAnsiTheme="minorEastAsia" w:eastAsiaTheme="minorEastAsia" w:cstheme="minorEastAsia"/>
          <w:b/>
          <w:sz w:val="24"/>
          <w:szCs w:val="24"/>
        </w:rPr>
      </w:pPr>
      <w:bookmarkStart w:id="450" w:name="_Toc31291"/>
      <w:bookmarkStart w:id="451" w:name="_Toc5719"/>
      <w:bookmarkStart w:id="452" w:name="_Toc14969"/>
      <w:r>
        <w:rPr>
          <w:rFonts w:hint="eastAsia" w:asciiTheme="minorEastAsia" w:hAnsiTheme="minorEastAsia" w:eastAsiaTheme="minorEastAsia" w:cstheme="minorEastAsia"/>
          <w:b/>
          <w:sz w:val="24"/>
          <w:szCs w:val="24"/>
        </w:rPr>
        <w:t>5. 磋商开始</w:t>
      </w:r>
      <w:bookmarkEnd w:id="449"/>
      <w:bookmarkEnd w:id="450"/>
      <w:bookmarkEnd w:id="451"/>
      <w:bookmarkEnd w:id="452"/>
      <w:bookmarkStart w:id="453" w:name="_Toc144974528"/>
      <w:bookmarkStart w:id="454" w:name="_Toc466298119"/>
      <w:bookmarkStart w:id="455" w:name="_Toc6763"/>
      <w:bookmarkStart w:id="456" w:name="_Toc25809"/>
      <w:bookmarkStart w:id="457" w:name="_Toc490667856"/>
      <w:bookmarkStart w:id="458" w:name="_Toc14"/>
      <w:bookmarkStart w:id="459" w:name="_Toc20660"/>
      <w:bookmarkStart w:id="460" w:name="_Toc25533"/>
      <w:bookmarkStart w:id="461" w:name="_Toc152045560"/>
      <w:bookmarkStart w:id="462" w:name="_Toc455080136"/>
      <w:bookmarkStart w:id="463" w:name="_Toc20333"/>
      <w:bookmarkStart w:id="464" w:name="_Toc16040"/>
      <w:bookmarkStart w:id="465" w:name="_Toc9969"/>
      <w:bookmarkStart w:id="466" w:name="_Toc318450703"/>
      <w:bookmarkStart w:id="467" w:name="_Toc455867796"/>
      <w:bookmarkStart w:id="468" w:name="_Toc152042336"/>
      <w:bookmarkStart w:id="469" w:name="_Toc26426"/>
    </w:p>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14:paraId="035DEF2E">
      <w:pPr>
        <w:wordWrap w:val="0"/>
        <w:spacing w:line="360" w:lineRule="auto"/>
        <w:ind w:firstLine="482" w:firstLineChars="200"/>
        <w:rPr>
          <w:rFonts w:hint="eastAsia" w:asciiTheme="minorEastAsia" w:hAnsiTheme="minorEastAsia" w:eastAsiaTheme="minorEastAsia" w:cstheme="minorEastAsia"/>
          <w:b/>
          <w:sz w:val="24"/>
          <w:szCs w:val="24"/>
        </w:rPr>
      </w:pPr>
      <w:bookmarkStart w:id="470" w:name="_Toc19037"/>
      <w:bookmarkStart w:id="471" w:name="_Toc9328"/>
      <w:bookmarkStart w:id="472" w:name="_Toc144974529"/>
      <w:bookmarkStart w:id="473" w:name="_Toc490667857"/>
      <w:bookmarkStart w:id="474" w:name="_Toc17491"/>
      <w:bookmarkStart w:id="475" w:name="_Toc11148"/>
      <w:bookmarkStart w:id="476" w:name="_Toc455080137"/>
      <w:bookmarkStart w:id="477" w:name="_Toc466298120"/>
      <w:bookmarkStart w:id="478" w:name="_Toc152045561"/>
      <w:bookmarkStart w:id="479" w:name="_Toc18582"/>
      <w:bookmarkStart w:id="480" w:name="_Toc455867797"/>
      <w:bookmarkStart w:id="481" w:name="_Toc25911"/>
      <w:bookmarkStart w:id="482" w:name="_Toc318450704"/>
      <w:bookmarkStart w:id="483" w:name="_Toc30074"/>
      <w:bookmarkStart w:id="484" w:name="_Toc747"/>
      <w:bookmarkStart w:id="485" w:name="_Toc3865"/>
      <w:bookmarkStart w:id="486" w:name="_Toc30965"/>
      <w:bookmarkStart w:id="487" w:name="_Toc152042337"/>
      <w:bookmarkStart w:id="488" w:name="_Toc30792"/>
      <w:r>
        <w:rPr>
          <w:rFonts w:hint="eastAsia" w:asciiTheme="minorEastAsia" w:hAnsiTheme="minorEastAsia" w:eastAsiaTheme="minorEastAsia" w:cstheme="minorEastAsia"/>
          <w:b/>
          <w:sz w:val="24"/>
          <w:szCs w:val="24"/>
        </w:rPr>
        <w:t>5.1 磋商时间和地点</w:t>
      </w:r>
      <w:bookmarkEnd w:id="470"/>
    </w:p>
    <w:p w14:paraId="38057BA6">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 采购人在本章规定的投标截止时间（开标时间）和供应商须知前附表规定的地点开标。</w:t>
      </w:r>
    </w:p>
    <w:p w14:paraId="7C3D8591">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5.1.2 本项目采用“不见面开标”交易方式，不见面开标大厅网址为</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"http://117.158.91.68:8095/xxhy，投标人无需寄送和递交非加密的电子投标文件，无需到现场参加开标会议，无需到达现场提交原件资料。"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https://ggzyjy.xinyang.gov.cn/BidOpening/bidhall/xinyang/login.html，供应商无需寄送和递交非加密的电子响应文件，无需到现场参加开标会议，无需到达现场提交原件资料。</w:t>
      </w:r>
      <w:r>
        <w:rPr>
          <w:rFonts w:hint="eastAsia" w:asciiTheme="minorEastAsia" w:hAnsiTheme="minorEastAsia" w:eastAsiaTheme="minorEastAsia" w:cstheme="minorEastAsia"/>
          <w:sz w:val="24"/>
          <w:szCs w:val="24"/>
        </w:rPr>
        <w:fldChar w:fldCharType="end"/>
      </w:r>
    </w:p>
    <w:p w14:paraId="747820C0">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供应商应当在响应文件提交截止时间前，使用供应商CA数字证书登录不见面开标大厅，在线签到并准时参加开标活动，并在规定时间内完成响应文件解密、答疑澄清等。</w:t>
      </w:r>
    </w:p>
    <w:p w14:paraId="2C53155E">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1EA4CDAE">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不见面开标服务的具体事宜，请查阅信阳市公共资源交易中心网站首页—下载中心—信阳市不见面开标大厅系统操作手册。</w:t>
      </w:r>
    </w:p>
    <w:p w14:paraId="6E696264">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开标过程中，供应商如有异议，须在开标结束前通过系统提出，否则视同认可开标记录。开标结束后，对开标记录的任何异议不再接受。</w:t>
      </w:r>
    </w:p>
    <w:p w14:paraId="49012E8D">
      <w:pPr>
        <w:wordWrap w:val="0"/>
        <w:spacing w:line="360" w:lineRule="auto"/>
        <w:ind w:firstLine="482" w:firstLineChars="200"/>
        <w:rPr>
          <w:rFonts w:hint="eastAsia" w:asciiTheme="minorEastAsia" w:hAnsiTheme="minorEastAsia" w:eastAsiaTheme="minorEastAsia" w:cstheme="minorEastAsia"/>
          <w:b/>
          <w:sz w:val="24"/>
          <w:szCs w:val="24"/>
        </w:rPr>
      </w:pPr>
      <w:bookmarkStart w:id="489" w:name="_Toc6880"/>
      <w:r>
        <w:rPr>
          <w:rFonts w:hint="eastAsia" w:asciiTheme="minorEastAsia" w:hAnsiTheme="minorEastAsia" w:eastAsiaTheme="minorEastAsia" w:cstheme="minorEastAsia"/>
          <w:b/>
          <w:sz w:val="24"/>
          <w:szCs w:val="24"/>
        </w:rPr>
        <w:t>5.2 磋商程序</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Start w:id="490" w:name="_Toc14413"/>
      <w:bookmarkStart w:id="491" w:name="_Toc30403"/>
    </w:p>
    <w:p w14:paraId="4F7FE5A9">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5.2.1 磋商小组对竞争性磋商文件进行熟悉确认。</w:t>
      </w:r>
      <w:bookmarkEnd w:id="490"/>
      <w:bookmarkEnd w:id="491"/>
    </w:p>
    <w:p w14:paraId="342AB2CD">
      <w:pPr>
        <w:wordWrap w:val="0"/>
        <w:spacing w:line="360" w:lineRule="auto"/>
        <w:ind w:firstLine="480" w:firstLineChars="200"/>
        <w:rPr>
          <w:rFonts w:hint="eastAsia" w:asciiTheme="minorEastAsia" w:hAnsiTheme="minorEastAsia" w:eastAsiaTheme="minorEastAsia" w:cstheme="minorEastAsia"/>
          <w:sz w:val="24"/>
          <w:szCs w:val="24"/>
        </w:rPr>
      </w:pPr>
      <w:bookmarkStart w:id="492" w:name="_Toc144974530"/>
      <w:bookmarkStart w:id="493" w:name="_Toc152042338"/>
      <w:bookmarkStart w:id="494" w:name="_Toc152045562"/>
      <w:r>
        <w:rPr>
          <w:rFonts w:hint="eastAsia" w:asciiTheme="minorEastAsia" w:hAnsiTheme="minorEastAsia" w:eastAsiaTheme="minorEastAsia" w:cstheme="minorEastAsia"/>
          <w:sz w:val="24"/>
          <w:szCs w:val="24"/>
        </w:rPr>
        <w:t>5.2.2 磋商小组推选组长，讨论、通过磋商工作流程和磋商要点。</w:t>
      </w:r>
    </w:p>
    <w:p w14:paraId="1C38A177">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5.2.3 资格评审审查：采购人依据竞争性磋商文件规定，对供应商进行审查，以确定磋商供应商是否具备参与磋商的资格。</w:t>
      </w:r>
    </w:p>
    <w:p w14:paraId="2D9F54EF">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5.2.4 符合性评审审查：磋商开始后，磋商小组依据竞争性磋商文件规定，对通过资格评审的供应商进行审查，以确定磋商供应商是否具备参与磋商的资格。</w:t>
      </w:r>
    </w:p>
    <w:p w14:paraId="58945B5A">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5.2.5 磋商小组对通过资格性和符合性审查的响应文件进行评估，确定与各竞标人磋商的具体内容。</w:t>
      </w:r>
    </w:p>
    <w:p w14:paraId="489D7235">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5.2.6 磋商过程中，磋商小组可以根据磋商情况实质性变动招标需求中的技术、</w:t>
      </w:r>
      <w:r>
        <w:rPr>
          <w:rFonts w:hint="eastAsia" w:asciiTheme="minorEastAsia" w:hAnsiTheme="minorEastAsia" w:eastAsiaTheme="minorEastAsia" w:cstheme="minorEastAsia"/>
          <w:sz w:val="24"/>
          <w:szCs w:val="24"/>
          <w:lang w:eastAsia="zh-CN"/>
        </w:rPr>
        <w:t>质量要求</w:t>
      </w:r>
      <w:r>
        <w:rPr>
          <w:rFonts w:hint="eastAsia" w:asciiTheme="minorEastAsia" w:hAnsiTheme="minorEastAsia" w:eastAsiaTheme="minorEastAsia" w:cstheme="minorEastAsia"/>
          <w:sz w:val="24"/>
          <w:szCs w:val="24"/>
        </w:rPr>
        <w:t>以及合同草案条款，但不得变动竞争性磋商文件中的其他内容。实质性变动的内容需经采购人(业主)代表确认。并以书面形式通知所有参加磋商的供应商，该变动是竞争性磋商文件的有效组成部分。供应商应当按照竞争性磋商文件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w:t>
      </w:r>
      <w:r>
        <w:rPr>
          <w:rFonts w:hint="eastAsia" w:asciiTheme="minorEastAsia" w:hAnsiTheme="minorEastAsia" w:eastAsiaTheme="minorEastAsia" w:cstheme="minorEastAsia"/>
          <w:sz w:val="24"/>
          <w:szCs w:val="24"/>
          <w:lang w:eastAsia="zh-CN"/>
        </w:rPr>
        <w:t>质量要求</w:t>
      </w:r>
      <w:r>
        <w:rPr>
          <w:rFonts w:hint="eastAsia" w:asciiTheme="minorEastAsia" w:hAnsiTheme="minorEastAsia" w:eastAsiaTheme="minorEastAsia" w:cstheme="minorEastAsia"/>
          <w:sz w:val="24"/>
          <w:szCs w:val="24"/>
        </w:rPr>
        <w:t>以及合同草案条款，则供应商的最后报价不得高于首次报价，否则按无效报价处理。</w:t>
      </w:r>
    </w:p>
    <w:p w14:paraId="6D18B0BF">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5.2.7 磋商小组对符合招标需求的供应商进行两轮报价；供应商只有通过资格评审及符合性评审后方可进入下一轮报价，在规定的时间内同时提交报价，最终报价不得超过响应文件中报价。</w:t>
      </w:r>
    </w:p>
    <w:p w14:paraId="3D2711FF">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5.2.8 经磋商确定最终招标需求，由磋商小组采用综合评分法对通过初步评审的供应商的响应文件进行综合评分。</w:t>
      </w:r>
    </w:p>
    <w:p w14:paraId="07E83ABA">
      <w:pPr>
        <w:wordWrap w:val="0"/>
        <w:spacing w:line="360" w:lineRule="auto"/>
        <w:ind w:firstLine="482" w:firstLineChars="200"/>
        <w:rPr>
          <w:rFonts w:hint="eastAsia" w:asciiTheme="minorEastAsia" w:hAnsiTheme="minorEastAsia" w:eastAsiaTheme="minorEastAsia" w:cstheme="minorEastAsia"/>
          <w:b/>
          <w:sz w:val="24"/>
          <w:szCs w:val="24"/>
        </w:rPr>
      </w:pPr>
      <w:bookmarkStart w:id="495" w:name="_Toc455080138"/>
      <w:bookmarkStart w:id="496" w:name="_Toc32276"/>
      <w:bookmarkStart w:id="497" w:name="_Toc14039"/>
      <w:bookmarkStart w:id="498" w:name="_Toc16609"/>
      <w:r>
        <w:rPr>
          <w:rFonts w:hint="eastAsia" w:asciiTheme="minorEastAsia" w:hAnsiTheme="minorEastAsia" w:eastAsiaTheme="minorEastAsia" w:cstheme="minorEastAsia"/>
          <w:b/>
          <w:sz w:val="24"/>
          <w:szCs w:val="24"/>
        </w:rPr>
        <w:t xml:space="preserve">6. </w:t>
      </w:r>
      <w:bookmarkEnd w:id="492"/>
      <w:bookmarkEnd w:id="493"/>
      <w:bookmarkEnd w:id="494"/>
      <w:r>
        <w:rPr>
          <w:rFonts w:hint="eastAsia" w:asciiTheme="minorEastAsia" w:hAnsiTheme="minorEastAsia" w:eastAsiaTheme="minorEastAsia" w:cstheme="minorEastAsia"/>
          <w:b/>
          <w:sz w:val="24"/>
          <w:szCs w:val="24"/>
        </w:rPr>
        <w:t>磋商</w:t>
      </w:r>
      <w:bookmarkEnd w:id="495"/>
      <w:r>
        <w:rPr>
          <w:rFonts w:hint="eastAsia" w:asciiTheme="minorEastAsia" w:hAnsiTheme="minorEastAsia" w:eastAsiaTheme="minorEastAsia" w:cstheme="minorEastAsia"/>
          <w:b/>
          <w:sz w:val="24"/>
          <w:szCs w:val="24"/>
        </w:rPr>
        <w:t>小组</w:t>
      </w:r>
      <w:bookmarkEnd w:id="496"/>
      <w:bookmarkEnd w:id="497"/>
      <w:bookmarkEnd w:id="498"/>
    </w:p>
    <w:p w14:paraId="20EC4A96">
      <w:pPr>
        <w:wordWrap w:val="0"/>
        <w:spacing w:line="360" w:lineRule="auto"/>
        <w:ind w:firstLine="482" w:firstLineChars="200"/>
        <w:rPr>
          <w:rFonts w:hint="eastAsia" w:asciiTheme="minorEastAsia" w:hAnsiTheme="minorEastAsia" w:eastAsiaTheme="minorEastAsia" w:cstheme="minorEastAsia"/>
          <w:b/>
          <w:sz w:val="24"/>
          <w:szCs w:val="24"/>
        </w:rPr>
      </w:pPr>
      <w:bookmarkStart w:id="499" w:name="_Toc152042339"/>
      <w:bookmarkStart w:id="500" w:name="_Toc22250"/>
      <w:bookmarkStart w:id="501" w:name="_Toc26098"/>
      <w:bookmarkStart w:id="502" w:name="_Toc318450706"/>
      <w:bookmarkStart w:id="503" w:name="_Toc152045563"/>
      <w:bookmarkStart w:id="504" w:name="_Toc9808"/>
      <w:bookmarkStart w:id="505" w:name="_Toc144974531"/>
      <w:bookmarkStart w:id="506" w:name="_Toc466298122"/>
      <w:bookmarkStart w:id="507" w:name="_Toc8157"/>
      <w:bookmarkStart w:id="508" w:name="_Toc23138"/>
      <w:bookmarkStart w:id="509" w:name="_Toc13978"/>
      <w:bookmarkStart w:id="510" w:name="_Toc1546"/>
      <w:bookmarkStart w:id="511" w:name="_Toc455080139"/>
      <w:bookmarkStart w:id="512" w:name="_Toc490667859"/>
      <w:bookmarkStart w:id="513" w:name="_Toc8725"/>
      <w:bookmarkStart w:id="514" w:name="_Toc12742"/>
      <w:bookmarkStart w:id="515" w:name="_Toc1574"/>
      <w:bookmarkStart w:id="516" w:name="_Toc18985"/>
      <w:bookmarkStart w:id="517" w:name="_Toc455867799"/>
      <w:r>
        <w:rPr>
          <w:rFonts w:hint="eastAsia" w:asciiTheme="minorEastAsia" w:hAnsiTheme="minorEastAsia" w:eastAsiaTheme="minorEastAsia" w:cstheme="minorEastAsia"/>
          <w:b/>
          <w:sz w:val="24"/>
          <w:szCs w:val="24"/>
        </w:rPr>
        <w:t>6.1</w:t>
      </w:r>
      <w:bookmarkEnd w:id="499"/>
      <w:bookmarkEnd w:id="500"/>
      <w:bookmarkEnd w:id="501"/>
      <w:bookmarkEnd w:id="502"/>
      <w:bookmarkEnd w:id="503"/>
      <w:bookmarkEnd w:id="504"/>
      <w:bookmarkEnd w:id="505"/>
      <w:r>
        <w:rPr>
          <w:rFonts w:hint="eastAsia" w:asciiTheme="minorEastAsia" w:hAnsiTheme="minorEastAsia" w:eastAsiaTheme="minorEastAsia" w:cstheme="minorEastAsia"/>
          <w:b/>
          <w:sz w:val="24"/>
          <w:szCs w:val="24"/>
        </w:rPr>
        <w:t xml:space="preserve"> 磋商小组</w:t>
      </w:r>
      <w:bookmarkEnd w:id="506"/>
      <w:bookmarkEnd w:id="507"/>
      <w:bookmarkEnd w:id="508"/>
      <w:bookmarkEnd w:id="509"/>
      <w:bookmarkEnd w:id="510"/>
      <w:bookmarkEnd w:id="511"/>
      <w:bookmarkEnd w:id="512"/>
      <w:bookmarkEnd w:id="513"/>
      <w:bookmarkEnd w:id="514"/>
      <w:bookmarkEnd w:id="515"/>
      <w:bookmarkEnd w:id="516"/>
      <w:bookmarkEnd w:id="517"/>
    </w:p>
    <w:p w14:paraId="1CD005C8">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磋商由采购人依法组建的磋商小组负责。磋商小组由采购人代表以及有关技术、经济等方面的专家组成。磋商小组成员人数以及技术、经济等方面专家的确定方式见供应商须知前附表。</w:t>
      </w:r>
      <w:bookmarkStart w:id="518" w:name="_Toc152042340"/>
      <w:bookmarkStart w:id="519" w:name="_Toc8248"/>
      <w:bookmarkStart w:id="520" w:name="_Toc27035"/>
      <w:bookmarkStart w:id="521" w:name="_Toc10765"/>
      <w:bookmarkStart w:id="522" w:name="_Toc152045564"/>
      <w:bookmarkStart w:id="523" w:name="_Toc9532"/>
      <w:bookmarkStart w:id="524" w:name="_Toc490667860"/>
      <w:bookmarkStart w:id="525" w:name="_Toc25721"/>
      <w:bookmarkStart w:id="526" w:name="_Toc144974532"/>
      <w:bookmarkStart w:id="527" w:name="_Toc455080140"/>
      <w:bookmarkStart w:id="528" w:name="_Toc7286"/>
      <w:bookmarkStart w:id="529" w:name="_Toc4435"/>
      <w:bookmarkStart w:id="530" w:name="_Toc21102"/>
      <w:bookmarkStart w:id="531" w:name="_Toc318450707"/>
      <w:bookmarkStart w:id="532" w:name="_Toc455867800"/>
      <w:bookmarkStart w:id="533" w:name="_Toc466298123"/>
      <w:bookmarkStart w:id="534" w:name="_Toc22143"/>
      <w:bookmarkStart w:id="535" w:name="_Toc13368"/>
      <w:bookmarkStart w:id="536" w:name="_Toc8240"/>
    </w:p>
    <w:p w14:paraId="1FC0E322">
      <w:pPr>
        <w:wordWrap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6.2 磋商原则</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0E820C96">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磋商活动遵循公平、公正、科学和择优的原则。</w:t>
      </w:r>
      <w:bookmarkStart w:id="537" w:name="_Toc144974533"/>
      <w:bookmarkStart w:id="538" w:name="_Toc152042341"/>
      <w:bookmarkStart w:id="539" w:name="_Toc8705"/>
      <w:bookmarkStart w:id="540" w:name="_Toc318450708"/>
      <w:bookmarkStart w:id="541" w:name="_Toc152045565"/>
      <w:bookmarkStart w:id="542" w:name="_Toc16725"/>
      <w:bookmarkStart w:id="543" w:name="_Toc15595"/>
      <w:bookmarkStart w:id="544" w:name="_Toc27036"/>
      <w:bookmarkStart w:id="545" w:name="_Toc3606"/>
      <w:bookmarkStart w:id="546" w:name="_Toc24526"/>
      <w:bookmarkStart w:id="547" w:name="_Toc455867801"/>
      <w:bookmarkStart w:id="548" w:name="_Toc466298124"/>
      <w:bookmarkStart w:id="549" w:name="_Toc28734"/>
      <w:bookmarkStart w:id="550" w:name="_Toc490667861"/>
      <w:bookmarkStart w:id="551" w:name="_Toc455080141"/>
      <w:bookmarkStart w:id="552" w:name="_Toc18756"/>
      <w:bookmarkStart w:id="553" w:name="_Toc7890"/>
      <w:bookmarkStart w:id="554" w:name="_Toc20062"/>
      <w:bookmarkStart w:id="555" w:name="_Toc24358"/>
    </w:p>
    <w:p w14:paraId="06D83231">
      <w:pPr>
        <w:wordWrap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6.3 </w:t>
      </w:r>
      <w:bookmarkEnd w:id="537"/>
      <w:bookmarkEnd w:id="538"/>
      <w:bookmarkEnd w:id="539"/>
      <w:bookmarkEnd w:id="540"/>
      <w:bookmarkEnd w:id="541"/>
      <w:bookmarkEnd w:id="542"/>
      <w:bookmarkEnd w:id="543"/>
      <w:r>
        <w:rPr>
          <w:rFonts w:hint="eastAsia" w:asciiTheme="minorEastAsia" w:hAnsiTheme="minorEastAsia" w:eastAsiaTheme="minorEastAsia" w:cstheme="minorEastAsia"/>
          <w:b/>
          <w:sz w:val="24"/>
          <w:szCs w:val="24"/>
        </w:rPr>
        <w:t>磋商</w:t>
      </w:r>
      <w:bookmarkEnd w:id="544"/>
      <w:bookmarkEnd w:id="545"/>
      <w:bookmarkEnd w:id="546"/>
      <w:bookmarkEnd w:id="547"/>
      <w:bookmarkEnd w:id="548"/>
      <w:bookmarkEnd w:id="549"/>
      <w:bookmarkEnd w:id="550"/>
      <w:bookmarkEnd w:id="551"/>
      <w:bookmarkEnd w:id="552"/>
      <w:bookmarkEnd w:id="553"/>
      <w:bookmarkEnd w:id="554"/>
      <w:bookmarkEnd w:id="555"/>
    </w:p>
    <w:p w14:paraId="721FD633">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磋商小组按照第三章“评审办法”规定的方法、评审因素、标准和程序对响应文件进行评审。第三章“评审办法”没有规定的方法、评审因素和标准，不作为评标依据。</w:t>
      </w:r>
      <w:bookmarkStart w:id="556" w:name="_Toc152045566"/>
      <w:bookmarkStart w:id="557" w:name="_Toc144974534"/>
      <w:bookmarkStart w:id="558" w:name="_Toc455080142"/>
      <w:bookmarkStart w:id="559" w:name="_Toc9522"/>
      <w:bookmarkStart w:id="560" w:name="_Toc152042342"/>
      <w:bookmarkStart w:id="561" w:name="_Toc5971"/>
      <w:bookmarkStart w:id="562" w:name="_Toc6334"/>
    </w:p>
    <w:p w14:paraId="147DCD6E">
      <w:pPr>
        <w:wordWrap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合同授予</w:t>
      </w:r>
      <w:bookmarkEnd w:id="556"/>
      <w:bookmarkEnd w:id="557"/>
      <w:bookmarkEnd w:id="558"/>
      <w:bookmarkEnd w:id="559"/>
      <w:bookmarkEnd w:id="560"/>
      <w:bookmarkEnd w:id="561"/>
      <w:bookmarkEnd w:id="562"/>
    </w:p>
    <w:p w14:paraId="08F60325">
      <w:pPr>
        <w:wordWrap w:val="0"/>
        <w:spacing w:line="360" w:lineRule="auto"/>
        <w:ind w:firstLine="482" w:firstLineChars="200"/>
        <w:rPr>
          <w:rFonts w:hint="eastAsia" w:asciiTheme="minorEastAsia" w:hAnsiTheme="minorEastAsia" w:eastAsiaTheme="minorEastAsia" w:cstheme="minorEastAsia"/>
          <w:b/>
          <w:sz w:val="24"/>
          <w:szCs w:val="24"/>
        </w:rPr>
      </w:pPr>
      <w:bookmarkStart w:id="563" w:name="_Toc455867803"/>
      <w:bookmarkStart w:id="564" w:name="_Toc22461"/>
      <w:bookmarkStart w:id="565" w:name="_Toc29686"/>
      <w:bookmarkStart w:id="566" w:name="_Toc28919"/>
      <w:bookmarkStart w:id="567" w:name="_Toc152042343"/>
      <w:bookmarkStart w:id="568" w:name="_Toc144974535"/>
      <w:bookmarkStart w:id="569" w:name="_Toc490667863"/>
      <w:bookmarkStart w:id="570" w:name="_Toc25316"/>
      <w:bookmarkStart w:id="571" w:name="_Toc14528"/>
      <w:bookmarkStart w:id="572" w:name="_Toc29664"/>
      <w:bookmarkStart w:id="573" w:name="_Toc11409"/>
      <w:bookmarkStart w:id="574" w:name="_Toc152045567"/>
      <w:bookmarkStart w:id="575" w:name="_Toc17660"/>
      <w:bookmarkStart w:id="576" w:name="_Toc455080143"/>
      <w:bookmarkStart w:id="577" w:name="_Toc32135"/>
      <w:bookmarkStart w:id="578" w:name="_Toc7358"/>
      <w:bookmarkStart w:id="579" w:name="_Toc318450710"/>
      <w:bookmarkStart w:id="580" w:name="_Toc20777"/>
      <w:bookmarkStart w:id="581" w:name="_Toc466298126"/>
      <w:r>
        <w:rPr>
          <w:rFonts w:hint="eastAsia" w:asciiTheme="minorEastAsia" w:hAnsiTheme="minorEastAsia" w:eastAsiaTheme="minorEastAsia" w:cstheme="minorEastAsia"/>
          <w:b/>
          <w:sz w:val="24"/>
          <w:szCs w:val="24"/>
        </w:rPr>
        <w:t>7.1 定标方式</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0AF779A2">
      <w:pPr>
        <w:wordWrap w:val="0"/>
        <w:spacing w:line="360" w:lineRule="auto"/>
        <w:ind w:firstLine="480" w:firstLineChars="200"/>
        <w:rPr>
          <w:rFonts w:hint="eastAsia" w:asciiTheme="minorEastAsia" w:hAnsiTheme="minorEastAsia" w:eastAsiaTheme="minorEastAsia" w:cstheme="minorEastAsia"/>
          <w:sz w:val="24"/>
          <w:szCs w:val="24"/>
        </w:rPr>
      </w:pPr>
      <w:bookmarkStart w:id="582" w:name="_Toc7066"/>
      <w:bookmarkStart w:id="583" w:name="_Toc144974536"/>
      <w:bookmarkStart w:id="584" w:name="_Toc10868"/>
      <w:bookmarkStart w:id="585" w:name="_Toc318450711"/>
      <w:bookmarkStart w:id="586" w:name="_Toc152045568"/>
      <w:bookmarkStart w:id="587" w:name="_Toc28254"/>
      <w:bookmarkStart w:id="588" w:name="_Toc152042344"/>
      <w:r>
        <w:rPr>
          <w:rFonts w:hint="eastAsia" w:asciiTheme="minorEastAsia" w:hAnsiTheme="minorEastAsia" w:eastAsiaTheme="minorEastAsia" w:cstheme="minorEastAsia"/>
          <w:sz w:val="24"/>
          <w:szCs w:val="24"/>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人，也可以重新磋商。</w:t>
      </w:r>
    </w:p>
    <w:p w14:paraId="0279BFB1">
      <w:pPr>
        <w:wordWrap w:val="0"/>
        <w:spacing w:line="360" w:lineRule="auto"/>
        <w:ind w:firstLine="482" w:firstLineChars="200"/>
        <w:rPr>
          <w:rFonts w:hint="eastAsia" w:asciiTheme="minorEastAsia" w:hAnsiTheme="minorEastAsia" w:eastAsiaTheme="minorEastAsia" w:cstheme="minorEastAsia"/>
          <w:b/>
          <w:sz w:val="24"/>
          <w:szCs w:val="24"/>
        </w:rPr>
      </w:pPr>
      <w:bookmarkStart w:id="589" w:name="_Toc28177"/>
      <w:bookmarkStart w:id="590" w:name="_Toc490667864"/>
      <w:bookmarkStart w:id="591" w:name="_Toc466298127"/>
      <w:bookmarkStart w:id="592" w:name="_Toc5428"/>
      <w:bookmarkStart w:id="593" w:name="_Toc5668"/>
      <w:bookmarkStart w:id="594" w:name="_Toc9775"/>
      <w:bookmarkStart w:id="595" w:name="_Toc1484"/>
      <w:bookmarkStart w:id="596" w:name="_Toc455080144"/>
      <w:bookmarkStart w:id="597" w:name="_Toc455867804"/>
      <w:bookmarkStart w:id="598" w:name="_Toc9897"/>
      <w:bookmarkStart w:id="599" w:name="_Toc15825"/>
      <w:bookmarkStart w:id="600" w:name="_Toc16163"/>
      <w:r>
        <w:rPr>
          <w:rFonts w:hint="eastAsia" w:asciiTheme="minorEastAsia" w:hAnsiTheme="minorEastAsia" w:eastAsiaTheme="minorEastAsia" w:cstheme="minorEastAsia"/>
          <w:b/>
          <w:sz w:val="24"/>
          <w:szCs w:val="24"/>
        </w:rPr>
        <w:t>7.2 成交通知</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65F1E435">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在本章第3.3.1款规定的磋商有效期内，采购人以书面形式向成交人发出成交通知书，同时将成交结果通知未成交的供应商。</w:t>
      </w:r>
    </w:p>
    <w:p w14:paraId="206967C8">
      <w:pPr>
        <w:wordWrap w:val="0"/>
        <w:spacing w:line="360" w:lineRule="auto"/>
        <w:ind w:firstLine="482" w:firstLineChars="200"/>
        <w:rPr>
          <w:rFonts w:hint="eastAsia" w:asciiTheme="minorEastAsia" w:hAnsiTheme="minorEastAsia" w:eastAsiaTheme="minorEastAsia" w:cstheme="minorEastAsia"/>
          <w:b/>
          <w:sz w:val="24"/>
          <w:szCs w:val="24"/>
        </w:rPr>
      </w:pPr>
      <w:bookmarkStart w:id="601" w:name="_Toc22732"/>
      <w:r>
        <w:rPr>
          <w:rFonts w:hint="eastAsia" w:asciiTheme="minorEastAsia" w:hAnsiTheme="minorEastAsia" w:eastAsiaTheme="minorEastAsia" w:cstheme="minorEastAsia"/>
          <w:b/>
          <w:sz w:val="24"/>
          <w:szCs w:val="24"/>
        </w:rPr>
        <w:t>7.3 履约保证金</w:t>
      </w:r>
      <w:bookmarkEnd w:id="601"/>
    </w:p>
    <w:p w14:paraId="332D140A">
      <w:pPr>
        <w:wordWrap w:val="0"/>
        <w:spacing w:line="360" w:lineRule="auto"/>
        <w:ind w:firstLine="480" w:firstLineChars="200"/>
        <w:rPr>
          <w:rFonts w:hint="eastAsia" w:asciiTheme="minorEastAsia" w:hAnsiTheme="minorEastAsia" w:eastAsiaTheme="minorEastAsia" w:cstheme="minorEastAsia"/>
          <w:sz w:val="24"/>
          <w:szCs w:val="24"/>
        </w:rPr>
      </w:pPr>
      <w:bookmarkStart w:id="602" w:name="_Toc21617"/>
      <w:bookmarkStart w:id="603" w:name="_Toc13147"/>
      <w:bookmarkStart w:id="604" w:name="_Toc455867805"/>
      <w:bookmarkStart w:id="605" w:name="_Toc10082"/>
      <w:bookmarkStart w:id="606" w:name="_Toc8886"/>
      <w:bookmarkStart w:id="607" w:name="_Toc455080145"/>
      <w:bookmarkStart w:id="608" w:name="_Toc24026"/>
      <w:bookmarkStart w:id="609" w:name="_Toc144974538"/>
      <w:bookmarkStart w:id="610" w:name="_Toc12663"/>
      <w:bookmarkStart w:id="611" w:name="_Toc21271"/>
      <w:bookmarkStart w:id="612" w:name="_Toc318450712"/>
      <w:bookmarkStart w:id="613" w:name="_Toc152045570"/>
      <w:bookmarkStart w:id="614" w:name="_Toc152042346"/>
      <w:bookmarkStart w:id="615" w:name="_Toc15458"/>
      <w:bookmarkStart w:id="616" w:name="_Toc26915"/>
      <w:bookmarkStart w:id="617" w:name="_Toc26655"/>
      <w:bookmarkStart w:id="618" w:name="_Toc490667865"/>
      <w:bookmarkStart w:id="619" w:name="_Toc26760"/>
      <w:bookmarkStart w:id="620" w:name="_Toc466298128"/>
      <w:r>
        <w:rPr>
          <w:rFonts w:hint="eastAsia" w:asciiTheme="minorEastAsia" w:hAnsiTheme="minorEastAsia" w:eastAsiaTheme="minorEastAsia" w:cstheme="minorEastAsia"/>
          <w:sz w:val="24"/>
          <w:szCs w:val="24"/>
        </w:rPr>
        <w:t>免收履约保证金</w:t>
      </w:r>
      <w:bookmarkEnd w:id="602"/>
    </w:p>
    <w:p w14:paraId="43C06B5A">
      <w:pPr>
        <w:wordWrap w:val="0"/>
        <w:spacing w:line="360" w:lineRule="auto"/>
        <w:ind w:firstLine="482" w:firstLineChars="200"/>
        <w:rPr>
          <w:rFonts w:hint="eastAsia" w:asciiTheme="minorEastAsia" w:hAnsiTheme="minorEastAsia" w:eastAsiaTheme="minorEastAsia" w:cstheme="minorEastAsia"/>
          <w:b/>
          <w:sz w:val="24"/>
          <w:szCs w:val="24"/>
        </w:rPr>
      </w:pPr>
      <w:bookmarkStart w:id="621" w:name="_Toc25032"/>
      <w:r>
        <w:rPr>
          <w:rFonts w:hint="eastAsia" w:asciiTheme="minorEastAsia" w:hAnsiTheme="minorEastAsia" w:eastAsiaTheme="minorEastAsia" w:cstheme="minorEastAsia"/>
          <w:b/>
          <w:sz w:val="24"/>
          <w:szCs w:val="24"/>
        </w:rPr>
        <w:t>7.4 签订合同</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782938E7">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7.4.1 采购人和成交人应当自成交通知书发出之日起2-7天内，根据竞争性磋商文件和成交人的响应文件订立书面合同。成交人无正当理由拒签合同的，采购人取消其成交资格，其磋商保证金不予退还；给采购人造成的损失超过磋商保证金数额的，成交人还应当对超过部分予以赔偿。</w:t>
      </w:r>
    </w:p>
    <w:p w14:paraId="63F963B8">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7.4.2 发出成交通知书后，采购人无正当理由拒签合同的，采购人向成交人退还磋商保证金；给成交人造成损失的，还应当赔偿损失。</w:t>
      </w:r>
      <w:bookmarkStart w:id="622" w:name="_Toc144974542"/>
      <w:bookmarkStart w:id="623" w:name="_Toc152042350"/>
      <w:bookmarkStart w:id="624" w:name="_Toc152045574"/>
    </w:p>
    <w:p w14:paraId="00661AE9">
      <w:pPr>
        <w:wordWrap w:val="0"/>
        <w:spacing w:line="360" w:lineRule="auto"/>
        <w:ind w:firstLine="482" w:firstLineChars="200"/>
        <w:rPr>
          <w:rFonts w:hint="eastAsia" w:asciiTheme="minorEastAsia" w:hAnsiTheme="minorEastAsia" w:eastAsiaTheme="minorEastAsia" w:cstheme="minorEastAsia"/>
          <w:b/>
          <w:sz w:val="24"/>
          <w:szCs w:val="24"/>
        </w:rPr>
      </w:pPr>
      <w:bookmarkStart w:id="625" w:name="_Toc455080146"/>
      <w:bookmarkStart w:id="626" w:name="_Toc20121"/>
      <w:bookmarkStart w:id="627" w:name="_Toc24956"/>
      <w:bookmarkStart w:id="628" w:name="_Toc16866"/>
      <w:r>
        <w:rPr>
          <w:rFonts w:hint="eastAsia" w:asciiTheme="minorEastAsia" w:hAnsiTheme="minorEastAsia" w:eastAsiaTheme="minorEastAsia" w:cstheme="minorEastAsia"/>
          <w:b/>
          <w:sz w:val="24"/>
          <w:szCs w:val="24"/>
        </w:rPr>
        <w:t>8. 重新招标</w:t>
      </w:r>
      <w:bookmarkEnd w:id="625"/>
      <w:bookmarkEnd w:id="626"/>
      <w:bookmarkEnd w:id="627"/>
      <w:bookmarkEnd w:id="628"/>
    </w:p>
    <w:p w14:paraId="7EA9F400">
      <w:pPr>
        <w:wordWrap w:val="0"/>
        <w:spacing w:line="360" w:lineRule="auto"/>
        <w:ind w:firstLine="482" w:firstLineChars="200"/>
        <w:rPr>
          <w:rFonts w:hint="eastAsia" w:asciiTheme="minorEastAsia" w:hAnsiTheme="minorEastAsia" w:eastAsiaTheme="minorEastAsia" w:cstheme="minorEastAsia"/>
          <w:b/>
          <w:sz w:val="24"/>
          <w:szCs w:val="24"/>
        </w:rPr>
      </w:pPr>
      <w:bookmarkStart w:id="629" w:name="_Toc21278"/>
      <w:bookmarkStart w:id="630" w:name="_Toc16556"/>
      <w:r>
        <w:rPr>
          <w:rFonts w:hint="eastAsia" w:asciiTheme="minorEastAsia" w:hAnsiTheme="minorEastAsia" w:eastAsiaTheme="minorEastAsia" w:cstheme="minorEastAsia"/>
          <w:b/>
          <w:sz w:val="24"/>
          <w:szCs w:val="24"/>
        </w:rPr>
        <w:t>8.1 重新招标</w:t>
      </w:r>
      <w:bookmarkEnd w:id="629"/>
      <w:bookmarkEnd w:id="630"/>
    </w:p>
    <w:p w14:paraId="63069A66">
      <w:pPr>
        <w:wordWrap w:val="0"/>
        <w:spacing w:line="360" w:lineRule="auto"/>
        <w:ind w:firstLine="480" w:firstLineChars="200"/>
        <w:rPr>
          <w:rFonts w:hint="eastAsia" w:asciiTheme="minorEastAsia" w:hAnsiTheme="minorEastAsia" w:eastAsiaTheme="minorEastAsia" w:cstheme="minorEastAsia"/>
          <w:sz w:val="24"/>
          <w:szCs w:val="24"/>
        </w:rPr>
      </w:pPr>
      <w:bookmarkStart w:id="631" w:name="_Toc9985"/>
      <w:r>
        <w:rPr>
          <w:rFonts w:hint="eastAsia" w:asciiTheme="minorEastAsia" w:hAnsiTheme="minorEastAsia" w:eastAsiaTheme="minorEastAsia" w:cstheme="minorEastAsia"/>
          <w:sz w:val="24"/>
          <w:szCs w:val="24"/>
        </w:rPr>
        <w:t>有下列情形之一的，采购人将重新招标：</w:t>
      </w:r>
      <w:bookmarkEnd w:id="631"/>
    </w:p>
    <w:p w14:paraId="720215FA">
      <w:pPr>
        <w:wordWrap w:val="0"/>
        <w:spacing w:line="360" w:lineRule="auto"/>
        <w:ind w:firstLine="480" w:firstLineChars="200"/>
        <w:rPr>
          <w:rFonts w:hint="eastAsia" w:asciiTheme="minorEastAsia" w:hAnsiTheme="minorEastAsia" w:eastAsiaTheme="minorEastAsia" w:cstheme="minorEastAsia"/>
          <w:sz w:val="24"/>
          <w:szCs w:val="24"/>
        </w:rPr>
      </w:pPr>
      <w:bookmarkStart w:id="632" w:name="_Toc25063"/>
      <w:r>
        <w:rPr>
          <w:rFonts w:hint="eastAsia" w:asciiTheme="minorEastAsia" w:hAnsiTheme="minorEastAsia" w:eastAsiaTheme="minorEastAsia" w:cstheme="minorEastAsia"/>
          <w:sz w:val="24"/>
          <w:szCs w:val="24"/>
        </w:rPr>
        <w:t>（1）提交响应文件截止时间止，供应商少于3个的；</w:t>
      </w:r>
      <w:bookmarkEnd w:id="632"/>
    </w:p>
    <w:p w14:paraId="59A3B2EA">
      <w:pPr>
        <w:wordWrap w:val="0"/>
        <w:spacing w:line="360" w:lineRule="auto"/>
        <w:ind w:firstLine="480" w:firstLineChars="200"/>
        <w:rPr>
          <w:rFonts w:hint="eastAsia" w:asciiTheme="minorEastAsia" w:hAnsiTheme="minorEastAsia" w:eastAsiaTheme="minorEastAsia" w:cstheme="minorEastAsia"/>
          <w:sz w:val="24"/>
          <w:szCs w:val="24"/>
        </w:rPr>
      </w:pPr>
      <w:bookmarkStart w:id="633" w:name="_Toc17911"/>
      <w:r>
        <w:rPr>
          <w:rFonts w:hint="eastAsia" w:asciiTheme="minorEastAsia" w:hAnsiTheme="minorEastAsia" w:eastAsiaTheme="minorEastAsia" w:cstheme="minorEastAsia"/>
          <w:sz w:val="24"/>
          <w:szCs w:val="24"/>
        </w:rPr>
        <w:t>（2）经磋商小组评审后否决所有响应文件的。</w:t>
      </w:r>
      <w:bookmarkEnd w:id="633"/>
    </w:p>
    <w:p w14:paraId="164EFB4A">
      <w:pPr>
        <w:wordWrap w:val="0"/>
        <w:spacing w:line="360" w:lineRule="auto"/>
        <w:ind w:firstLine="482" w:firstLineChars="200"/>
        <w:rPr>
          <w:rFonts w:hint="eastAsia" w:asciiTheme="minorEastAsia" w:hAnsiTheme="minorEastAsia" w:eastAsiaTheme="minorEastAsia" w:cstheme="minorEastAsia"/>
          <w:b/>
          <w:sz w:val="24"/>
          <w:szCs w:val="24"/>
        </w:rPr>
      </w:pPr>
      <w:bookmarkStart w:id="634" w:name="_Toc455080147"/>
      <w:bookmarkStart w:id="635" w:name="_Toc8213"/>
      <w:bookmarkStart w:id="636" w:name="_Toc27506"/>
      <w:bookmarkStart w:id="637" w:name="_Toc9996"/>
      <w:r>
        <w:rPr>
          <w:rFonts w:hint="eastAsia" w:asciiTheme="minorEastAsia" w:hAnsiTheme="minorEastAsia" w:eastAsiaTheme="minorEastAsia" w:cstheme="minorEastAsia"/>
          <w:b/>
          <w:sz w:val="24"/>
          <w:szCs w:val="24"/>
        </w:rPr>
        <w:t>9. 纪律和监督</w:t>
      </w:r>
      <w:bookmarkEnd w:id="622"/>
      <w:bookmarkEnd w:id="623"/>
      <w:bookmarkEnd w:id="624"/>
      <w:bookmarkEnd w:id="634"/>
      <w:bookmarkEnd w:id="635"/>
      <w:bookmarkEnd w:id="636"/>
      <w:bookmarkEnd w:id="637"/>
    </w:p>
    <w:p w14:paraId="413F7D4F">
      <w:pPr>
        <w:wordWrap w:val="0"/>
        <w:spacing w:line="360" w:lineRule="auto"/>
        <w:ind w:firstLine="482" w:firstLineChars="200"/>
        <w:rPr>
          <w:rFonts w:hint="eastAsia" w:asciiTheme="minorEastAsia" w:hAnsiTheme="minorEastAsia" w:eastAsiaTheme="minorEastAsia" w:cstheme="minorEastAsia"/>
          <w:b/>
          <w:sz w:val="24"/>
          <w:szCs w:val="24"/>
        </w:rPr>
      </w:pPr>
      <w:bookmarkStart w:id="638" w:name="_Toc466298131"/>
      <w:bookmarkStart w:id="639" w:name="_Toc15592"/>
      <w:bookmarkStart w:id="640" w:name="_Toc27836"/>
      <w:bookmarkStart w:id="641" w:name="_Toc152042351"/>
      <w:bookmarkStart w:id="642" w:name="_Toc152045575"/>
      <w:bookmarkStart w:id="643" w:name="_Toc20009"/>
      <w:bookmarkStart w:id="644" w:name="_Toc1282"/>
      <w:bookmarkStart w:id="645" w:name="_Toc455867808"/>
      <w:bookmarkStart w:id="646" w:name="_Toc13970"/>
      <w:bookmarkStart w:id="647" w:name="_Toc490667868"/>
      <w:bookmarkStart w:id="648" w:name="_Toc14155"/>
      <w:bookmarkStart w:id="649" w:name="_Toc12992"/>
      <w:bookmarkStart w:id="650" w:name="_Toc697"/>
      <w:bookmarkStart w:id="651" w:name="_Toc455080148"/>
      <w:bookmarkStart w:id="652" w:name="_Toc144974543"/>
      <w:bookmarkStart w:id="653" w:name="_Toc15769"/>
      <w:bookmarkStart w:id="654" w:name="_Toc269"/>
      <w:bookmarkStart w:id="655" w:name="_Toc19159"/>
      <w:bookmarkStart w:id="656" w:name="_Toc318450714"/>
      <w:r>
        <w:rPr>
          <w:rFonts w:hint="eastAsia" w:asciiTheme="minorEastAsia" w:hAnsiTheme="minorEastAsia" w:eastAsiaTheme="minorEastAsia" w:cstheme="minorEastAsia"/>
          <w:b/>
          <w:sz w:val="24"/>
          <w:szCs w:val="24"/>
        </w:rPr>
        <w:t>9.1 对采购人的纪律要求</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1FFC9383">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采购人不得泄露磋商活动中应当保密的情况和资料，不得与供应商串通损害国家利益、社会公共利益或者他人合法权益。</w:t>
      </w:r>
    </w:p>
    <w:p w14:paraId="08D15457">
      <w:pPr>
        <w:wordWrap w:val="0"/>
        <w:spacing w:line="360" w:lineRule="auto"/>
        <w:ind w:firstLine="482" w:firstLineChars="200"/>
        <w:rPr>
          <w:rFonts w:hint="eastAsia" w:asciiTheme="minorEastAsia" w:hAnsiTheme="minorEastAsia" w:eastAsiaTheme="minorEastAsia" w:cstheme="minorEastAsia"/>
          <w:b/>
          <w:sz w:val="24"/>
          <w:szCs w:val="24"/>
        </w:rPr>
      </w:pPr>
      <w:bookmarkStart w:id="657" w:name="_Toc17040"/>
      <w:bookmarkStart w:id="658" w:name="_Toc144974544"/>
      <w:bookmarkStart w:id="659" w:name="_Toc18204"/>
      <w:bookmarkStart w:id="660" w:name="_Toc7572"/>
      <w:bookmarkStart w:id="661" w:name="_Toc466298132"/>
      <w:bookmarkStart w:id="662" w:name="_Toc490667869"/>
      <w:bookmarkStart w:id="663" w:name="_Toc3662"/>
      <w:bookmarkStart w:id="664" w:name="_Toc1743"/>
      <w:bookmarkStart w:id="665" w:name="_Toc318450715"/>
      <w:bookmarkStart w:id="666" w:name="_Toc18604"/>
      <w:bookmarkStart w:id="667" w:name="_Toc20261"/>
      <w:bookmarkStart w:id="668" w:name="_Toc455080149"/>
      <w:bookmarkStart w:id="669" w:name="_Toc3089"/>
      <w:bookmarkStart w:id="670" w:name="_Toc27698"/>
      <w:bookmarkStart w:id="671" w:name="_Toc21646"/>
      <w:bookmarkStart w:id="672" w:name="_Toc19167"/>
      <w:bookmarkStart w:id="673" w:name="_Toc455867809"/>
      <w:bookmarkStart w:id="674" w:name="_Toc152042352"/>
      <w:bookmarkStart w:id="675" w:name="_Toc152045576"/>
      <w:r>
        <w:rPr>
          <w:rFonts w:hint="eastAsia" w:asciiTheme="minorEastAsia" w:hAnsiTheme="minorEastAsia" w:eastAsiaTheme="minorEastAsia" w:cstheme="minorEastAsia"/>
          <w:b/>
          <w:sz w:val="24"/>
          <w:szCs w:val="24"/>
        </w:rPr>
        <w:t>9.2 对供应商的纪律要求</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33F6A4C3">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供应商不得相互串通或者与采购人串通，不得向采购人或者谈判小组行贿谋取成交，不得以他人名义或者以其他方式弄虚作假骗取成交；供应商不得以任何方式干扰、影响评审工作。</w:t>
      </w:r>
    </w:p>
    <w:p w14:paraId="54249E35">
      <w:pPr>
        <w:wordWrap w:val="0"/>
        <w:spacing w:line="360" w:lineRule="auto"/>
        <w:ind w:firstLine="482" w:firstLineChars="200"/>
        <w:rPr>
          <w:rFonts w:hint="eastAsia" w:asciiTheme="minorEastAsia" w:hAnsiTheme="minorEastAsia" w:eastAsiaTheme="minorEastAsia" w:cstheme="minorEastAsia"/>
          <w:b/>
          <w:sz w:val="24"/>
          <w:szCs w:val="24"/>
        </w:rPr>
      </w:pPr>
      <w:bookmarkStart w:id="676" w:name="_Toc318450716"/>
      <w:bookmarkStart w:id="677" w:name="_Toc32320"/>
      <w:bookmarkStart w:id="678" w:name="_Toc11909"/>
      <w:bookmarkStart w:id="679" w:name="_Toc12177"/>
      <w:bookmarkStart w:id="680" w:name="_Toc25211"/>
      <w:bookmarkStart w:id="681" w:name="_Toc455867810"/>
      <w:bookmarkStart w:id="682" w:name="_Toc28813"/>
      <w:bookmarkStart w:id="683" w:name="_Toc144974545"/>
      <w:bookmarkStart w:id="684" w:name="_Toc152042353"/>
      <w:bookmarkStart w:id="685" w:name="_Toc31001"/>
      <w:bookmarkStart w:id="686" w:name="_Toc466298133"/>
      <w:bookmarkStart w:id="687" w:name="_Toc19965"/>
      <w:bookmarkStart w:id="688" w:name="_Toc30153"/>
      <w:bookmarkStart w:id="689" w:name="_Toc455080150"/>
      <w:bookmarkStart w:id="690" w:name="_Toc7107"/>
      <w:bookmarkStart w:id="691" w:name="_Toc25241"/>
      <w:bookmarkStart w:id="692" w:name="_Toc152045577"/>
      <w:bookmarkStart w:id="693" w:name="_Toc490667870"/>
      <w:bookmarkStart w:id="694" w:name="_Toc7439"/>
      <w:r>
        <w:rPr>
          <w:rFonts w:hint="eastAsia" w:asciiTheme="minorEastAsia" w:hAnsiTheme="minorEastAsia" w:eastAsiaTheme="minorEastAsia" w:cstheme="minorEastAsia"/>
          <w:b/>
          <w:sz w:val="24"/>
          <w:szCs w:val="24"/>
        </w:rPr>
        <w:t>9.3 对磋商小组成员的纪律要求</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165A195F">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成员不得收受他人的财物或者其他好处，不得向他人透露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4A5E75D9">
      <w:pPr>
        <w:wordWrap w:val="0"/>
        <w:spacing w:line="360" w:lineRule="auto"/>
        <w:ind w:firstLine="482" w:firstLineChars="200"/>
        <w:rPr>
          <w:rFonts w:hint="eastAsia" w:asciiTheme="minorEastAsia" w:hAnsiTheme="minorEastAsia" w:eastAsiaTheme="minorEastAsia" w:cstheme="minorEastAsia"/>
          <w:b/>
          <w:sz w:val="24"/>
          <w:szCs w:val="24"/>
        </w:rPr>
      </w:pPr>
      <w:bookmarkStart w:id="695" w:name="_Toc235"/>
      <w:bookmarkStart w:id="696" w:name="_Toc11405"/>
      <w:bookmarkStart w:id="697" w:name="_Toc455867811"/>
      <w:bookmarkStart w:id="698" w:name="_Toc1295"/>
      <w:bookmarkStart w:id="699" w:name="_Toc23717"/>
      <w:bookmarkStart w:id="700" w:name="_Toc318450717"/>
      <w:bookmarkStart w:id="701" w:name="_Toc27559"/>
      <w:bookmarkStart w:id="702" w:name="_Toc20546"/>
      <w:bookmarkStart w:id="703" w:name="_Toc455080151"/>
      <w:bookmarkStart w:id="704" w:name="_Toc152042354"/>
      <w:bookmarkStart w:id="705" w:name="_Toc7368"/>
      <w:bookmarkStart w:id="706" w:name="_Toc26462"/>
      <w:bookmarkStart w:id="707" w:name="_Toc9063"/>
      <w:bookmarkStart w:id="708" w:name="_Toc24"/>
      <w:bookmarkStart w:id="709" w:name="_Toc466298134"/>
      <w:bookmarkStart w:id="710" w:name="_Toc152045578"/>
      <w:bookmarkStart w:id="711" w:name="_Toc490667871"/>
      <w:bookmarkStart w:id="712" w:name="_Toc19485"/>
      <w:bookmarkStart w:id="713" w:name="_Toc144974546"/>
      <w:r>
        <w:rPr>
          <w:rFonts w:hint="eastAsia" w:asciiTheme="minorEastAsia" w:hAnsiTheme="minorEastAsia" w:eastAsiaTheme="minorEastAsia" w:cstheme="minorEastAsia"/>
          <w:b/>
          <w:sz w:val="24"/>
          <w:szCs w:val="24"/>
        </w:rPr>
        <w:t>9.4 对与评标活动有关的工作人员的纪律要求</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5BD0F07B">
      <w:pPr>
        <w:wordWrap w:val="0"/>
        <w:spacing w:line="360" w:lineRule="auto"/>
        <w:ind w:firstLine="480" w:firstLineChars="200"/>
        <w:rPr>
          <w:rFonts w:hint="eastAsia" w:asciiTheme="minorEastAsia" w:hAnsiTheme="minorEastAsia" w:eastAsiaTheme="minorEastAsia" w:cstheme="minorEastAsia"/>
          <w:sz w:val="24"/>
          <w:szCs w:val="24"/>
        </w:rPr>
      </w:pPr>
      <w:bookmarkStart w:id="714" w:name="_Toc152042355"/>
      <w:r>
        <w:rPr>
          <w:rFonts w:hint="eastAsia" w:asciiTheme="minorEastAsia" w:hAnsiTheme="minorEastAsia" w:eastAsiaTheme="minorEastAsia" w:cstheme="minorEastAsia"/>
          <w:sz w:val="24"/>
          <w:szCs w:val="24"/>
        </w:rPr>
        <w:t>与评标活动有关的工作人员不得收受他人的财物或者其他好处，不得向他人透露对响应文件的评审和比较、成交候选人的推荐情况以及评标有关的其他情况。在评标活动中，与评标活动有关的工作人员不得擅离职守，影响评标程序正常进行。</w:t>
      </w:r>
      <w:bookmarkEnd w:id="714"/>
    </w:p>
    <w:p w14:paraId="7A81E07B">
      <w:pPr>
        <w:wordWrap w:val="0"/>
        <w:spacing w:line="360" w:lineRule="auto"/>
        <w:ind w:firstLine="482" w:firstLineChars="200"/>
        <w:rPr>
          <w:rFonts w:hint="eastAsia" w:asciiTheme="minorEastAsia" w:hAnsiTheme="minorEastAsia" w:eastAsiaTheme="minorEastAsia" w:cstheme="minorEastAsia"/>
          <w:b/>
          <w:sz w:val="24"/>
          <w:szCs w:val="24"/>
        </w:rPr>
      </w:pPr>
      <w:bookmarkStart w:id="715" w:name="_Toc32675"/>
      <w:bookmarkStart w:id="716" w:name="_Toc455867812"/>
      <w:bookmarkStart w:id="717" w:name="_Toc31010"/>
      <w:bookmarkStart w:id="718" w:name="_Toc3617"/>
      <w:bookmarkStart w:id="719" w:name="_Toc455080152"/>
      <w:bookmarkStart w:id="720" w:name="_Toc5504"/>
      <w:bookmarkStart w:id="721" w:name="_Toc8074"/>
      <w:bookmarkStart w:id="722" w:name="_Toc466298135"/>
      <w:bookmarkStart w:id="723" w:name="_Toc17735"/>
      <w:bookmarkStart w:id="724" w:name="_Toc152045579"/>
      <w:bookmarkStart w:id="725" w:name="_Toc25751"/>
      <w:bookmarkStart w:id="726" w:name="_Toc27420"/>
      <w:bookmarkStart w:id="727" w:name="_Toc1820"/>
      <w:bookmarkStart w:id="728" w:name="_Toc3303"/>
      <w:bookmarkStart w:id="729" w:name="_Toc6199"/>
      <w:bookmarkStart w:id="730" w:name="_Toc318450718"/>
      <w:bookmarkStart w:id="731" w:name="_Toc490667872"/>
      <w:bookmarkStart w:id="732" w:name="_Toc152042356"/>
      <w:r>
        <w:rPr>
          <w:rFonts w:hint="eastAsia" w:asciiTheme="minorEastAsia" w:hAnsiTheme="minorEastAsia" w:eastAsiaTheme="minorEastAsia" w:cstheme="minorEastAsia"/>
          <w:b/>
          <w:sz w:val="24"/>
          <w:szCs w:val="24"/>
        </w:rPr>
        <w:t>9.5 投诉</w:t>
      </w:r>
      <w:bookmarkEnd w:id="713"/>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26ECD117">
      <w:pPr>
        <w:wordWrap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供应商和其他利害关系人认为本次磋商活动违反法律、法规和规章规定的，有权向有关行政监督部门投诉。</w:t>
      </w:r>
    </w:p>
    <w:p w14:paraId="22DD3789">
      <w:pPr>
        <w:wordWrap w:val="0"/>
        <w:spacing w:line="360" w:lineRule="auto"/>
        <w:ind w:firstLine="482" w:firstLineChars="200"/>
        <w:rPr>
          <w:rFonts w:hint="eastAsia" w:asciiTheme="minorEastAsia" w:hAnsiTheme="minorEastAsia" w:eastAsiaTheme="minorEastAsia" w:cstheme="minorEastAsia"/>
          <w:b/>
          <w:sz w:val="24"/>
          <w:szCs w:val="24"/>
        </w:rPr>
      </w:pPr>
      <w:bookmarkStart w:id="733" w:name="_Toc18280"/>
      <w:bookmarkStart w:id="734" w:name="_Toc152042357"/>
      <w:bookmarkStart w:id="735" w:name="_Toc455080153"/>
      <w:bookmarkStart w:id="736" w:name="_Toc144974547"/>
      <w:bookmarkStart w:id="737" w:name="_Toc152045580"/>
      <w:bookmarkStart w:id="738" w:name="_Toc24942"/>
      <w:bookmarkStart w:id="739" w:name="_Toc14221"/>
      <w:r>
        <w:rPr>
          <w:rFonts w:hint="eastAsia" w:asciiTheme="minorEastAsia" w:hAnsiTheme="minorEastAsia" w:eastAsiaTheme="minorEastAsia" w:cstheme="minorEastAsia"/>
          <w:b/>
          <w:sz w:val="24"/>
          <w:szCs w:val="24"/>
        </w:rPr>
        <w:t>10. 需要补充的其他内容</w:t>
      </w:r>
      <w:bookmarkEnd w:id="733"/>
      <w:bookmarkEnd w:id="734"/>
      <w:bookmarkEnd w:id="735"/>
      <w:bookmarkEnd w:id="736"/>
      <w:bookmarkEnd w:id="737"/>
      <w:bookmarkEnd w:id="738"/>
      <w:bookmarkEnd w:id="739"/>
    </w:p>
    <w:bookmarkEnd w:id="23"/>
    <w:p w14:paraId="23270F32">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bookmarkStart w:id="740" w:name="_Toc29331"/>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 采购人不承诺最低价中标，而且采购人没有义务解释说明未中标原因。</w:t>
      </w:r>
      <w:bookmarkEnd w:id="740"/>
    </w:p>
    <w:p w14:paraId="2E54CD65">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.2 其他未尽事宜，按国家有关法律、法规执行。</w:t>
      </w:r>
    </w:p>
    <w:p w14:paraId="23F65821">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.3 本</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文件解释权归固始县教育体育局。</w:t>
      </w:r>
    </w:p>
    <w:p w14:paraId="109E61DC">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.4 监督单位：固始县财政局政府采购监督科。</w:t>
      </w:r>
    </w:p>
    <w:p w14:paraId="143B694E">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.5.需要落实的政府采购政策</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专门面向中小企业适用</w:t>
      </w:r>
      <w:r>
        <w:rPr>
          <w:rFonts w:hint="eastAsia" w:ascii="宋体" w:hAnsi="宋体" w:eastAsia="宋体" w:cs="宋体"/>
          <w:b/>
          <w:bCs/>
          <w:color w:val="auto"/>
          <w:sz w:val="21"/>
          <w:szCs w:val="21"/>
          <w:highlight w:val="none"/>
          <w:lang w:eastAsia="zh-CN"/>
        </w:rPr>
        <w:t>）</w:t>
      </w:r>
    </w:p>
    <w:p w14:paraId="6B064338">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.5.1 小型微型企业认定及评标价格评审</w:t>
      </w:r>
    </w:p>
    <w:tbl>
      <w:tblPr>
        <w:tblStyle w:val="37"/>
        <w:tblW w:w="9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5"/>
        <w:gridCol w:w="1469"/>
        <w:gridCol w:w="1397"/>
        <w:gridCol w:w="2131"/>
        <w:gridCol w:w="2326"/>
      </w:tblGrid>
      <w:tr w14:paraId="7CF6E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995" w:type="dxa"/>
            <w:tcBorders>
              <w:top w:val="single" w:color="000000" w:sz="2" w:space="0"/>
              <w:bottom w:val="single" w:color="000000" w:sz="2" w:space="0"/>
            </w:tcBorders>
            <w:vAlign w:val="center"/>
          </w:tcPr>
          <w:p w14:paraId="273F4E9C">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1469" w:type="dxa"/>
            <w:tcBorders>
              <w:top w:val="single" w:color="000000" w:sz="2" w:space="0"/>
              <w:bottom w:val="single" w:color="000000" w:sz="2" w:space="0"/>
            </w:tcBorders>
            <w:vAlign w:val="center"/>
          </w:tcPr>
          <w:p w14:paraId="0CA13A67">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大型企业</w:t>
            </w:r>
          </w:p>
        </w:tc>
        <w:tc>
          <w:tcPr>
            <w:tcW w:w="1397" w:type="dxa"/>
            <w:tcBorders>
              <w:top w:val="single" w:color="000000" w:sz="2" w:space="0"/>
              <w:bottom w:val="single" w:color="000000" w:sz="2" w:space="0"/>
            </w:tcBorders>
            <w:vAlign w:val="center"/>
          </w:tcPr>
          <w:p w14:paraId="68CBB7E7">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中型企业</w:t>
            </w:r>
          </w:p>
        </w:tc>
        <w:tc>
          <w:tcPr>
            <w:tcW w:w="2131" w:type="dxa"/>
            <w:tcBorders>
              <w:top w:val="single" w:color="000000" w:sz="2" w:space="0"/>
              <w:bottom w:val="single" w:color="000000" w:sz="2" w:space="0"/>
            </w:tcBorders>
            <w:vAlign w:val="center"/>
          </w:tcPr>
          <w:p w14:paraId="03D588A3">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小型企业</w:t>
            </w:r>
          </w:p>
        </w:tc>
        <w:tc>
          <w:tcPr>
            <w:tcW w:w="2326" w:type="dxa"/>
            <w:tcBorders>
              <w:top w:val="single" w:color="000000" w:sz="2" w:space="0"/>
              <w:bottom w:val="single" w:color="000000" w:sz="2" w:space="0"/>
            </w:tcBorders>
            <w:vAlign w:val="center"/>
          </w:tcPr>
          <w:p w14:paraId="3023C123">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微型企业</w:t>
            </w:r>
          </w:p>
        </w:tc>
      </w:tr>
      <w:tr w14:paraId="3296A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995" w:type="dxa"/>
            <w:tcBorders>
              <w:top w:val="single" w:color="000000" w:sz="2" w:space="0"/>
              <w:bottom w:val="single" w:color="000000" w:sz="2" w:space="0"/>
            </w:tcBorders>
            <w:vAlign w:val="center"/>
          </w:tcPr>
          <w:p w14:paraId="0213AE34">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投标价格=</w:t>
            </w:r>
          </w:p>
        </w:tc>
        <w:tc>
          <w:tcPr>
            <w:tcW w:w="1469" w:type="dxa"/>
            <w:tcBorders>
              <w:top w:val="single" w:color="000000" w:sz="2" w:space="0"/>
              <w:bottom w:val="single" w:color="000000" w:sz="2" w:space="0"/>
            </w:tcBorders>
            <w:vAlign w:val="center"/>
          </w:tcPr>
          <w:p w14:paraId="7E2C436D">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1397" w:type="dxa"/>
            <w:tcBorders>
              <w:top w:val="single" w:color="000000" w:sz="2" w:space="0"/>
              <w:bottom w:val="single" w:color="000000" w:sz="2" w:space="0"/>
            </w:tcBorders>
            <w:vAlign w:val="center"/>
          </w:tcPr>
          <w:p w14:paraId="606985B8">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2131" w:type="dxa"/>
            <w:tcBorders>
              <w:top w:val="single" w:color="000000" w:sz="2" w:space="0"/>
              <w:bottom w:val="single" w:color="000000" w:sz="2" w:space="0"/>
            </w:tcBorders>
            <w:vAlign w:val="center"/>
          </w:tcPr>
          <w:p w14:paraId="489B5B77">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投标报价×(1-20%)</w:t>
            </w:r>
          </w:p>
        </w:tc>
        <w:tc>
          <w:tcPr>
            <w:tcW w:w="2326" w:type="dxa"/>
            <w:tcBorders>
              <w:top w:val="single" w:color="000000" w:sz="2" w:space="0"/>
              <w:bottom w:val="single" w:color="000000" w:sz="2" w:space="0"/>
            </w:tcBorders>
            <w:vAlign w:val="center"/>
          </w:tcPr>
          <w:p w14:paraId="2DE65952">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投标报价×(1-20%)</w:t>
            </w:r>
          </w:p>
        </w:tc>
      </w:tr>
    </w:tbl>
    <w:p w14:paraId="1FCF1F59">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.5.2 根据《政府采购促进中小企业发展管理办法》(财库[2020]46 号) 的规定、《工业和信息化部、国家统计局、国家发展和改革委员会、财政部关于印发中小企业划型标准规定的通知》(工信部联企业[2011]300 号)、河南省财政厅河南省工业和信息化厅《关于政府采购促进小型微型企业发展的实施意见》(豫财购[2013]14 号) 文件规定，对小型和微型企业产品的价格给予 20%的扣除，用扣除后的价格参与评审。</w:t>
      </w:r>
    </w:p>
    <w:p w14:paraId="22998091">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.5.3 根据财政部、司法部联合印发《关于政府采购支持监狱企业发展有关问题的通知》(财库【2014】68 号)文件规定，凡监狱企业参加政府采购活动视同小型、微型企业，享受评审价格扣除的政府采购优惠政策。此次若有监狱企业参加投标的其报价享受20%的价格扣除，但必须提供由省级以上监狱管理局、戒毒管理局(含新疆生产建设兵团) 出具的属于监狱企业的证明文件，否则评审时不予价格扣除优惠</w:t>
      </w:r>
      <w:r>
        <w:rPr>
          <w:rFonts w:hint="eastAsia" w:ascii="宋体" w:hAnsi="宋体" w:eastAsia="宋体" w:cs="宋体"/>
          <w:color w:val="auto"/>
          <w:sz w:val="21"/>
          <w:szCs w:val="21"/>
          <w:highlight w:val="none"/>
          <w:lang w:eastAsia="zh-CN"/>
        </w:rPr>
        <w:t>。</w:t>
      </w:r>
    </w:p>
    <w:p w14:paraId="15412BF7">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.5.4 根据财库(2017)141 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 (见</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格式),并对声明的真实性负责。</w:t>
      </w:r>
    </w:p>
    <w:p w14:paraId="0548718F">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.5.5 根据(财政部国家环保总局联合印发《关于环境标志产品政府采购实施的意见》的通知) 财库〔1906〕90 号文件的有关要求，投标人本次投标活动中， 如果所投设备属于最新发布“环境标志产品政府采购清单”中的品目时，在性能、技术、服务等指标同等条件下，将优先采购清单中的产品。</w:t>
      </w:r>
    </w:p>
    <w:p w14:paraId="7E2DE0FF">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.5.6 根据(财政部国家发展改革委关于印发《节能产品政府采购实施意见》的通知) 财库〔1904〕185 号文件的有关要求，投标人本次投标活动中， 如果所投设备属于最新发布“节能产品政府采购清单”中的品目时，在性能、技术、服务等指标同等条件下，将优先采购清单中的产品。</w:t>
      </w:r>
    </w:p>
    <w:p w14:paraId="080DDC58">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sectPr>
          <w:headerReference r:id="rId7" w:type="default"/>
          <w:footerReference r:id="rId8" w:type="default"/>
          <w:pgSz w:w="11909" w:h="16834"/>
          <w:pgMar w:top="1440" w:right="1080" w:bottom="1440" w:left="1080" w:header="850" w:footer="850" w:gutter="0"/>
          <w:pgNumType w:fmt="decimal"/>
          <w:cols w:space="720" w:num="1"/>
        </w:sectPr>
      </w:pPr>
    </w:p>
    <w:p w14:paraId="3D532DF1">
      <w:pPr>
        <w:keepNext w:val="0"/>
        <w:keepLines w:val="0"/>
        <w:pageBreakBefore w:val="0"/>
        <w:kinsoku/>
        <w:wordWrap w:val="0"/>
        <w:overflowPunct w:val="0"/>
        <w:topLinePunct/>
        <w:autoSpaceDE w:val="0"/>
        <w:autoSpaceDN w:val="0"/>
        <w:bidi w:val="0"/>
        <w:spacing w:before="55" w:line="221" w:lineRule="auto"/>
        <w:ind w:left="442"/>
        <w:outlineLvl w:val="0"/>
        <w:rPr>
          <w:rFonts w:hint="eastAsia" w:ascii="宋体" w:hAnsi="宋体" w:eastAsia="宋体" w:cs="宋体"/>
          <w:color w:val="auto"/>
          <w:sz w:val="27"/>
          <w:szCs w:val="27"/>
          <w:highlight w:val="none"/>
        </w:rPr>
      </w:pPr>
      <w:bookmarkStart w:id="741" w:name="_Toc1256"/>
      <w:bookmarkStart w:id="742" w:name="_Toc12826"/>
      <w:r>
        <w:rPr>
          <w:rFonts w:hint="eastAsia" w:ascii="宋体" w:hAnsi="宋体" w:eastAsia="宋体" w:cs="宋体"/>
          <w:color w:val="auto"/>
          <w:spacing w:val="1"/>
          <w:sz w:val="27"/>
          <w:szCs w:val="27"/>
          <w:highlight w:val="none"/>
        </w:rPr>
        <w:t>附件一：问题澄清</w:t>
      </w:r>
      <w:r>
        <w:rPr>
          <w:rFonts w:hint="eastAsia" w:ascii="宋体" w:hAnsi="宋体" w:eastAsia="宋体" w:cs="宋体"/>
          <w:color w:val="auto"/>
          <w:sz w:val="27"/>
          <w:szCs w:val="27"/>
          <w:highlight w:val="none"/>
        </w:rPr>
        <w:t>通知</w:t>
      </w:r>
      <w:bookmarkEnd w:id="741"/>
      <w:bookmarkEnd w:id="742"/>
    </w:p>
    <w:p w14:paraId="3746507E">
      <w:pPr>
        <w:keepNext w:val="0"/>
        <w:keepLines w:val="0"/>
        <w:pageBreakBefore w:val="0"/>
        <w:kinsoku/>
        <w:wordWrap w:val="0"/>
        <w:overflowPunct w:val="0"/>
        <w:topLinePunct/>
        <w:autoSpaceDE w:val="0"/>
        <w:autoSpaceDN w:val="0"/>
        <w:bidi w:val="0"/>
        <w:spacing w:line="332" w:lineRule="auto"/>
        <w:rPr>
          <w:rFonts w:hint="eastAsia" w:ascii="宋体" w:hAnsi="宋体" w:eastAsia="宋体" w:cs="宋体"/>
          <w:color w:val="auto"/>
          <w:sz w:val="21"/>
          <w:highlight w:val="none"/>
        </w:rPr>
      </w:pPr>
    </w:p>
    <w:p w14:paraId="3EBA2ABA">
      <w:pPr>
        <w:keepNext w:val="0"/>
        <w:keepLines w:val="0"/>
        <w:pageBreakBefore w:val="0"/>
        <w:kinsoku/>
        <w:wordWrap w:val="0"/>
        <w:overflowPunct w:val="0"/>
        <w:topLinePunct/>
        <w:autoSpaceDE w:val="0"/>
        <w:autoSpaceDN w:val="0"/>
        <w:bidi w:val="0"/>
        <w:spacing w:line="333" w:lineRule="auto"/>
        <w:rPr>
          <w:rFonts w:hint="eastAsia" w:ascii="宋体" w:hAnsi="宋体" w:eastAsia="宋体" w:cs="宋体"/>
          <w:color w:val="auto"/>
          <w:sz w:val="21"/>
          <w:highlight w:val="none"/>
        </w:rPr>
      </w:pPr>
    </w:p>
    <w:p w14:paraId="1BF9FD70">
      <w:pPr>
        <w:keepNext w:val="0"/>
        <w:keepLines w:val="0"/>
        <w:pageBreakBefore w:val="0"/>
        <w:kinsoku/>
        <w:wordWrap w:val="0"/>
        <w:overflowPunct w:val="0"/>
        <w:topLinePunct/>
        <w:autoSpaceDE w:val="0"/>
        <w:autoSpaceDN w:val="0"/>
        <w:bidi w:val="0"/>
        <w:spacing w:before="88" w:line="481" w:lineRule="exact"/>
        <w:ind w:left="3840"/>
        <w:rPr>
          <w:rFonts w:hint="eastAsia" w:ascii="宋体" w:hAnsi="宋体" w:eastAsia="宋体" w:cs="宋体"/>
          <w:color w:val="auto"/>
          <w:sz w:val="27"/>
          <w:szCs w:val="27"/>
          <w:highlight w:val="none"/>
        </w:rPr>
      </w:pPr>
      <w:r>
        <w:rPr>
          <w:rFonts w:hint="eastAsia" w:ascii="宋体" w:hAnsi="宋体" w:eastAsia="宋体" w:cs="宋体"/>
          <w:color w:val="auto"/>
          <w:spacing w:val="-4"/>
          <w:position w:val="15"/>
          <w:sz w:val="27"/>
          <w:szCs w:val="27"/>
          <w:highlight w:val="none"/>
        </w:rPr>
        <w:t>问</w:t>
      </w:r>
      <w:r>
        <w:rPr>
          <w:rFonts w:hint="eastAsia" w:ascii="宋体" w:hAnsi="宋体" w:eastAsia="宋体" w:cs="宋体"/>
          <w:color w:val="auto"/>
          <w:spacing w:val="-3"/>
          <w:position w:val="15"/>
          <w:sz w:val="27"/>
          <w:szCs w:val="27"/>
          <w:highlight w:val="none"/>
        </w:rPr>
        <w:t>题</w:t>
      </w:r>
      <w:r>
        <w:rPr>
          <w:rFonts w:hint="eastAsia" w:ascii="宋体" w:hAnsi="宋体" w:eastAsia="宋体" w:cs="宋体"/>
          <w:color w:val="auto"/>
          <w:spacing w:val="-2"/>
          <w:position w:val="15"/>
          <w:sz w:val="27"/>
          <w:szCs w:val="27"/>
          <w:highlight w:val="none"/>
        </w:rPr>
        <w:t>澄清通知</w:t>
      </w:r>
    </w:p>
    <w:p w14:paraId="4255E394">
      <w:pPr>
        <w:keepNext w:val="0"/>
        <w:keepLines w:val="0"/>
        <w:pageBreakBefore w:val="0"/>
        <w:kinsoku/>
        <w:wordWrap w:val="0"/>
        <w:overflowPunct w:val="0"/>
        <w:topLinePunct/>
        <w:autoSpaceDE w:val="0"/>
        <w:autoSpaceDN w:val="0"/>
        <w:bidi w:val="0"/>
        <w:spacing w:line="224" w:lineRule="auto"/>
        <w:ind w:left="326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编</w:t>
      </w:r>
      <w:r>
        <w:rPr>
          <w:rFonts w:hint="eastAsia" w:ascii="宋体" w:hAnsi="宋体" w:eastAsia="宋体" w:cs="宋体"/>
          <w:color w:val="auto"/>
          <w:spacing w:val="-9"/>
          <w:sz w:val="21"/>
          <w:szCs w:val="21"/>
          <w:highlight w:val="none"/>
        </w:rPr>
        <w:t>号：</w:t>
      </w:r>
    </w:p>
    <w:p w14:paraId="6298C147">
      <w:pPr>
        <w:keepNext w:val="0"/>
        <w:keepLines w:val="0"/>
        <w:pageBreakBefore w:val="0"/>
        <w:kinsoku/>
        <w:wordWrap w:val="0"/>
        <w:overflowPunct w:val="0"/>
        <w:topLinePunct/>
        <w:autoSpaceDE w:val="0"/>
        <w:autoSpaceDN w:val="0"/>
        <w:bidi w:val="0"/>
        <w:spacing w:line="282" w:lineRule="auto"/>
        <w:rPr>
          <w:rFonts w:hint="eastAsia" w:ascii="宋体" w:hAnsi="宋体" w:eastAsia="宋体" w:cs="宋体"/>
          <w:color w:val="auto"/>
          <w:sz w:val="21"/>
          <w:highlight w:val="none"/>
        </w:rPr>
      </w:pPr>
    </w:p>
    <w:p w14:paraId="300AAE24">
      <w:pPr>
        <w:keepNext w:val="0"/>
        <w:keepLines w:val="0"/>
        <w:pageBreakBefore w:val="0"/>
        <w:kinsoku/>
        <w:wordWrap w:val="0"/>
        <w:overflowPunct w:val="0"/>
        <w:topLinePunct/>
        <w:autoSpaceDE w:val="0"/>
        <w:autoSpaceDN w:val="0"/>
        <w:bidi w:val="0"/>
        <w:spacing w:line="283" w:lineRule="auto"/>
        <w:rPr>
          <w:rFonts w:hint="eastAsia" w:ascii="宋体" w:hAnsi="宋体" w:eastAsia="宋体" w:cs="宋体"/>
          <w:color w:val="auto"/>
          <w:sz w:val="21"/>
          <w:highlight w:val="none"/>
        </w:rPr>
      </w:pPr>
    </w:p>
    <w:p w14:paraId="012B84AA">
      <w:pPr>
        <w:keepNext w:val="0"/>
        <w:keepLines w:val="0"/>
        <w:pageBreakBefore w:val="0"/>
        <w:tabs>
          <w:tab w:val="left" w:pos="2320"/>
        </w:tabs>
        <w:kinsoku/>
        <w:wordWrap w:val="0"/>
        <w:overflowPunct w:val="0"/>
        <w:topLinePunct/>
        <w:autoSpaceDE w:val="0"/>
        <w:autoSpaceDN w:val="0"/>
        <w:bidi w:val="0"/>
        <w:spacing w:before="69" w:line="226" w:lineRule="auto"/>
        <w:ind w:left="2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11"/>
          <w:sz w:val="21"/>
          <w:szCs w:val="21"/>
          <w:highlight w:val="none"/>
        </w:rPr>
        <w:t>(投标人名称)</w:t>
      </w:r>
      <w:r>
        <w:rPr>
          <w:rFonts w:hint="eastAsia" w:ascii="宋体" w:hAnsi="宋体" w:eastAsia="宋体" w:cs="宋体"/>
          <w:color w:val="auto"/>
          <w:spacing w:val="10"/>
          <w:sz w:val="21"/>
          <w:szCs w:val="21"/>
          <w:highlight w:val="none"/>
        </w:rPr>
        <w:t>：</w:t>
      </w:r>
    </w:p>
    <w:p w14:paraId="61849EC9">
      <w:pPr>
        <w:keepNext w:val="0"/>
        <w:keepLines w:val="0"/>
        <w:pageBreakBefore w:val="0"/>
        <w:kinsoku/>
        <w:wordWrap w:val="0"/>
        <w:overflowPunct w:val="0"/>
        <w:topLinePunct/>
        <w:autoSpaceDE w:val="0"/>
        <w:autoSpaceDN w:val="0"/>
        <w:bidi w:val="0"/>
        <w:spacing w:line="275" w:lineRule="auto"/>
        <w:rPr>
          <w:rFonts w:hint="eastAsia" w:ascii="宋体" w:hAnsi="宋体" w:eastAsia="宋体" w:cs="宋体"/>
          <w:color w:val="auto"/>
          <w:sz w:val="21"/>
          <w:highlight w:val="none"/>
        </w:rPr>
      </w:pPr>
    </w:p>
    <w:p w14:paraId="201100FD">
      <w:pPr>
        <w:keepNext w:val="0"/>
        <w:keepLines w:val="0"/>
        <w:pageBreakBefore w:val="0"/>
        <w:kinsoku/>
        <w:wordWrap w:val="0"/>
        <w:overflowPunct w:val="0"/>
        <w:topLinePunct/>
        <w:autoSpaceDE w:val="0"/>
        <w:autoSpaceDN w:val="0"/>
        <w:bidi w:val="0"/>
        <w:spacing w:line="275" w:lineRule="auto"/>
        <w:rPr>
          <w:rFonts w:hint="eastAsia" w:ascii="宋体" w:hAnsi="宋体" w:eastAsia="宋体" w:cs="宋体"/>
          <w:color w:val="auto"/>
          <w:sz w:val="21"/>
          <w:highlight w:val="none"/>
        </w:rPr>
      </w:pPr>
    </w:p>
    <w:p w14:paraId="79035424">
      <w:pPr>
        <w:keepNext w:val="0"/>
        <w:keepLines w:val="0"/>
        <w:pageBreakBefore w:val="0"/>
        <w:tabs>
          <w:tab w:val="left" w:pos="2306"/>
        </w:tabs>
        <w:kinsoku/>
        <w:wordWrap w:val="0"/>
        <w:overflowPunct w:val="0"/>
        <w:topLinePunct/>
        <w:autoSpaceDE w:val="0"/>
        <w:autoSpaceDN w:val="0"/>
        <w:bidi w:val="0"/>
        <w:spacing w:before="68" w:line="388" w:lineRule="auto"/>
        <w:ind w:firstLine="6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5"/>
          <w:sz w:val="21"/>
          <w:szCs w:val="21"/>
          <w:highlight w:val="none"/>
        </w:rPr>
        <w:t>项目名称) 的评标委员会， 对你方的</w:t>
      </w:r>
      <w:r>
        <w:rPr>
          <w:rFonts w:hint="eastAsia" w:ascii="宋体" w:hAnsi="宋体" w:eastAsia="宋体" w:cs="宋体"/>
          <w:color w:val="auto"/>
          <w:spacing w:val="-5"/>
          <w:sz w:val="21"/>
          <w:szCs w:val="21"/>
          <w:highlight w:val="none"/>
          <w:lang w:eastAsia="zh-CN"/>
        </w:rPr>
        <w:t>响应文件</w:t>
      </w:r>
      <w:r>
        <w:rPr>
          <w:rFonts w:hint="eastAsia" w:ascii="宋体" w:hAnsi="宋体" w:eastAsia="宋体" w:cs="宋体"/>
          <w:color w:val="auto"/>
          <w:spacing w:val="-5"/>
          <w:sz w:val="21"/>
          <w:szCs w:val="21"/>
          <w:highlight w:val="none"/>
        </w:rPr>
        <w:t>进行了仔细的审查，现需你方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对下</w:t>
      </w:r>
      <w:r>
        <w:rPr>
          <w:rFonts w:hint="eastAsia" w:ascii="宋体" w:hAnsi="宋体" w:eastAsia="宋体" w:cs="宋体"/>
          <w:color w:val="auto"/>
          <w:spacing w:val="5"/>
          <w:sz w:val="21"/>
          <w:szCs w:val="21"/>
          <w:highlight w:val="none"/>
        </w:rPr>
        <w:t>列</w:t>
      </w:r>
      <w:r>
        <w:rPr>
          <w:rFonts w:hint="eastAsia" w:ascii="宋体" w:hAnsi="宋体" w:eastAsia="宋体" w:cs="宋体"/>
          <w:color w:val="auto"/>
          <w:spacing w:val="3"/>
          <w:sz w:val="21"/>
          <w:szCs w:val="21"/>
          <w:highlight w:val="none"/>
        </w:rPr>
        <w:t>问题以书面形式予以澄清：</w:t>
      </w:r>
    </w:p>
    <w:p w14:paraId="12AD205C">
      <w:pPr>
        <w:keepNext w:val="0"/>
        <w:keepLines w:val="0"/>
        <w:pageBreakBefore w:val="0"/>
        <w:kinsoku/>
        <w:wordWrap w:val="0"/>
        <w:overflowPunct w:val="0"/>
        <w:topLinePunct/>
        <w:autoSpaceDE w:val="0"/>
        <w:autoSpaceDN w:val="0"/>
        <w:bidi w:val="0"/>
        <w:spacing w:line="394" w:lineRule="auto"/>
        <w:rPr>
          <w:rFonts w:hint="eastAsia" w:ascii="宋体" w:hAnsi="宋体" w:eastAsia="宋体" w:cs="宋体"/>
          <w:color w:val="auto"/>
          <w:sz w:val="21"/>
          <w:highlight w:val="none"/>
        </w:rPr>
      </w:pPr>
    </w:p>
    <w:p w14:paraId="48CE88D2">
      <w:pPr>
        <w:keepNext w:val="0"/>
        <w:keepLines w:val="0"/>
        <w:pageBreakBefore w:val="0"/>
        <w:kinsoku/>
        <w:wordWrap w:val="0"/>
        <w:overflowPunct w:val="0"/>
        <w:topLinePunct/>
        <w:autoSpaceDE w:val="0"/>
        <w:autoSpaceDN w:val="0"/>
        <w:bidi w:val="0"/>
        <w:spacing w:before="69" w:line="186" w:lineRule="auto"/>
        <w:ind w:left="44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w:t>
      </w:r>
    </w:p>
    <w:p w14:paraId="0C265A57">
      <w:pPr>
        <w:keepNext w:val="0"/>
        <w:keepLines w:val="0"/>
        <w:pageBreakBefore w:val="0"/>
        <w:kinsoku/>
        <w:wordWrap w:val="0"/>
        <w:overflowPunct w:val="0"/>
        <w:topLinePunct/>
        <w:autoSpaceDE w:val="0"/>
        <w:autoSpaceDN w:val="0"/>
        <w:bidi w:val="0"/>
        <w:spacing w:before="235" w:line="186"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p>
    <w:p w14:paraId="49D1FA36">
      <w:pPr>
        <w:keepNext w:val="0"/>
        <w:keepLines w:val="0"/>
        <w:pageBreakBefore w:val="0"/>
        <w:kinsoku/>
        <w:wordWrap w:val="0"/>
        <w:overflowPunct w:val="0"/>
        <w:topLinePunct/>
        <w:autoSpaceDE w:val="0"/>
        <w:autoSpaceDN w:val="0"/>
        <w:bidi w:val="0"/>
        <w:spacing w:line="274" w:lineRule="auto"/>
        <w:rPr>
          <w:rFonts w:hint="eastAsia" w:ascii="宋体" w:hAnsi="宋体" w:eastAsia="宋体" w:cs="宋体"/>
          <w:color w:val="auto"/>
          <w:sz w:val="21"/>
          <w:highlight w:val="none"/>
        </w:rPr>
      </w:pPr>
    </w:p>
    <w:p w14:paraId="1733BFF6">
      <w:pPr>
        <w:keepNext w:val="0"/>
        <w:keepLines w:val="0"/>
        <w:pageBreakBefore w:val="0"/>
        <w:kinsoku/>
        <w:wordWrap w:val="0"/>
        <w:overflowPunct w:val="0"/>
        <w:topLinePunct/>
        <w:autoSpaceDE w:val="0"/>
        <w:autoSpaceDN w:val="0"/>
        <w:bidi w:val="0"/>
        <w:spacing w:before="69" w:line="88" w:lineRule="exact"/>
        <w:ind w:left="526"/>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6"/>
          <w:position w:val="1"/>
          <w:sz w:val="21"/>
          <w:szCs w:val="21"/>
          <w:highlight w:val="none"/>
        </w:rPr>
        <w:t>.....</w:t>
      </w:r>
    </w:p>
    <w:p w14:paraId="6DD47E2A">
      <w:pPr>
        <w:keepNext w:val="0"/>
        <w:keepLines w:val="0"/>
        <w:pageBreakBefore w:val="0"/>
        <w:kinsoku/>
        <w:wordWrap w:val="0"/>
        <w:overflowPunct w:val="0"/>
        <w:topLinePunct/>
        <w:autoSpaceDE w:val="0"/>
        <w:autoSpaceDN w:val="0"/>
        <w:bidi w:val="0"/>
        <w:spacing w:line="258" w:lineRule="auto"/>
        <w:rPr>
          <w:rFonts w:hint="eastAsia" w:ascii="宋体" w:hAnsi="宋体" w:eastAsia="宋体" w:cs="宋体"/>
          <w:color w:val="auto"/>
          <w:sz w:val="21"/>
          <w:highlight w:val="none"/>
        </w:rPr>
      </w:pPr>
    </w:p>
    <w:p w14:paraId="75F9A837">
      <w:pPr>
        <w:keepNext w:val="0"/>
        <w:keepLines w:val="0"/>
        <w:pageBreakBefore w:val="0"/>
        <w:kinsoku/>
        <w:wordWrap w:val="0"/>
        <w:overflowPunct w:val="0"/>
        <w:topLinePunct/>
        <w:autoSpaceDE w:val="0"/>
        <w:autoSpaceDN w:val="0"/>
        <w:bidi w:val="0"/>
        <w:spacing w:line="258" w:lineRule="auto"/>
        <w:rPr>
          <w:rFonts w:hint="eastAsia" w:ascii="宋体" w:hAnsi="宋体" w:eastAsia="宋体" w:cs="宋体"/>
          <w:color w:val="auto"/>
          <w:sz w:val="21"/>
          <w:highlight w:val="none"/>
        </w:rPr>
      </w:pPr>
    </w:p>
    <w:p w14:paraId="59B46869">
      <w:pPr>
        <w:keepNext w:val="0"/>
        <w:keepLines w:val="0"/>
        <w:pageBreakBefore w:val="0"/>
        <w:kinsoku/>
        <w:wordWrap w:val="0"/>
        <w:overflowPunct w:val="0"/>
        <w:topLinePunct/>
        <w:autoSpaceDE w:val="0"/>
        <w:autoSpaceDN w:val="0"/>
        <w:bidi w:val="0"/>
        <w:spacing w:line="258" w:lineRule="auto"/>
        <w:rPr>
          <w:rFonts w:hint="eastAsia" w:ascii="宋体" w:hAnsi="宋体" w:eastAsia="宋体" w:cs="宋体"/>
          <w:color w:val="auto"/>
          <w:sz w:val="21"/>
          <w:highlight w:val="none"/>
        </w:rPr>
      </w:pPr>
    </w:p>
    <w:p w14:paraId="043CB0AB">
      <w:pPr>
        <w:keepNext w:val="0"/>
        <w:keepLines w:val="0"/>
        <w:pageBreakBefore w:val="0"/>
        <w:kinsoku/>
        <w:wordWrap w:val="0"/>
        <w:overflowPunct w:val="0"/>
        <w:topLinePunct/>
        <w:autoSpaceDE w:val="0"/>
        <w:autoSpaceDN w:val="0"/>
        <w:bidi w:val="0"/>
        <w:spacing w:line="258" w:lineRule="auto"/>
        <w:rPr>
          <w:rFonts w:hint="eastAsia" w:ascii="宋体" w:hAnsi="宋体" w:eastAsia="宋体" w:cs="宋体"/>
          <w:color w:val="auto"/>
          <w:sz w:val="21"/>
          <w:highlight w:val="none"/>
        </w:rPr>
      </w:pPr>
    </w:p>
    <w:p w14:paraId="73ADCD73">
      <w:pPr>
        <w:keepNext w:val="0"/>
        <w:keepLines w:val="0"/>
        <w:pageBreakBefore w:val="0"/>
        <w:kinsoku/>
        <w:wordWrap w:val="0"/>
        <w:overflowPunct w:val="0"/>
        <w:topLinePunct/>
        <w:autoSpaceDE w:val="0"/>
        <w:autoSpaceDN w:val="0"/>
        <w:bidi w:val="0"/>
        <w:spacing w:line="258" w:lineRule="auto"/>
        <w:rPr>
          <w:rFonts w:hint="eastAsia" w:ascii="宋体" w:hAnsi="宋体" w:eastAsia="宋体" w:cs="宋体"/>
          <w:color w:val="auto"/>
          <w:sz w:val="21"/>
          <w:highlight w:val="none"/>
        </w:rPr>
      </w:pPr>
    </w:p>
    <w:p w14:paraId="403160C0">
      <w:pPr>
        <w:keepNext w:val="0"/>
        <w:keepLines w:val="0"/>
        <w:pageBreakBefore w:val="0"/>
        <w:kinsoku/>
        <w:wordWrap w:val="0"/>
        <w:overflowPunct w:val="0"/>
        <w:topLinePunct/>
        <w:autoSpaceDE w:val="0"/>
        <w:autoSpaceDN w:val="0"/>
        <w:bidi w:val="0"/>
        <w:spacing w:line="258" w:lineRule="auto"/>
        <w:rPr>
          <w:rFonts w:hint="eastAsia" w:ascii="宋体" w:hAnsi="宋体" w:eastAsia="宋体" w:cs="宋体"/>
          <w:color w:val="auto"/>
          <w:sz w:val="21"/>
          <w:highlight w:val="none"/>
        </w:rPr>
      </w:pPr>
    </w:p>
    <w:p w14:paraId="570E0391">
      <w:pPr>
        <w:keepNext w:val="0"/>
        <w:keepLines w:val="0"/>
        <w:pageBreakBefore w:val="0"/>
        <w:kinsoku/>
        <w:wordWrap w:val="0"/>
        <w:overflowPunct w:val="0"/>
        <w:topLinePunct/>
        <w:autoSpaceDE w:val="0"/>
        <w:autoSpaceDN w:val="0"/>
        <w:bidi w:val="0"/>
        <w:spacing w:line="258" w:lineRule="auto"/>
        <w:rPr>
          <w:rFonts w:hint="eastAsia" w:ascii="宋体" w:hAnsi="宋体" w:eastAsia="宋体" w:cs="宋体"/>
          <w:color w:val="auto"/>
          <w:sz w:val="21"/>
          <w:highlight w:val="none"/>
        </w:rPr>
      </w:pPr>
    </w:p>
    <w:p w14:paraId="6AF34A21">
      <w:pPr>
        <w:keepNext w:val="0"/>
        <w:keepLines w:val="0"/>
        <w:pageBreakBefore w:val="0"/>
        <w:kinsoku/>
        <w:wordWrap w:val="0"/>
        <w:overflowPunct w:val="0"/>
        <w:topLinePunct/>
        <w:autoSpaceDE w:val="0"/>
        <w:autoSpaceDN w:val="0"/>
        <w:bidi w:val="0"/>
        <w:spacing w:line="258" w:lineRule="auto"/>
        <w:rPr>
          <w:rFonts w:hint="eastAsia" w:ascii="宋体" w:hAnsi="宋体" w:eastAsia="宋体" w:cs="宋体"/>
          <w:color w:val="auto"/>
          <w:sz w:val="21"/>
          <w:highlight w:val="none"/>
        </w:rPr>
      </w:pPr>
    </w:p>
    <w:p w14:paraId="141EBD5E">
      <w:pPr>
        <w:keepNext w:val="0"/>
        <w:keepLines w:val="0"/>
        <w:pageBreakBefore w:val="0"/>
        <w:kinsoku/>
        <w:wordWrap w:val="0"/>
        <w:overflowPunct w:val="0"/>
        <w:topLinePunct/>
        <w:autoSpaceDE w:val="0"/>
        <w:autoSpaceDN w:val="0"/>
        <w:bidi w:val="0"/>
        <w:spacing w:line="258" w:lineRule="auto"/>
        <w:rPr>
          <w:rFonts w:hint="eastAsia" w:ascii="宋体" w:hAnsi="宋体" w:eastAsia="宋体" w:cs="宋体"/>
          <w:color w:val="auto"/>
          <w:sz w:val="21"/>
          <w:highlight w:val="none"/>
        </w:rPr>
      </w:pPr>
    </w:p>
    <w:p w14:paraId="1D4597E1">
      <w:pPr>
        <w:keepNext w:val="0"/>
        <w:keepLines w:val="0"/>
        <w:pageBreakBefore w:val="0"/>
        <w:tabs>
          <w:tab w:val="left" w:pos="6170"/>
        </w:tabs>
        <w:kinsoku/>
        <w:wordWrap w:val="0"/>
        <w:overflowPunct w:val="0"/>
        <w:topLinePunct/>
        <w:autoSpaceDE w:val="0"/>
        <w:autoSpaceDN w:val="0"/>
        <w:bidi w:val="0"/>
        <w:spacing w:before="68" w:line="224" w:lineRule="auto"/>
        <w:ind w:left="45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8"/>
          <w:sz w:val="21"/>
          <w:szCs w:val="21"/>
          <w:highlight w:val="none"/>
        </w:rPr>
        <w:t>(项</w:t>
      </w:r>
      <w:r>
        <w:rPr>
          <w:rFonts w:hint="eastAsia" w:ascii="宋体" w:hAnsi="宋体" w:eastAsia="宋体" w:cs="宋体"/>
          <w:color w:val="auto"/>
          <w:spacing w:val="-4"/>
          <w:sz w:val="21"/>
          <w:szCs w:val="21"/>
          <w:highlight w:val="none"/>
        </w:rPr>
        <w:t>目名称) 评标委员会</w:t>
      </w:r>
    </w:p>
    <w:p w14:paraId="1CB118DF">
      <w:pPr>
        <w:keepNext w:val="0"/>
        <w:keepLines w:val="0"/>
        <w:pageBreakBefore w:val="0"/>
        <w:kinsoku/>
        <w:wordWrap w:val="0"/>
        <w:overflowPunct w:val="0"/>
        <w:topLinePunct/>
        <w:autoSpaceDE w:val="0"/>
        <w:autoSpaceDN w:val="0"/>
        <w:bidi w:val="0"/>
        <w:spacing w:line="276" w:lineRule="auto"/>
        <w:rPr>
          <w:rFonts w:hint="eastAsia" w:ascii="宋体" w:hAnsi="宋体" w:eastAsia="宋体" w:cs="宋体"/>
          <w:color w:val="auto"/>
          <w:sz w:val="21"/>
          <w:highlight w:val="none"/>
        </w:rPr>
      </w:pPr>
    </w:p>
    <w:p w14:paraId="53112C7A">
      <w:pPr>
        <w:keepNext w:val="0"/>
        <w:keepLines w:val="0"/>
        <w:pageBreakBefore w:val="0"/>
        <w:kinsoku/>
        <w:wordWrap w:val="0"/>
        <w:overflowPunct w:val="0"/>
        <w:topLinePunct/>
        <w:autoSpaceDE w:val="0"/>
        <w:autoSpaceDN w:val="0"/>
        <w:bidi w:val="0"/>
        <w:spacing w:line="276" w:lineRule="auto"/>
        <w:rPr>
          <w:rFonts w:hint="eastAsia" w:ascii="宋体" w:hAnsi="宋体" w:eastAsia="宋体" w:cs="宋体"/>
          <w:color w:val="auto"/>
          <w:sz w:val="21"/>
          <w:highlight w:val="none"/>
        </w:rPr>
      </w:pPr>
    </w:p>
    <w:p w14:paraId="7F0D362E">
      <w:pPr>
        <w:keepNext w:val="0"/>
        <w:keepLines w:val="0"/>
        <w:pageBreakBefore w:val="0"/>
        <w:tabs>
          <w:tab w:val="left" w:pos="6315"/>
        </w:tabs>
        <w:kinsoku/>
        <w:wordWrap w:val="0"/>
        <w:overflowPunct w:val="0"/>
        <w:topLinePunct/>
        <w:autoSpaceDE w:val="0"/>
        <w:autoSpaceDN w:val="0"/>
        <w:bidi w:val="0"/>
        <w:spacing w:before="69" w:line="225" w:lineRule="auto"/>
        <w:ind w:left="57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18"/>
          <w:sz w:val="21"/>
          <w:szCs w:val="21"/>
          <w:highlight w:val="none"/>
        </w:rPr>
        <w:t>年</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10"/>
          <w:sz w:val="21"/>
          <w:szCs w:val="21"/>
          <w:highlight w:val="none"/>
        </w:rPr>
        <w:t>月</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10"/>
          <w:sz w:val="21"/>
          <w:szCs w:val="21"/>
          <w:highlight w:val="none"/>
        </w:rPr>
        <w:t>日</w:t>
      </w:r>
    </w:p>
    <w:p w14:paraId="6181265E">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sectPr>
          <w:pgSz w:w="11909" w:h="16834"/>
          <w:pgMar w:top="1440" w:right="1080" w:bottom="1440" w:left="1080" w:header="850" w:footer="850" w:gutter="0"/>
          <w:pgNumType w:fmt="decimal"/>
          <w:cols w:space="720" w:num="1"/>
        </w:sectPr>
      </w:pPr>
    </w:p>
    <w:p w14:paraId="07953B87">
      <w:pPr>
        <w:keepNext w:val="0"/>
        <w:keepLines w:val="0"/>
        <w:pageBreakBefore w:val="0"/>
        <w:kinsoku/>
        <w:wordWrap w:val="0"/>
        <w:overflowPunct w:val="0"/>
        <w:topLinePunct/>
        <w:autoSpaceDE w:val="0"/>
        <w:autoSpaceDN w:val="0"/>
        <w:bidi w:val="0"/>
        <w:spacing w:before="63" w:line="221" w:lineRule="auto"/>
        <w:ind w:left="32"/>
        <w:rPr>
          <w:rFonts w:hint="eastAsia" w:ascii="宋体" w:hAnsi="宋体" w:eastAsia="宋体" w:cs="宋体"/>
          <w:color w:val="auto"/>
          <w:sz w:val="27"/>
          <w:szCs w:val="27"/>
          <w:highlight w:val="none"/>
        </w:rPr>
      </w:pPr>
      <w:r>
        <w:rPr>
          <w:rFonts w:hint="eastAsia" w:ascii="宋体" w:hAnsi="宋体" w:eastAsia="宋体" w:cs="宋体"/>
          <w:color w:val="auto"/>
          <w:spacing w:val="1"/>
          <w:sz w:val="27"/>
          <w:szCs w:val="27"/>
          <w:highlight w:val="none"/>
        </w:rPr>
        <w:t>附件二：</w:t>
      </w:r>
      <w:r>
        <w:rPr>
          <w:rFonts w:hint="eastAsia" w:ascii="宋体" w:hAnsi="宋体" w:eastAsia="宋体" w:cs="宋体"/>
          <w:color w:val="auto"/>
          <w:sz w:val="27"/>
          <w:szCs w:val="27"/>
          <w:highlight w:val="none"/>
        </w:rPr>
        <w:t>问题的澄清</w:t>
      </w:r>
    </w:p>
    <w:p w14:paraId="1EC04695">
      <w:pPr>
        <w:keepNext w:val="0"/>
        <w:keepLines w:val="0"/>
        <w:pageBreakBefore w:val="0"/>
        <w:kinsoku/>
        <w:wordWrap w:val="0"/>
        <w:overflowPunct w:val="0"/>
        <w:topLinePunct/>
        <w:autoSpaceDE w:val="0"/>
        <w:autoSpaceDN w:val="0"/>
        <w:bidi w:val="0"/>
        <w:spacing w:line="393" w:lineRule="auto"/>
        <w:rPr>
          <w:rFonts w:hint="eastAsia" w:ascii="宋体" w:hAnsi="宋体" w:eastAsia="宋体" w:cs="宋体"/>
          <w:color w:val="auto"/>
          <w:sz w:val="21"/>
          <w:highlight w:val="none"/>
        </w:rPr>
      </w:pPr>
    </w:p>
    <w:p w14:paraId="22608486">
      <w:pPr>
        <w:keepNext w:val="0"/>
        <w:keepLines w:val="0"/>
        <w:pageBreakBefore w:val="0"/>
        <w:kinsoku/>
        <w:wordWrap w:val="0"/>
        <w:overflowPunct w:val="0"/>
        <w:topLinePunct/>
        <w:autoSpaceDE w:val="0"/>
        <w:autoSpaceDN w:val="0"/>
        <w:bidi w:val="0"/>
        <w:spacing w:before="87" w:line="454" w:lineRule="exact"/>
        <w:ind w:left="3977"/>
        <w:rPr>
          <w:rFonts w:hint="eastAsia" w:ascii="宋体" w:hAnsi="宋体" w:eastAsia="宋体" w:cs="宋体"/>
          <w:color w:val="auto"/>
          <w:sz w:val="27"/>
          <w:szCs w:val="27"/>
          <w:highlight w:val="none"/>
        </w:rPr>
      </w:pPr>
      <w:r>
        <w:rPr>
          <w:rFonts w:hint="eastAsia" w:ascii="宋体" w:hAnsi="宋体" w:eastAsia="宋体" w:cs="宋体"/>
          <w:color w:val="auto"/>
          <w:spacing w:val="-6"/>
          <w:position w:val="13"/>
          <w:sz w:val="27"/>
          <w:szCs w:val="27"/>
          <w:highlight w:val="none"/>
        </w:rPr>
        <w:t>问</w:t>
      </w:r>
      <w:r>
        <w:rPr>
          <w:rFonts w:hint="eastAsia" w:ascii="宋体" w:hAnsi="宋体" w:eastAsia="宋体" w:cs="宋体"/>
          <w:color w:val="auto"/>
          <w:spacing w:val="-3"/>
          <w:position w:val="13"/>
          <w:sz w:val="27"/>
          <w:szCs w:val="27"/>
          <w:highlight w:val="none"/>
        </w:rPr>
        <w:t>题的澄清</w:t>
      </w:r>
    </w:p>
    <w:p w14:paraId="3682C171">
      <w:pPr>
        <w:keepNext w:val="0"/>
        <w:keepLines w:val="0"/>
        <w:pageBreakBefore w:val="0"/>
        <w:kinsoku/>
        <w:wordWrap w:val="0"/>
        <w:overflowPunct w:val="0"/>
        <w:topLinePunct/>
        <w:autoSpaceDE w:val="0"/>
        <w:autoSpaceDN w:val="0"/>
        <w:bidi w:val="0"/>
        <w:spacing w:line="224" w:lineRule="auto"/>
        <w:ind w:left="3485"/>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编</w:t>
      </w:r>
      <w:r>
        <w:rPr>
          <w:rFonts w:hint="eastAsia" w:ascii="宋体" w:hAnsi="宋体" w:eastAsia="宋体" w:cs="宋体"/>
          <w:color w:val="auto"/>
          <w:spacing w:val="-9"/>
          <w:sz w:val="21"/>
          <w:szCs w:val="21"/>
          <w:highlight w:val="none"/>
        </w:rPr>
        <w:t>号：</w:t>
      </w:r>
    </w:p>
    <w:p w14:paraId="781CF55D">
      <w:pPr>
        <w:keepNext w:val="0"/>
        <w:keepLines w:val="0"/>
        <w:pageBreakBefore w:val="0"/>
        <w:kinsoku/>
        <w:wordWrap w:val="0"/>
        <w:overflowPunct w:val="0"/>
        <w:topLinePunct/>
        <w:autoSpaceDE w:val="0"/>
        <w:autoSpaceDN w:val="0"/>
        <w:bidi w:val="0"/>
        <w:spacing w:line="247" w:lineRule="auto"/>
        <w:rPr>
          <w:rFonts w:hint="eastAsia" w:ascii="宋体" w:hAnsi="宋体" w:eastAsia="宋体" w:cs="宋体"/>
          <w:color w:val="auto"/>
          <w:sz w:val="21"/>
          <w:highlight w:val="none"/>
        </w:rPr>
      </w:pPr>
    </w:p>
    <w:p w14:paraId="4A6C1554">
      <w:pPr>
        <w:keepNext w:val="0"/>
        <w:keepLines w:val="0"/>
        <w:pageBreakBefore w:val="0"/>
        <w:kinsoku/>
        <w:wordWrap w:val="0"/>
        <w:overflowPunct w:val="0"/>
        <w:topLinePunct/>
        <w:autoSpaceDE w:val="0"/>
        <w:autoSpaceDN w:val="0"/>
        <w:bidi w:val="0"/>
        <w:spacing w:line="247" w:lineRule="auto"/>
        <w:rPr>
          <w:rFonts w:hint="eastAsia" w:ascii="宋体" w:hAnsi="宋体" w:eastAsia="宋体" w:cs="宋体"/>
          <w:color w:val="auto"/>
          <w:sz w:val="21"/>
          <w:highlight w:val="none"/>
        </w:rPr>
      </w:pPr>
    </w:p>
    <w:p w14:paraId="5CD99907">
      <w:pPr>
        <w:keepNext w:val="0"/>
        <w:keepLines w:val="0"/>
        <w:pageBreakBefore w:val="0"/>
        <w:tabs>
          <w:tab w:val="left" w:pos="2025"/>
        </w:tabs>
        <w:kinsoku/>
        <w:wordWrap w:val="0"/>
        <w:overflowPunct w:val="0"/>
        <w:topLinePunct/>
        <w:autoSpaceDE w:val="0"/>
        <w:autoSpaceDN w:val="0"/>
        <w:bidi w:val="0"/>
        <w:spacing w:before="68" w:line="224"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2"/>
          <w:sz w:val="21"/>
          <w:szCs w:val="21"/>
          <w:highlight w:val="none"/>
        </w:rPr>
        <w:t>(项目名称) 评标委员</w:t>
      </w:r>
      <w:r>
        <w:rPr>
          <w:rFonts w:hint="eastAsia" w:ascii="宋体" w:hAnsi="宋体" w:eastAsia="宋体" w:cs="宋体"/>
          <w:color w:val="auto"/>
          <w:spacing w:val="1"/>
          <w:sz w:val="21"/>
          <w:szCs w:val="21"/>
          <w:highlight w:val="none"/>
        </w:rPr>
        <w:t>会</w:t>
      </w:r>
      <w:r>
        <w:rPr>
          <w:rFonts w:hint="eastAsia" w:ascii="宋体" w:hAnsi="宋体" w:eastAsia="宋体" w:cs="宋体"/>
          <w:color w:val="auto"/>
          <w:sz w:val="21"/>
          <w:szCs w:val="21"/>
          <w:highlight w:val="none"/>
        </w:rPr>
        <w:t>：</w:t>
      </w:r>
    </w:p>
    <w:p w14:paraId="722016F4">
      <w:pPr>
        <w:keepNext w:val="0"/>
        <w:keepLines w:val="0"/>
        <w:pageBreakBefore w:val="0"/>
        <w:kinsoku/>
        <w:wordWrap w:val="0"/>
        <w:overflowPunct w:val="0"/>
        <w:topLinePunct/>
        <w:autoSpaceDE w:val="0"/>
        <w:autoSpaceDN w:val="0"/>
        <w:bidi w:val="0"/>
        <w:spacing w:line="276" w:lineRule="auto"/>
        <w:rPr>
          <w:rFonts w:hint="eastAsia" w:ascii="宋体" w:hAnsi="宋体" w:eastAsia="宋体" w:cs="宋体"/>
          <w:color w:val="auto"/>
          <w:sz w:val="21"/>
          <w:highlight w:val="none"/>
        </w:rPr>
      </w:pPr>
    </w:p>
    <w:p w14:paraId="66A43E8C">
      <w:pPr>
        <w:keepNext w:val="0"/>
        <w:keepLines w:val="0"/>
        <w:pageBreakBefore w:val="0"/>
        <w:kinsoku/>
        <w:wordWrap w:val="0"/>
        <w:overflowPunct w:val="0"/>
        <w:topLinePunct/>
        <w:autoSpaceDE w:val="0"/>
        <w:autoSpaceDN w:val="0"/>
        <w:bidi w:val="0"/>
        <w:spacing w:line="276" w:lineRule="auto"/>
        <w:rPr>
          <w:rFonts w:hint="eastAsia" w:ascii="宋体" w:hAnsi="宋体" w:eastAsia="宋体" w:cs="宋体"/>
          <w:color w:val="auto"/>
          <w:sz w:val="21"/>
          <w:highlight w:val="none"/>
        </w:rPr>
      </w:pPr>
    </w:p>
    <w:p w14:paraId="2FD08E3D">
      <w:pPr>
        <w:keepNext w:val="0"/>
        <w:keepLines w:val="0"/>
        <w:pageBreakBefore w:val="0"/>
        <w:kinsoku/>
        <w:wordWrap w:val="0"/>
        <w:overflowPunct w:val="0"/>
        <w:topLinePunct/>
        <w:autoSpaceDE w:val="0"/>
        <w:autoSpaceDN w:val="0"/>
        <w:bidi w:val="0"/>
        <w:spacing w:before="69" w:line="424" w:lineRule="auto"/>
        <w:ind w:left="45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问题澄清</w:t>
      </w:r>
      <w:r>
        <w:rPr>
          <w:rFonts w:hint="eastAsia" w:ascii="宋体" w:hAnsi="宋体" w:eastAsia="宋体" w:cs="宋体"/>
          <w:color w:val="auto"/>
          <w:spacing w:val="5"/>
          <w:sz w:val="21"/>
          <w:szCs w:val="21"/>
          <w:highlight w:val="none"/>
        </w:rPr>
        <w:t>通</w:t>
      </w:r>
      <w:r>
        <w:rPr>
          <w:rFonts w:hint="eastAsia" w:ascii="宋体" w:hAnsi="宋体" w:eastAsia="宋体" w:cs="宋体"/>
          <w:color w:val="auto"/>
          <w:spacing w:val="4"/>
          <w:sz w:val="21"/>
          <w:szCs w:val="21"/>
          <w:highlight w:val="none"/>
        </w:rPr>
        <w:t>知(编号：</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)已收悉，现澄清如下：</w:t>
      </w:r>
    </w:p>
    <w:p w14:paraId="5EABD2B5">
      <w:pPr>
        <w:keepNext w:val="0"/>
        <w:keepLines w:val="0"/>
        <w:pageBreakBefore w:val="0"/>
        <w:kinsoku/>
        <w:wordWrap w:val="0"/>
        <w:overflowPunct w:val="0"/>
        <w:topLinePunct/>
        <w:autoSpaceDE w:val="0"/>
        <w:autoSpaceDN w:val="0"/>
        <w:bidi w:val="0"/>
        <w:spacing w:before="1" w:line="186" w:lineRule="auto"/>
        <w:ind w:left="75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w:t>
      </w:r>
    </w:p>
    <w:p w14:paraId="6385FCEC">
      <w:pPr>
        <w:keepNext w:val="0"/>
        <w:keepLines w:val="0"/>
        <w:pageBreakBefore w:val="0"/>
        <w:kinsoku/>
        <w:wordWrap w:val="0"/>
        <w:overflowPunct w:val="0"/>
        <w:topLinePunct/>
        <w:autoSpaceDE w:val="0"/>
        <w:autoSpaceDN w:val="0"/>
        <w:bidi w:val="0"/>
        <w:spacing w:before="234" w:line="186" w:lineRule="auto"/>
        <w:ind w:left="74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p>
    <w:p w14:paraId="52E8C879">
      <w:pPr>
        <w:keepNext w:val="0"/>
        <w:keepLines w:val="0"/>
        <w:pageBreakBefore w:val="0"/>
        <w:kinsoku/>
        <w:wordWrap w:val="0"/>
        <w:overflowPunct w:val="0"/>
        <w:topLinePunct/>
        <w:autoSpaceDE w:val="0"/>
        <w:autoSpaceDN w:val="0"/>
        <w:bidi w:val="0"/>
        <w:spacing w:line="274" w:lineRule="auto"/>
        <w:rPr>
          <w:rFonts w:hint="eastAsia" w:ascii="宋体" w:hAnsi="宋体" w:eastAsia="宋体" w:cs="宋体"/>
          <w:color w:val="auto"/>
          <w:sz w:val="21"/>
          <w:highlight w:val="none"/>
        </w:rPr>
      </w:pPr>
    </w:p>
    <w:p w14:paraId="1EA63B2B">
      <w:pPr>
        <w:keepNext w:val="0"/>
        <w:keepLines w:val="0"/>
        <w:pageBreakBefore w:val="0"/>
        <w:kinsoku/>
        <w:wordWrap w:val="0"/>
        <w:overflowPunct w:val="0"/>
        <w:topLinePunct/>
        <w:autoSpaceDE w:val="0"/>
        <w:autoSpaceDN w:val="0"/>
        <w:bidi w:val="0"/>
        <w:spacing w:before="69" w:line="88" w:lineRule="exact"/>
        <w:ind w:left="648"/>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w:t>
      </w:r>
      <w:r>
        <w:rPr>
          <w:rFonts w:hint="eastAsia" w:ascii="宋体" w:hAnsi="宋体" w:eastAsia="宋体" w:cs="宋体"/>
          <w:color w:val="auto"/>
          <w:spacing w:val="5"/>
          <w:position w:val="1"/>
          <w:sz w:val="21"/>
          <w:szCs w:val="21"/>
          <w:highlight w:val="none"/>
        </w:rPr>
        <w:t>.</w:t>
      </w:r>
    </w:p>
    <w:p w14:paraId="49AC9529">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14:paraId="281CF956">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14:paraId="65005528">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14:paraId="43633BEE">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14:paraId="2150C2C4">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14:paraId="243B9A23">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14:paraId="078D9157">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14:paraId="23357BEE">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14:paraId="41C4B303">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14:paraId="235A3867">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14:paraId="5BAD5E5D">
      <w:pPr>
        <w:keepNext w:val="0"/>
        <w:keepLines w:val="0"/>
        <w:pageBreakBefore w:val="0"/>
        <w:kinsoku/>
        <w:wordWrap w:val="0"/>
        <w:overflowPunct w:val="0"/>
        <w:topLinePunct/>
        <w:autoSpaceDE w:val="0"/>
        <w:autoSpaceDN w:val="0"/>
        <w:bidi w:val="0"/>
        <w:spacing w:line="250" w:lineRule="auto"/>
        <w:rPr>
          <w:rFonts w:hint="eastAsia" w:ascii="宋体" w:hAnsi="宋体" w:eastAsia="宋体" w:cs="宋体"/>
          <w:color w:val="auto"/>
          <w:sz w:val="21"/>
          <w:highlight w:val="none"/>
        </w:rPr>
      </w:pPr>
    </w:p>
    <w:p w14:paraId="161BF6F2">
      <w:pPr>
        <w:keepNext w:val="0"/>
        <w:keepLines w:val="0"/>
        <w:pageBreakBefore w:val="0"/>
        <w:kinsoku/>
        <w:wordWrap w:val="0"/>
        <w:overflowPunct w:val="0"/>
        <w:topLinePunct/>
        <w:autoSpaceDE w:val="0"/>
        <w:autoSpaceDN w:val="0"/>
        <w:bidi w:val="0"/>
        <w:spacing w:before="69" w:line="226" w:lineRule="auto"/>
        <w:ind w:left="3168"/>
        <w:rPr>
          <w:rFonts w:hint="eastAsia" w:ascii="宋体" w:hAnsi="宋体" w:eastAsia="宋体" w:cs="宋体"/>
          <w:color w:val="auto"/>
          <w:sz w:val="21"/>
          <w:szCs w:val="21"/>
          <w:highlight w:val="none"/>
        </w:rPr>
      </w:pPr>
      <w:r>
        <w:rPr>
          <w:rFonts w:hint="eastAsia" w:ascii="宋体" w:hAnsi="宋体" w:eastAsia="宋体" w:cs="宋体"/>
          <w:color w:val="auto"/>
          <w:spacing w:val="-27"/>
          <w:sz w:val="21"/>
          <w:szCs w:val="21"/>
          <w:highlight w:val="none"/>
        </w:rPr>
        <w:t>投标人：</w:t>
      </w:r>
      <w:r>
        <w:rPr>
          <w:rFonts w:hint="eastAsia" w:ascii="宋体" w:hAnsi="宋体" w:eastAsia="宋体" w:cs="宋体"/>
          <w:color w:val="auto"/>
          <w:sz w:val="21"/>
          <w:szCs w:val="21"/>
          <w:highlight w:val="none"/>
          <w:u w:val="single" w:color="auto"/>
        </w:rPr>
        <w:t xml:space="preserve">                           </w:t>
      </w:r>
    </w:p>
    <w:p w14:paraId="060A8CA1">
      <w:pPr>
        <w:keepNext w:val="0"/>
        <w:keepLines w:val="0"/>
        <w:pageBreakBefore w:val="0"/>
        <w:kinsoku/>
        <w:wordWrap w:val="0"/>
        <w:overflowPunct w:val="0"/>
        <w:topLinePunct/>
        <w:autoSpaceDE w:val="0"/>
        <w:autoSpaceDN w:val="0"/>
        <w:bidi w:val="0"/>
        <w:spacing w:line="275" w:lineRule="auto"/>
        <w:rPr>
          <w:rFonts w:hint="eastAsia" w:ascii="宋体" w:hAnsi="宋体" w:eastAsia="宋体" w:cs="宋体"/>
          <w:color w:val="auto"/>
          <w:sz w:val="21"/>
          <w:highlight w:val="none"/>
        </w:rPr>
      </w:pPr>
    </w:p>
    <w:p w14:paraId="59226061">
      <w:pPr>
        <w:keepNext w:val="0"/>
        <w:keepLines w:val="0"/>
        <w:pageBreakBefore w:val="0"/>
        <w:kinsoku/>
        <w:wordWrap w:val="0"/>
        <w:overflowPunct w:val="0"/>
        <w:topLinePunct/>
        <w:autoSpaceDE w:val="0"/>
        <w:autoSpaceDN w:val="0"/>
        <w:bidi w:val="0"/>
        <w:spacing w:line="275" w:lineRule="auto"/>
        <w:rPr>
          <w:rFonts w:hint="eastAsia" w:ascii="宋体" w:hAnsi="宋体" w:eastAsia="宋体" w:cs="宋体"/>
          <w:color w:val="auto"/>
          <w:sz w:val="21"/>
          <w:highlight w:val="none"/>
        </w:rPr>
      </w:pPr>
    </w:p>
    <w:p w14:paraId="6EA0614B">
      <w:pPr>
        <w:keepNext w:val="0"/>
        <w:keepLines w:val="0"/>
        <w:pageBreakBefore w:val="0"/>
        <w:kinsoku/>
        <w:wordWrap w:val="0"/>
        <w:overflowPunct w:val="0"/>
        <w:topLinePunct/>
        <w:autoSpaceDE w:val="0"/>
        <w:autoSpaceDN w:val="0"/>
        <w:bidi w:val="0"/>
        <w:spacing w:before="70" w:line="225" w:lineRule="auto"/>
        <w:ind w:left="3166"/>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法定</w:t>
      </w:r>
      <w:r>
        <w:rPr>
          <w:rFonts w:hint="eastAsia" w:ascii="宋体" w:hAnsi="宋体" w:eastAsia="宋体" w:cs="宋体"/>
          <w:color w:val="auto"/>
          <w:spacing w:val="-3"/>
          <w:sz w:val="21"/>
          <w:szCs w:val="21"/>
          <w:highlight w:val="none"/>
        </w:rPr>
        <w:t>代表人或其委托代理人：</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(签字)</w:t>
      </w:r>
    </w:p>
    <w:p w14:paraId="6E2FFA3F">
      <w:pPr>
        <w:keepNext w:val="0"/>
        <w:keepLines w:val="0"/>
        <w:pageBreakBefore w:val="0"/>
        <w:kinsoku/>
        <w:wordWrap w:val="0"/>
        <w:overflowPunct w:val="0"/>
        <w:topLinePunct/>
        <w:autoSpaceDE w:val="0"/>
        <w:autoSpaceDN w:val="0"/>
        <w:bidi w:val="0"/>
        <w:spacing w:line="275" w:lineRule="auto"/>
        <w:rPr>
          <w:rFonts w:hint="eastAsia" w:ascii="宋体" w:hAnsi="宋体" w:eastAsia="宋体" w:cs="宋体"/>
          <w:color w:val="auto"/>
          <w:sz w:val="21"/>
          <w:highlight w:val="none"/>
        </w:rPr>
      </w:pPr>
    </w:p>
    <w:p w14:paraId="19534EB7">
      <w:pPr>
        <w:keepNext w:val="0"/>
        <w:keepLines w:val="0"/>
        <w:pageBreakBefore w:val="0"/>
        <w:kinsoku/>
        <w:wordWrap w:val="0"/>
        <w:overflowPunct w:val="0"/>
        <w:topLinePunct/>
        <w:autoSpaceDE w:val="0"/>
        <w:autoSpaceDN w:val="0"/>
        <w:bidi w:val="0"/>
        <w:spacing w:line="276" w:lineRule="auto"/>
        <w:rPr>
          <w:rFonts w:hint="eastAsia" w:ascii="宋体" w:hAnsi="宋体" w:eastAsia="宋体" w:cs="宋体"/>
          <w:color w:val="auto"/>
          <w:sz w:val="21"/>
          <w:highlight w:val="none"/>
        </w:rPr>
      </w:pPr>
    </w:p>
    <w:p w14:paraId="7F9CDC7C">
      <w:pPr>
        <w:keepNext w:val="0"/>
        <w:keepLines w:val="0"/>
        <w:pageBreakBefore w:val="0"/>
        <w:tabs>
          <w:tab w:val="left" w:pos="4522"/>
        </w:tabs>
        <w:kinsoku/>
        <w:wordWrap w:val="0"/>
        <w:overflowPunct w:val="0"/>
        <w:topLinePunct/>
        <w:autoSpaceDE w:val="0"/>
        <w:autoSpaceDN w:val="0"/>
        <w:bidi w:val="0"/>
        <w:spacing w:before="68" w:line="225" w:lineRule="auto"/>
        <w:ind w:left="40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4"/>
          <w:sz w:val="21"/>
          <w:szCs w:val="21"/>
          <w:highlight w:val="none"/>
        </w:rPr>
        <w:t>年</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月</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rPr>
        <w:t>日</w:t>
      </w:r>
    </w:p>
    <w:p w14:paraId="6DF42259">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sectPr>
          <w:pgSz w:w="11909" w:h="16834"/>
          <w:pgMar w:top="1440" w:right="1080" w:bottom="1440" w:left="1080" w:header="850" w:footer="850" w:gutter="0"/>
          <w:pgNumType w:fmt="decimal"/>
          <w:cols w:space="720" w:num="1"/>
        </w:sectPr>
      </w:pPr>
    </w:p>
    <w:p w14:paraId="4B366579">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bookmarkStart w:id="743" w:name="_Toc11895"/>
      <w:bookmarkStart w:id="744" w:name="_Toc11735"/>
    </w:p>
    <w:p w14:paraId="3247C77E">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14:paraId="099F94AA">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14:paraId="526A282E">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14:paraId="10A99DF2">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14:paraId="64651584">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14:paraId="5A4AC3CB">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14:paraId="4269AEA1">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14:paraId="3E1E4832">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p>
    <w:p w14:paraId="5B276596">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第三章 评标办法(综合评分法)</w:t>
      </w:r>
      <w:bookmarkEnd w:id="743"/>
      <w:bookmarkEnd w:id="744"/>
    </w:p>
    <w:p w14:paraId="2CDFDCF9">
      <w:pPr>
        <w:keepNext w:val="0"/>
        <w:keepLines w:val="0"/>
        <w:pageBreakBefore w:val="0"/>
        <w:kinsoku/>
        <w:wordWrap w:val="0"/>
        <w:overflowPunct w:val="0"/>
        <w:topLinePunct/>
        <w:autoSpaceDE w:val="0"/>
        <w:autoSpaceDN w:val="0"/>
        <w:bidi w:val="0"/>
        <w:spacing w:line="360" w:lineRule="auto"/>
        <w:rPr>
          <w:rFonts w:hint="eastAsia" w:ascii="宋体" w:hAnsi="宋体" w:eastAsia="宋体" w:cs="宋体"/>
          <w:b/>
          <w:bCs/>
          <w:color w:val="auto"/>
          <w:highlight w:val="none"/>
        </w:rPr>
      </w:pPr>
      <w:bookmarkStart w:id="745" w:name="_Toc27153"/>
    </w:p>
    <w:p w14:paraId="37D28A23">
      <w:pPr>
        <w:keepNext w:val="0"/>
        <w:keepLines w:val="0"/>
        <w:pageBreakBefore w:val="0"/>
        <w:kinsoku/>
        <w:wordWrap w:val="0"/>
        <w:overflowPunct w:val="0"/>
        <w:topLinePunct/>
        <w:autoSpaceDE w:val="0"/>
        <w:autoSpaceDN w:val="0"/>
        <w:bidi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一、初步评审</w:t>
      </w:r>
      <w:bookmarkEnd w:id="745"/>
    </w:p>
    <w:p w14:paraId="3907370F">
      <w:pPr>
        <w:keepNext w:val="0"/>
        <w:keepLines w:val="0"/>
        <w:pageBreakBefore w:val="0"/>
        <w:widowControl/>
        <w:kinsoku/>
        <w:wordWrap w:val="0"/>
        <w:overflowPunct w:val="0"/>
        <w:topLinePunct/>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初步评审分为资格性检查和符合性检查。</w:t>
      </w:r>
    </w:p>
    <w:p w14:paraId="095D8FE9">
      <w:pPr>
        <w:keepNext w:val="0"/>
        <w:keepLines w:val="0"/>
        <w:pageBreakBefore w:val="0"/>
        <w:kinsoku/>
        <w:wordWrap w:val="0"/>
        <w:overflowPunct w:val="0"/>
        <w:topLinePunct/>
        <w:autoSpaceDE w:val="0"/>
        <w:autoSpaceDN w:val="0"/>
        <w:bidi w:val="0"/>
        <w:spacing w:line="360" w:lineRule="auto"/>
        <w:ind w:firstLine="422" w:firstLineChars="200"/>
        <w:rPr>
          <w:rFonts w:hint="eastAsia" w:ascii="宋体" w:hAnsi="宋体" w:eastAsia="宋体" w:cs="宋体"/>
          <w:b/>
          <w:bCs/>
          <w:color w:val="auto"/>
          <w:highlight w:val="none"/>
        </w:rPr>
      </w:pPr>
      <w:bookmarkStart w:id="746" w:name="_Toc16543"/>
      <w:r>
        <w:rPr>
          <w:rFonts w:hint="eastAsia" w:ascii="宋体" w:hAnsi="宋体" w:eastAsia="宋体" w:cs="宋体"/>
          <w:b/>
          <w:bCs/>
          <w:color w:val="auto"/>
          <w:highlight w:val="none"/>
        </w:rPr>
        <w:t>1.资格性检查</w:t>
      </w:r>
      <w:bookmarkEnd w:id="746"/>
    </w:p>
    <w:p w14:paraId="27953331">
      <w:pPr>
        <w:keepNext w:val="0"/>
        <w:keepLines w:val="0"/>
        <w:pageBreakBefore w:val="0"/>
        <w:kinsoku/>
        <w:wordWrap w:val="0"/>
        <w:overflowPunct w:val="0"/>
        <w:topLinePunct/>
        <w:autoSpaceDE w:val="0"/>
        <w:autoSpaceDN w:val="0"/>
        <w:bidi w:val="0"/>
        <w:spacing w:line="109" w:lineRule="exact"/>
        <w:rPr>
          <w:rFonts w:hint="eastAsia" w:ascii="宋体" w:hAnsi="宋体" w:eastAsia="宋体" w:cs="宋体"/>
          <w:color w:val="auto"/>
          <w:highlight w:val="none"/>
        </w:rPr>
      </w:pPr>
    </w:p>
    <w:tbl>
      <w:tblPr>
        <w:tblStyle w:val="19"/>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5"/>
        <w:gridCol w:w="887"/>
        <w:gridCol w:w="2936"/>
        <w:gridCol w:w="4180"/>
      </w:tblGrid>
      <w:tr w14:paraId="6F9A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1582" w:type="dxa"/>
            <w:gridSpan w:val="2"/>
            <w:tcBorders>
              <w:tl2br w:val="nil"/>
              <w:tr2bl w:val="nil"/>
            </w:tcBorders>
            <w:noWrap w:val="0"/>
            <w:vAlign w:val="center"/>
          </w:tcPr>
          <w:p w14:paraId="5ECF59A5">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条款号</w:t>
            </w:r>
          </w:p>
        </w:tc>
        <w:tc>
          <w:tcPr>
            <w:tcW w:w="2936" w:type="dxa"/>
            <w:tcBorders>
              <w:tl2br w:val="nil"/>
              <w:tr2bl w:val="nil"/>
            </w:tcBorders>
            <w:noWrap w:val="0"/>
            <w:vAlign w:val="center"/>
          </w:tcPr>
          <w:p w14:paraId="6B945191">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评审因素</w:t>
            </w:r>
          </w:p>
        </w:tc>
        <w:tc>
          <w:tcPr>
            <w:tcW w:w="4180" w:type="dxa"/>
            <w:tcBorders>
              <w:tl2br w:val="nil"/>
              <w:tr2bl w:val="nil"/>
            </w:tcBorders>
            <w:noWrap w:val="0"/>
            <w:vAlign w:val="center"/>
          </w:tcPr>
          <w:p w14:paraId="05A31B0D">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评审标准</w:t>
            </w:r>
          </w:p>
        </w:tc>
      </w:tr>
      <w:tr w14:paraId="1B06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695" w:type="dxa"/>
            <w:vMerge w:val="restart"/>
            <w:tcBorders>
              <w:tl2br w:val="nil"/>
              <w:tr2bl w:val="nil"/>
            </w:tcBorders>
            <w:noWrap w:val="0"/>
            <w:vAlign w:val="center"/>
          </w:tcPr>
          <w:p w14:paraId="044D55B2">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p>
          <w:p w14:paraId="2E502EB2">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p>
          <w:p w14:paraId="11A7F80F">
            <w:pPr>
              <w:keepNext w:val="0"/>
              <w:keepLines w:val="0"/>
              <w:pageBreakBefore w:val="0"/>
              <w:kinsoku/>
              <w:wordWrap w:val="0"/>
              <w:overflowPunct w:val="0"/>
              <w:topLinePunct/>
              <w:autoSpaceDE w:val="0"/>
              <w:autoSpaceDN w:val="0"/>
              <w:bidi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2.1</w:t>
            </w:r>
          </w:p>
        </w:tc>
        <w:tc>
          <w:tcPr>
            <w:tcW w:w="887" w:type="dxa"/>
            <w:vMerge w:val="restart"/>
            <w:tcBorders>
              <w:tl2br w:val="nil"/>
              <w:tr2bl w:val="nil"/>
            </w:tcBorders>
            <w:noWrap w:val="0"/>
            <w:vAlign w:val="center"/>
          </w:tcPr>
          <w:p w14:paraId="11FE9AFE">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p>
          <w:p w14:paraId="74D55A59">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p>
          <w:p w14:paraId="02FD122D">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资格评审标准</w:t>
            </w:r>
          </w:p>
        </w:tc>
        <w:tc>
          <w:tcPr>
            <w:tcW w:w="2936" w:type="dxa"/>
            <w:tcBorders>
              <w:tl2br w:val="nil"/>
              <w:tr2bl w:val="nil"/>
            </w:tcBorders>
            <w:noWrap w:val="0"/>
            <w:vAlign w:val="center"/>
          </w:tcPr>
          <w:p w14:paraId="148DDBD6">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具有独立承担民事责任的能力</w:t>
            </w:r>
          </w:p>
        </w:tc>
        <w:tc>
          <w:tcPr>
            <w:tcW w:w="4180" w:type="dxa"/>
            <w:tcBorders>
              <w:tl2br w:val="nil"/>
              <w:tr2bl w:val="nil"/>
            </w:tcBorders>
            <w:noWrap w:val="0"/>
            <w:vAlign w:val="center"/>
          </w:tcPr>
          <w:p w14:paraId="62A87436">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提供有效的营业执照（三证合一）</w:t>
            </w:r>
          </w:p>
        </w:tc>
      </w:tr>
      <w:tr w14:paraId="11F9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695" w:type="dxa"/>
            <w:vMerge w:val="continue"/>
            <w:tcBorders>
              <w:tl2br w:val="nil"/>
              <w:tr2bl w:val="nil"/>
            </w:tcBorders>
            <w:noWrap w:val="0"/>
            <w:vAlign w:val="center"/>
          </w:tcPr>
          <w:p w14:paraId="246412A9">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887" w:type="dxa"/>
            <w:vMerge w:val="continue"/>
            <w:tcBorders>
              <w:tl2br w:val="nil"/>
              <w:tr2bl w:val="nil"/>
            </w:tcBorders>
            <w:noWrap w:val="0"/>
            <w:vAlign w:val="center"/>
          </w:tcPr>
          <w:p w14:paraId="19DDCCCC">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2936" w:type="dxa"/>
            <w:tcBorders>
              <w:tl2br w:val="nil"/>
              <w:tr2bl w:val="nil"/>
            </w:tcBorders>
            <w:noWrap w:val="0"/>
            <w:vAlign w:val="center"/>
          </w:tcPr>
          <w:p w14:paraId="32F9E01D">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具有良好的商业信誉和健全的财务会计制度</w:t>
            </w:r>
          </w:p>
        </w:tc>
        <w:tc>
          <w:tcPr>
            <w:tcW w:w="4180" w:type="dxa"/>
            <w:tcBorders>
              <w:tl2br w:val="nil"/>
              <w:tr2bl w:val="nil"/>
            </w:tcBorders>
            <w:noWrap w:val="0"/>
            <w:vAlign w:val="center"/>
          </w:tcPr>
          <w:p w14:paraId="6B8E2D5E">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sz w:val="21"/>
                <w:szCs w:val="21"/>
                <w:lang w:eastAsia="zh-CN"/>
              </w:rPr>
              <w:t>提供202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或202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年度经审计的财务审计报告，202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8月后</w:t>
            </w:r>
            <w:r>
              <w:rPr>
                <w:rFonts w:hint="eastAsia" w:ascii="宋体" w:hAnsi="宋体" w:eastAsia="宋体" w:cs="宋体"/>
                <w:color w:val="auto"/>
                <w:sz w:val="21"/>
                <w:szCs w:val="21"/>
                <w:lang w:eastAsia="zh-CN"/>
              </w:rPr>
              <w:t>成立的公司提供基本户的开户行开具的银行资信证明</w:t>
            </w:r>
          </w:p>
        </w:tc>
      </w:tr>
      <w:tr w14:paraId="5142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695" w:type="dxa"/>
            <w:vMerge w:val="continue"/>
            <w:tcBorders>
              <w:tl2br w:val="nil"/>
              <w:tr2bl w:val="nil"/>
            </w:tcBorders>
            <w:noWrap w:val="0"/>
            <w:vAlign w:val="center"/>
          </w:tcPr>
          <w:p w14:paraId="1B7DB94F">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887" w:type="dxa"/>
            <w:vMerge w:val="continue"/>
            <w:tcBorders>
              <w:tl2br w:val="nil"/>
              <w:tr2bl w:val="nil"/>
            </w:tcBorders>
            <w:noWrap w:val="0"/>
            <w:vAlign w:val="center"/>
          </w:tcPr>
          <w:p w14:paraId="7248130F">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2936" w:type="dxa"/>
            <w:tcBorders>
              <w:tl2br w:val="nil"/>
              <w:tr2bl w:val="nil"/>
            </w:tcBorders>
            <w:noWrap w:val="0"/>
            <w:vAlign w:val="center"/>
          </w:tcPr>
          <w:p w14:paraId="58D3D694">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具有履行合同所必需的设备和专业技术能力</w:t>
            </w:r>
          </w:p>
        </w:tc>
        <w:tc>
          <w:tcPr>
            <w:tcW w:w="4180" w:type="dxa"/>
            <w:tcBorders>
              <w:tl2br w:val="nil"/>
              <w:tr2bl w:val="nil"/>
            </w:tcBorders>
            <w:noWrap w:val="0"/>
            <w:vAlign w:val="center"/>
          </w:tcPr>
          <w:p w14:paraId="017D8D6F">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提供企业承诺书，格式自拟</w:t>
            </w:r>
          </w:p>
        </w:tc>
      </w:tr>
      <w:tr w14:paraId="0B04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0" w:hRule="atLeast"/>
          <w:jc w:val="center"/>
        </w:trPr>
        <w:tc>
          <w:tcPr>
            <w:tcW w:w="695" w:type="dxa"/>
            <w:vMerge w:val="continue"/>
            <w:tcBorders>
              <w:tl2br w:val="nil"/>
              <w:tr2bl w:val="nil"/>
            </w:tcBorders>
            <w:noWrap w:val="0"/>
            <w:vAlign w:val="center"/>
          </w:tcPr>
          <w:p w14:paraId="59EA1995">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887" w:type="dxa"/>
            <w:vMerge w:val="continue"/>
            <w:tcBorders>
              <w:tl2br w:val="nil"/>
              <w:tr2bl w:val="nil"/>
            </w:tcBorders>
            <w:noWrap w:val="0"/>
            <w:vAlign w:val="center"/>
          </w:tcPr>
          <w:p w14:paraId="14DA819C">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2936" w:type="dxa"/>
            <w:tcBorders>
              <w:tl2br w:val="nil"/>
              <w:tr2bl w:val="nil"/>
            </w:tcBorders>
            <w:noWrap w:val="0"/>
            <w:vAlign w:val="center"/>
          </w:tcPr>
          <w:p w14:paraId="0FCB8482">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有依法缴纳税收和社会保障资金的良好记录</w:t>
            </w:r>
          </w:p>
        </w:tc>
        <w:tc>
          <w:tcPr>
            <w:tcW w:w="4180" w:type="dxa"/>
            <w:tcBorders>
              <w:tl2br w:val="nil"/>
              <w:tr2bl w:val="nil"/>
            </w:tcBorders>
            <w:noWrap w:val="0"/>
            <w:vAlign w:val="center"/>
          </w:tcPr>
          <w:p w14:paraId="4AC62357">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提供2024年9月1日以来任意1个月依法缴纳税收和社会保险的证明，成立不足三个月的提供自成立日以来的依法缴纳税收和社会保险的证明，依法免税和免缴纳社会保障金的须提供依法免缴纳证明</w:t>
            </w:r>
          </w:p>
        </w:tc>
      </w:tr>
      <w:tr w14:paraId="0A72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jc w:val="center"/>
        </w:trPr>
        <w:tc>
          <w:tcPr>
            <w:tcW w:w="695" w:type="dxa"/>
            <w:vMerge w:val="continue"/>
            <w:tcBorders>
              <w:tl2br w:val="nil"/>
              <w:tr2bl w:val="nil"/>
            </w:tcBorders>
            <w:noWrap w:val="0"/>
            <w:vAlign w:val="center"/>
          </w:tcPr>
          <w:p w14:paraId="22833E6E">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887" w:type="dxa"/>
            <w:vMerge w:val="continue"/>
            <w:tcBorders>
              <w:tl2br w:val="nil"/>
              <w:tr2bl w:val="nil"/>
            </w:tcBorders>
            <w:noWrap w:val="0"/>
            <w:vAlign w:val="center"/>
          </w:tcPr>
          <w:p w14:paraId="26806432">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2936" w:type="dxa"/>
            <w:tcBorders>
              <w:tl2br w:val="nil"/>
              <w:tr2bl w:val="nil"/>
            </w:tcBorders>
            <w:noWrap w:val="0"/>
            <w:vAlign w:val="center"/>
          </w:tcPr>
          <w:p w14:paraId="417E07AE">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参加政府采购活动前三年内，在经营活动中没有重大违法记录</w:t>
            </w:r>
          </w:p>
        </w:tc>
        <w:tc>
          <w:tcPr>
            <w:tcW w:w="4180" w:type="dxa"/>
            <w:tcBorders>
              <w:tl2br w:val="nil"/>
              <w:tr2bl w:val="nil"/>
            </w:tcBorders>
            <w:noWrap w:val="0"/>
            <w:vAlign w:val="center"/>
          </w:tcPr>
          <w:p w14:paraId="7077E83D">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提供企业承诺书，格式自拟</w:t>
            </w:r>
          </w:p>
        </w:tc>
      </w:tr>
      <w:tr w14:paraId="19F0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695" w:type="dxa"/>
            <w:vMerge w:val="continue"/>
            <w:tcBorders>
              <w:tl2br w:val="nil"/>
              <w:tr2bl w:val="nil"/>
            </w:tcBorders>
            <w:noWrap w:val="0"/>
            <w:vAlign w:val="center"/>
          </w:tcPr>
          <w:p w14:paraId="1BC27CBC">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887" w:type="dxa"/>
            <w:vMerge w:val="continue"/>
            <w:tcBorders>
              <w:tl2br w:val="nil"/>
              <w:tr2bl w:val="nil"/>
            </w:tcBorders>
            <w:noWrap w:val="0"/>
            <w:vAlign w:val="center"/>
          </w:tcPr>
          <w:p w14:paraId="2B960E65">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2936" w:type="dxa"/>
            <w:tcBorders>
              <w:tl2br w:val="nil"/>
              <w:tr2bl w:val="nil"/>
            </w:tcBorders>
            <w:noWrap w:val="0"/>
            <w:vAlign w:val="center"/>
          </w:tcPr>
          <w:p w14:paraId="49D73983">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法律、行政法规规定的其他条件</w:t>
            </w:r>
          </w:p>
        </w:tc>
        <w:tc>
          <w:tcPr>
            <w:tcW w:w="4180" w:type="dxa"/>
            <w:tcBorders>
              <w:tl2br w:val="nil"/>
              <w:tr2bl w:val="nil"/>
            </w:tcBorders>
            <w:noWrap w:val="0"/>
            <w:vAlign w:val="center"/>
          </w:tcPr>
          <w:p w14:paraId="742392D6">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提供企业承诺书，格式自拟</w:t>
            </w:r>
          </w:p>
        </w:tc>
      </w:tr>
      <w:tr w14:paraId="060E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7" w:hRule="atLeast"/>
          <w:jc w:val="center"/>
        </w:trPr>
        <w:tc>
          <w:tcPr>
            <w:tcW w:w="695" w:type="dxa"/>
            <w:vMerge w:val="continue"/>
            <w:tcBorders>
              <w:tl2br w:val="nil"/>
              <w:tr2bl w:val="nil"/>
            </w:tcBorders>
            <w:noWrap w:val="0"/>
            <w:vAlign w:val="center"/>
          </w:tcPr>
          <w:p w14:paraId="6DE062F5">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887" w:type="dxa"/>
            <w:vMerge w:val="continue"/>
            <w:tcBorders>
              <w:tl2br w:val="nil"/>
              <w:tr2bl w:val="nil"/>
            </w:tcBorders>
            <w:noWrap w:val="0"/>
            <w:vAlign w:val="center"/>
          </w:tcPr>
          <w:p w14:paraId="0A8CAA71">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2936" w:type="dxa"/>
            <w:tcBorders>
              <w:tl2br w:val="nil"/>
              <w:tr2bl w:val="nil"/>
            </w:tcBorders>
            <w:noWrap w:val="0"/>
            <w:vAlign w:val="center"/>
          </w:tcPr>
          <w:p w14:paraId="2110D3FF">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信用记录</w:t>
            </w:r>
          </w:p>
        </w:tc>
        <w:tc>
          <w:tcPr>
            <w:tcW w:w="4180" w:type="dxa"/>
            <w:tcBorders>
              <w:tl2br w:val="nil"/>
              <w:tr2bl w:val="nil"/>
            </w:tcBorders>
            <w:noWrap w:val="0"/>
            <w:vAlign w:val="center"/>
          </w:tcPr>
          <w:p w14:paraId="40DEE5E3">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根据《关于在政府采购活动中查询及使用信用记录有关问题的通知》财库[2016]125号文件和豫财购【2016】15号文件的规定，供应商应提供“信用中国”网站（www.creditchina.gov.cn）查询“失信被执行人”、“重大税收违法失信主体”；中国政府采购网（www.ccgp.gov.cn）查询“政府采购严重违法失信行为记录名单”渠道查询自身信用记录，提供查询网页截图，查询截止时点为：从公告发布之日起至投标截止之日止；</w:t>
            </w:r>
          </w:p>
        </w:tc>
      </w:tr>
      <w:tr w14:paraId="1116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jc w:val="center"/>
        </w:trPr>
        <w:tc>
          <w:tcPr>
            <w:tcW w:w="695" w:type="dxa"/>
            <w:vMerge w:val="continue"/>
            <w:tcBorders>
              <w:tl2br w:val="nil"/>
              <w:tr2bl w:val="nil"/>
            </w:tcBorders>
            <w:noWrap w:val="0"/>
            <w:vAlign w:val="center"/>
          </w:tcPr>
          <w:p w14:paraId="0425B838">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887" w:type="dxa"/>
            <w:vMerge w:val="continue"/>
            <w:tcBorders>
              <w:tl2br w:val="nil"/>
              <w:tr2bl w:val="nil"/>
            </w:tcBorders>
            <w:noWrap w:val="0"/>
            <w:vAlign w:val="center"/>
          </w:tcPr>
          <w:p w14:paraId="6C301E3C">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2936" w:type="dxa"/>
            <w:tcBorders>
              <w:tl2br w:val="nil"/>
              <w:tr2bl w:val="nil"/>
            </w:tcBorders>
            <w:noWrap w:val="0"/>
            <w:vAlign w:val="center"/>
          </w:tcPr>
          <w:p w14:paraId="26936E41">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单位负责人为同一人或者存在直接控股、管理关系的不同供应商，不得参加同一合同项下的政府采购活动</w:t>
            </w:r>
          </w:p>
        </w:tc>
        <w:tc>
          <w:tcPr>
            <w:tcW w:w="4180" w:type="dxa"/>
            <w:tcBorders>
              <w:tl2br w:val="nil"/>
              <w:tr2bl w:val="nil"/>
            </w:tcBorders>
            <w:noWrap w:val="0"/>
            <w:vAlign w:val="center"/>
          </w:tcPr>
          <w:p w14:paraId="1F9F588B">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提供企业承诺书，</w:t>
            </w:r>
            <w:r>
              <w:rPr>
                <w:rFonts w:hint="eastAsia" w:ascii="宋体" w:hAnsi="宋体" w:eastAsia="宋体" w:cs="宋体"/>
                <w:color w:val="auto"/>
                <w:highlight w:val="none"/>
                <w:lang w:val="en-US" w:eastAsia="zh-CN"/>
              </w:rPr>
              <w:t>格式自拟</w:t>
            </w:r>
          </w:p>
        </w:tc>
      </w:tr>
    </w:tbl>
    <w:p w14:paraId="14AE85A8">
      <w:pPr>
        <w:keepNext w:val="0"/>
        <w:keepLines w:val="0"/>
        <w:pageBreakBefore w:val="0"/>
        <w:kinsoku/>
        <w:wordWrap w:val="0"/>
        <w:overflowPunct w:val="0"/>
        <w:topLinePunct/>
        <w:autoSpaceDE w:val="0"/>
        <w:autoSpaceDN w:val="0"/>
        <w:bidi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注： 本项目为资格后审，由采购人代表或代理机构人员进行资格性审查。</w:t>
      </w:r>
    </w:p>
    <w:p w14:paraId="3C243F0A">
      <w:pPr>
        <w:keepNext w:val="0"/>
        <w:keepLines w:val="0"/>
        <w:pageBreakBefore w:val="0"/>
        <w:kinsoku/>
        <w:wordWrap w:val="0"/>
        <w:overflowPunct w:val="0"/>
        <w:topLinePunct/>
        <w:autoSpaceDE w:val="0"/>
        <w:autoSpaceDN w:val="0"/>
        <w:bidi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2.符合性审查</w:t>
      </w:r>
    </w:p>
    <w:p w14:paraId="6561E7FB">
      <w:pPr>
        <w:keepNext w:val="0"/>
        <w:keepLines w:val="0"/>
        <w:pageBreakBefore w:val="0"/>
        <w:kinsoku/>
        <w:wordWrap w:val="0"/>
        <w:overflowPunct w:val="0"/>
        <w:topLinePunct/>
        <w:autoSpaceDE w:val="0"/>
        <w:autoSpaceDN w:val="0"/>
        <w:bidi w:val="0"/>
        <w:spacing w:line="95" w:lineRule="exact"/>
        <w:rPr>
          <w:rFonts w:hint="eastAsia" w:ascii="宋体" w:hAnsi="宋体" w:eastAsia="宋体" w:cs="宋体"/>
          <w:color w:val="auto"/>
          <w:highlight w:val="none"/>
        </w:rPr>
      </w:pPr>
    </w:p>
    <w:tbl>
      <w:tblPr>
        <w:tblStyle w:val="37"/>
        <w:tblW w:w="8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1"/>
        <w:gridCol w:w="1196"/>
        <w:gridCol w:w="2371"/>
        <w:gridCol w:w="3921"/>
      </w:tblGrid>
      <w:tr w14:paraId="5835D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1231" w:type="dxa"/>
            <w:tcBorders>
              <w:top w:val="single" w:color="000000" w:sz="2" w:space="0"/>
              <w:bottom w:val="single" w:color="000000" w:sz="2" w:space="0"/>
            </w:tcBorders>
            <w:vAlign w:val="center"/>
          </w:tcPr>
          <w:p w14:paraId="251ECA27">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条款号</w:t>
            </w:r>
          </w:p>
        </w:tc>
        <w:tc>
          <w:tcPr>
            <w:tcW w:w="1196" w:type="dxa"/>
            <w:tcBorders>
              <w:top w:val="single" w:color="000000" w:sz="2" w:space="0"/>
              <w:bottom w:val="single" w:color="000000" w:sz="2" w:space="0"/>
            </w:tcBorders>
            <w:vAlign w:val="center"/>
          </w:tcPr>
          <w:p w14:paraId="49789F53">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评审因素</w:t>
            </w:r>
          </w:p>
        </w:tc>
        <w:tc>
          <w:tcPr>
            <w:tcW w:w="6292" w:type="dxa"/>
            <w:gridSpan w:val="2"/>
            <w:tcBorders>
              <w:top w:val="single" w:color="000000" w:sz="2" w:space="0"/>
              <w:bottom w:val="single" w:color="000000" w:sz="2" w:space="0"/>
            </w:tcBorders>
            <w:vAlign w:val="center"/>
          </w:tcPr>
          <w:p w14:paraId="173538FD">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评审标准</w:t>
            </w:r>
          </w:p>
        </w:tc>
      </w:tr>
      <w:tr w14:paraId="36B2E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1231" w:type="dxa"/>
            <w:vMerge w:val="restart"/>
            <w:tcBorders>
              <w:top w:val="single" w:color="000000" w:sz="2" w:space="0"/>
            </w:tcBorders>
            <w:vAlign w:val="center"/>
          </w:tcPr>
          <w:p w14:paraId="7494FC80">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2</w:t>
            </w:r>
          </w:p>
        </w:tc>
        <w:tc>
          <w:tcPr>
            <w:tcW w:w="1196" w:type="dxa"/>
            <w:vMerge w:val="restart"/>
            <w:tcBorders>
              <w:top w:val="single" w:color="000000" w:sz="2" w:space="0"/>
            </w:tcBorders>
            <w:vAlign w:val="center"/>
          </w:tcPr>
          <w:p w14:paraId="797C66AC">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符合性评审标准</w:t>
            </w:r>
          </w:p>
        </w:tc>
        <w:tc>
          <w:tcPr>
            <w:tcW w:w="2371" w:type="dxa"/>
            <w:tcBorders>
              <w:top w:val="single" w:color="000000" w:sz="2" w:space="0"/>
              <w:bottom w:val="single" w:color="000000" w:sz="2" w:space="0"/>
            </w:tcBorders>
            <w:vAlign w:val="center"/>
          </w:tcPr>
          <w:p w14:paraId="33CC3498">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供应商名称</w:t>
            </w:r>
          </w:p>
        </w:tc>
        <w:tc>
          <w:tcPr>
            <w:tcW w:w="3921" w:type="dxa"/>
            <w:tcBorders>
              <w:top w:val="single" w:color="000000" w:sz="2" w:space="0"/>
              <w:bottom w:val="single" w:color="000000" w:sz="2" w:space="0"/>
            </w:tcBorders>
            <w:vAlign w:val="center"/>
          </w:tcPr>
          <w:p w14:paraId="235C8D92">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与营业执照等证明文件一致</w:t>
            </w:r>
          </w:p>
        </w:tc>
      </w:tr>
      <w:tr w14:paraId="1316F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231" w:type="dxa"/>
            <w:vMerge w:val="continue"/>
            <w:vAlign w:val="center"/>
          </w:tcPr>
          <w:p w14:paraId="5370896A">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1196" w:type="dxa"/>
            <w:vMerge w:val="continue"/>
            <w:vAlign w:val="center"/>
          </w:tcPr>
          <w:p w14:paraId="3EB31DFB">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lang w:val="en-US" w:eastAsia="zh-CN"/>
              </w:rPr>
            </w:pPr>
          </w:p>
        </w:tc>
        <w:tc>
          <w:tcPr>
            <w:tcW w:w="2371" w:type="dxa"/>
            <w:tcBorders>
              <w:top w:val="single" w:color="000000" w:sz="2" w:space="0"/>
              <w:bottom w:val="single" w:color="000000" w:sz="2" w:space="0"/>
            </w:tcBorders>
            <w:vAlign w:val="center"/>
          </w:tcPr>
          <w:p w14:paraId="075AA2AA">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函签字盖章</w:t>
            </w:r>
          </w:p>
        </w:tc>
        <w:tc>
          <w:tcPr>
            <w:tcW w:w="3921" w:type="dxa"/>
            <w:tcBorders>
              <w:top w:val="single" w:color="000000" w:sz="2" w:space="0"/>
              <w:bottom w:val="single" w:color="000000" w:sz="2" w:space="0"/>
            </w:tcBorders>
            <w:vAlign w:val="center"/>
          </w:tcPr>
          <w:p w14:paraId="0B0A7ECA">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满足</w:t>
            </w:r>
            <w:r>
              <w:rPr>
                <w:rFonts w:hint="eastAsia" w:ascii="宋体" w:hAnsi="宋体" w:eastAsia="宋体" w:cs="宋体"/>
                <w:color w:val="auto"/>
                <w:highlight w:val="none"/>
                <w:lang w:eastAsia="zh-CN"/>
              </w:rPr>
              <w:t>竞争性磋商文件</w:t>
            </w:r>
            <w:r>
              <w:rPr>
                <w:rFonts w:hint="eastAsia" w:ascii="宋体" w:hAnsi="宋体" w:eastAsia="宋体" w:cs="宋体"/>
                <w:color w:val="auto"/>
                <w:highlight w:val="none"/>
              </w:rPr>
              <w:t>签字盖章的要求</w:t>
            </w:r>
          </w:p>
        </w:tc>
      </w:tr>
      <w:tr w14:paraId="3045B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231" w:type="dxa"/>
            <w:vMerge w:val="continue"/>
            <w:vAlign w:val="center"/>
          </w:tcPr>
          <w:p w14:paraId="5CD81306">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1196" w:type="dxa"/>
            <w:vMerge w:val="continue"/>
            <w:vAlign w:val="center"/>
          </w:tcPr>
          <w:p w14:paraId="79152981">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lang w:val="en-US" w:eastAsia="zh-CN"/>
              </w:rPr>
            </w:pPr>
          </w:p>
        </w:tc>
        <w:tc>
          <w:tcPr>
            <w:tcW w:w="2371" w:type="dxa"/>
            <w:tcBorders>
              <w:top w:val="single" w:color="000000" w:sz="2" w:space="0"/>
              <w:bottom w:val="single" w:color="000000" w:sz="2" w:space="0"/>
            </w:tcBorders>
            <w:vAlign w:val="center"/>
          </w:tcPr>
          <w:p w14:paraId="16CB1268">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p>
        </w:tc>
        <w:tc>
          <w:tcPr>
            <w:tcW w:w="3921" w:type="dxa"/>
            <w:tcBorders>
              <w:top w:val="single" w:color="000000" w:sz="2" w:space="0"/>
              <w:bottom w:val="single" w:color="000000" w:sz="2" w:space="0"/>
            </w:tcBorders>
            <w:vAlign w:val="center"/>
          </w:tcPr>
          <w:p w14:paraId="5CD1039B">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符合第六</w:t>
            </w:r>
            <w:r>
              <w:rPr>
                <w:rFonts w:hint="eastAsia" w:ascii="宋体" w:hAnsi="宋体" w:eastAsia="宋体" w:cs="宋体"/>
                <w:color w:val="auto"/>
                <w:highlight w:val="none"/>
                <w:lang w:val="en-US" w:eastAsia="zh-CN"/>
              </w:rPr>
              <w:t>章</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格式”的要求</w:t>
            </w:r>
          </w:p>
        </w:tc>
      </w:tr>
      <w:tr w14:paraId="6B135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231" w:type="dxa"/>
            <w:vMerge w:val="continue"/>
            <w:vAlign w:val="center"/>
          </w:tcPr>
          <w:p w14:paraId="23AFB58E">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1196" w:type="dxa"/>
            <w:vMerge w:val="continue"/>
            <w:vAlign w:val="center"/>
          </w:tcPr>
          <w:p w14:paraId="58F677F6">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lang w:val="en-US" w:eastAsia="zh-CN"/>
              </w:rPr>
            </w:pPr>
          </w:p>
        </w:tc>
        <w:tc>
          <w:tcPr>
            <w:tcW w:w="2371" w:type="dxa"/>
            <w:tcBorders>
              <w:top w:val="single" w:color="000000" w:sz="2" w:space="0"/>
              <w:bottom w:val="single" w:color="000000" w:sz="2" w:space="0"/>
            </w:tcBorders>
            <w:vAlign w:val="center"/>
          </w:tcPr>
          <w:p w14:paraId="5363591F">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质量要求</w:t>
            </w:r>
          </w:p>
        </w:tc>
        <w:tc>
          <w:tcPr>
            <w:tcW w:w="3921" w:type="dxa"/>
            <w:tcBorders>
              <w:top w:val="single" w:color="000000" w:sz="2" w:space="0"/>
              <w:bottom w:val="single" w:color="000000" w:sz="2" w:space="0"/>
            </w:tcBorders>
            <w:vAlign w:val="center"/>
          </w:tcPr>
          <w:p w14:paraId="6A0B8FB4">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满足</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文件要求</w:t>
            </w:r>
          </w:p>
        </w:tc>
      </w:tr>
      <w:tr w14:paraId="41802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231" w:type="dxa"/>
            <w:vMerge w:val="continue"/>
            <w:vAlign w:val="center"/>
          </w:tcPr>
          <w:p w14:paraId="6C3B3593">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1196" w:type="dxa"/>
            <w:vMerge w:val="continue"/>
            <w:vAlign w:val="center"/>
          </w:tcPr>
          <w:p w14:paraId="64AC9274">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lang w:val="en-US" w:eastAsia="zh-CN"/>
              </w:rPr>
            </w:pPr>
          </w:p>
        </w:tc>
        <w:tc>
          <w:tcPr>
            <w:tcW w:w="2371" w:type="dxa"/>
            <w:tcBorders>
              <w:top w:val="single" w:color="000000" w:sz="2" w:space="0"/>
              <w:bottom w:val="single" w:color="000000" w:sz="2" w:space="0"/>
            </w:tcBorders>
            <w:vAlign w:val="center"/>
          </w:tcPr>
          <w:p w14:paraId="23226461">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合同履行期限</w:t>
            </w:r>
          </w:p>
        </w:tc>
        <w:tc>
          <w:tcPr>
            <w:tcW w:w="3921" w:type="dxa"/>
            <w:tcBorders>
              <w:top w:val="single" w:color="000000" w:sz="2" w:space="0"/>
              <w:bottom w:val="single" w:color="000000" w:sz="2" w:space="0"/>
            </w:tcBorders>
            <w:vAlign w:val="center"/>
          </w:tcPr>
          <w:p w14:paraId="4F4D0C42">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满足</w:t>
            </w:r>
            <w:r>
              <w:rPr>
                <w:rFonts w:hint="eastAsia" w:ascii="宋体" w:hAnsi="宋体" w:eastAsia="宋体" w:cs="宋体"/>
                <w:color w:val="auto"/>
                <w:highlight w:val="none"/>
                <w:lang w:eastAsia="zh-CN"/>
              </w:rPr>
              <w:t>竞争性磋商文件</w:t>
            </w:r>
            <w:r>
              <w:rPr>
                <w:rFonts w:hint="eastAsia" w:ascii="宋体" w:hAnsi="宋体" w:eastAsia="宋体" w:cs="宋体"/>
                <w:color w:val="auto"/>
                <w:highlight w:val="none"/>
              </w:rPr>
              <w:t>要求</w:t>
            </w:r>
          </w:p>
        </w:tc>
      </w:tr>
      <w:tr w14:paraId="660E0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231" w:type="dxa"/>
            <w:vMerge w:val="continue"/>
            <w:vAlign w:val="center"/>
          </w:tcPr>
          <w:p w14:paraId="166E125E">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1196" w:type="dxa"/>
            <w:vMerge w:val="continue"/>
            <w:vAlign w:val="center"/>
          </w:tcPr>
          <w:p w14:paraId="3CAD55E8">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lang w:val="en-US" w:eastAsia="zh-CN"/>
              </w:rPr>
            </w:pPr>
          </w:p>
        </w:tc>
        <w:tc>
          <w:tcPr>
            <w:tcW w:w="2371" w:type="dxa"/>
            <w:tcBorders>
              <w:top w:val="single" w:color="000000" w:sz="2" w:space="0"/>
              <w:bottom w:val="single" w:color="000000" w:sz="2" w:space="0"/>
            </w:tcBorders>
            <w:vAlign w:val="center"/>
          </w:tcPr>
          <w:p w14:paraId="6D68D329">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3921" w:type="dxa"/>
            <w:tcBorders>
              <w:top w:val="single" w:color="000000" w:sz="2" w:space="0"/>
              <w:bottom w:val="single" w:color="000000" w:sz="2" w:space="0"/>
            </w:tcBorders>
            <w:vAlign w:val="center"/>
          </w:tcPr>
          <w:p w14:paraId="153B22BA">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满足</w:t>
            </w:r>
            <w:r>
              <w:rPr>
                <w:rFonts w:hint="eastAsia" w:ascii="宋体" w:hAnsi="宋体" w:eastAsia="宋体" w:cs="宋体"/>
                <w:color w:val="auto"/>
                <w:highlight w:val="none"/>
                <w:lang w:eastAsia="zh-CN"/>
              </w:rPr>
              <w:t>竞争性磋商文件</w:t>
            </w:r>
            <w:r>
              <w:rPr>
                <w:rFonts w:hint="eastAsia" w:ascii="宋体" w:hAnsi="宋体" w:eastAsia="宋体" w:cs="宋体"/>
                <w:color w:val="auto"/>
                <w:highlight w:val="none"/>
              </w:rPr>
              <w:t>要求</w:t>
            </w:r>
          </w:p>
        </w:tc>
      </w:tr>
      <w:tr w14:paraId="14E9C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231" w:type="dxa"/>
            <w:vAlign w:val="center"/>
          </w:tcPr>
          <w:p w14:paraId="3F3137DF">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p>
        </w:tc>
        <w:tc>
          <w:tcPr>
            <w:tcW w:w="1196" w:type="dxa"/>
            <w:tcBorders>
              <w:bottom w:val="single" w:color="000000" w:sz="2" w:space="0"/>
            </w:tcBorders>
            <w:vAlign w:val="center"/>
          </w:tcPr>
          <w:p w14:paraId="128B93E4">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lang w:val="en-US" w:eastAsia="zh-CN"/>
              </w:rPr>
            </w:pPr>
          </w:p>
        </w:tc>
        <w:tc>
          <w:tcPr>
            <w:tcW w:w="2371" w:type="dxa"/>
            <w:tcBorders>
              <w:top w:val="single" w:color="000000" w:sz="2" w:space="0"/>
              <w:bottom w:val="single" w:color="000000" w:sz="2" w:space="0"/>
            </w:tcBorders>
            <w:shd w:val="clear" w:color="auto" w:fill="auto"/>
            <w:vAlign w:val="center"/>
          </w:tcPr>
          <w:p w14:paraId="5631BDA8">
            <w:pPr>
              <w:keepNext w:val="0"/>
              <w:keepLines w:val="0"/>
              <w:pageBreakBefore w:val="0"/>
              <w:kinsoku/>
              <w:wordWrap w:val="0"/>
              <w:overflowPunct w:val="0"/>
              <w:topLinePunct/>
              <w:autoSpaceDE w:val="0"/>
              <w:autoSpaceDN w:val="0"/>
              <w:bidi w:val="0"/>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highlight w:val="none"/>
                <w:lang w:val="en-US" w:eastAsia="zh-CN"/>
              </w:rPr>
              <w:t>信用记录</w:t>
            </w:r>
          </w:p>
        </w:tc>
        <w:tc>
          <w:tcPr>
            <w:tcW w:w="3921" w:type="dxa"/>
            <w:tcBorders>
              <w:top w:val="single" w:color="000000" w:sz="2" w:space="0"/>
              <w:bottom w:val="single" w:color="000000" w:sz="2" w:space="0"/>
            </w:tcBorders>
            <w:shd w:val="clear" w:color="auto" w:fill="auto"/>
            <w:vAlign w:val="center"/>
          </w:tcPr>
          <w:p w14:paraId="7D15D0D2">
            <w:pPr>
              <w:keepNext w:val="0"/>
              <w:keepLines w:val="0"/>
              <w:pageBreakBefore w:val="0"/>
              <w:kinsoku/>
              <w:wordWrap w:val="0"/>
              <w:overflowPunct w:val="0"/>
              <w:topLinePunct/>
              <w:autoSpaceDE w:val="0"/>
              <w:autoSpaceDN w:val="0"/>
              <w:bidi w:val="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highlight w:val="none"/>
                <w:lang w:val="en-US" w:eastAsia="zh-CN"/>
              </w:rPr>
              <w:t>根据《关于在政府采购活动中查询及使用信用记录有关问题的通知》财库[2016]125号文件和豫财购【2016】15号文件的规定，供应商应提供“信用中国”网站（www.creditchina.gov.cn）查询“失信被执行人”、“重大税收违法失信主体”；中国政府采购网（www.ccgp.gov.cn）查询“政府采购严重违法失信行为记录名单”渠道查询自身信用记录，提供查询网页截图，查询截止时点为：从公告发布之日起至投标截止之日止；</w:t>
            </w:r>
          </w:p>
        </w:tc>
      </w:tr>
    </w:tbl>
    <w:p w14:paraId="3C295E9C">
      <w:pPr>
        <w:keepNext w:val="0"/>
        <w:keepLines w:val="0"/>
        <w:pageBreakBefore w:val="0"/>
        <w:kinsoku/>
        <w:wordWrap w:val="0"/>
        <w:overflowPunct w:val="0"/>
        <w:topLinePunct/>
        <w:autoSpaceDE w:val="0"/>
        <w:autoSpaceDN w:val="0"/>
        <w:bidi w:val="0"/>
        <w:spacing w:line="363" w:lineRule="auto"/>
        <w:rPr>
          <w:rFonts w:hint="eastAsia" w:ascii="宋体" w:hAnsi="宋体" w:eastAsia="宋体" w:cs="宋体"/>
          <w:color w:val="auto"/>
          <w:sz w:val="21"/>
          <w:highlight w:val="none"/>
        </w:rPr>
      </w:pPr>
    </w:p>
    <w:p w14:paraId="6C467EBD">
      <w:pPr>
        <w:keepNext w:val="0"/>
        <w:keepLines w:val="0"/>
        <w:pageBreakBefore w:val="0"/>
        <w:kinsoku/>
        <w:wordWrap w:val="0"/>
        <w:overflowPunct w:val="0"/>
        <w:topLinePunct/>
        <w:autoSpaceDE w:val="0"/>
        <w:autoSpaceDN w:val="0"/>
        <w:bidi w:val="0"/>
        <w:spacing w:line="360" w:lineRule="auto"/>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3.详细评审</w:t>
      </w:r>
    </w:p>
    <w:tbl>
      <w:tblPr>
        <w:tblStyle w:val="19"/>
        <w:tblW w:w="85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1"/>
        <w:gridCol w:w="1107"/>
        <w:gridCol w:w="6427"/>
      </w:tblGrid>
      <w:tr w14:paraId="0A20C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041" w:type="dxa"/>
            <w:tcBorders>
              <w:top w:val="single" w:color="auto" w:sz="4" w:space="0"/>
              <w:bottom w:val="single" w:color="auto" w:sz="4" w:space="0"/>
              <w:right w:val="single" w:color="auto" w:sz="4" w:space="0"/>
            </w:tcBorders>
            <w:noWrap w:val="0"/>
            <w:vAlign w:val="center"/>
          </w:tcPr>
          <w:p w14:paraId="4988A4F3">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条款号</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37FE18D0">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条款内容</w:t>
            </w:r>
          </w:p>
        </w:tc>
        <w:tc>
          <w:tcPr>
            <w:tcW w:w="6427" w:type="dxa"/>
            <w:tcBorders>
              <w:top w:val="single" w:color="auto" w:sz="4" w:space="0"/>
              <w:left w:val="single" w:color="auto" w:sz="4" w:space="0"/>
              <w:bottom w:val="single" w:color="auto" w:sz="4" w:space="0"/>
              <w:right w:val="single" w:color="auto" w:sz="4" w:space="0"/>
            </w:tcBorders>
            <w:noWrap w:val="0"/>
            <w:vAlign w:val="center"/>
          </w:tcPr>
          <w:p w14:paraId="6E77F61E">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编列内容</w:t>
            </w:r>
          </w:p>
        </w:tc>
      </w:tr>
      <w:tr w14:paraId="4E34B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1041" w:type="dxa"/>
            <w:tcBorders>
              <w:bottom w:val="single" w:color="auto" w:sz="4" w:space="0"/>
              <w:right w:val="single" w:color="auto" w:sz="4" w:space="0"/>
            </w:tcBorders>
            <w:noWrap w:val="0"/>
            <w:vAlign w:val="center"/>
          </w:tcPr>
          <w:p w14:paraId="4365C183">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48651C1">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分值构成</w:t>
            </w:r>
          </w:p>
          <w:p w14:paraId="45BFA7A7">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r>
              <w:rPr>
                <w:rFonts w:hint="eastAsia" w:ascii="宋体" w:hAnsi="宋体" w:eastAsia="宋体" w:cs="宋体"/>
                <w:color w:val="auto"/>
                <w:highlight w:val="none"/>
              </w:rPr>
              <w:t>(100分)</w:t>
            </w:r>
          </w:p>
        </w:tc>
        <w:tc>
          <w:tcPr>
            <w:tcW w:w="6427" w:type="dxa"/>
            <w:tcBorders>
              <w:top w:val="single" w:color="auto" w:sz="4" w:space="0"/>
              <w:left w:val="single" w:color="auto" w:sz="4" w:space="0"/>
              <w:bottom w:val="single" w:color="auto" w:sz="4" w:space="0"/>
              <w:right w:val="single" w:color="auto" w:sz="4" w:space="0"/>
            </w:tcBorders>
            <w:noWrap w:val="0"/>
            <w:vAlign w:val="center"/>
          </w:tcPr>
          <w:p w14:paraId="5BBFBA07">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商务部分</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w:t>
            </w:r>
          </w:p>
          <w:p w14:paraId="7FEE0763">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rPr>
              <w:t>2.技术</w:t>
            </w:r>
            <w:r>
              <w:rPr>
                <w:rFonts w:hint="eastAsia" w:ascii="宋体" w:hAnsi="宋体" w:eastAsia="宋体" w:cs="宋体"/>
                <w:color w:val="auto"/>
                <w:highlight w:val="none"/>
                <w:lang w:val="en-US" w:eastAsia="zh-CN"/>
              </w:rPr>
              <w:t>部分</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38</w:t>
            </w:r>
            <w:r>
              <w:rPr>
                <w:rFonts w:hint="eastAsia" w:ascii="宋体" w:hAnsi="宋体" w:eastAsia="宋体" w:cs="宋体"/>
                <w:color w:val="auto"/>
                <w:highlight w:val="none"/>
              </w:rPr>
              <w:t>分</w:t>
            </w:r>
          </w:p>
          <w:p w14:paraId="34C77A8A">
            <w:pPr>
              <w:keepNext w:val="0"/>
              <w:keepLines w:val="0"/>
              <w:pageBreakBefore w:val="0"/>
              <w:kinsoku/>
              <w:wordWrap w:val="0"/>
              <w:overflowPunct w:val="0"/>
              <w:topLinePunct/>
              <w:autoSpaceDE w:val="0"/>
              <w:autoSpaceDN w:val="0"/>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综合部分</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47</w:t>
            </w:r>
            <w:r>
              <w:rPr>
                <w:rFonts w:hint="eastAsia" w:ascii="宋体" w:hAnsi="宋体" w:eastAsia="宋体" w:cs="宋体"/>
                <w:color w:val="auto"/>
                <w:highlight w:val="none"/>
              </w:rPr>
              <w:t>分</w:t>
            </w:r>
          </w:p>
        </w:tc>
      </w:tr>
      <w:tr w14:paraId="544CA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1041" w:type="dxa"/>
            <w:tcBorders>
              <w:bottom w:val="single" w:color="auto" w:sz="4" w:space="0"/>
              <w:right w:val="single" w:color="auto" w:sz="4" w:space="0"/>
            </w:tcBorders>
            <w:noWrap w:val="0"/>
            <w:vAlign w:val="center"/>
          </w:tcPr>
          <w:p w14:paraId="5783B581">
            <w:pPr>
              <w:keepNext w:val="0"/>
              <w:keepLines w:val="0"/>
              <w:pageBreakBefore w:val="0"/>
              <w:kinsoku/>
              <w:wordWrap w:val="0"/>
              <w:overflowPunct w:val="0"/>
              <w:topLinePunct/>
              <w:autoSpaceDE w:val="0"/>
              <w:autoSpaceDN w:val="0"/>
              <w:bidi w:val="0"/>
              <w:ind w:right="-134" w:rightChars="-64"/>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商务部分（15分）</w:t>
            </w:r>
          </w:p>
        </w:tc>
        <w:tc>
          <w:tcPr>
            <w:tcW w:w="1107" w:type="dxa"/>
            <w:tcBorders>
              <w:top w:val="single" w:color="auto" w:sz="4" w:space="0"/>
              <w:left w:val="single" w:color="auto" w:sz="4" w:space="0"/>
              <w:bottom w:val="single" w:color="auto" w:sz="4" w:space="0"/>
              <w:right w:val="single" w:color="auto" w:sz="4" w:space="0"/>
            </w:tcBorders>
            <w:noWrap w:val="0"/>
            <w:vAlign w:val="center"/>
          </w:tcPr>
          <w:p w14:paraId="1E6B16F3">
            <w:pPr>
              <w:keepNext w:val="0"/>
              <w:keepLines w:val="0"/>
              <w:pageBreakBefore w:val="0"/>
              <w:kinsoku/>
              <w:wordWrap w:val="0"/>
              <w:overflowPunct w:val="0"/>
              <w:topLinePunct/>
              <w:autoSpaceDE w:val="0"/>
              <w:autoSpaceDN w:val="0"/>
              <w:bidi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投标报价（15分）</w:t>
            </w:r>
          </w:p>
        </w:tc>
        <w:tc>
          <w:tcPr>
            <w:tcW w:w="6427" w:type="dxa"/>
            <w:tcBorders>
              <w:top w:val="single" w:color="auto" w:sz="4" w:space="0"/>
              <w:left w:val="single" w:color="auto" w:sz="4" w:space="0"/>
              <w:bottom w:val="single" w:color="auto" w:sz="4" w:space="0"/>
              <w:right w:val="single" w:color="auto" w:sz="4" w:space="0"/>
            </w:tcBorders>
            <w:noWrap w:val="0"/>
            <w:vAlign w:val="center"/>
          </w:tcPr>
          <w:p w14:paraId="2B56FA98">
            <w:pPr>
              <w:keepNext w:val="0"/>
              <w:keepLines w:val="0"/>
              <w:pageBreakBefore w:val="0"/>
              <w:kinsoku/>
              <w:wordWrap w:val="0"/>
              <w:overflowPunct w:val="0"/>
              <w:topLinePunct/>
              <w:autoSpaceDE w:val="0"/>
              <w:autoSpaceDN w:val="0"/>
              <w:bidi w:val="0"/>
              <w:ind w:right="-170" w:rightChars="-81"/>
              <w:rPr>
                <w:rFonts w:hint="eastAsia" w:ascii="宋体" w:hAnsi="宋体" w:eastAsia="宋体" w:cs="宋体"/>
                <w:color w:val="auto"/>
                <w:highlight w:val="none"/>
              </w:rPr>
            </w:pPr>
            <w:r>
              <w:rPr>
                <w:rFonts w:hint="eastAsia" w:ascii="宋体" w:hAnsi="宋体" w:eastAsia="宋体" w:cs="宋体"/>
                <w:color w:val="auto"/>
                <w:highlight w:val="none"/>
              </w:rPr>
              <w:t>1.价格分采用低价优先法计算，即满足招标文件要求且评标报价最低的评标报价为评标基准价，其价格分为满分。其他投标人的价格分统一按照下列公式计算：</w:t>
            </w:r>
          </w:p>
          <w:p w14:paraId="13919387">
            <w:pPr>
              <w:keepNext w:val="0"/>
              <w:keepLines w:val="0"/>
              <w:pageBreakBefore w:val="0"/>
              <w:kinsoku/>
              <w:wordWrap w:val="0"/>
              <w:overflowPunct w:val="0"/>
              <w:topLinePunct/>
              <w:autoSpaceDE w:val="0"/>
              <w:autoSpaceDN w:val="0"/>
              <w:bidi w:val="0"/>
              <w:ind w:right="-170" w:rightChars="-81"/>
              <w:rPr>
                <w:rFonts w:hint="eastAsia" w:ascii="宋体" w:hAnsi="宋体" w:eastAsia="宋体" w:cs="宋体"/>
                <w:color w:val="auto"/>
                <w:highlight w:val="none"/>
              </w:rPr>
            </w:pPr>
            <w:r>
              <w:rPr>
                <w:rFonts w:hint="eastAsia" w:ascii="宋体" w:hAnsi="宋体" w:eastAsia="宋体" w:cs="宋体"/>
                <w:color w:val="auto"/>
                <w:highlight w:val="none"/>
              </w:rPr>
              <w:t>投标报价得分=(评标基准价／评标报价)×</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w:t>
            </w:r>
          </w:p>
          <w:p w14:paraId="20B9933F">
            <w:pPr>
              <w:keepNext w:val="0"/>
              <w:keepLines w:val="0"/>
              <w:pageBreakBefore w:val="0"/>
              <w:kinsoku/>
              <w:wordWrap w:val="0"/>
              <w:overflowPunct w:val="0"/>
              <w:topLinePunct/>
              <w:autoSpaceDE w:val="0"/>
              <w:autoSpaceDN w:val="0"/>
              <w:bidi w:val="0"/>
              <w:ind w:right="-170" w:rightChars="-81"/>
              <w:rPr>
                <w:rFonts w:hint="eastAsia" w:ascii="宋体" w:hAnsi="宋体" w:eastAsia="宋体" w:cs="宋体"/>
                <w:color w:val="auto"/>
                <w:highlight w:val="none"/>
              </w:rPr>
            </w:pPr>
            <w:r>
              <w:rPr>
                <w:spacing w:val="1"/>
              </w:rPr>
              <w:t>注：价格分计算保留小数点后两位。</w:t>
            </w:r>
          </w:p>
          <w:p w14:paraId="3D40C520">
            <w:pPr>
              <w:keepNext w:val="0"/>
              <w:keepLines w:val="0"/>
              <w:pageBreakBefore w:val="0"/>
              <w:kinsoku/>
              <w:wordWrap w:val="0"/>
              <w:overflowPunct w:val="0"/>
              <w:topLinePunct/>
              <w:autoSpaceDE w:val="0"/>
              <w:autoSpaceDN w:val="0"/>
              <w:bidi w:val="0"/>
              <w:ind w:right="-170" w:rightChars="-81"/>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投标报价明显低于其他通过符合性审查投标人的报价，且其投标报价可能低于其成本的（低于最高限价30%以上的），评标委员会应当要求其在评标现场合理的时间内提供书面说明以及证明材料，投标人不能证明其报价合理性或者不能提供相关证明材料的，应由评标委员会认定该投标人以低于成本报价竞标，其投标应作废标处理。</w:t>
            </w:r>
          </w:p>
          <w:p w14:paraId="7EF51D8C">
            <w:pPr>
              <w:keepNext w:val="0"/>
              <w:keepLines w:val="0"/>
              <w:pageBreakBefore w:val="0"/>
              <w:kinsoku/>
              <w:wordWrap w:val="0"/>
              <w:overflowPunct w:val="0"/>
              <w:topLinePunct/>
              <w:autoSpaceDE w:val="0"/>
              <w:autoSpaceDN w:val="0"/>
              <w:bidi w:val="0"/>
              <w:ind w:right="-170" w:rightChars="-81"/>
              <w:rPr>
                <w:rFonts w:hint="eastAsia" w:ascii="宋体" w:hAnsi="宋体" w:eastAsia="宋体" w:cs="宋体"/>
                <w:color w:val="auto"/>
                <w:highlight w:val="none"/>
              </w:rPr>
            </w:pPr>
            <w:r>
              <w:rPr>
                <w:rFonts w:hint="eastAsia" w:ascii="宋体" w:hAnsi="宋体" w:eastAsia="宋体" w:cs="宋体"/>
                <w:color w:val="auto"/>
                <w:highlight w:val="none"/>
              </w:rPr>
              <w:t>3.小型和微型企业（监狱企业视同小型、微型企业）的报价给予6%的扣除，用扣除后的价格计算报价得分。参加政府采购活动的小微企业应当提供《小微企业声明</w:t>
            </w:r>
            <w:r>
              <w:rPr>
                <w:rFonts w:hint="eastAsia" w:ascii="宋体" w:hAnsi="宋体" w:eastAsia="宋体" w:cs="宋体"/>
                <w:color w:val="auto"/>
                <w:highlight w:val="none"/>
                <w:lang w:val="en-US" w:eastAsia="zh-CN"/>
              </w:rPr>
              <w:t>函</w:t>
            </w:r>
            <w:r>
              <w:rPr>
                <w:rFonts w:hint="eastAsia" w:ascii="宋体" w:hAnsi="宋体" w:eastAsia="宋体" w:cs="宋体"/>
                <w:color w:val="auto"/>
                <w:highlight w:val="none"/>
              </w:rPr>
              <w:t>》，未填写《小微企业声明函》的在评标过程中不予认可；监狱企业，应当提供由省级以上监狱管理局、戒毒管理局（含新疆生产建设兵团）出具的属于监狱企业的证明</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w:t>
            </w:r>
          </w:p>
          <w:p w14:paraId="2CA71F38">
            <w:pPr>
              <w:keepNext w:val="0"/>
              <w:keepLines w:val="0"/>
              <w:pageBreakBefore w:val="0"/>
              <w:kinsoku/>
              <w:wordWrap w:val="0"/>
              <w:overflowPunct w:val="0"/>
              <w:topLinePunct/>
              <w:autoSpaceDE w:val="0"/>
              <w:autoSpaceDN w:val="0"/>
              <w:bidi w:val="0"/>
              <w:ind w:right="-170" w:rightChars="-81"/>
              <w:rPr>
                <w:rFonts w:hint="eastAsia" w:ascii="宋体" w:hAnsi="宋体" w:eastAsia="宋体" w:cs="宋体"/>
                <w:color w:val="auto"/>
                <w:highlight w:val="none"/>
              </w:rPr>
            </w:pPr>
            <w:r>
              <w:rPr>
                <w:rFonts w:hint="eastAsia" w:ascii="宋体" w:hAnsi="宋体" w:eastAsia="宋体" w:cs="宋体"/>
                <w:color w:val="auto"/>
                <w:highlight w:val="none"/>
              </w:rPr>
              <w:t>4.价格扣除：供应商为小型和微型企业，则给予报价6%的扣除，用扣除后的价格参与评审。参加投标的小微企业，应当按照《政府采购促进中小企业发展管理办法》（财库[2020]46 号）的规定提供《中小微企业声明函》（中小企业划型标准详见《关于印发中小企业划型标准规定的通知》工信部联企业〔2011〕300号）。供应商所投产品为大型和中型企业制造的不适用本款规定。</w:t>
            </w:r>
          </w:p>
          <w:p w14:paraId="23D396C5">
            <w:pPr>
              <w:keepNext w:val="0"/>
              <w:keepLines w:val="0"/>
              <w:pageBreakBefore w:val="0"/>
              <w:kinsoku/>
              <w:wordWrap w:val="0"/>
              <w:overflowPunct w:val="0"/>
              <w:topLinePunct/>
              <w:autoSpaceDE w:val="0"/>
              <w:autoSpaceDN w:val="0"/>
              <w:bidi w:val="0"/>
              <w:ind w:right="-170" w:rightChars="-81"/>
              <w:rPr>
                <w:rFonts w:hint="eastAsia" w:ascii="宋体" w:hAnsi="宋体" w:eastAsia="宋体" w:cs="宋体"/>
                <w:color w:val="auto"/>
                <w:highlight w:val="none"/>
              </w:rPr>
            </w:pPr>
            <w:r>
              <w:rPr>
                <w:rFonts w:hint="eastAsia" w:ascii="宋体" w:hAnsi="宋体" w:eastAsia="宋体" w:cs="宋体"/>
                <w:color w:val="auto"/>
                <w:highlight w:val="none"/>
              </w:rPr>
              <w:t>5.根据财政部司法部《关于政府采购支持监狱企业发展有关问题的通知》（财库〔2014〕68 号）和财政部民政部中国残疾人联合会《关于促进残疾人就业政府采购政策的通知》（财库〔2017〕141号）规定，本项目对监狱企业、残疾人福利性企业作为供应商投标报价给予6%的扣除。</w:t>
            </w:r>
          </w:p>
          <w:p w14:paraId="7CF7A47C">
            <w:pPr>
              <w:keepNext w:val="0"/>
              <w:keepLines w:val="0"/>
              <w:pageBreakBefore w:val="0"/>
              <w:kinsoku/>
              <w:wordWrap w:val="0"/>
              <w:overflowPunct w:val="0"/>
              <w:topLinePunct/>
              <w:autoSpaceDE w:val="0"/>
              <w:autoSpaceDN w:val="0"/>
              <w:bidi w:val="0"/>
              <w:ind w:right="-170" w:rightChars="-81"/>
              <w:rPr>
                <w:rFonts w:hint="eastAsia" w:ascii="宋体" w:hAnsi="宋体" w:eastAsia="宋体" w:cs="宋体"/>
                <w:color w:val="auto"/>
                <w:highlight w:val="none"/>
              </w:rPr>
            </w:pPr>
            <w:r>
              <w:rPr>
                <w:rFonts w:hint="eastAsia" w:ascii="宋体" w:hAnsi="宋体" w:eastAsia="宋体" w:cs="宋体"/>
                <w:color w:val="auto"/>
                <w:highlight w:val="none"/>
              </w:rPr>
              <w:t>6.小型或微型企业或监狱企业或残疾人福利性企业参与计算的投标报价=投标报价×（1-6%），其余单位投标报价=投标报价</w:t>
            </w:r>
          </w:p>
          <w:p w14:paraId="3BF30104">
            <w:pPr>
              <w:keepNext w:val="0"/>
              <w:keepLines w:val="0"/>
              <w:pageBreakBefore w:val="0"/>
              <w:kinsoku/>
              <w:wordWrap w:val="0"/>
              <w:overflowPunct w:val="0"/>
              <w:topLinePunct/>
              <w:autoSpaceDE w:val="0"/>
              <w:autoSpaceDN w:val="0"/>
              <w:bidi w:val="0"/>
              <w:ind w:right="-170" w:rightChars="-81"/>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7.同一供应商，小微企业、监狱、残疾人福利性企业投标报价扣除优惠只享受一次，不得重复享受。</w:t>
            </w:r>
          </w:p>
        </w:tc>
      </w:tr>
      <w:tr w14:paraId="05511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jc w:val="center"/>
        </w:trPr>
        <w:tc>
          <w:tcPr>
            <w:tcW w:w="1041" w:type="dxa"/>
            <w:vMerge w:val="restart"/>
            <w:tcBorders>
              <w:right w:val="single" w:color="auto" w:sz="4" w:space="0"/>
            </w:tcBorders>
            <w:noWrap w:val="0"/>
            <w:vAlign w:val="center"/>
          </w:tcPr>
          <w:p w14:paraId="26A54050">
            <w:pPr>
              <w:keepNext w:val="0"/>
              <w:keepLines w:val="0"/>
              <w:pageBreakBefore w:val="0"/>
              <w:kinsoku/>
              <w:wordWrap w:val="0"/>
              <w:overflowPunct w:val="0"/>
              <w:topLinePunct/>
              <w:autoSpaceDE w:val="0"/>
              <w:autoSpaceDN w:val="0"/>
              <w:bidi w:val="0"/>
              <w:ind w:right="-94" w:rightChars="-45"/>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技术部分（38分）</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4EDFA3">
            <w:pPr>
              <w:keepNext w:val="0"/>
              <w:keepLines w:val="0"/>
              <w:pageBreakBefore w:val="0"/>
              <w:kinsoku/>
              <w:wordWrap w:val="0"/>
              <w:overflowPunct w:val="0"/>
              <w:topLinePunct/>
              <w:autoSpaceDE w:val="0"/>
              <w:autoSpaceDN w:val="0"/>
              <w:bidi w:val="0"/>
              <w:ind w:right="-94" w:rightChars="-45"/>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安全管理方案</w:t>
            </w:r>
          </w:p>
          <w:p w14:paraId="58F14CFA">
            <w:pPr>
              <w:keepNext w:val="0"/>
              <w:keepLines w:val="0"/>
              <w:pageBreakBefore w:val="0"/>
              <w:kinsoku/>
              <w:wordWrap w:val="0"/>
              <w:overflowPunct w:val="0"/>
              <w:topLinePunct/>
              <w:autoSpaceDE w:val="0"/>
              <w:autoSpaceDN w:val="0"/>
              <w:bidi w:val="0"/>
              <w:ind w:right="-94" w:rightChars="-45"/>
              <w:jc w:val="center"/>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highlight w:val="none"/>
                <w:lang w:val="en-US" w:eastAsia="zh-CN"/>
              </w:rPr>
              <w:t>（5分）</w:t>
            </w:r>
          </w:p>
        </w:tc>
        <w:tc>
          <w:tcPr>
            <w:tcW w:w="64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4D5F22">
            <w:pPr>
              <w:keepNext w:val="0"/>
              <w:keepLines w:val="0"/>
              <w:pageBreakBefore w:val="0"/>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投标人根据项目特征，编制安全管理方案。</w:t>
            </w:r>
          </w:p>
          <w:p w14:paraId="1FE42956">
            <w:pPr>
              <w:keepNext w:val="0"/>
              <w:keepLines w:val="0"/>
              <w:pageBreakBefore w:val="0"/>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评标委员会根据投标人编制方案，在0-5分之间进行打分。</w:t>
            </w:r>
          </w:p>
          <w:p w14:paraId="6FEAC000">
            <w:pPr>
              <w:keepNext w:val="0"/>
              <w:keepLines w:val="0"/>
              <w:pageBreakBefore w:val="0"/>
              <w:numPr>
                <w:ilvl w:val="0"/>
                <w:numId w:val="1"/>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方案编制详实，可操作性强，能切实解决问题的，得5分；</w:t>
            </w:r>
          </w:p>
          <w:p w14:paraId="2D22B5CA">
            <w:pPr>
              <w:keepNext w:val="0"/>
              <w:keepLines w:val="0"/>
              <w:pageBreakBefore w:val="0"/>
              <w:numPr>
                <w:ilvl w:val="0"/>
                <w:numId w:val="1"/>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方案编制详实，可操作性一般，但能解决部分问题的，得3分；</w:t>
            </w:r>
          </w:p>
          <w:p w14:paraId="71AD81FF">
            <w:pPr>
              <w:keepNext w:val="0"/>
              <w:keepLines w:val="0"/>
              <w:pageBreakBefore w:val="0"/>
              <w:numPr>
                <w:ilvl w:val="0"/>
                <w:numId w:val="1"/>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方案编制一般，可操作性一般，得1分；</w:t>
            </w:r>
          </w:p>
          <w:p w14:paraId="2FE4E9CD">
            <w:pPr>
              <w:keepNext w:val="0"/>
              <w:keepLines w:val="0"/>
              <w:pageBreakBefore w:val="0"/>
              <w:numPr>
                <w:ilvl w:val="0"/>
                <w:numId w:val="1"/>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未提供的，不得分</w:t>
            </w:r>
          </w:p>
          <w:p w14:paraId="44CF7ADA">
            <w:pPr>
              <w:keepNext w:val="0"/>
              <w:keepLines w:val="0"/>
              <w:pageBreakBefore w:val="0"/>
              <w:kinsoku/>
              <w:wordWrap w:val="0"/>
              <w:overflowPunct w:val="0"/>
              <w:topLinePunct/>
              <w:autoSpaceDE w:val="0"/>
              <w:autoSpaceDN w:val="0"/>
              <w:bidi w:val="0"/>
              <w:ind w:right="-94" w:rightChars="-45"/>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highlight w:val="none"/>
                <w:lang w:val="en-US" w:eastAsia="zh-CN"/>
              </w:rPr>
              <w:t>方案编制严重缺失的，不得分。</w:t>
            </w:r>
          </w:p>
        </w:tc>
      </w:tr>
      <w:tr w14:paraId="38DDB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jc w:val="center"/>
        </w:trPr>
        <w:tc>
          <w:tcPr>
            <w:tcW w:w="1041" w:type="dxa"/>
            <w:vMerge w:val="continue"/>
            <w:tcBorders>
              <w:right w:val="single" w:color="auto" w:sz="4" w:space="0"/>
            </w:tcBorders>
            <w:noWrap w:val="0"/>
            <w:vAlign w:val="center"/>
          </w:tcPr>
          <w:p w14:paraId="7CFF8A26">
            <w:pPr>
              <w:keepNext w:val="0"/>
              <w:keepLines w:val="0"/>
              <w:pageBreakBefore w:val="0"/>
              <w:kinsoku/>
              <w:wordWrap w:val="0"/>
              <w:overflowPunct w:val="0"/>
              <w:topLinePunct/>
              <w:autoSpaceDE w:val="0"/>
              <w:autoSpaceDN w:val="0"/>
              <w:bidi w:val="0"/>
              <w:ind w:right="-94" w:rightChars="-45"/>
              <w:rPr>
                <w:rFonts w:hint="default" w:ascii="宋体" w:hAnsi="宋体" w:eastAsia="宋体" w:cs="宋体"/>
                <w:color w:val="auto"/>
                <w:highlight w:val="none"/>
                <w:lang w:val="en-US" w:eastAsia="zh-CN"/>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B886E86">
            <w:pPr>
              <w:keepNext w:val="0"/>
              <w:keepLines w:val="0"/>
              <w:pageBreakBefore w:val="0"/>
              <w:kinsoku/>
              <w:wordWrap w:val="0"/>
              <w:overflowPunct w:val="0"/>
              <w:topLinePunct/>
              <w:autoSpaceDE w:val="0"/>
              <w:autoSpaceDN w:val="0"/>
              <w:bidi w:val="0"/>
              <w:ind w:right="-94" w:rightChars="-45"/>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保洁服务方案</w:t>
            </w:r>
          </w:p>
          <w:p w14:paraId="4B6F0457">
            <w:pPr>
              <w:keepNext w:val="0"/>
              <w:keepLines w:val="0"/>
              <w:pageBreakBefore w:val="0"/>
              <w:kinsoku/>
              <w:wordWrap w:val="0"/>
              <w:overflowPunct w:val="0"/>
              <w:topLinePunct/>
              <w:autoSpaceDE w:val="0"/>
              <w:autoSpaceDN w:val="0"/>
              <w:bidi w:val="0"/>
              <w:ind w:right="-94" w:rightChars="-45"/>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（5分）</w:t>
            </w:r>
          </w:p>
        </w:tc>
        <w:tc>
          <w:tcPr>
            <w:tcW w:w="6427" w:type="dxa"/>
            <w:tcBorders>
              <w:top w:val="single" w:color="auto" w:sz="4" w:space="0"/>
              <w:left w:val="single" w:color="auto" w:sz="4" w:space="0"/>
              <w:bottom w:val="single" w:color="auto" w:sz="4" w:space="0"/>
              <w:right w:val="single" w:color="auto" w:sz="4" w:space="0"/>
            </w:tcBorders>
            <w:noWrap w:val="0"/>
            <w:vAlign w:val="center"/>
          </w:tcPr>
          <w:p w14:paraId="7AACB208">
            <w:pPr>
              <w:keepNext w:val="0"/>
              <w:keepLines w:val="0"/>
              <w:pageBreakBefore w:val="0"/>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投标人根据项目特征，编制保洁服务方案。</w:t>
            </w:r>
          </w:p>
          <w:p w14:paraId="3B7FE4A8">
            <w:pPr>
              <w:keepNext w:val="0"/>
              <w:keepLines w:val="0"/>
              <w:pageBreakBefore w:val="0"/>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评标委员会根据投标人编制方案，在0-5分之间进行打分。</w:t>
            </w:r>
          </w:p>
          <w:p w14:paraId="4CB879E7">
            <w:pPr>
              <w:keepNext w:val="0"/>
              <w:keepLines w:val="0"/>
              <w:pageBreakBefore w:val="0"/>
              <w:numPr>
                <w:ilvl w:val="0"/>
                <w:numId w:val="2"/>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方案编制详实，可操作性强，能切实解决问题的，得5分；</w:t>
            </w:r>
          </w:p>
          <w:p w14:paraId="3252C8D2">
            <w:pPr>
              <w:keepNext w:val="0"/>
              <w:keepLines w:val="0"/>
              <w:pageBreakBefore w:val="0"/>
              <w:numPr>
                <w:ilvl w:val="0"/>
                <w:numId w:val="2"/>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方案编制详实，可操作性一般，但能解决部分问题的，得3分；</w:t>
            </w:r>
          </w:p>
          <w:p w14:paraId="36818237">
            <w:pPr>
              <w:keepNext w:val="0"/>
              <w:keepLines w:val="0"/>
              <w:pageBreakBefore w:val="0"/>
              <w:numPr>
                <w:ilvl w:val="0"/>
                <w:numId w:val="2"/>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方案编制一般，可操作性一般，得1分；</w:t>
            </w:r>
          </w:p>
          <w:p w14:paraId="5AEDFACA">
            <w:pPr>
              <w:keepNext w:val="0"/>
              <w:keepLines w:val="0"/>
              <w:pageBreakBefore w:val="0"/>
              <w:numPr>
                <w:ilvl w:val="0"/>
                <w:numId w:val="2"/>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未提供的，不得分</w:t>
            </w:r>
          </w:p>
          <w:p w14:paraId="72743E9C">
            <w:pPr>
              <w:keepNext w:val="0"/>
              <w:keepLines w:val="0"/>
              <w:pageBreakBefore w:val="0"/>
              <w:kinsoku/>
              <w:wordWrap w:val="0"/>
              <w:overflowPunct w:val="0"/>
              <w:topLinePunct/>
              <w:autoSpaceDE w:val="0"/>
              <w:autoSpaceDN w:val="0"/>
              <w:bidi w:val="0"/>
              <w:ind w:right="-94" w:rightChars="-45"/>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方案编制严重缺失的，不得分。</w:t>
            </w:r>
          </w:p>
        </w:tc>
      </w:tr>
      <w:tr w14:paraId="18D12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jc w:val="center"/>
        </w:trPr>
        <w:tc>
          <w:tcPr>
            <w:tcW w:w="1041" w:type="dxa"/>
            <w:vMerge w:val="continue"/>
            <w:tcBorders>
              <w:right w:val="single" w:color="auto" w:sz="4" w:space="0"/>
            </w:tcBorders>
            <w:noWrap w:val="0"/>
            <w:vAlign w:val="center"/>
          </w:tcPr>
          <w:p w14:paraId="26F2BD3A">
            <w:pPr>
              <w:keepNext w:val="0"/>
              <w:keepLines w:val="0"/>
              <w:pageBreakBefore w:val="0"/>
              <w:kinsoku/>
              <w:wordWrap w:val="0"/>
              <w:overflowPunct w:val="0"/>
              <w:topLinePunct/>
              <w:autoSpaceDE w:val="0"/>
              <w:autoSpaceDN w:val="0"/>
              <w:bidi w:val="0"/>
              <w:ind w:right="-94" w:rightChars="-45"/>
              <w:rPr>
                <w:rFonts w:hint="default" w:ascii="宋体" w:hAnsi="宋体" w:eastAsia="宋体" w:cs="宋体"/>
                <w:color w:val="auto"/>
                <w:highlight w:val="none"/>
                <w:lang w:val="en-US" w:eastAsia="zh-CN"/>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5E839685">
            <w:pPr>
              <w:keepNext w:val="0"/>
              <w:keepLines w:val="0"/>
              <w:pageBreakBefore w:val="0"/>
              <w:kinsoku/>
              <w:wordWrap w:val="0"/>
              <w:overflowPunct w:val="0"/>
              <w:topLinePunct/>
              <w:autoSpaceDE w:val="0"/>
              <w:autoSpaceDN w:val="0"/>
              <w:bidi w:val="0"/>
              <w:ind w:right="-94" w:rightChars="-45"/>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综合维修服务方案（5分）</w:t>
            </w:r>
          </w:p>
        </w:tc>
        <w:tc>
          <w:tcPr>
            <w:tcW w:w="6427" w:type="dxa"/>
            <w:tcBorders>
              <w:top w:val="single" w:color="auto" w:sz="4" w:space="0"/>
              <w:left w:val="single" w:color="auto" w:sz="4" w:space="0"/>
              <w:bottom w:val="single" w:color="auto" w:sz="4" w:space="0"/>
              <w:right w:val="single" w:color="auto" w:sz="4" w:space="0"/>
            </w:tcBorders>
            <w:noWrap w:val="0"/>
            <w:vAlign w:val="center"/>
          </w:tcPr>
          <w:p w14:paraId="214B6688">
            <w:pPr>
              <w:keepNext w:val="0"/>
              <w:keepLines w:val="0"/>
              <w:pageBreakBefore w:val="0"/>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投标人根据项目特征，编制综合维修服务方案。</w:t>
            </w:r>
          </w:p>
          <w:p w14:paraId="22CF9967">
            <w:pPr>
              <w:keepNext w:val="0"/>
              <w:keepLines w:val="0"/>
              <w:pageBreakBefore w:val="0"/>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评标委员会根据投标人编制方案，在0-5分之间进行打分。</w:t>
            </w:r>
          </w:p>
          <w:p w14:paraId="738D90D0">
            <w:pPr>
              <w:keepNext w:val="0"/>
              <w:keepLines w:val="0"/>
              <w:pageBreakBefore w:val="0"/>
              <w:numPr>
                <w:ilvl w:val="0"/>
                <w:numId w:val="3"/>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方案编制详实，可操作性强，能切实解决问题的，得5分；</w:t>
            </w:r>
          </w:p>
          <w:p w14:paraId="32D89E5A">
            <w:pPr>
              <w:keepNext w:val="0"/>
              <w:keepLines w:val="0"/>
              <w:pageBreakBefore w:val="0"/>
              <w:numPr>
                <w:ilvl w:val="0"/>
                <w:numId w:val="3"/>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方案编制详实，可操作性一般，但能解决部分问题的，得3分；</w:t>
            </w:r>
          </w:p>
          <w:p w14:paraId="30C86CC0">
            <w:pPr>
              <w:keepNext w:val="0"/>
              <w:keepLines w:val="0"/>
              <w:pageBreakBefore w:val="0"/>
              <w:numPr>
                <w:ilvl w:val="0"/>
                <w:numId w:val="3"/>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方案编制一般，可操作性一般，得1分；</w:t>
            </w:r>
          </w:p>
          <w:p w14:paraId="5538C217">
            <w:pPr>
              <w:keepNext w:val="0"/>
              <w:keepLines w:val="0"/>
              <w:pageBreakBefore w:val="0"/>
              <w:numPr>
                <w:ilvl w:val="0"/>
                <w:numId w:val="3"/>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未提供的，不得分</w:t>
            </w:r>
          </w:p>
          <w:p w14:paraId="000EEEE1">
            <w:pPr>
              <w:keepNext w:val="0"/>
              <w:keepLines w:val="0"/>
              <w:pageBreakBefore w:val="0"/>
              <w:kinsoku/>
              <w:wordWrap w:val="0"/>
              <w:overflowPunct w:val="0"/>
              <w:topLinePunct/>
              <w:autoSpaceDE w:val="0"/>
              <w:autoSpaceDN w:val="0"/>
              <w:bidi w:val="0"/>
              <w:ind w:right="-94" w:rightChars="-45"/>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方案编制严重缺失的，不得分。</w:t>
            </w:r>
          </w:p>
        </w:tc>
      </w:tr>
      <w:tr w14:paraId="31E39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jc w:val="center"/>
        </w:trPr>
        <w:tc>
          <w:tcPr>
            <w:tcW w:w="1041" w:type="dxa"/>
            <w:vMerge w:val="continue"/>
            <w:tcBorders>
              <w:right w:val="single" w:color="auto" w:sz="4" w:space="0"/>
            </w:tcBorders>
            <w:noWrap w:val="0"/>
            <w:vAlign w:val="center"/>
          </w:tcPr>
          <w:p w14:paraId="08D29378">
            <w:pPr>
              <w:keepNext w:val="0"/>
              <w:keepLines w:val="0"/>
              <w:pageBreakBefore w:val="0"/>
              <w:kinsoku/>
              <w:wordWrap w:val="0"/>
              <w:overflowPunct w:val="0"/>
              <w:topLinePunct/>
              <w:autoSpaceDE w:val="0"/>
              <w:autoSpaceDN w:val="0"/>
              <w:bidi w:val="0"/>
              <w:ind w:right="-94" w:rightChars="-45"/>
              <w:rPr>
                <w:rFonts w:hint="default" w:ascii="宋体" w:hAnsi="宋体" w:eastAsia="宋体" w:cs="宋体"/>
                <w:color w:val="auto"/>
                <w:highlight w:val="none"/>
                <w:lang w:val="en-US" w:eastAsia="zh-CN"/>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5200F5A9">
            <w:pPr>
              <w:keepNext w:val="0"/>
              <w:keepLines w:val="0"/>
              <w:pageBreakBefore w:val="0"/>
              <w:kinsoku/>
              <w:wordWrap w:val="0"/>
              <w:overflowPunct w:val="0"/>
              <w:topLinePunct/>
              <w:autoSpaceDE w:val="0"/>
              <w:autoSpaceDN w:val="0"/>
              <w:bidi w:val="0"/>
              <w:ind w:right="-94" w:rightChars="-45"/>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冬季除雪除冰方案（5分）</w:t>
            </w:r>
          </w:p>
        </w:tc>
        <w:tc>
          <w:tcPr>
            <w:tcW w:w="6427" w:type="dxa"/>
            <w:tcBorders>
              <w:top w:val="single" w:color="auto" w:sz="4" w:space="0"/>
              <w:left w:val="single" w:color="auto" w:sz="4" w:space="0"/>
              <w:bottom w:val="single" w:color="auto" w:sz="4" w:space="0"/>
              <w:right w:val="single" w:color="auto" w:sz="4" w:space="0"/>
            </w:tcBorders>
            <w:noWrap w:val="0"/>
            <w:vAlign w:val="center"/>
          </w:tcPr>
          <w:p w14:paraId="7771202E">
            <w:pPr>
              <w:keepNext w:val="0"/>
              <w:keepLines w:val="0"/>
              <w:pageBreakBefore w:val="0"/>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投标人根据项目特征，编制冬季除雪除冰方案。</w:t>
            </w:r>
          </w:p>
          <w:p w14:paraId="25005EBB">
            <w:pPr>
              <w:keepNext w:val="0"/>
              <w:keepLines w:val="0"/>
              <w:pageBreakBefore w:val="0"/>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评标委员会根据投标人编制方案，在0-5分之间进行打分。</w:t>
            </w:r>
          </w:p>
          <w:p w14:paraId="4D28D57D">
            <w:pPr>
              <w:keepNext w:val="0"/>
              <w:keepLines w:val="0"/>
              <w:pageBreakBefore w:val="0"/>
              <w:numPr>
                <w:ilvl w:val="0"/>
                <w:numId w:val="4"/>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方案编制详实，可操作性强，能切实解决问题的，得5分；</w:t>
            </w:r>
          </w:p>
          <w:p w14:paraId="7D113CC5">
            <w:pPr>
              <w:keepNext w:val="0"/>
              <w:keepLines w:val="0"/>
              <w:pageBreakBefore w:val="0"/>
              <w:numPr>
                <w:ilvl w:val="0"/>
                <w:numId w:val="4"/>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方案编制详实，可操作性一般，但能解决部分问题的，得3分；</w:t>
            </w:r>
          </w:p>
          <w:p w14:paraId="0D09CEEF">
            <w:pPr>
              <w:keepNext w:val="0"/>
              <w:keepLines w:val="0"/>
              <w:pageBreakBefore w:val="0"/>
              <w:numPr>
                <w:ilvl w:val="0"/>
                <w:numId w:val="4"/>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方案编制一般，可操作性一般，得1分；</w:t>
            </w:r>
          </w:p>
          <w:p w14:paraId="0463524C">
            <w:pPr>
              <w:keepNext w:val="0"/>
              <w:keepLines w:val="0"/>
              <w:pageBreakBefore w:val="0"/>
              <w:numPr>
                <w:ilvl w:val="0"/>
                <w:numId w:val="4"/>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未提供的，不得分</w:t>
            </w:r>
          </w:p>
          <w:p w14:paraId="5CA1039E">
            <w:pPr>
              <w:keepNext w:val="0"/>
              <w:keepLines w:val="0"/>
              <w:pageBreakBefore w:val="0"/>
              <w:kinsoku/>
              <w:wordWrap w:val="0"/>
              <w:overflowPunct w:val="0"/>
              <w:topLinePunct/>
              <w:autoSpaceDE w:val="0"/>
              <w:autoSpaceDN w:val="0"/>
              <w:bidi w:val="0"/>
              <w:ind w:right="-94" w:rightChars="-45"/>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方案编制严重缺失的，不得分。</w:t>
            </w:r>
          </w:p>
        </w:tc>
      </w:tr>
      <w:tr w14:paraId="39671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jc w:val="center"/>
        </w:trPr>
        <w:tc>
          <w:tcPr>
            <w:tcW w:w="1041" w:type="dxa"/>
            <w:vMerge w:val="continue"/>
            <w:tcBorders>
              <w:right w:val="single" w:color="auto" w:sz="4" w:space="0"/>
            </w:tcBorders>
            <w:noWrap w:val="0"/>
            <w:vAlign w:val="center"/>
          </w:tcPr>
          <w:p w14:paraId="5B85F576">
            <w:pPr>
              <w:keepNext w:val="0"/>
              <w:keepLines w:val="0"/>
              <w:pageBreakBefore w:val="0"/>
              <w:kinsoku/>
              <w:wordWrap w:val="0"/>
              <w:overflowPunct w:val="0"/>
              <w:topLinePunct/>
              <w:autoSpaceDE w:val="0"/>
              <w:autoSpaceDN w:val="0"/>
              <w:bidi w:val="0"/>
              <w:ind w:right="-94" w:rightChars="-45"/>
              <w:rPr>
                <w:rFonts w:hint="default" w:ascii="宋体" w:hAnsi="宋体" w:eastAsia="宋体" w:cs="宋体"/>
                <w:color w:val="auto"/>
                <w:highlight w:val="none"/>
                <w:lang w:val="en-US" w:eastAsia="zh-CN"/>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28542E20">
            <w:pPr>
              <w:keepNext w:val="0"/>
              <w:keepLines w:val="0"/>
              <w:pageBreakBefore w:val="0"/>
              <w:kinsoku/>
              <w:wordWrap w:val="0"/>
              <w:overflowPunct w:val="0"/>
              <w:topLinePunct/>
              <w:autoSpaceDE w:val="0"/>
              <w:autoSpaceDN w:val="0"/>
              <w:bidi w:val="0"/>
              <w:ind w:right="-94" w:rightChars="-45"/>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质量保障方案</w:t>
            </w:r>
          </w:p>
          <w:p w14:paraId="4E189126">
            <w:pPr>
              <w:keepNext w:val="0"/>
              <w:keepLines w:val="0"/>
              <w:pageBreakBefore w:val="0"/>
              <w:kinsoku/>
              <w:wordWrap w:val="0"/>
              <w:overflowPunct w:val="0"/>
              <w:topLinePunct/>
              <w:autoSpaceDE w:val="0"/>
              <w:autoSpaceDN w:val="0"/>
              <w:bidi w:val="0"/>
              <w:ind w:right="-94" w:rightChars="-45"/>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（5分）</w:t>
            </w:r>
          </w:p>
        </w:tc>
        <w:tc>
          <w:tcPr>
            <w:tcW w:w="6427" w:type="dxa"/>
            <w:tcBorders>
              <w:top w:val="single" w:color="auto" w:sz="4" w:space="0"/>
              <w:left w:val="single" w:color="auto" w:sz="4" w:space="0"/>
              <w:bottom w:val="single" w:color="auto" w:sz="4" w:space="0"/>
              <w:right w:val="single" w:color="auto" w:sz="4" w:space="0"/>
            </w:tcBorders>
            <w:noWrap w:val="0"/>
            <w:vAlign w:val="center"/>
          </w:tcPr>
          <w:p w14:paraId="755D418A">
            <w:pPr>
              <w:keepNext w:val="0"/>
              <w:keepLines w:val="0"/>
              <w:pageBreakBefore w:val="0"/>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投标人根据项目特征，编制质量保障方案。</w:t>
            </w:r>
          </w:p>
          <w:p w14:paraId="31BF381B">
            <w:pPr>
              <w:keepNext w:val="0"/>
              <w:keepLines w:val="0"/>
              <w:pageBreakBefore w:val="0"/>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评标委员会根据投标人编制方案，在0-5分之间进行打分。</w:t>
            </w:r>
          </w:p>
          <w:p w14:paraId="175DC457">
            <w:pPr>
              <w:keepNext w:val="0"/>
              <w:keepLines w:val="0"/>
              <w:pageBreakBefore w:val="0"/>
              <w:numPr>
                <w:ilvl w:val="0"/>
                <w:numId w:val="5"/>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方案编制详实，可操作性强，能切实解决问题的，得5分；</w:t>
            </w:r>
          </w:p>
          <w:p w14:paraId="5FE0CCA9">
            <w:pPr>
              <w:keepNext w:val="0"/>
              <w:keepLines w:val="0"/>
              <w:pageBreakBefore w:val="0"/>
              <w:numPr>
                <w:ilvl w:val="0"/>
                <w:numId w:val="5"/>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方案编制详实，可操作性一般，但能解决部分问题的，得3分；</w:t>
            </w:r>
          </w:p>
          <w:p w14:paraId="0ECEA7D0">
            <w:pPr>
              <w:keepNext w:val="0"/>
              <w:keepLines w:val="0"/>
              <w:pageBreakBefore w:val="0"/>
              <w:numPr>
                <w:ilvl w:val="0"/>
                <w:numId w:val="5"/>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方案编制一般，可操作性一般，得1分；</w:t>
            </w:r>
          </w:p>
          <w:p w14:paraId="7E82AA97">
            <w:pPr>
              <w:keepNext w:val="0"/>
              <w:keepLines w:val="0"/>
              <w:pageBreakBefore w:val="0"/>
              <w:numPr>
                <w:ilvl w:val="0"/>
                <w:numId w:val="5"/>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未提供的，不得分</w:t>
            </w:r>
          </w:p>
          <w:p w14:paraId="545A29C8">
            <w:pPr>
              <w:keepNext w:val="0"/>
              <w:keepLines w:val="0"/>
              <w:pageBreakBefore w:val="0"/>
              <w:kinsoku/>
              <w:wordWrap w:val="0"/>
              <w:overflowPunct w:val="0"/>
              <w:topLinePunct/>
              <w:autoSpaceDE w:val="0"/>
              <w:autoSpaceDN w:val="0"/>
              <w:bidi w:val="0"/>
              <w:ind w:right="-94" w:rightChars="-45"/>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方案编制严重缺失的，不得分。</w:t>
            </w:r>
          </w:p>
        </w:tc>
      </w:tr>
      <w:tr w14:paraId="06E6B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jc w:val="center"/>
        </w:trPr>
        <w:tc>
          <w:tcPr>
            <w:tcW w:w="1041" w:type="dxa"/>
            <w:vMerge w:val="continue"/>
            <w:tcBorders>
              <w:right w:val="single" w:color="auto" w:sz="4" w:space="0"/>
            </w:tcBorders>
            <w:noWrap w:val="0"/>
            <w:vAlign w:val="center"/>
          </w:tcPr>
          <w:p w14:paraId="62F0EA0C">
            <w:pPr>
              <w:keepNext w:val="0"/>
              <w:keepLines w:val="0"/>
              <w:pageBreakBefore w:val="0"/>
              <w:kinsoku/>
              <w:wordWrap w:val="0"/>
              <w:overflowPunct w:val="0"/>
              <w:topLinePunct/>
              <w:autoSpaceDE w:val="0"/>
              <w:autoSpaceDN w:val="0"/>
              <w:bidi w:val="0"/>
              <w:ind w:right="-94" w:rightChars="-45"/>
              <w:rPr>
                <w:rFonts w:hint="default" w:ascii="宋体" w:hAnsi="宋体" w:eastAsia="宋体" w:cs="宋体"/>
                <w:color w:val="auto"/>
                <w:highlight w:val="none"/>
                <w:lang w:val="en-US" w:eastAsia="zh-CN"/>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49877BEF">
            <w:pPr>
              <w:keepNext w:val="0"/>
              <w:keepLines w:val="0"/>
              <w:pageBreakBefore w:val="0"/>
              <w:kinsoku/>
              <w:wordWrap w:val="0"/>
              <w:overflowPunct w:val="0"/>
              <w:topLinePunct/>
              <w:autoSpaceDE w:val="0"/>
              <w:autoSpaceDN w:val="0"/>
              <w:bidi w:val="0"/>
              <w:ind w:right="-94" w:rightChars="-45"/>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投诉处理方案</w:t>
            </w:r>
          </w:p>
          <w:p w14:paraId="096ED474">
            <w:pPr>
              <w:keepNext w:val="0"/>
              <w:keepLines w:val="0"/>
              <w:pageBreakBefore w:val="0"/>
              <w:kinsoku/>
              <w:wordWrap w:val="0"/>
              <w:overflowPunct w:val="0"/>
              <w:topLinePunct/>
              <w:autoSpaceDE w:val="0"/>
              <w:autoSpaceDN w:val="0"/>
              <w:bidi w:val="0"/>
              <w:ind w:right="-94" w:rightChars="-45"/>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（5分）</w:t>
            </w:r>
          </w:p>
        </w:tc>
        <w:tc>
          <w:tcPr>
            <w:tcW w:w="6427" w:type="dxa"/>
            <w:tcBorders>
              <w:top w:val="single" w:color="auto" w:sz="4" w:space="0"/>
              <w:left w:val="single" w:color="auto" w:sz="4" w:space="0"/>
              <w:bottom w:val="single" w:color="auto" w:sz="4" w:space="0"/>
              <w:right w:val="single" w:color="auto" w:sz="4" w:space="0"/>
            </w:tcBorders>
            <w:noWrap w:val="0"/>
            <w:vAlign w:val="center"/>
          </w:tcPr>
          <w:p w14:paraId="27461CF1">
            <w:pPr>
              <w:keepNext w:val="0"/>
              <w:keepLines w:val="0"/>
              <w:pageBreakBefore w:val="0"/>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投标人根据项目特征，编制投诉处理方案。</w:t>
            </w:r>
          </w:p>
          <w:p w14:paraId="3294D49F">
            <w:pPr>
              <w:keepNext w:val="0"/>
              <w:keepLines w:val="0"/>
              <w:pageBreakBefore w:val="0"/>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评标委员会根据投标人编制方案，在0-5分之间进行打分。</w:t>
            </w:r>
          </w:p>
          <w:p w14:paraId="18611DB3">
            <w:pPr>
              <w:keepNext w:val="0"/>
              <w:keepLines w:val="0"/>
              <w:pageBreakBefore w:val="0"/>
              <w:numPr>
                <w:ilvl w:val="0"/>
                <w:numId w:val="6"/>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方案编制详实，可操作性强，能切实解决问题的，得5分；</w:t>
            </w:r>
          </w:p>
          <w:p w14:paraId="422CEFBD">
            <w:pPr>
              <w:keepNext w:val="0"/>
              <w:keepLines w:val="0"/>
              <w:pageBreakBefore w:val="0"/>
              <w:numPr>
                <w:ilvl w:val="0"/>
                <w:numId w:val="6"/>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方案编制详实，可操作性一般，但能解决部分问题的，得3分；</w:t>
            </w:r>
          </w:p>
          <w:p w14:paraId="38D3F68A">
            <w:pPr>
              <w:keepNext w:val="0"/>
              <w:keepLines w:val="0"/>
              <w:pageBreakBefore w:val="0"/>
              <w:numPr>
                <w:ilvl w:val="0"/>
                <w:numId w:val="6"/>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方案编制一般，可操作性一般，得1分；</w:t>
            </w:r>
          </w:p>
          <w:p w14:paraId="7EAB09EE">
            <w:pPr>
              <w:keepNext w:val="0"/>
              <w:keepLines w:val="0"/>
              <w:pageBreakBefore w:val="0"/>
              <w:numPr>
                <w:ilvl w:val="0"/>
                <w:numId w:val="6"/>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未提供的，不得分</w:t>
            </w:r>
          </w:p>
          <w:p w14:paraId="5B5A4C13">
            <w:pPr>
              <w:keepNext w:val="0"/>
              <w:keepLines w:val="0"/>
              <w:pageBreakBefore w:val="0"/>
              <w:kinsoku/>
              <w:wordWrap w:val="0"/>
              <w:overflowPunct w:val="0"/>
              <w:topLinePunct/>
              <w:autoSpaceDE w:val="0"/>
              <w:autoSpaceDN w:val="0"/>
              <w:bidi w:val="0"/>
              <w:ind w:right="-94" w:rightChars="-45"/>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方案编制严重缺失的，不得分。</w:t>
            </w:r>
          </w:p>
        </w:tc>
      </w:tr>
      <w:tr w14:paraId="7C514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jc w:val="center"/>
        </w:trPr>
        <w:tc>
          <w:tcPr>
            <w:tcW w:w="1041" w:type="dxa"/>
            <w:vMerge w:val="continue"/>
            <w:tcBorders>
              <w:right w:val="single" w:color="auto" w:sz="4" w:space="0"/>
            </w:tcBorders>
            <w:noWrap w:val="0"/>
            <w:vAlign w:val="center"/>
          </w:tcPr>
          <w:p w14:paraId="4BE35219">
            <w:pPr>
              <w:keepNext w:val="0"/>
              <w:keepLines w:val="0"/>
              <w:pageBreakBefore w:val="0"/>
              <w:kinsoku/>
              <w:wordWrap w:val="0"/>
              <w:overflowPunct w:val="0"/>
              <w:topLinePunct/>
              <w:autoSpaceDE w:val="0"/>
              <w:autoSpaceDN w:val="0"/>
              <w:bidi w:val="0"/>
              <w:ind w:right="-94" w:rightChars="-45"/>
              <w:rPr>
                <w:rFonts w:hint="default" w:ascii="宋体" w:hAnsi="宋体" w:eastAsia="宋体" w:cs="宋体"/>
                <w:color w:val="auto"/>
                <w:highlight w:val="none"/>
                <w:lang w:val="en-US" w:eastAsia="zh-CN"/>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010C28C6">
            <w:pPr>
              <w:keepNext w:val="0"/>
              <w:keepLines w:val="0"/>
              <w:pageBreakBefore w:val="0"/>
              <w:kinsoku/>
              <w:wordWrap w:val="0"/>
              <w:overflowPunct w:val="0"/>
              <w:topLinePunct/>
              <w:autoSpaceDE w:val="0"/>
              <w:autoSpaceDN w:val="0"/>
              <w:bidi w:val="0"/>
              <w:ind w:right="-94" w:rightChars="-45"/>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应急预案</w:t>
            </w:r>
          </w:p>
          <w:p w14:paraId="57DB0BC6">
            <w:pPr>
              <w:keepNext w:val="0"/>
              <w:keepLines w:val="0"/>
              <w:pageBreakBefore w:val="0"/>
              <w:kinsoku/>
              <w:wordWrap w:val="0"/>
              <w:overflowPunct w:val="0"/>
              <w:topLinePunct/>
              <w:autoSpaceDE w:val="0"/>
              <w:autoSpaceDN w:val="0"/>
              <w:bidi w:val="0"/>
              <w:ind w:right="-94" w:rightChars="-45"/>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（8分）</w:t>
            </w:r>
          </w:p>
        </w:tc>
        <w:tc>
          <w:tcPr>
            <w:tcW w:w="6427" w:type="dxa"/>
            <w:tcBorders>
              <w:top w:val="single" w:color="auto" w:sz="4" w:space="0"/>
              <w:left w:val="single" w:color="auto" w:sz="4" w:space="0"/>
              <w:bottom w:val="single" w:color="auto" w:sz="4" w:space="0"/>
              <w:right w:val="single" w:color="auto" w:sz="4" w:space="0"/>
            </w:tcBorders>
            <w:noWrap w:val="0"/>
            <w:vAlign w:val="center"/>
          </w:tcPr>
          <w:p w14:paraId="0D0E8E95">
            <w:pPr>
              <w:keepNext w:val="0"/>
              <w:keepLines w:val="0"/>
              <w:pageBreakBefore w:val="0"/>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投标人根据项目特征，从应急疏散、火警处理、水浸/跑水、突发停电、突发停水、高空坠物、防疫、防汛（暴雨）、触电、噪音、停车、盗窃、抢劫、打架斗殴、寻衅滋事等方面编制具体方案。</w:t>
            </w:r>
          </w:p>
          <w:p w14:paraId="6333FAD9">
            <w:pPr>
              <w:keepNext w:val="0"/>
              <w:keepLines w:val="0"/>
              <w:pageBreakBefore w:val="0"/>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评标委员会根据投标人编制方案，在0-8分之间进行打分。</w:t>
            </w:r>
          </w:p>
          <w:p w14:paraId="3F4353C6">
            <w:pPr>
              <w:keepNext w:val="0"/>
              <w:keepLines w:val="0"/>
              <w:pageBreakBefore w:val="0"/>
              <w:numPr>
                <w:ilvl w:val="0"/>
                <w:numId w:val="7"/>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方案编制详实，涵盖全面，切实可行的，得8分；</w:t>
            </w:r>
          </w:p>
          <w:p w14:paraId="66555BC4">
            <w:pPr>
              <w:keepNext w:val="0"/>
              <w:keepLines w:val="0"/>
              <w:pageBreakBefore w:val="0"/>
              <w:numPr>
                <w:ilvl w:val="0"/>
                <w:numId w:val="7"/>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方案编制详实，涵盖全面，可行性一般的，得6分；</w:t>
            </w:r>
          </w:p>
          <w:p w14:paraId="2EB028F6">
            <w:pPr>
              <w:keepNext w:val="0"/>
              <w:keepLines w:val="0"/>
              <w:pageBreakBefore w:val="0"/>
              <w:numPr>
                <w:ilvl w:val="0"/>
                <w:numId w:val="7"/>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方案编制涵盖不全面，切实可行的，得4分；</w:t>
            </w:r>
          </w:p>
          <w:p w14:paraId="0FCFECDE">
            <w:pPr>
              <w:keepNext w:val="0"/>
              <w:keepLines w:val="0"/>
              <w:pageBreakBefore w:val="0"/>
              <w:numPr>
                <w:ilvl w:val="0"/>
                <w:numId w:val="7"/>
              </w:numPr>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方案编制涵盖不全面，可行性一般的，得2分；</w:t>
            </w:r>
          </w:p>
          <w:p w14:paraId="5EC408E9">
            <w:pPr>
              <w:keepNext w:val="0"/>
              <w:keepLines w:val="0"/>
              <w:pageBreakBefore w:val="0"/>
              <w:numPr>
                <w:ilvl w:val="0"/>
                <w:numId w:val="7"/>
              </w:numPr>
              <w:kinsoku/>
              <w:wordWrap w:val="0"/>
              <w:overflowPunct w:val="0"/>
              <w:topLinePunct/>
              <w:autoSpaceDE w:val="0"/>
              <w:autoSpaceDN w:val="0"/>
              <w:bidi w:val="0"/>
              <w:ind w:right="-94" w:rightChars="-45"/>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方案编制严重缺失的，不得分。</w:t>
            </w:r>
          </w:p>
        </w:tc>
      </w:tr>
      <w:tr w14:paraId="6633F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1041" w:type="dxa"/>
            <w:vMerge w:val="restart"/>
            <w:tcBorders>
              <w:top w:val="single" w:color="auto" w:sz="4" w:space="0"/>
              <w:right w:val="single" w:color="auto" w:sz="4" w:space="0"/>
            </w:tcBorders>
            <w:noWrap w:val="0"/>
            <w:vAlign w:val="center"/>
          </w:tcPr>
          <w:p w14:paraId="7B884493">
            <w:pPr>
              <w:keepNext w:val="0"/>
              <w:keepLines w:val="0"/>
              <w:pageBreakBefore w:val="0"/>
              <w:kinsoku/>
              <w:wordWrap w:val="0"/>
              <w:overflowPunct w:val="0"/>
              <w:topLinePunct/>
              <w:autoSpaceDE w:val="0"/>
              <w:autoSpaceDN w:val="0"/>
              <w:bidi w:val="0"/>
              <w:ind w:right="-113" w:rightChars="-54"/>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综合部分</w:t>
            </w:r>
          </w:p>
          <w:p w14:paraId="72F33721">
            <w:pPr>
              <w:keepNext w:val="0"/>
              <w:keepLines w:val="0"/>
              <w:pageBreakBefore w:val="0"/>
              <w:kinsoku/>
              <w:wordWrap w:val="0"/>
              <w:overflowPunct w:val="0"/>
              <w:topLinePunct/>
              <w:autoSpaceDE w:val="0"/>
              <w:autoSpaceDN w:val="0"/>
              <w:bidi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（47分）</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A194A3">
            <w:pPr>
              <w:keepNext w:val="0"/>
              <w:keepLines w:val="0"/>
              <w:pageBreakBefore w:val="0"/>
              <w:kinsoku/>
              <w:wordWrap w:val="0"/>
              <w:overflowPunct w:val="0"/>
              <w:topLinePunct/>
              <w:autoSpaceDE w:val="0"/>
              <w:autoSpaceDN w:val="0"/>
              <w:bidi w:val="0"/>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highlight w:val="none"/>
                <w:lang w:val="en-US" w:eastAsia="zh-CN"/>
              </w:rPr>
              <w:t>企业业绩（9分）</w:t>
            </w:r>
          </w:p>
        </w:tc>
        <w:tc>
          <w:tcPr>
            <w:tcW w:w="642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6F678BF">
            <w:pPr>
              <w:pStyle w:val="45"/>
              <w:spacing w:before="26" w:line="236" w:lineRule="auto"/>
              <w:ind w:left="-99" w:leftChars="-47" w:right="20" w:rightChars="0" w:firstLine="0" w:firstLineChars="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1"/>
                <w:szCs w:val="21"/>
                <w:highlight w:val="none"/>
              </w:rPr>
              <w:t>供应商提供近三年（20</w:t>
            </w:r>
            <w:r>
              <w:rPr>
                <w:rFonts w:hint="eastAsia" w:cs="宋体"/>
                <w:snapToGrid w:val="0"/>
                <w:color w:val="auto"/>
                <w:kern w:val="0"/>
                <w:sz w:val="21"/>
                <w:szCs w:val="21"/>
                <w:highlight w:val="none"/>
                <w:lang w:val="en-US" w:eastAsia="zh-CN"/>
              </w:rPr>
              <w:t>23</w:t>
            </w:r>
            <w:r>
              <w:rPr>
                <w:rFonts w:hint="eastAsia" w:ascii="宋体" w:hAnsi="宋体" w:eastAsia="宋体" w:cs="宋体"/>
                <w:snapToGrid w:val="0"/>
                <w:color w:val="auto"/>
                <w:kern w:val="0"/>
                <w:sz w:val="21"/>
                <w:szCs w:val="21"/>
                <w:highlight w:val="none"/>
              </w:rPr>
              <w:t>年1月1日以来</w:t>
            </w:r>
            <w:r>
              <w:rPr>
                <w:rFonts w:hint="eastAsia"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以签订合同时间为准)类似项目业绩（</w:t>
            </w:r>
            <w:r>
              <w:rPr>
                <w:rFonts w:hint="eastAsia" w:cs="宋体"/>
                <w:snapToGrid w:val="0"/>
                <w:color w:val="auto"/>
                <w:kern w:val="0"/>
                <w:sz w:val="21"/>
                <w:szCs w:val="21"/>
                <w:highlight w:val="none"/>
                <w:lang w:val="en-US" w:eastAsia="zh-CN"/>
              </w:rPr>
              <w:t>物业管理</w:t>
            </w:r>
            <w:r>
              <w:rPr>
                <w:rFonts w:hint="eastAsia" w:ascii="宋体" w:hAnsi="宋体" w:eastAsia="宋体" w:cs="宋体"/>
                <w:snapToGrid w:val="0"/>
                <w:color w:val="auto"/>
                <w:kern w:val="0"/>
                <w:sz w:val="21"/>
                <w:szCs w:val="21"/>
                <w:highlight w:val="none"/>
              </w:rPr>
              <w:t>），每提供一份得</w:t>
            </w:r>
            <w:r>
              <w:rPr>
                <w:rFonts w:hint="eastAsia"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分，最多得</w:t>
            </w:r>
            <w:r>
              <w:rPr>
                <w:rFonts w:hint="eastAsia" w:cs="宋体"/>
                <w:snapToGrid w:val="0"/>
                <w:color w:val="auto"/>
                <w:kern w:val="0"/>
                <w:sz w:val="21"/>
                <w:szCs w:val="21"/>
                <w:highlight w:val="none"/>
                <w:lang w:val="en-US" w:eastAsia="zh-CN"/>
              </w:rPr>
              <w:t>9</w:t>
            </w:r>
            <w:r>
              <w:rPr>
                <w:rFonts w:hint="eastAsia" w:ascii="宋体" w:hAnsi="宋体" w:eastAsia="宋体" w:cs="宋体"/>
                <w:snapToGrid w:val="0"/>
                <w:color w:val="auto"/>
                <w:kern w:val="0"/>
                <w:sz w:val="21"/>
                <w:szCs w:val="21"/>
                <w:highlight w:val="none"/>
              </w:rPr>
              <w:t>分。</w:t>
            </w:r>
            <w:r>
              <w:rPr>
                <w:rFonts w:hint="eastAsia" w:ascii="宋体" w:hAnsi="宋体" w:eastAsia="宋体" w:cs="宋体"/>
                <w:color w:val="auto"/>
                <w:spacing w:val="1"/>
                <w:sz w:val="21"/>
                <w:szCs w:val="21"/>
              </w:rPr>
              <w:t>（提供合同原件扫描件</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1"/>
                <w:sz w:val="21"/>
                <w:szCs w:val="21"/>
                <w:lang w:val="en-US" w:eastAsia="zh-CN"/>
              </w:rPr>
              <w:t>缺项不得分</w:t>
            </w:r>
            <w:r>
              <w:rPr>
                <w:rFonts w:hint="eastAsia" w:ascii="宋体" w:hAnsi="宋体" w:eastAsia="宋体" w:cs="宋体"/>
                <w:color w:val="auto"/>
                <w:spacing w:val="1"/>
                <w:sz w:val="21"/>
                <w:szCs w:val="21"/>
              </w:rPr>
              <w:t>）</w:t>
            </w:r>
          </w:p>
        </w:tc>
      </w:tr>
      <w:tr w14:paraId="3D151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1041" w:type="dxa"/>
            <w:vMerge w:val="continue"/>
            <w:tcBorders>
              <w:right w:val="single" w:color="auto" w:sz="4" w:space="0"/>
            </w:tcBorders>
            <w:noWrap w:val="0"/>
            <w:vAlign w:val="center"/>
          </w:tcPr>
          <w:p w14:paraId="68150868">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p>
        </w:tc>
        <w:tc>
          <w:tcPr>
            <w:tcW w:w="1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3FD1D3">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履职尽责承诺</w:t>
            </w:r>
          </w:p>
          <w:p w14:paraId="3FC5E392">
            <w:pPr>
              <w:keepNext w:val="0"/>
              <w:keepLines w:val="0"/>
              <w:pageBreakBefore w:val="0"/>
              <w:kinsoku/>
              <w:wordWrap w:val="0"/>
              <w:overflowPunct w:val="0"/>
              <w:topLinePunct/>
              <w:autoSpaceDE w:val="0"/>
              <w:autoSpaceDN w:val="0"/>
              <w:bidi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highlight w:val="none"/>
                <w:lang w:val="en-US" w:eastAsia="zh-CN"/>
              </w:rPr>
              <w:t>（6分）</w:t>
            </w:r>
          </w:p>
        </w:tc>
        <w:tc>
          <w:tcPr>
            <w:tcW w:w="64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C1ECBA">
            <w:pPr>
              <w:keepNext w:val="0"/>
              <w:keepLines w:val="0"/>
              <w:pageBreakBefore w:val="0"/>
              <w:kinsoku/>
              <w:wordWrap w:val="0"/>
              <w:overflowPunct w:val="0"/>
              <w:topLinePunct/>
              <w:autoSpaceDE w:val="0"/>
              <w:autoSpaceDN w:val="0"/>
              <w:bidi w:val="0"/>
              <w:ind w:right="-170" w:rightChars="-81"/>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投标人提供履职尽责承诺，</w:t>
            </w:r>
            <w:r>
              <w:rPr>
                <w:rFonts w:hint="eastAsia" w:ascii="宋体" w:hAnsi="宋体" w:eastAsia="宋体" w:cs="宋体"/>
                <w:snapToGrid w:val="0"/>
                <w:color w:val="auto"/>
                <w:kern w:val="0"/>
                <w:sz w:val="21"/>
                <w:szCs w:val="21"/>
                <w:highlight w:val="none"/>
                <w:lang w:eastAsia="zh-CN"/>
              </w:rPr>
              <w:t>确保物业项目能够高效、公正、透明地履行职责，维护业主的合法权益，提升小区的整体居住环境和管理水平。</w:t>
            </w:r>
            <w:r>
              <w:rPr>
                <w:rFonts w:hint="eastAsia" w:ascii="宋体" w:hAnsi="宋体" w:eastAsia="宋体" w:cs="宋体"/>
                <w:color w:val="auto"/>
                <w:highlight w:val="none"/>
                <w:lang w:val="en-US" w:eastAsia="zh-CN"/>
              </w:rPr>
              <w:t>磋商小组进行横向比较，在0-6分之间进行打分</w:t>
            </w:r>
          </w:p>
          <w:p w14:paraId="2393ED60">
            <w:pPr>
              <w:keepNext w:val="0"/>
              <w:keepLines w:val="0"/>
              <w:pageBreakBefore w:val="0"/>
              <w:numPr>
                <w:ilvl w:val="0"/>
                <w:numId w:val="8"/>
              </w:numPr>
              <w:kinsoku/>
              <w:wordWrap w:val="0"/>
              <w:overflowPunct w:val="0"/>
              <w:topLinePunct/>
              <w:autoSpaceDE w:val="0"/>
              <w:autoSpaceDN w:val="0"/>
              <w:bidi w:val="0"/>
              <w:ind w:right="-170" w:rightChars="-81"/>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承诺内容全面，明确，可行性较高，得6分；</w:t>
            </w:r>
          </w:p>
          <w:p w14:paraId="7F392022">
            <w:pPr>
              <w:keepNext w:val="0"/>
              <w:keepLines w:val="0"/>
              <w:pageBreakBefore w:val="0"/>
              <w:numPr>
                <w:ilvl w:val="0"/>
                <w:numId w:val="8"/>
              </w:numPr>
              <w:kinsoku/>
              <w:wordWrap w:val="0"/>
              <w:overflowPunct w:val="0"/>
              <w:topLinePunct/>
              <w:autoSpaceDE w:val="0"/>
              <w:autoSpaceDN w:val="0"/>
              <w:bidi w:val="0"/>
              <w:ind w:right="-170" w:rightChars="-81"/>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承诺内容全面，可行性一般，得4分；</w:t>
            </w:r>
          </w:p>
          <w:p w14:paraId="2114F39A">
            <w:pPr>
              <w:keepNext w:val="0"/>
              <w:keepLines w:val="0"/>
              <w:pageBreakBefore w:val="0"/>
              <w:numPr>
                <w:ilvl w:val="0"/>
                <w:numId w:val="8"/>
              </w:numPr>
              <w:kinsoku/>
              <w:wordWrap w:val="0"/>
              <w:overflowPunct w:val="0"/>
              <w:topLinePunct/>
              <w:autoSpaceDE w:val="0"/>
              <w:autoSpaceDN w:val="0"/>
              <w:bidi w:val="0"/>
              <w:ind w:right="-170" w:rightChars="-81"/>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承诺内容笼统，得2分。</w:t>
            </w:r>
          </w:p>
          <w:p w14:paraId="54A68C79">
            <w:pPr>
              <w:keepNext w:val="0"/>
              <w:keepLines w:val="0"/>
              <w:pageBreakBefore w:val="0"/>
              <w:numPr>
                <w:ilvl w:val="0"/>
                <w:numId w:val="8"/>
              </w:numPr>
              <w:kinsoku/>
              <w:wordWrap w:val="0"/>
              <w:overflowPunct w:val="0"/>
              <w:topLinePunct/>
              <w:autoSpaceDE w:val="0"/>
              <w:autoSpaceDN w:val="0"/>
              <w:bidi w:val="0"/>
              <w:ind w:right="-170" w:rightChars="-81"/>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未提供不得分。</w:t>
            </w:r>
          </w:p>
        </w:tc>
      </w:tr>
      <w:tr w14:paraId="20C1D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1041" w:type="dxa"/>
            <w:vMerge w:val="continue"/>
            <w:tcBorders>
              <w:right w:val="single" w:color="auto" w:sz="4" w:space="0"/>
            </w:tcBorders>
            <w:noWrap w:val="0"/>
            <w:vAlign w:val="center"/>
          </w:tcPr>
          <w:p w14:paraId="2897EAEC">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p>
        </w:tc>
        <w:tc>
          <w:tcPr>
            <w:tcW w:w="1107" w:type="dxa"/>
            <w:vMerge w:val="restart"/>
            <w:tcBorders>
              <w:top w:val="single" w:color="auto" w:sz="4" w:space="0"/>
              <w:left w:val="single" w:color="auto" w:sz="4" w:space="0"/>
              <w:right w:val="single" w:color="auto" w:sz="4" w:space="0"/>
            </w:tcBorders>
            <w:shd w:val="clear" w:color="auto" w:fill="auto"/>
            <w:noWrap w:val="0"/>
            <w:vAlign w:val="center"/>
          </w:tcPr>
          <w:p w14:paraId="52FFB2A8">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企业实力</w:t>
            </w:r>
          </w:p>
          <w:p w14:paraId="352B69A6">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（8分）</w:t>
            </w:r>
          </w:p>
        </w:tc>
        <w:tc>
          <w:tcPr>
            <w:tcW w:w="642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7468AEE">
            <w:pPr>
              <w:keepNext w:val="0"/>
              <w:keepLines w:val="0"/>
              <w:pageBreakBefore w:val="0"/>
              <w:kinsoku/>
              <w:wordWrap w:val="0"/>
              <w:overflowPunct w:val="0"/>
              <w:topLinePunct/>
              <w:autoSpaceDE w:val="0"/>
              <w:autoSpaceDN w:val="0"/>
              <w:bidi w:val="0"/>
              <w:ind w:left="-99" w:leftChars="-47" w:right="-170" w:rightChars="-81"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供应商通过质量管理体系认证、通过环境管理体系认证、通过职业健康安全管理体系认证， 具备一项得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 最高得</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分，没有不得分。认证须在有效期内通过年检的，提供证书的复印件或扫描件，不提供或提供不完整的均不得分。</w:t>
            </w:r>
          </w:p>
        </w:tc>
      </w:tr>
      <w:tr w14:paraId="643DD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1041" w:type="dxa"/>
            <w:vMerge w:val="continue"/>
            <w:tcBorders>
              <w:right w:val="single" w:color="auto" w:sz="4" w:space="0"/>
            </w:tcBorders>
            <w:noWrap w:val="0"/>
            <w:vAlign w:val="center"/>
          </w:tcPr>
          <w:p w14:paraId="6AB6D5A3">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p>
        </w:tc>
        <w:tc>
          <w:tcPr>
            <w:tcW w:w="1107" w:type="dxa"/>
            <w:vMerge w:val="continue"/>
            <w:tcBorders>
              <w:left w:val="single" w:color="auto" w:sz="4" w:space="0"/>
              <w:bottom w:val="single" w:color="auto" w:sz="4" w:space="0"/>
              <w:right w:val="single" w:color="auto" w:sz="4" w:space="0"/>
            </w:tcBorders>
            <w:shd w:val="clear" w:color="auto" w:fill="auto"/>
            <w:noWrap w:val="0"/>
            <w:vAlign w:val="center"/>
          </w:tcPr>
          <w:p w14:paraId="545A4D38">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lang w:val="en-US" w:eastAsia="zh-CN"/>
              </w:rPr>
            </w:pPr>
          </w:p>
        </w:tc>
        <w:tc>
          <w:tcPr>
            <w:tcW w:w="642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29C490F">
            <w:pPr>
              <w:keepNext w:val="0"/>
              <w:keepLines w:val="0"/>
              <w:pageBreakBefore w:val="0"/>
              <w:kinsoku/>
              <w:wordWrap w:val="0"/>
              <w:overflowPunct w:val="0"/>
              <w:topLinePunct/>
              <w:autoSpaceDE w:val="0"/>
              <w:autoSpaceDN w:val="0"/>
              <w:bidi w:val="0"/>
              <w:ind w:left="-99" w:leftChars="-47" w:right="-170" w:rightChars="-81"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供应商具有20</w:t>
            </w:r>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rPr>
              <w:t>年1月1日以来类似项目已服务或正在服务单位书面好评的，每份得1分。本项最多得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分，没有不得分。投标文件中须提供甲方出具的法人代表证明评价函复印件或扫描件，且评价函有法人代表签名及手机号，不提供或不按照要求提供的均不得分；</w:t>
            </w:r>
          </w:p>
        </w:tc>
      </w:tr>
      <w:tr w14:paraId="709F0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1041" w:type="dxa"/>
            <w:vMerge w:val="continue"/>
            <w:tcBorders>
              <w:right w:val="single" w:color="auto" w:sz="4" w:space="0"/>
            </w:tcBorders>
            <w:noWrap w:val="0"/>
            <w:vAlign w:val="center"/>
          </w:tcPr>
          <w:p w14:paraId="2550D060">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p>
        </w:tc>
        <w:tc>
          <w:tcPr>
            <w:tcW w:w="1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046BED">
            <w:pPr>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highlight w:val="none"/>
                <w:lang w:val="en-US" w:eastAsia="zh-CN"/>
              </w:rPr>
              <w:t>服务承诺（8分）</w:t>
            </w:r>
          </w:p>
        </w:tc>
        <w:tc>
          <w:tcPr>
            <w:tcW w:w="64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80491C">
            <w:pPr>
              <w:keepNext w:val="0"/>
              <w:keepLines w:val="0"/>
              <w:pageBreakBefore w:val="0"/>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对为招标人做出的实质性的服务承诺，磋商小组更加服务承诺情况，进行打分，没有的不得分。</w:t>
            </w:r>
          </w:p>
          <w:p w14:paraId="076A02F9">
            <w:pPr>
              <w:keepNext w:val="0"/>
              <w:keepLines w:val="0"/>
              <w:pageBreakBefore w:val="0"/>
              <w:kinsoku/>
              <w:wordWrap w:val="0"/>
              <w:overflowPunct w:val="0"/>
              <w:topLinePunct/>
              <w:autoSpaceDE w:val="0"/>
              <w:autoSpaceDN w:val="0"/>
              <w:bidi w:val="0"/>
              <w:ind w:right="-94" w:rightChars="-45"/>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1、承诺自用工之日起一个月内与工作人员签订劳动合同，为其缴纳人身意外伤害保险的；得2分，未提供不得分</w:t>
            </w:r>
          </w:p>
          <w:p w14:paraId="0098355A">
            <w:pPr>
              <w:keepNext w:val="0"/>
              <w:keepLines w:val="0"/>
              <w:pageBreakBefore w:val="0"/>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2、承诺按照《劳动法》、《民法典》、《职工带薪年假条例》及政府相关要求，发放高温津贴、带薪年休假、支付加班或者延长工作时间工资；得2分，未提供不得分</w:t>
            </w:r>
          </w:p>
          <w:p w14:paraId="3219E2E2">
            <w:pPr>
              <w:keepNext w:val="0"/>
              <w:keepLines w:val="0"/>
              <w:pageBreakBefore w:val="0"/>
              <w:kinsoku/>
              <w:wordWrap w:val="0"/>
              <w:overflowPunct w:val="0"/>
              <w:topLinePunct/>
              <w:autoSpaceDE w:val="0"/>
              <w:autoSpaceDN w:val="0"/>
              <w:bidi w:val="0"/>
              <w:ind w:right="-94" w:rightChars="-4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3、承诺若发生意外，全权负责意外伤害赔偿及善后工作处理；得2分，未提供不得分</w:t>
            </w:r>
          </w:p>
          <w:p w14:paraId="29E3B3FA">
            <w:pPr>
              <w:keepNext w:val="0"/>
              <w:keepLines w:val="0"/>
              <w:pageBreakBefore w:val="0"/>
              <w:kinsoku/>
              <w:wordWrap w:val="0"/>
              <w:overflowPunct w:val="0"/>
              <w:topLinePunct/>
              <w:autoSpaceDE w:val="0"/>
              <w:autoSpaceDN w:val="0"/>
              <w:bidi w:val="0"/>
              <w:ind w:right="-94" w:rightChars="-45"/>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highlight w:val="none"/>
                <w:lang w:val="en-US" w:eastAsia="zh-CN"/>
              </w:rPr>
              <w:t>4、承诺用工符合年龄满18周岁以上、男职工60周岁以下、女职工55周岁以下，具备履行职责的身体条件。得2分，未提供不得分</w:t>
            </w:r>
          </w:p>
        </w:tc>
      </w:tr>
      <w:tr w14:paraId="0AE3A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1041" w:type="dxa"/>
            <w:vMerge w:val="continue"/>
            <w:tcBorders>
              <w:right w:val="single" w:color="auto" w:sz="4" w:space="0"/>
            </w:tcBorders>
            <w:noWrap w:val="0"/>
            <w:vAlign w:val="center"/>
          </w:tcPr>
          <w:p w14:paraId="7BF75A04">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p>
        </w:tc>
        <w:tc>
          <w:tcPr>
            <w:tcW w:w="1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AF0B6B">
            <w:pPr>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highlight w:val="none"/>
                <w:lang w:val="en-US" w:eastAsia="zh-CN"/>
              </w:rPr>
              <w:t>服务人员配备   （12分）</w:t>
            </w:r>
          </w:p>
        </w:tc>
        <w:tc>
          <w:tcPr>
            <w:tcW w:w="64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FC8FD1">
            <w:pPr>
              <w:keepNext w:val="0"/>
              <w:keepLines w:val="0"/>
              <w:pageBreakBefore w:val="0"/>
              <w:kinsoku/>
              <w:wordWrap w:val="0"/>
              <w:overflowPunct w:val="0"/>
              <w:topLinePunct/>
              <w:autoSpaceDE w:val="0"/>
              <w:autoSpaceDN w:val="0"/>
              <w:bidi w:val="0"/>
              <w:ind w:left="-99" w:leftChars="-47" w:right="-170" w:rightChars="-81"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1、项目经理：供应商项目经理人具有物业管理行业相关资格证书的得6分，并提供单位为期缴纳的最近一个月社保记录，没有不得分。</w:t>
            </w:r>
          </w:p>
          <w:p w14:paraId="63CFCDAE">
            <w:pPr>
              <w:keepNext w:val="0"/>
              <w:keepLines w:val="0"/>
              <w:pageBreakBefore w:val="0"/>
              <w:kinsoku/>
              <w:wordWrap w:val="0"/>
              <w:overflowPunct w:val="0"/>
              <w:topLinePunct/>
              <w:autoSpaceDE w:val="0"/>
              <w:autoSpaceDN w:val="0"/>
              <w:bidi w:val="0"/>
              <w:ind w:left="-99" w:leftChars="-47" w:right="-170" w:rightChars="-81"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2、专业人员：</w:t>
            </w:r>
            <w:r>
              <w:rPr>
                <w:rFonts w:hint="default" w:ascii="宋体" w:hAnsi="宋体" w:eastAsia="宋体" w:cs="宋体"/>
                <w:color w:val="auto"/>
                <w:highlight w:val="none"/>
                <w:lang w:val="en-US" w:eastAsia="zh-CN"/>
              </w:rPr>
              <w:t>①</w:t>
            </w:r>
            <w:r>
              <w:rPr>
                <w:rFonts w:hint="eastAsia" w:ascii="宋体" w:hAnsi="宋体" w:eastAsia="宋体" w:cs="宋体"/>
                <w:color w:val="auto"/>
                <w:highlight w:val="none"/>
                <w:lang w:val="en-US" w:eastAsia="zh-CN"/>
              </w:rPr>
              <w:t>安保人员：保安从业人员具有保安证4人以上者，得2分，没有不得分；</w:t>
            </w:r>
            <w:r>
              <w:rPr>
                <w:rFonts w:hint="default" w:ascii="宋体" w:hAnsi="宋体" w:eastAsia="宋体" w:cs="宋体"/>
                <w:color w:val="auto"/>
                <w:highlight w:val="none"/>
                <w:lang w:val="en-US" w:eastAsia="zh-CN"/>
              </w:rPr>
              <w:t>②</w:t>
            </w:r>
            <w:r>
              <w:rPr>
                <w:rFonts w:hint="eastAsia" w:ascii="宋体" w:hAnsi="宋体" w:eastAsia="宋体" w:cs="宋体"/>
                <w:color w:val="auto"/>
                <w:highlight w:val="none"/>
                <w:lang w:val="en-US" w:eastAsia="zh-CN"/>
              </w:rPr>
              <w:t>消防人员：配有专职消防人员并提供具备专业消防操作能力证明材料的，得1分，没有不得分；</w:t>
            </w:r>
            <w:r>
              <w:rPr>
                <w:rFonts w:hint="default" w:ascii="宋体" w:hAnsi="宋体" w:eastAsia="宋体" w:cs="宋体"/>
                <w:color w:val="auto"/>
                <w:highlight w:val="none"/>
                <w:lang w:val="en-US" w:eastAsia="zh-CN"/>
              </w:rPr>
              <w:t>③</w:t>
            </w:r>
            <w:r>
              <w:rPr>
                <w:rFonts w:hint="eastAsia" w:ascii="宋体" w:hAnsi="宋体" w:eastAsia="宋体" w:cs="宋体"/>
                <w:color w:val="auto"/>
                <w:highlight w:val="none"/>
                <w:lang w:val="en-US" w:eastAsia="zh-CN"/>
              </w:rPr>
              <w:t>其他人员：供应商除上述专业人员以外的从事特种作业的人员，具有相关证书的，例如水</w:t>
            </w:r>
            <w:r>
              <w:rPr>
                <w:rFonts w:hint="eastAsia" w:ascii="宋体" w:hAnsi="宋体" w:eastAsia="宋体" w:cs="宋体"/>
                <w:color w:val="auto"/>
                <w:highlight w:val="none"/>
              </w:rPr>
              <w:t>电工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特种作业操作证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每提供一份得1.5分，本项最多3分，没有不得分。</w:t>
            </w:r>
          </w:p>
          <w:p w14:paraId="4193E4C2">
            <w:pPr>
              <w:keepNext w:val="0"/>
              <w:keepLines w:val="0"/>
              <w:pageBreakBefore w:val="0"/>
              <w:kinsoku/>
              <w:wordWrap w:val="0"/>
              <w:overflowPunct w:val="0"/>
              <w:topLinePunct/>
              <w:autoSpaceDE w:val="0"/>
              <w:autoSpaceDN w:val="0"/>
              <w:bidi w:val="0"/>
              <w:ind w:left="-99" w:leftChars="-47" w:right="-170" w:rightChars="-81" w:firstLine="0" w:firstLineChars="0"/>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b/>
                <w:bCs/>
                <w:color w:val="auto"/>
                <w:highlight w:val="none"/>
                <w:lang w:val="en-US" w:eastAsia="zh-CN"/>
              </w:rPr>
              <w:t>注：投标文件中须提供相关证明文件的复印件或扫描件，不提供的不得分</w:t>
            </w:r>
          </w:p>
        </w:tc>
      </w:tr>
      <w:tr w14:paraId="34914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1041" w:type="dxa"/>
            <w:tcBorders>
              <w:right w:val="single" w:color="auto" w:sz="4" w:space="0"/>
            </w:tcBorders>
            <w:noWrap w:val="0"/>
            <w:vAlign w:val="center"/>
          </w:tcPr>
          <w:p w14:paraId="18D7CF0E">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highlight w:val="none"/>
              </w:rPr>
            </w:pPr>
          </w:p>
        </w:tc>
        <w:tc>
          <w:tcPr>
            <w:tcW w:w="1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6B869D">
            <w:pPr>
              <w:pStyle w:val="45"/>
              <w:tabs>
                <w:tab w:val="left" w:pos="1060"/>
              </w:tabs>
              <w:spacing w:before="68" w:line="239" w:lineRule="auto"/>
              <w:ind w:left="-42" w:leftChars="0" w:right="-94" w:rightChars="-45" w:hanging="58" w:firstLineChars="0"/>
              <w:jc w:val="center"/>
              <w:rPr>
                <w:rFonts w:hint="eastAsia" w:ascii="宋体" w:hAnsi="宋体" w:eastAsia="宋体" w:cs="宋体"/>
                <w:snapToGrid w:val="0"/>
                <w:color w:val="auto"/>
                <w:kern w:val="0"/>
                <w:sz w:val="24"/>
                <w:szCs w:val="24"/>
                <w:highlight w:val="none"/>
                <w:lang w:val="en-US" w:eastAsia="zh-CN" w:bidi="ar-SA"/>
              </w:rPr>
            </w:pPr>
            <w:r>
              <w:rPr>
                <w:rFonts w:hint="eastAsia"/>
                <w:spacing w:val="5"/>
                <w:sz w:val="21"/>
                <w:szCs w:val="21"/>
                <w:lang w:val="en-US" w:eastAsia="zh-CN"/>
              </w:rPr>
              <w:t xml:space="preserve">响应文件 编制规范   </w:t>
            </w:r>
            <w:r>
              <w:rPr>
                <w:spacing w:val="-2"/>
                <w:sz w:val="21"/>
                <w:szCs w:val="21"/>
              </w:rPr>
              <w:t>（</w:t>
            </w:r>
            <w:r>
              <w:rPr>
                <w:rFonts w:hint="eastAsia"/>
                <w:spacing w:val="-2"/>
                <w:sz w:val="21"/>
                <w:szCs w:val="21"/>
                <w:lang w:val="en-US" w:eastAsia="zh-CN"/>
              </w:rPr>
              <w:t>4</w:t>
            </w:r>
            <w:r>
              <w:rPr>
                <w:spacing w:val="-2"/>
                <w:sz w:val="21"/>
                <w:szCs w:val="21"/>
              </w:rPr>
              <w:t>分）</w:t>
            </w:r>
          </w:p>
        </w:tc>
        <w:tc>
          <w:tcPr>
            <w:tcW w:w="64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2312B0">
            <w:pPr>
              <w:keepNext w:val="0"/>
              <w:keepLines w:val="0"/>
              <w:pageBreakBefore w:val="0"/>
              <w:kinsoku/>
              <w:wordWrap w:val="0"/>
              <w:overflowPunct w:val="0"/>
              <w:topLinePunct/>
              <w:autoSpaceDE w:val="0"/>
              <w:autoSpaceDN w:val="0"/>
              <w:bidi w:val="0"/>
              <w:ind w:left="-120" w:leftChars="-57" w:right="-94" w:rightChars="-45" w:firstLine="18" w:firstLineChars="9"/>
              <w:rPr>
                <w:rFonts w:hint="eastAsia" w:ascii="宋体" w:hAnsi="宋体" w:eastAsia="宋体" w:cs="宋体"/>
                <w:snapToGrid w:val="0"/>
                <w:color w:val="auto"/>
                <w:kern w:val="0"/>
                <w:sz w:val="21"/>
                <w:szCs w:val="21"/>
                <w:highlight w:val="none"/>
                <w:lang w:val="en-US" w:eastAsia="zh-CN"/>
              </w:rPr>
            </w:pPr>
            <w:bookmarkStart w:id="834" w:name="_GoBack"/>
            <w:r>
              <w:rPr>
                <w:rFonts w:hint="eastAsia" w:ascii="宋体" w:hAnsi="宋体" w:eastAsia="宋体" w:cs="宋体"/>
                <w:color w:val="auto"/>
                <w:highlight w:val="none"/>
                <w:lang w:val="en-US" w:eastAsia="zh-CN"/>
              </w:rPr>
              <w:t>响应文件的编制符合竞争性磋商文件的规定，逻辑严紧、描述规范的，得4分；逻辑较为严紧、描述较为规范的，得2分；编制无逻辑、描述与现行规范差别较大的，得0分。</w:t>
            </w:r>
            <w:bookmarkEnd w:id="834"/>
          </w:p>
        </w:tc>
      </w:tr>
    </w:tbl>
    <w:p w14:paraId="34887C81">
      <w:pPr>
        <w:keepNext w:val="0"/>
        <w:keepLines w:val="0"/>
        <w:pageBreakBefore w:val="0"/>
        <w:kinsoku/>
        <w:wordWrap w:val="0"/>
        <w:overflowPunct w:val="0"/>
        <w:topLinePunct/>
        <w:autoSpaceDE w:val="0"/>
        <w:autoSpaceDN w:val="0"/>
        <w:bidi w:val="0"/>
        <w:spacing w:before="69" w:line="225" w:lineRule="auto"/>
        <w:rPr>
          <w:rFonts w:hint="eastAsia" w:ascii="宋体" w:hAnsi="宋体" w:eastAsia="宋体" w:cs="宋体"/>
          <w:color w:val="auto"/>
          <w:spacing w:val="5"/>
          <w:sz w:val="21"/>
          <w:szCs w:val="21"/>
          <w:highlight w:val="none"/>
          <w14:textOutline w14:w="3918" w14:cap="flat" w14:cmpd="sng">
            <w14:solidFill>
              <w14:srgbClr w14:val="000000"/>
            </w14:solidFill>
            <w14:prstDash w14:val="solid"/>
            <w14:miter w14:val="0"/>
          </w14:textOutline>
        </w:rPr>
      </w:pPr>
    </w:p>
    <w:p w14:paraId="03F3D1C1">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 xml:space="preserve">1．初步评审 </w:t>
      </w:r>
    </w:p>
    <w:p w14:paraId="1EAC9285">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评委会首先按竞争性磋商文件要求对供应商的响应文件进行符合性评审。确认其响应文件是否实质上响应了竞争性磋商文件的要求，对实质上响应竞争性磋商文件要求的响应文件进行下一步评审。 </w:t>
      </w:r>
    </w:p>
    <w:p w14:paraId="431F2545">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2" w:firstLineChars="200"/>
        <w:jc w:val="left"/>
        <w:textAlignment w:val="baseline"/>
        <w:outlineLvl w:val="2"/>
        <w:rPr>
          <w:rFonts w:hint="eastAsia" w:ascii="宋体" w:hAnsi="宋体" w:eastAsia="宋体" w:cs="宋体"/>
          <w:color w:val="auto"/>
          <w:sz w:val="24"/>
          <w:szCs w:val="24"/>
          <w:highlight w:val="none"/>
        </w:rPr>
      </w:pPr>
      <w:bookmarkStart w:id="747" w:name="_Toc19027"/>
      <w:r>
        <w:rPr>
          <w:rFonts w:hint="eastAsia" w:ascii="宋体" w:hAnsi="宋体" w:eastAsia="宋体" w:cs="宋体"/>
          <w:b/>
          <w:bCs/>
          <w:snapToGrid w:val="0"/>
          <w:color w:val="auto"/>
          <w:kern w:val="0"/>
          <w:sz w:val="24"/>
          <w:szCs w:val="24"/>
          <w:highlight w:val="none"/>
          <w:lang w:val="en-US" w:eastAsia="zh-CN" w:bidi="ar"/>
        </w:rPr>
        <w:t>2．细微偏差不影响响应文件的有效性</w:t>
      </w:r>
      <w:bookmarkEnd w:id="747"/>
      <w:r>
        <w:rPr>
          <w:rFonts w:hint="eastAsia" w:ascii="宋体" w:hAnsi="宋体" w:eastAsia="宋体" w:cs="宋体"/>
          <w:b/>
          <w:bCs/>
          <w:snapToGrid w:val="0"/>
          <w:color w:val="auto"/>
          <w:kern w:val="0"/>
          <w:sz w:val="24"/>
          <w:szCs w:val="24"/>
          <w:highlight w:val="none"/>
          <w:lang w:val="en-US" w:eastAsia="zh-CN" w:bidi="ar"/>
        </w:rPr>
        <w:t xml:space="preserve"> </w:t>
      </w:r>
    </w:p>
    <w:p w14:paraId="5ECDF345">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细微偏差是指响应文件在实质上响应竞争性磋商文件要求，但个别地方存在漏项或者提供不了完整的技术信息和数据等情况，并且补正这些遗漏或者不完整不会对其他供应商造成不公平的结果。如响应文件中数字大写和小写不一致的，以大写为准。对于实质上符合竞争性磋商文件要求的响应文件，采购人将对其响应文件的细微偏差进行校核。并对算数上和累积运算上的差错给与修正，这种修正应取得供应商的同意并确认修正后的最终结果。如果供应商拒绝确认，则其响应文件将不予评审。评标委员会不对无效标评审。评标委员会不接受供应商在响应文件递交截止时间之后主动进行的一切修正或撤销其不符合要求的偏差。 </w:t>
      </w:r>
    </w:p>
    <w:p w14:paraId="3A8D048F">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2" w:firstLineChars="200"/>
        <w:jc w:val="left"/>
        <w:textAlignment w:val="baseline"/>
        <w:outlineLvl w:val="2"/>
        <w:rPr>
          <w:rFonts w:hint="eastAsia" w:ascii="宋体" w:hAnsi="宋体" w:eastAsia="宋体" w:cs="宋体"/>
          <w:color w:val="auto"/>
          <w:sz w:val="24"/>
          <w:szCs w:val="24"/>
          <w:highlight w:val="none"/>
        </w:rPr>
      </w:pPr>
      <w:bookmarkStart w:id="748" w:name="_Toc18638"/>
      <w:r>
        <w:rPr>
          <w:rFonts w:hint="eastAsia" w:ascii="宋体" w:hAnsi="宋体" w:eastAsia="宋体" w:cs="宋体"/>
          <w:b/>
          <w:bCs/>
          <w:snapToGrid w:val="0"/>
          <w:color w:val="auto"/>
          <w:kern w:val="0"/>
          <w:sz w:val="24"/>
          <w:szCs w:val="24"/>
          <w:highlight w:val="none"/>
          <w:lang w:val="en-US" w:eastAsia="zh-CN" w:bidi="ar"/>
        </w:rPr>
        <w:t>3．详细评审</w:t>
      </w:r>
      <w:bookmarkEnd w:id="748"/>
      <w:r>
        <w:rPr>
          <w:rFonts w:hint="eastAsia" w:ascii="宋体" w:hAnsi="宋体" w:eastAsia="宋体" w:cs="宋体"/>
          <w:b/>
          <w:bCs/>
          <w:snapToGrid w:val="0"/>
          <w:color w:val="auto"/>
          <w:kern w:val="0"/>
          <w:sz w:val="24"/>
          <w:szCs w:val="24"/>
          <w:highlight w:val="none"/>
          <w:lang w:val="en-US" w:eastAsia="zh-CN" w:bidi="ar"/>
        </w:rPr>
        <w:t xml:space="preserve"> </w:t>
      </w:r>
    </w:p>
    <w:p w14:paraId="7CC3872A">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经初步评审合格的响应文件，评标委员会根据竞争性磋商文件确定的评标标准和方法，对其响应文件做进一步评审与比较。 </w:t>
      </w:r>
    </w:p>
    <w:p w14:paraId="5FC100D3">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2" w:firstLineChars="200"/>
        <w:jc w:val="left"/>
        <w:textAlignment w:val="baseline"/>
        <w:outlineLvl w:val="2"/>
        <w:rPr>
          <w:rFonts w:hint="eastAsia" w:ascii="宋体" w:hAnsi="宋体" w:eastAsia="宋体" w:cs="宋体"/>
          <w:color w:val="auto"/>
          <w:sz w:val="24"/>
          <w:szCs w:val="24"/>
          <w:highlight w:val="none"/>
        </w:rPr>
      </w:pPr>
      <w:bookmarkStart w:id="749" w:name="_Toc28549"/>
      <w:r>
        <w:rPr>
          <w:rFonts w:hint="eastAsia" w:ascii="宋体" w:hAnsi="宋体" w:eastAsia="宋体" w:cs="宋体"/>
          <w:b/>
          <w:bCs/>
          <w:snapToGrid w:val="0"/>
          <w:color w:val="auto"/>
          <w:kern w:val="0"/>
          <w:sz w:val="24"/>
          <w:szCs w:val="24"/>
          <w:highlight w:val="none"/>
          <w:lang w:val="en-US" w:eastAsia="zh-CN" w:bidi="ar"/>
        </w:rPr>
        <w:t>4．评标保密</w:t>
      </w:r>
      <w:bookmarkEnd w:id="749"/>
      <w:r>
        <w:rPr>
          <w:rFonts w:hint="eastAsia" w:ascii="宋体" w:hAnsi="宋体" w:eastAsia="宋体" w:cs="宋体"/>
          <w:b/>
          <w:bCs/>
          <w:snapToGrid w:val="0"/>
          <w:color w:val="auto"/>
          <w:kern w:val="0"/>
          <w:sz w:val="24"/>
          <w:szCs w:val="24"/>
          <w:highlight w:val="none"/>
          <w:lang w:val="en-US" w:eastAsia="zh-CN" w:bidi="ar"/>
        </w:rPr>
        <w:t xml:space="preserve"> </w:t>
      </w:r>
    </w:p>
    <w:p w14:paraId="59F9B27B">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在确认中标供应商之前，凡属于响应文件的审查、澄清、评价和比较及有关授予合同的信息，凡参与评标的所有人员都不得向供应商或与该过程无公务关系的其他人泄露。如果供应商试图对采购人的评标过程或定标决定施加影响，则会导致其响应文件被拒绝。 </w:t>
      </w:r>
    </w:p>
    <w:p w14:paraId="107D45D8">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2" w:firstLineChars="200"/>
        <w:jc w:val="left"/>
        <w:textAlignment w:val="baseline"/>
        <w:outlineLvl w:val="2"/>
        <w:rPr>
          <w:rFonts w:hint="eastAsia" w:ascii="宋体" w:hAnsi="宋体" w:eastAsia="宋体" w:cs="宋体"/>
          <w:color w:val="auto"/>
          <w:sz w:val="24"/>
          <w:szCs w:val="24"/>
          <w:highlight w:val="none"/>
        </w:rPr>
      </w:pPr>
      <w:bookmarkStart w:id="750" w:name="_Toc30235"/>
      <w:r>
        <w:rPr>
          <w:rFonts w:hint="eastAsia" w:ascii="宋体" w:hAnsi="宋体" w:eastAsia="宋体" w:cs="宋体"/>
          <w:b/>
          <w:bCs/>
          <w:snapToGrid w:val="0"/>
          <w:color w:val="auto"/>
          <w:kern w:val="0"/>
          <w:sz w:val="24"/>
          <w:szCs w:val="24"/>
          <w:highlight w:val="none"/>
          <w:lang w:val="en-US" w:eastAsia="zh-CN" w:bidi="ar"/>
        </w:rPr>
        <w:t>5．评标结果</w:t>
      </w:r>
      <w:bookmarkEnd w:id="750"/>
      <w:r>
        <w:rPr>
          <w:rFonts w:hint="eastAsia" w:ascii="宋体" w:hAnsi="宋体" w:eastAsia="宋体" w:cs="宋体"/>
          <w:b/>
          <w:bCs/>
          <w:snapToGrid w:val="0"/>
          <w:color w:val="auto"/>
          <w:kern w:val="0"/>
          <w:sz w:val="24"/>
          <w:szCs w:val="24"/>
          <w:highlight w:val="none"/>
          <w:lang w:val="en-US" w:eastAsia="zh-CN" w:bidi="ar"/>
        </w:rPr>
        <w:t xml:space="preserve"> </w:t>
      </w:r>
    </w:p>
    <w:p w14:paraId="37E008B5">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评标委员会每位成员根据评标办法和标准，对所有响应文件进行集中审核分别打分后。各评委评分的算术平均值作为该供应商的最终得分，计分取至小数点后两位，计分过程中小数点后第三位四舍五入。 </w:t>
      </w:r>
    </w:p>
    <w:p w14:paraId="1D703D4C">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2" w:firstLineChars="200"/>
        <w:jc w:val="left"/>
        <w:textAlignment w:val="baseline"/>
        <w:outlineLvl w:val="2"/>
        <w:rPr>
          <w:rFonts w:hint="eastAsia" w:ascii="宋体" w:hAnsi="宋体" w:eastAsia="宋体" w:cs="宋体"/>
          <w:color w:val="auto"/>
          <w:sz w:val="24"/>
          <w:szCs w:val="24"/>
          <w:highlight w:val="none"/>
        </w:rPr>
      </w:pPr>
      <w:bookmarkStart w:id="751" w:name="_Toc3732"/>
      <w:r>
        <w:rPr>
          <w:rFonts w:hint="eastAsia" w:ascii="宋体" w:hAnsi="宋体" w:eastAsia="宋体" w:cs="宋体"/>
          <w:b/>
          <w:bCs/>
          <w:snapToGrid w:val="0"/>
          <w:color w:val="auto"/>
          <w:kern w:val="0"/>
          <w:sz w:val="24"/>
          <w:szCs w:val="24"/>
          <w:highlight w:val="none"/>
          <w:lang w:val="en-US" w:eastAsia="zh-CN" w:bidi="ar"/>
        </w:rPr>
        <w:t>6．定标</w:t>
      </w:r>
      <w:bookmarkEnd w:id="751"/>
      <w:r>
        <w:rPr>
          <w:rFonts w:hint="eastAsia" w:ascii="宋体" w:hAnsi="宋体" w:eastAsia="宋体" w:cs="宋体"/>
          <w:b/>
          <w:bCs/>
          <w:snapToGrid w:val="0"/>
          <w:color w:val="auto"/>
          <w:kern w:val="0"/>
          <w:sz w:val="24"/>
          <w:szCs w:val="24"/>
          <w:highlight w:val="none"/>
          <w:lang w:val="en-US" w:eastAsia="zh-CN" w:bidi="ar"/>
        </w:rPr>
        <w:t xml:space="preserve"> </w:t>
      </w:r>
    </w:p>
    <w:p w14:paraId="7710E3CA">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评标委员会将向采购人提交评标报告，并按照得分高低的顺序向采购人推荐排序前三名为中标候选供应商，采购人应当接受评标委员会推荐的中标候选供应商，不得在评标委员会推荐的中标候选供应商之外确定中标供应商。排名第一的中标候选供应商因不可抗力放弃中标或提出不能履行合同，采购人可以确定排名第二的中标候选供应商为中标供应商。若三名中标候选供应商均放弃中标的，或者考察全部不合格时，应根据实际情况，按有关规定执行。 </w:t>
      </w:r>
    </w:p>
    <w:p w14:paraId="31157872">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2" w:firstLineChars="200"/>
        <w:jc w:val="left"/>
        <w:textAlignment w:val="baseline"/>
        <w:outlineLvl w:val="2"/>
        <w:rPr>
          <w:rFonts w:hint="eastAsia" w:ascii="宋体" w:hAnsi="宋体" w:eastAsia="宋体" w:cs="宋体"/>
          <w:color w:val="auto"/>
          <w:sz w:val="24"/>
          <w:szCs w:val="24"/>
          <w:highlight w:val="none"/>
        </w:rPr>
      </w:pPr>
      <w:bookmarkStart w:id="752" w:name="_Toc11049"/>
      <w:r>
        <w:rPr>
          <w:rFonts w:hint="eastAsia" w:ascii="宋体" w:hAnsi="宋体" w:eastAsia="宋体" w:cs="宋体"/>
          <w:b/>
          <w:bCs/>
          <w:snapToGrid w:val="0"/>
          <w:color w:val="auto"/>
          <w:kern w:val="0"/>
          <w:sz w:val="24"/>
          <w:szCs w:val="24"/>
          <w:highlight w:val="none"/>
          <w:lang w:val="en-US" w:eastAsia="zh-CN" w:bidi="ar"/>
        </w:rPr>
        <w:t>7.评标的标准</w:t>
      </w:r>
      <w:bookmarkEnd w:id="752"/>
      <w:r>
        <w:rPr>
          <w:rFonts w:hint="eastAsia" w:ascii="宋体" w:hAnsi="宋体" w:eastAsia="宋体" w:cs="宋体"/>
          <w:b/>
          <w:bCs/>
          <w:snapToGrid w:val="0"/>
          <w:color w:val="auto"/>
          <w:kern w:val="0"/>
          <w:sz w:val="24"/>
          <w:szCs w:val="24"/>
          <w:highlight w:val="none"/>
          <w:lang w:val="en-US" w:eastAsia="zh-CN" w:bidi="ar"/>
        </w:rPr>
        <w:t xml:space="preserve"> </w:t>
      </w:r>
    </w:p>
    <w:p w14:paraId="06AAF425">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sz w:val="21"/>
          <w:highlight w:val="none"/>
        </w:rPr>
      </w:pPr>
      <w:r>
        <w:rPr>
          <w:rFonts w:hint="eastAsia" w:ascii="宋体" w:hAnsi="宋体" w:eastAsia="宋体" w:cs="宋体"/>
          <w:snapToGrid w:val="0"/>
          <w:color w:val="auto"/>
          <w:kern w:val="0"/>
          <w:sz w:val="24"/>
          <w:szCs w:val="24"/>
          <w:highlight w:val="none"/>
          <w:lang w:val="en-US" w:eastAsia="zh-CN" w:bidi="ar"/>
        </w:rPr>
        <w:t>评标委员会对初审后满足竞争性磋商文件实质性要求的响应文件，按照本评分标准进行打分，并按得分由高到低顺序推荐1-3 名中标候选供应商。综合评分相等时，以投标报价低的优先；投标报价也相等的，由采购人自行确定。</w:t>
      </w:r>
    </w:p>
    <w:p w14:paraId="2B67227D">
      <w:pPr>
        <w:keepNext w:val="0"/>
        <w:keepLines w:val="0"/>
        <w:pageBreakBefore w:val="0"/>
        <w:kinsoku/>
        <w:wordWrap w:val="0"/>
        <w:overflowPunct w:val="0"/>
        <w:topLinePunct/>
        <w:autoSpaceDE w:val="0"/>
        <w:autoSpaceDN w:val="0"/>
        <w:bidi w:val="0"/>
        <w:spacing w:line="360" w:lineRule="auto"/>
        <w:rPr>
          <w:rFonts w:hint="eastAsia" w:ascii="宋体" w:hAnsi="宋体" w:eastAsia="宋体" w:cs="宋体"/>
          <w:b/>
          <w:bCs/>
          <w:color w:val="auto"/>
          <w:highlight w:val="none"/>
        </w:rPr>
      </w:pPr>
      <w:bookmarkStart w:id="753" w:name="_Toc25409"/>
      <w:bookmarkStart w:id="754" w:name="_Toc9052"/>
    </w:p>
    <w:p w14:paraId="1D0F46E4">
      <w:pPr>
        <w:keepNext w:val="0"/>
        <w:keepLines w:val="0"/>
        <w:pageBreakBefore w:val="0"/>
        <w:kinsoku/>
        <w:wordWrap w:val="0"/>
        <w:overflowPunct w:val="0"/>
        <w:topLinePunct/>
        <w:autoSpaceDE w:val="0"/>
        <w:autoSpaceDN w:val="0"/>
        <w:bidi w:val="0"/>
        <w:spacing w:line="360" w:lineRule="auto"/>
        <w:rPr>
          <w:rFonts w:hint="eastAsia" w:ascii="宋体" w:hAnsi="宋体" w:eastAsia="宋体" w:cs="宋体"/>
          <w:b/>
          <w:bCs/>
          <w:color w:val="auto"/>
          <w:highlight w:val="none"/>
        </w:rPr>
      </w:pPr>
    </w:p>
    <w:p w14:paraId="04DF36E1">
      <w:pPr>
        <w:keepNext w:val="0"/>
        <w:keepLines w:val="0"/>
        <w:pageBreakBefore w:val="0"/>
        <w:kinsoku/>
        <w:wordWrap w:val="0"/>
        <w:overflowPunct w:val="0"/>
        <w:topLinePunct/>
        <w:autoSpaceDE w:val="0"/>
        <w:autoSpaceDN w:val="0"/>
        <w:bidi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附件：无效投标的条件</w:t>
      </w:r>
      <w:bookmarkEnd w:id="753"/>
      <w:bookmarkEnd w:id="754"/>
    </w:p>
    <w:p w14:paraId="0A48E15F">
      <w:pPr>
        <w:keepNext w:val="0"/>
        <w:keepLines w:val="0"/>
        <w:pageBreakBefore w:val="0"/>
        <w:kinsoku/>
        <w:wordWrap w:val="0"/>
        <w:overflowPunct w:val="0"/>
        <w:topLinePunct/>
        <w:autoSpaceDE w:val="0"/>
        <w:autoSpaceDN w:val="0"/>
        <w:bidi w:val="0"/>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无效投标的条件</w:t>
      </w:r>
    </w:p>
    <w:p w14:paraId="51DFB565">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本附件所集中列示的无效投标条件，是本章“评标办法”的组成部分，是对第二章“投标人须知”和本章正文部分所规定的无效投标条件的总结和补充，如果出现相互矛盾的情况，以第二章“投标人须知”和本章正文部分的规定为准。</w:t>
      </w:r>
    </w:p>
    <w:p w14:paraId="30D860B2">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1.未通过评标办法初步评审的；</w:t>
      </w:r>
    </w:p>
    <w:p w14:paraId="7B82AB8B">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2.不按评标委员会要求澄清、说明或补正的；</w:t>
      </w:r>
    </w:p>
    <w:p w14:paraId="163DA946">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3.投标有效期不满足</w:t>
      </w:r>
      <w:r>
        <w:rPr>
          <w:rFonts w:hint="eastAsia" w:ascii="宋体" w:hAnsi="宋体" w:eastAsia="宋体" w:cs="宋体"/>
          <w:b/>
          <w:bCs/>
          <w:color w:val="auto"/>
          <w:highlight w:val="none"/>
          <w:lang w:eastAsia="zh-CN"/>
        </w:rPr>
        <w:t>竞争性磋商</w:t>
      </w:r>
      <w:r>
        <w:rPr>
          <w:rFonts w:hint="eastAsia" w:ascii="宋体" w:hAnsi="宋体" w:eastAsia="宋体" w:cs="宋体"/>
          <w:b/>
          <w:bCs/>
          <w:color w:val="auto"/>
          <w:highlight w:val="none"/>
        </w:rPr>
        <w:t>文件要求的；</w:t>
      </w:r>
    </w:p>
    <w:p w14:paraId="2004C9E3">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4.投标报价有算术性错误，投标人不接受修正价格的；                    </w:t>
      </w:r>
    </w:p>
    <w:p w14:paraId="506063EB">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5.以他人的名义投标、以行贿手段谋取中标或者以其他弄虚作假方式投标的； </w:t>
      </w:r>
    </w:p>
    <w:p w14:paraId="659AC48B">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6.属于串(围) 标行为的；</w:t>
      </w:r>
    </w:p>
    <w:p w14:paraId="12D6F7C0">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7.不符合</w:t>
      </w:r>
      <w:r>
        <w:rPr>
          <w:rFonts w:hint="eastAsia" w:ascii="宋体" w:hAnsi="宋体" w:eastAsia="宋体" w:cs="宋体"/>
          <w:b/>
          <w:bCs/>
          <w:color w:val="auto"/>
          <w:highlight w:val="none"/>
          <w:lang w:eastAsia="zh-CN"/>
        </w:rPr>
        <w:t>竞争性磋商</w:t>
      </w:r>
      <w:r>
        <w:rPr>
          <w:rFonts w:hint="eastAsia" w:ascii="宋体" w:hAnsi="宋体" w:eastAsia="宋体" w:cs="宋体"/>
          <w:b/>
          <w:bCs/>
          <w:color w:val="auto"/>
          <w:highlight w:val="none"/>
        </w:rPr>
        <w:t>文件规定的其他实质性要求及相关法律、法规或规章规定可以否决投标的其他情形。</w:t>
      </w:r>
    </w:p>
    <w:p w14:paraId="557A8EE9">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14:paraId="01221610">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14:paraId="64ED3CEE">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14:paraId="191B43E9">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14:paraId="384F810E">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14:paraId="49DFA99A">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14:paraId="7A468B5B">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14:paraId="6CB86E18">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14:paraId="145C9AC9">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14:paraId="01BD084C">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14:paraId="73AFF896">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14:paraId="7990F448">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14:paraId="468EE639">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14:paraId="59975FC7">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14:paraId="3214157C">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14:paraId="161D9FB5">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14:paraId="2918ECC2">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14:paraId="413EA3B8">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14:paraId="1B7B28AE">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14:paraId="0D428B7B">
      <w:pPr>
        <w:keepNext w:val="0"/>
        <w:keepLines w:val="0"/>
        <w:pageBreakBefore w:val="0"/>
        <w:widowControl/>
        <w:kinsoku/>
        <w:wordWrap w:val="0"/>
        <w:overflowPunct w:val="0"/>
        <w:topLinePunct/>
        <w:autoSpaceDE w:val="0"/>
        <w:autoSpaceDN w:val="0"/>
        <w:bidi w:val="0"/>
        <w:adjustRightInd w:val="0"/>
        <w:snapToGrid w:val="0"/>
        <w:spacing w:line="360" w:lineRule="auto"/>
        <w:ind w:firstLine="422" w:firstLineChars="200"/>
        <w:textAlignment w:val="baseline"/>
        <w:rPr>
          <w:rFonts w:hint="eastAsia" w:ascii="宋体" w:hAnsi="宋体" w:eastAsia="宋体" w:cs="宋体"/>
          <w:b/>
          <w:bCs/>
          <w:color w:val="auto"/>
          <w:highlight w:val="none"/>
        </w:rPr>
      </w:pPr>
    </w:p>
    <w:p w14:paraId="29042F77">
      <w:pPr>
        <w:keepNext w:val="0"/>
        <w:keepLines w:val="0"/>
        <w:pageBreakBefore w:val="0"/>
        <w:kinsoku/>
        <w:wordWrap w:val="0"/>
        <w:overflowPunct w:val="0"/>
        <w:topLinePunct/>
        <w:autoSpaceDE w:val="0"/>
        <w:autoSpaceDN w:val="0"/>
        <w:bidi w:val="0"/>
        <w:jc w:val="center"/>
        <w:rPr>
          <w:rFonts w:hint="eastAsia" w:ascii="宋体" w:hAnsi="宋体" w:eastAsia="宋体" w:cs="宋体"/>
          <w:b/>
          <w:bCs/>
          <w:color w:val="auto"/>
          <w:sz w:val="30"/>
          <w:szCs w:val="30"/>
          <w:highlight w:val="none"/>
          <w:lang w:val="en-US" w:eastAsia="zh-CN"/>
        </w:rPr>
      </w:pPr>
      <w:bookmarkStart w:id="755" w:name="_Toc4382"/>
      <w:bookmarkStart w:id="756" w:name="_Toc2702"/>
      <w:r>
        <w:rPr>
          <w:rFonts w:hint="eastAsia" w:ascii="宋体" w:hAnsi="宋体" w:eastAsia="宋体" w:cs="宋体"/>
          <w:b/>
          <w:bCs/>
          <w:color w:val="auto"/>
          <w:sz w:val="30"/>
          <w:szCs w:val="30"/>
          <w:highlight w:val="none"/>
          <w:lang w:val="en-US" w:eastAsia="zh-CN"/>
        </w:rPr>
        <w:t>第四章  采购需求</w:t>
      </w:r>
      <w:bookmarkEnd w:id="755"/>
      <w:bookmarkEnd w:id="756"/>
    </w:p>
    <w:p w14:paraId="507FA722">
      <w:pPr>
        <w:rPr>
          <w:rFonts w:hint="eastAsia"/>
          <w:lang w:val="en-US" w:eastAsia="zh-CN"/>
        </w:rPr>
      </w:pPr>
    </w:p>
    <w:p w14:paraId="4C03AAB1">
      <w:pPr>
        <w:keepNext w:val="0"/>
        <w:keepLines w:val="0"/>
        <w:pageBreakBefore w:val="0"/>
        <w:widowControl/>
        <w:kinsoku/>
        <w:wordWrap w:val="0"/>
        <w:overflowPunct w:val="0"/>
        <w:topLinePunct/>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bookmarkStart w:id="757" w:name="_Toc14775"/>
      <w:bookmarkStart w:id="758" w:name="_Toc1077"/>
      <w:bookmarkStart w:id="759" w:name="_Toc17467"/>
    </w:p>
    <w:p w14:paraId="71C37B53">
      <w:pPr>
        <w:keepNext w:val="0"/>
        <w:keepLines w:val="0"/>
        <w:pageBreakBefore w:val="0"/>
        <w:widowControl/>
        <w:kinsoku/>
        <w:wordWrap w:val="0"/>
        <w:overflowPunct w:val="0"/>
        <w:topLinePunct/>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采购需求：供应商需对采购需求做出全文承诺，否则视同不满足本项目采购要求，原则上否决其投标。</w:t>
      </w:r>
      <w:bookmarkEnd w:id="757"/>
      <w:bookmarkEnd w:id="758"/>
      <w:bookmarkEnd w:id="759"/>
      <w:r>
        <w:rPr>
          <w:rFonts w:hint="eastAsia" w:ascii="宋体" w:hAnsi="宋体" w:eastAsia="宋体" w:cs="宋体"/>
          <w:b/>
          <w:bCs/>
          <w:color w:val="auto"/>
          <w:sz w:val="24"/>
          <w:szCs w:val="24"/>
          <w:highlight w:val="none"/>
          <w:lang w:val="en-US" w:eastAsia="zh-CN"/>
        </w:rPr>
        <w:t xml:space="preserve"> </w:t>
      </w:r>
    </w:p>
    <w:p w14:paraId="2CF2D9B0">
      <w:pPr>
        <w:keepNext w:val="0"/>
        <w:keepLines w:val="0"/>
        <w:pageBreakBefore w:val="0"/>
        <w:widowControl/>
        <w:kinsoku/>
        <w:wordWrap w:val="0"/>
        <w:overflowPunct w:val="0"/>
        <w:topLinePunct/>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p>
    <w:p w14:paraId="6D1680DE">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
        </w:rPr>
      </w:pPr>
      <w:r>
        <w:rPr>
          <w:rFonts w:hint="eastAsia" w:asciiTheme="minorEastAsia" w:hAnsiTheme="minorEastAsia" w:eastAsiaTheme="minorEastAsia" w:cstheme="minorEastAsia"/>
          <w:snapToGrid w:val="0"/>
          <w:color w:val="auto"/>
          <w:kern w:val="0"/>
          <w:sz w:val="24"/>
          <w:szCs w:val="24"/>
          <w:highlight w:val="none"/>
          <w:lang w:val="en-US" w:eastAsia="zh-CN" w:bidi="ar"/>
        </w:rPr>
        <w:t>1、项目概况：</w:t>
      </w:r>
    </w:p>
    <w:p w14:paraId="11194B2B">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
        </w:rPr>
      </w:pPr>
      <w:r>
        <w:rPr>
          <w:rFonts w:hint="eastAsia" w:asciiTheme="minorEastAsia" w:hAnsiTheme="minorEastAsia" w:eastAsiaTheme="minorEastAsia" w:cstheme="minorEastAsia"/>
          <w:snapToGrid w:val="0"/>
          <w:color w:val="auto"/>
          <w:kern w:val="0"/>
          <w:sz w:val="24"/>
          <w:szCs w:val="24"/>
          <w:highlight w:val="none"/>
          <w:lang w:val="en-US" w:eastAsia="zh-CN" w:bidi="ar"/>
        </w:rPr>
        <w:t>采购内容为固始县针织服装产业园2025-2026年度物业管理（固始县针织服装产业园(凤凰大道以南、宏达路以北、 长江河路以东、广丰路以西)范围内全部标准化厂房以及宏达路南的  两幢职工宿舍的物业服务和管理，厂房面积136665平方米，宿舍面积7953.64平方米，室外保洁面积84000平方米）。</w:t>
      </w:r>
    </w:p>
    <w:p w14:paraId="2346C362">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0" w:firstLineChars="200"/>
        <w:jc w:val="left"/>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
        </w:rPr>
      </w:pPr>
      <w:r>
        <w:rPr>
          <w:rFonts w:hint="eastAsia" w:asciiTheme="minorEastAsia" w:hAnsiTheme="minorEastAsia" w:eastAsiaTheme="minorEastAsia" w:cstheme="minorEastAsia"/>
          <w:snapToGrid w:val="0"/>
          <w:color w:val="auto"/>
          <w:kern w:val="0"/>
          <w:sz w:val="24"/>
          <w:szCs w:val="24"/>
          <w:highlight w:val="none"/>
          <w:lang w:val="en-US" w:eastAsia="zh-CN" w:bidi="ar"/>
        </w:rPr>
        <w:t xml:space="preserve">包括园区内保洁服务、安保服务、基础设施及设备的养护、运行和管理等，服务期二年。 </w:t>
      </w:r>
    </w:p>
    <w:p w14:paraId="3B211AB0">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2、合同履行期限：二年；</w:t>
      </w:r>
    </w:p>
    <w:p w14:paraId="41FFBD70">
      <w:pPr>
        <w:keepNext w:val="0"/>
        <w:keepLines w:val="0"/>
        <w:pageBreakBefore w:val="0"/>
        <w:widowControl/>
        <w:suppressLineNumbers w:val="0"/>
        <w:kinsoku/>
        <w:wordWrap w:val="0"/>
        <w:overflowPunct w:val="0"/>
        <w:topLinePunct/>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3、质量要求：</w:t>
      </w:r>
      <w:r>
        <w:rPr>
          <w:rFonts w:hint="eastAsia" w:asciiTheme="minorEastAsia" w:hAnsiTheme="minorEastAsia" w:eastAsiaTheme="minorEastAsia" w:cstheme="minorEastAsia"/>
          <w:snapToGrid w:val="0"/>
          <w:color w:val="auto"/>
          <w:kern w:val="0"/>
          <w:sz w:val="24"/>
          <w:szCs w:val="24"/>
          <w:highlight w:val="none"/>
          <w:lang w:val="en-US" w:eastAsia="zh-CN" w:bidi="ar"/>
        </w:rPr>
        <w:t>符合相关标准规范的规定、满足采购人要求；</w:t>
      </w:r>
    </w:p>
    <w:p w14:paraId="4C55B456">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bookmarkStart w:id="760" w:name="_Toc2561"/>
      <w:bookmarkStart w:id="761" w:name="_Toc29518"/>
    </w:p>
    <w:p w14:paraId="5D269010">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14:paraId="5CB8D599">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14:paraId="07514797">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14:paraId="45313D6D">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14:paraId="7312370E">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14:paraId="33C1F896">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14:paraId="7243AA16">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14:paraId="3D4BA5A7">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14:paraId="34C04186">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14:paraId="4A96D729">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14:paraId="1E7F0BB8">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14:paraId="044CB2C9">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14:paraId="4C47BCCA">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14:paraId="7CFA4A49">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14:paraId="60E9B87D">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14:paraId="744B7725">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14:paraId="18EECA76">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p>
    <w:p w14:paraId="771C6D33">
      <w:pPr>
        <w:keepNext w:val="0"/>
        <w:keepLines w:val="0"/>
        <w:pageBreakBefore w:val="0"/>
        <w:kinsoku/>
        <w:wordWrap w:val="0"/>
        <w:overflowPunct w:val="0"/>
        <w:topLinePunct/>
        <w:autoSpaceDE w:val="0"/>
        <w:autoSpaceDN w:val="0"/>
        <w:bidi w:val="0"/>
        <w:jc w:val="cente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pPr>
      <w:r>
        <w:rPr>
          <w:rFonts w:hint="eastAsia" w:ascii="宋体" w:hAnsi="宋体" w:eastAsia="宋体" w:cs="宋体"/>
          <w:color w:val="auto"/>
          <w:spacing w:val="24"/>
          <w:sz w:val="31"/>
          <w:szCs w:val="31"/>
          <w:highlight w:val="none"/>
          <w:lang w:val="en-US" w:eastAsia="zh-CN"/>
          <w14:textOutline w14:w="5756" w14:cap="flat" w14:cmpd="sng">
            <w14:solidFill>
              <w14:srgbClr w14:val="000000"/>
            </w14:solidFill>
            <w14:prstDash w14:val="solid"/>
            <w14:miter w14:val="0"/>
          </w14:textOutline>
        </w:rPr>
        <w:t>第五章 政府采购合同（参考）</w:t>
      </w:r>
      <w:bookmarkEnd w:id="760"/>
      <w:bookmarkEnd w:id="761"/>
    </w:p>
    <w:p w14:paraId="28340C65">
      <w:pPr>
        <w:keepNext w:val="0"/>
        <w:keepLines w:val="0"/>
        <w:pageBreakBefore w:val="0"/>
        <w:widowControl/>
        <w:kinsoku/>
        <w:wordWrap w:val="0"/>
        <w:overflowPunct w:val="0"/>
        <w:topLinePunct/>
        <w:autoSpaceDE w:val="0"/>
        <w:autoSpaceDN w:val="0"/>
        <w:bidi w:val="0"/>
        <w:adjustRightInd w:val="0"/>
        <w:snapToGrid w:val="0"/>
        <w:spacing w:line="360" w:lineRule="auto"/>
        <w:jc w:val="center"/>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(以实际签订合同为准)</w:t>
      </w:r>
    </w:p>
    <w:p w14:paraId="4D5EC95B">
      <w:pPr>
        <w:keepNext w:val="0"/>
        <w:keepLines w:val="0"/>
        <w:pageBreakBefore w:val="0"/>
        <w:kinsoku/>
        <w:wordWrap w:val="0"/>
        <w:overflowPunct w:val="0"/>
        <w:topLinePunct/>
        <w:autoSpaceDE w:val="0"/>
        <w:autoSpaceDN w:val="0"/>
        <w:bidi w:val="0"/>
        <w:spacing w:before="253" w:line="418"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14:textOutline w14:w="5103" w14:cap="sq" w14:cmpd="sng">
            <w14:solidFill>
              <w14:srgbClr w14:val="000000"/>
            </w14:solidFill>
            <w14:prstDash w14:val="solid"/>
            <w14:bevel/>
          </w14:textOutline>
        </w:rPr>
        <w:t>服务合同</w:t>
      </w:r>
    </w:p>
    <w:p w14:paraId="429F748E">
      <w:pPr>
        <w:keepNext w:val="0"/>
        <w:keepLines w:val="0"/>
        <w:pageBreakBefore w:val="0"/>
        <w:widowControl/>
        <w:kinsoku/>
        <w:wordWrap w:val="0"/>
        <w:overflowPunct w:val="0"/>
        <w:topLinePunct/>
        <w:autoSpaceDE w:val="0"/>
        <w:autoSpaceDN w:val="0"/>
        <w:bidi w:val="0"/>
        <w:adjustRightInd w:val="0"/>
        <w:snapToGrid w:val="0"/>
        <w:spacing w:before="199" w:line="400" w:lineRule="exact"/>
        <w:ind w:left="43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发包人</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(甲方)</w:t>
      </w:r>
    </w:p>
    <w:p w14:paraId="368D5BAC">
      <w:pPr>
        <w:keepNext w:val="0"/>
        <w:keepLines w:val="0"/>
        <w:pageBreakBefore w:val="0"/>
        <w:widowControl/>
        <w:kinsoku/>
        <w:wordWrap w:val="0"/>
        <w:overflowPunct w:val="0"/>
        <w:topLinePunct/>
        <w:autoSpaceDE w:val="0"/>
        <w:autoSpaceDN w:val="0"/>
        <w:bidi w:val="0"/>
        <w:adjustRightInd w:val="0"/>
        <w:snapToGrid w:val="0"/>
        <w:spacing w:before="1" w:line="400" w:lineRule="exact"/>
        <w:ind w:left="4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承包</w:t>
      </w:r>
      <w:r>
        <w:rPr>
          <w:rFonts w:hint="eastAsia" w:ascii="宋体" w:hAnsi="宋体" w:eastAsia="宋体" w:cs="宋体"/>
          <w:color w:val="auto"/>
          <w:spacing w:val="-3"/>
          <w:sz w:val="21"/>
          <w:szCs w:val="21"/>
          <w:highlight w:val="none"/>
        </w:rPr>
        <w:t>人：</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(乙方)</w:t>
      </w:r>
    </w:p>
    <w:p w14:paraId="0AA4CBCD">
      <w:pPr>
        <w:keepNext w:val="0"/>
        <w:keepLines w:val="0"/>
        <w:pageBreakBefore w:val="0"/>
        <w:widowControl/>
        <w:kinsoku/>
        <w:wordWrap w:val="0"/>
        <w:overflowPunct w:val="0"/>
        <w:topLinePunct/>
        <w:autoSpaceDE w:val="0"/>
        <w:autoSpaceDN w:val="0"/>
        <w:bidi w:val="0"/>
        <w:adjustRightInd w:val="0"/>
        <w:snapToGrid w:val="0"/>
        <w:spacing w:before="160" w:line="400" w:lineRule="exact"/>
        <w:ind w:left="9" w:right="16" w:firstLine="4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根据《中</w:t>
      </w:r>
      <w:r>
        <w:rPr>
          <w:rFonts w:hint="eastAsia" w:ascii="宋体" w:hAnsi="宋体" w:eastAsia="宋体" w:cs="宋体"/>
          <w:color w:val="auto"/>
          <w:spacing w:val="9"/>
          <w:sz w:val="21"/>
          <w:szCs w:val="21"/>
          <w:highlight w:val="none"/>
        </w:rPr>
        <w:t>华</w:t>
      </w:r>
      <w:r>
        <w:rPr>
          <w:rFonts w:hint="eastAsia" w:ascii="宋体" w:hAnsi="宋体" w:eastAsia="宋体" w:cs="宋体"/>
          <w:color w:val="auto"/>
          <w:spacing w:val="8"/>
          <w:sz w:val="21"/>
          <w:szCs w:val="21"/>
          <w:highlight w:val="none"/>
        </w:rPr>
        <w:t>人民共和国</w:t>
      </w:r>
      <w:r>
        <w:rPr>
          <w:rFonts w:hint="eastAsia" w:ascii="宋体" w:hAnsi="宋体" w:eastAsia="宋体" w:cs="宋体"/>
          <w:color w:val="auto"/>
          <w:spacing w:val="8"/>
          <w:sz w:val="21"/>
          <w:szCs w:val="21"/>
          <w:highlight w:val="none"/>
          <w:lang w:val="en-US" w:eastAsia="zh-CN"/>
        </w:rPr>
        <w:t>民法典</w:t>
      </w:r>
      <w:r>
        <w:rPr>
          <w:rFonts w:hint="eastAsia" w:ascii="宋体" w:hAnsi="宋体" w:eastAsia="宋体" w:cs="宋体"/>
          <w:color w:val="auto"/>
          <w:spacing w:val="8"/>
          <w:sz w:val="21"/>
          <w:szCs w:val="21"/>
          <w:highlight w:val="none"/>
        </w:rPr>
        <w:t>》有关规定，为保证所购的服务质量，明确双方的权利义务，甲乙双</w:t>
      </w:r>
      <w:r>
        <w:rPr>
          <w:rFonts w:hint="eastAsia" w:ascii="宋体" w:hAnsi="宋体" w:eastAsia="宋体" w:cs="宋体"/>
          <w:color w:val="auto"/>
          <w:spacing w:val="10"/>
          <w:sz w:val="21"/>
          <w:szCs w:val="21"/>
          <w:highlight w:val="none"/>
        </w:rPr>
        <w:t>方在平</w:t>
      </w:r>
      <w:r>
        <w:rPr>
          <w:rFonts w:hint="eastAsia" w:ascii="宋体" w:hAnsi="宋体" w:eastAsia="宋体" w:cs="宋体"/>
          <w:color w:val="auto"/>
          <w:spacing w:val="8"/>
          <w:sz w:val="21"/>
          <w:szCs w:val="21"/>
          <w:highlight w:val="none"/>
        </w:rPr>
        <w:t>等</w:t>
      </w:r>
      <w:r>
        <w:rPr>
          <w:rFonts w:hint="eastAsia" w:ascii="宋体" w:hAnsi="宋体" w:eastAsia="宋体" w:cs="宋体"/>
          <w:color w:val="auto"/>
          <w:spacing w:val="5"/>
          <w:sz w:val="21"/>
          <w:szCs w:val="21"/>
          <w:highlight w:val="none"/>
        </w:rPr>
        <w:t>、自愿、协商一致的基础上，就有关事宜达成如下协议：</w:t>
      </w:r>
    </w:p>
    <w:p w14:paraId="0AF362C5">
      <w:pPr>
        <w:keepNext w:val="0"/>
        <w:keepLines w:val="0"/>
        <w:pageBreakBefore w:val="0"/>
        <w:widowControl/>
        <w:kinsoku/>
        <w:wordWrap w:val="0"/>
        <w:overflowPunct w:val="0"/>
        <w:topLinePunct/>
        <w:autoSpaceDE w:val="0"/>
        <w:autoSpaceDN w:val="0"/>
        <w:bidi w:val="0"/>
        <w:adjustRightInd w:val="0"/>
        <w:snapToGrid w:val="0"/>
        <w:spacing w:line="400" w:lineRule="exact"/>
        <w:ind w:left="4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第</w:t>
      </w:r>
      <w:r>
        <w:rPr>
          <w:rFonts w:hint="eastAsia" w:ascii="宋体" w:hAnsi="宋体" w:eastAsia="宋体" w:cs="宋体"/>
          <w:color w:val="auto"/>
          <w:spacing w:val="8"/>
          <w:sz w:val="21"/>
          <w:szCs w:val="21"/>
          <w:highlight w:val="none"/>
        </w:rPr>
        <w:t>一条：项目内容</w:t>
      </w:r>
    </w:p>
    <w:p w14:paraId="72C4CB64">
      <w:pPr>
        <w:keepNext w:val="0"/>
        <w:keepLines w:val="0"/>
        <w:pageBreakBefore w:val="0"/>
        <w:widowControl/>
        <w:kinsoku/>
        <w:wordWrap w:val="0"/>
        <w:overflowPunct w:val="0"/>
        <w:topLinePunct/>
        <w:autoSpaceDE w:val="0"/>
        <w:autoSpaceDN w:val="0"/>
        <w:bidi w:val="0"/>
        <w:adjustRightInd w:val="0"/>
        <w:snapToGrid w:val="0"/>
        <w:spacing w:before="161" w:line="400" w:lineRule="exact"/>
        <w:ind w:left="42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position w:val="15"/>
          <w:sz w:val="21"/>
          <w:szCs w:val="21"/>
          <w:highlight w:val="none"/>
          <w:lang w:eastAsia="zh-CN"/>
        </w:rPr>
        <w:t>竞争性磋商</w:t>
      </w:r>
      <w:r>
        <w:rPr>
          <w:rFonts w:hint="eastAsia" w:ascii="宋体" w:hAnsi="宋体" w:eastAsia="宋体" w:cs="宋体"/>
          <w:color w:val="auto"/>
          <w:spacing w:val="9"/>
          <w:position w:val="15"/>
          <w:sz w:val="21"/>
          <w:szCs w:val="21"/>
          <w:highlight w:val="none"/>
        </w:rPr>
        <w:t>文件中所涉及的相关作业内容</w:t>
      </w:r>
    </w:p>
    <w:p w14:paraId="209B8E93">
      <w:pPr>
        <w:keepNext w:val="0"/>
        <w:keepLines w:val="0"/>
        <w:pageBreakBefore w:val="0"/>
        <w:widowControl/>
        <w:kinsoku/>
        <w:wordWrap w:val="0"/>
        <w:overflowPunct w:val="0"/>
        <w:topLinePunct/>
        <w:autoSpaceDE w:val="0"/>
        <w:autoSpaceDN w:val="0"/>
        <w:bidi w:val="0"/>
        <w:adjustRightInd w:val="0"/>
        <w:snapToGrid w:val="0"/>
        <w:spacing w:line="400" w:lineRule="exact"/>
        <w:ind w:left="4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第</w:t>
      </w:r>
      <w:r>
        <w:rPr>
          <w:rFonts w:hint="eastAsia" w:ascii="宋体" w:hAnsi="宋体" w:eastAsia="宋体" w:cs="宋体"/>
          <w:color w:val="auto"/>
          <w:spacing w:val="9"/>
          <w:sz w:val="21"/>
          <w:szCs w:val="21"/>
          <w:highlight w:val="none"/>
        </w:rPr>
        <w:t>二条：服务项目及要求</w:t>
      </w:r>
    </w:p>
    <w:p w14:paraId="5CF08900">
      <w:pPr>
        <w:keepNext w:val="0"/>
        <w:keepLines w:val="0"/>
        <w:pageBreakBefore w:val="0"/>
        <w:widowControl/>
        <w:kinsoku/>
        <w:wordWrap w:val="0"/>
        <w:overflowPunct w:val="0"/>
        <w:topLinePunct/>
        <w:autoSpaceDE w:val="0"/>
        <w:autoSpaceDN w:val="0"/>
        <w:bidi w:val="0"/>
        <w:adjustRightInd w:val="0"/>
        <w:snapToGrid w:val="0"/>
        <w:spacing w:before="163" w:line="400" w:lineRule="exact"/>
        <w:ind w:left="4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采</w:t>
      </w:r>
      <w:r>
        <w:rPr>
          <w:rFonts w:hint="eastAsia" w:ascii="宋体" w:hAnsi="宋体" w:eastAsia="宋体" w:cs="宋体"/>
          <w:color w:val="auto"/>
          <w:spacing w:val="9"/>
          <w:sz w:val="21"/>
          <w:szCs w:val="21"/>
          <w:highlight w:val="none"/>
        </w:rPr>
        <w:t>购项目需求及有关要求</w:t>
      </w:r>
    </w:p>
    <w:p w14:paraId="0C924D90">
      <w:pPr>
        <w:keepNext w:val="0"/>
        <w:keepLines w:val="0"/>
        <w:pageBreakBefore w:val="0"/>
        <w:widowControl/>
        <w:kinsoku/>
        <w:wordWrap w:val="0"/>
        <w:overflowPunct w:val="0"/>
        <w:topLinePunct/>
        <w:autoSpaceDE w:val="0"/>
        <w:autoSpaceDN w:val="0"/>
        <w:bidi w:val="0"/>
        <w:adjustRightInd w:val="0"/>
        <w:snapToGrid w:val="0"/>
        <w:spacing w:before="161" w:line="400" w:lineRule="exact"/>
        <w:ind w:left="4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position w:val="15"/>
          <w:sz w:val="21"/>
          <w:szCs w:val="21"/>
          <w:highlight w:val="none"/>
        </w:rPr>
        <w:t>第</w:t>
      </w:r>
      <w:r>
        <w:rPr>
          <w:rFonts w:hint="eastAsia" w:ascii="宋体" w:hAnsi="宋体" w:eastAsia="宋体" w:cs="宋体"/>
          <w:color w:val="auto"/>
          <w:spacing w:val="9"/>
          <w:position w:val="15"/>
          <w:sz w:val="21"/>
          <w:szCs w:val="21"/>
          <w:highlight w:val="none"/>
        </w:rPr>
        <w:t>三条：项目经费使用原则及支付方式</w:t>
      </w:r>
    </w:p>
    <w:p w14:paraId="0869B148">
      <w:pPr>
        <w:keepNext w:val="0"/>
        <w:keepLines w:val="0"/>
        <w:pageBreakBefore w:val="0"/>
        <w:widowControl/>
        <w:kinsoku/>
        <w:wordWrap w:val="0"/>
        <w:overflowPunct w:val="0"/>
        <w:topLinePunct/>
        <w:autoSpaceDE w:val="0"/>
        <w:autoSpaceDN w:val="0"/>
        <w:bidi w:val="0"/>
        <w:adjustRightInd w:val="0"/>
        <w:snapToGrid w:val="0"/>
        <w:spacing w:line="400" w:lineRule="exact"/>
        <w:ind w:left="44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1、合同购买服务价款总</w:t>
      </w:r>
      <w:r>
        <w:rPr>
          <w:rFonts w:hint="eastAsia" w:ascii="宋体" w:hAnsi="宋体" w:eastAsia="宋体" w:cs="宋体"/>
          <w:color w:val="auto"/>
          <w:sz w:val="21"/>
          <w:szCs w:val="21"/>
          <w:highlight w:val="none"/>
        </w:rPr>
        <w:t>额为：</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(大写)</w:t>
      </w:r>
    </w:p>
    <w:p w14:paraId="4722296A">
      <w:pPr>
        <w:keepNext w:val="0"/>
        <w:keepLines w:val="0"/>
        <w:pageBreakBefore w:val="0"/>
        <w:widowControl/>
        <w:kinsoku/>
        <w:wordWrap w:val="0"/>
        <w:overflowPunct w:val="0"/>
        <w:topLinePunct/>
        <w:autoSpaceDE w:val="0"/>
        <w:autoSpaceDN w:val="0"/>
        <w:bidi w:val="0"/>
        <w:adjustRightInd w:val="0"/>
        <w:snapToGrid w:val="0"/>
        <w:spacing w:before="160" w:line="400" w:lineRule="exact"/>
        <w:ind w:left="43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w:t>
      </w:r>
      <w:r>
        <w:rPr>
          <w:rFonts w:hint="eastAsia" w:ascii="宋体" w:hAnsi="宋体" w:eastAsia="宋体" w:cs="宋体"/>
          <w:color w:val="auto"/>
          <w:spacing w:val="5"/>
          <w:sz w:val="21"/>
          <w:szCs w:val="21"/>
          <w:highlight w:val="none"/>
        </w:rPr>
        <w:t>项目经费确保专款专用，支付方式： 由财政统一按月划拨，每月支付年作业经费的 1/12。</w:t>
      </w:r>
    </w:p>
    <w:p w14:paraId="105D39D6">
      <w:pPr>
        <w:keepNext w:val="0"/>
        <w:keepLines w:val="0"/>
        <w:pageBreakBefore w:val="0"/>
        <w:widowControl/>
        <w:kinsoku/>
        <w:wordWrap w:val="0"/>
        <w:overflowPunct w:val="0"/>
        <w:topLinePunct/>
        <w:autoSpaceDE w:val="0"/>
        <w:autoSpaceDN w:val="0"/>
        <w:bidi w:val="0"/>
        <w:adjustRightInd w:val="0"/>
        <w:snapToGrid w:val="0"/>
        <w:spacing w:before="160" w:line="400" w:lineRule="exact"/>
        <w:ind w:left="431"/>
        <w:textAlignment w:val="baseline"/>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3、甲方按月考核，每月考核结果在当月服务费中直接扣除。</w:t>
      </w:r>
    </w:p>
    <w:p w14:paraId="4A86245F">
      <w:pPr>
        <w:keepNext w:val="0"/>
        <w:keepLines w:val="0"/>
        <w:pageBreakBefore w:val="0"/>
        <w:widowControl/>
        <w:kinsoku/>
        <w:wordWrap w:val="0"/>
        <w:overflowPunct w:val="0"/>
        <w:topLinePunct/>
        <w:autoSpaceDE w:val="0"/>
        <w:autoSpaceDN w:val="0"/>
        <w:bidi w:val="0"/>
        <w:adjustRightInd w:val="0"/>
        <w:snapToGrid w:val="0"/>
        <w:spacing w:before="161" w:line="400" w:lineRule="exact"/>
        <w:ind w:left="4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第</w:t>
      </w:r>
      <w:r>
        <w:rPr>
          <w:rFonts w:hint="eastAsia" w:ascii="宋体" w:hAnsi="宋体" w:eastAsia="宋体" w:cs="宋体"/>
          <w:color w:val="auto"/>
          <w:spacing w:val="9"/>
          <w:sz w:val="21"/>
          <w:szCs w:val="21"/>
          <w:highlight w:val="none"/>
        </w:rPr>
        <w:t>四条：合同期限与终止</w:t>
      </w:r>
    </w:p>
    <w:p w14:paraId="07690F36">
      <w:pPr>
        <w:keepNext w:val="0"/>
        <w:keepLines w:val="0"/>
        <w:pageBreakBefore w:val="0"/>
        <w:widowControl/>
        <w:kinsoku/>
        <w:wordWrap w:val="0"/>
        <w:overflowPunct w:val="0"/>
        <w:topLinePunct/>
        <w:autoSpaceDE w:val="0"/>
        <w:autoSpaceDN w:val="0"/>
        <w:bidi w:val="0"/>
        <w:adjustRightInd w:val="0"/>
        <w:snapToGrid w:val="0"/>
        <w:spacing w:before="161" w:line="400" w:lineRule="exact"/>
        <w:ind w:left="44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1、合同期限为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年/月</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2"/>
          <w:sz w:val="21"/>
          <w:szCs w:val="21"/>
          <w:highlight w:val="none"/>
        </w:rPr>
        <w:t xml:space="preserve"> 自</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 xml:space="preserve"> 月</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 xml:space="preserve"> 日起至</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年</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 xml:space="preserve"> 日止。</w:t>
      </w:r>
    </w:p>
    <w:p w14:paraId="21F3E239">
      <w:pPr>
        <w:keepNext w:val="0"/>
        <w:keepLines w:val="0"/>
        <w:pageBreakBefore w:val="0"/>
        <w:widowControl/>
        <w:kinsoku/>
        <w:wordWrap w:val="0"/>
        <w:overflowPunct w:val="0"/>
        <w:topLinePunct/>
        <w:autoSpaceDE w:val="0"/>
        <w:autoSpaceDN w:val="0"/>
        <w:bidi w:val="0"/>
        <w:adjustRightInd w:val="0"/>
        <w:snapToGrid w:val="0"/>
        <w:spacing w:before="160" w:line="400" w:lineRule="exact"/>
        <w:ind w:left="43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2</w:t>
      </w:r>
      <w:r>
        <w:rPr>
          <w:rFonts w:hint="eastAsia" w:ascii="宋体" w:hAnsi="宋体" w:eastAsia="宋体" w:cs="宋体"/>
          <w:color w:val="auto"/>
          <w:spacing w:val="7"/>
          <w:position w:val="1"/>
          <w:sz w:val="21"/>
          <w:szCs w:val="21"/>
          <w:highlight w:val="none"/>
        </w:rPr>
        <w:t>、合同的终止</w:t>
      </w:r>
    </w:p>
    <w:p w14:paraId="5EB39276">
      <w:pPr>
        <w:keepNext w:val="0"/>
        <w:keepLines w:val="0"/>
        <w:pageBreakBefore w:val="0"/>
        <w:widowControl/>
        <w:kinsoku/>
        <w:wordWrap w:val="0"/>
        <w:overflowPunct w:val="0"/>
        <w:topLinePunct/>
        <w:autoSpaceDE w:val="0"/>
        <w:autoSpaceDN w:val="0"/>
        <w:bidi w:val="0"/>
        <w:adjustRightInd w:val="0"/>
        <w:snapToGrid w:val="0"/>
        <w:spacing w:before="140" w:line="400" w:lineRule="exact"/>
        <w:ind w:left="46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5"/>
          <w:sz w:val="21"/>
          <w:szCs w:val="21"/>
          <w:highlight w:val="none"/>
        </w:rPr>
        <w:t>1)合同期满，双方未续签的；</w:t>
      </w:r>
    </w:p>
    <w:p w14:paraId="303D1C64">
      <w:pPr>
        <w:keepNext w:val="0"/>
        <w:keepLines w:val="0"/>
        <w:pageBreakBefore w:val="0"/>
        <w:widowControl/>
        <w:kinsoku/>
        <w:wordWrap w:val="0"/>
        <w:overflowPunct w:val="0"/>
        <w:topLinePunct/>
        <w:autoSpaceDE w:val="0"/>
        <w:autoSpaceDN w:val="0"/>
        <w:bidi w:val="0"/>
        <w:adjustRightInd w:val="0"/>
        <w:snapToGrid w:val="0"/>
        <w:spacing w:before="161" w:line="400" w:lineRule="exact"/>
        <w:ind w:left="46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(2)乙方服务能力丧失，致使服务无法正常进行的</w:t>
      </w:r>
      <w:r>
        <w:rPr>
          <w:rFonts w:hint="eastAsia" w:ascii="宋体" w:hAnsi="宋体" w:eastAsia="宋体" w:cs="宋体"/>
          <w:color w:val="auto"/>
          <w:spacing w:val="6"/>
          <w:sz w:val="21"/>
          <w:szCs w:val="21"/>
          <w:highlight w:val="none"/>
        </w:rPr>
        <w:t>；</w:t>
      </w:r>
    </w:p>
    <w:p w14:paraId="3778A30F">
      <w:pPr>
        <w:keepNext w:val="0"/>
        <w:keepLines w:val="0"/>
        <w:pageBreakBefore w:val="0"/>
        <w:widowControl/>
        <w:kinsoku/>
        <w:wordWrap w:val="0"/>
        <w:overflowPunct w:val="0"/>
        <w:topLinePunct/>
        <w:autoSpaceDE w:val="0"/>
        <w:autoSpaceDN w:val="0"/>
        <w:bidi w:val="0"/>
        <w:adjustRightInd w:val="0"/>
        <w:snapToGrid w:val="0"/>
        <w:spacing w:before="160" w:line="400" w:lineRule="exact"/>
        <w:ind w:left="25" w:right="21" w:firstLine="439"/>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0"/>
          <w:sz w:val="21"/>
          <w:szCs w:val="21"/>
          <w:highlight w:val="none"/>
        </w:rPr>
        <w:t>(3)在履行合同过程中，发现乙方不符合政府购买社会组织公共服务有关要求，造成合同无法履</w:t>
      </w:r>
      <w:r>
        <w:rPr>
          <w:rFonts w:hint="eastAsia" w:ascii="宋体" w:hAnsi="宋体" w:eastAsia="宋体" w:cs="宋体"/>
          <w:color w:val="auto"/>
          <w:spacing w:val="5"/>
          <w:sz w:val="21"/>
          <w:szCs w:val="21"/>
          <w:highlight w:val="none"/>
        </w:rPr>
        <w:t>行</w:t>
      </w:r>
      <w:r>
        <w:rPr>
          <w:rFonts w:hint="eastAsia" w:ascii="宋体" w:hAnsi="宋体" w:eastAsia="宋体" w:cs="宋体"/>
          <w:color w:val="auto"/>
          <w:spacing w:val="-9"/>
          <w:sz w:val="21"/>
          <w:szCs w:val="21"/>
          <w:highlight w:val="none"/>
        </w:rPr>
        <w:t>的</w:t>
      </w:r>
      <w:r>
        <w:rPr>
          <w:rFonts w:hint="eastAsia" w:ascii="宋体" w:hAnsi="宋体" w:eastAsia="宋体" w:cs="宋体"/>
          <w:color w:val="auto"/>
          <w:spacing w:val="-9"/>
          <w:sz w:val="21"/>
          <w:szCs w:val="21"/>
          <w:highlight w:val="none"/>
          <w:lang w:eastAsia="zh-CN"/>
        </w:rPr>
        <w:t>。</w:t>
      </w:r>
    </w:p>
    <w:p w14:paraId="741B513D">
      <w:pPr>
        <w:keepNext w:val="0"/>
        <w:keepLines w:val="0"/>
        <w:pageBreakBefore w:val="0"/>
        <w:widowControl/>
        <w:kinsoku/>
        <w:wordWrap w:val="0"/>
        <w:overflowPunct w:val="0"/>
        <w:topLinePunct/>
        <w:autoSpaceDE w:val="0"/>
        <w:autoSpaceDN w:val="0"/>
        <w:bidi w:val="0"/>
        <w:adjustRightInd w:val="0"/>
        <w:snapToGrid w:val="0"/>
        <w:spacing w:line="400" w:lineRule="exact"/>
        <w:ind w:left="4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第</w:t>
      </w:r>
      <w:r>
        <w:rPr>
          <w:rFonts w:hint="eastAsia" w:ascii="宋体" w:hAnsi="宋体" w:eastAsia="宋体" w:cs="宋体"/>
          <w:color w:val="auto"/>
          <w:spacing w:val="8"/>
          <w:sz w:val="21"/>
          <w:szCs w:val="21"/>
          <w:highlight w:val="none"/>
        </w:rPr>
        <w:t>五条：项目绩效评估：</w:t>
      </w:r>
    </w:p>
    <w:p w14:paraId="41C86D5A">
      <w:pPr>
        <w:keepNext w:val="0"/>
        <w:keepLines w:val="0"/>
        <w:pageBreakBefore w:val="0"/>
        <w:widowControl/>
        <w:kinsoku/>
        <w:wordWrap w:val="0"/>
        <w:overflowPunct w:val="0"/>
        <w:topLinePunct/>
        <w:autoSpaceDE w:val="0"/>
        <w:autoSpaceDN w:val="0"/>
        <w:bidi w:val="0"/>
        <w:adjustRightInd w:val="0"/>
        <w:snapToGrid w:val="0"/>
        <w:spacing w:before="162" w:line="400" w:lineRule="exact"/>
        <w:ind w:left="15" w:right="18" w:firstLine="43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6"/>
          <w:sz w:val="21"/>
          <w:szCs w:val="21"/>
          <w:highlight w:val="none"/>
        </w:rPr>
        <w:t>乙</w:t>
      </w:r>
      <w:r>
        <w:rPr>
          <w:rFonts w:hint="eastAsia" w:ascii="宋体" w:hAnsi="宋体" w:eastAsia="宋体" w:cs="宋体"/>
          <w:color w:val="auto"/>
          <w:spacing w:val="14"/>
          <w:sz w:val="21"/>
          <w:szCs w:val="21"/>
          <w:highlight w:val="none"/>
        </w:rPr>
        <w:t>方</w:t>
      </w:r>
      <w:r>
        <w:rPr>
          <w:rFonts w:hint="eastAsia" w:ascii="宋体" w:hAnsi="宋体" w:eastAsia="宋体" w:cs="宋体"/>
          <w:color w:val="auto"/>
          <w:spacing w:val="8"/>
          <w:sz w:val="21"/>
          <w:szCs w:val="21"/>
          <w:highlight w:val="none"/>
        </w:rPr>
        <w:t>承接服务项目后，由甲方对项目实施情况进行全程跟踪和监督。项目完成后，甲方会同相关部</w:t>
      </w:r>
      <w:r>
        <w:rPr>
          <w:rFonts w:hint="eastAsia" w:ascii="宋体" w:hAnsi="宋体" w:eastAsia="宋体" w:cs="宋体"/>
          <w:color w:val="auto"/>
          <w:spacing w:val="16"/>
          <w:sz w:val="21"/>
          <w:szCs w:val="21"/>
          <w:highlight w:val="none"/>
        </w:rPr>
        <w:t>门和社</w:t>
      </w:r>
      <w:r>
        <w:rPr>
          <w:rFonts w:hint="eastAsia" w:ascii="宋体" w:hAnsi="宋体" w:eastAsia="宋体" w:cs="宋体"/>
          <w:color w:val="auto"/>
          <w:spacing w:val="12"/>
          <w:sz w:val="21"/>
          <w:szCs w:val="21"/>
          <w:highlight w:val="none"/>
        </w:rPr>
        <w:t>会</w:t>
      </w:r>
      <w:r>
        <w:rPr>
          <w:rFonts w:hint="eastAsia" w:ascii="宋体" w:hAnsi="宋体" w:eastAsia="宋体" w:cs="宋体"/>
          <w:color w:val="auto"/>
          <w:spacing w:val="8"/>
          <w:sz w:val="21"/>
          <w:szCs w:val="21"/>
          <w:highlight w:val="none"/>
        </w:rPr>
        <w:t>评估机构对项目的工作绩效、服务对象受益情况、公众满足等进行评估并对资金使用情况进行</w:t>
      </w:r>
      <w:r>
        <w:rPr>
          <w:rFonts w:hint="eastAsia" w:ascii="宋体" w:hAnsi="宋体" w:eastAsia="宋体" w:cs="宋体"/>
          <w:color w:val="auto"/>
          <w:spacing w:val="1"/>
          <w:sz w:val="21"/>
          <w:szCs w:val="21"/>
          <w:highlight w:val="none"/>
        </w:rPr>
        <w:t>审计</w:t>
      </w:r>
      <w:r>
        <w:rPr>
          <w:rFonts w:hint="eastAsia" w:ascii="宋体" w:hAnsi="宋体" w:eastAsia="宋体" w:cs="宋体"/>
          <w:color w:val="auto"/>
          <w:spacing w:val="1"/>
          <w:sz w:val="21"/>
          <w:szCs w:val="21"/>
          <w:highlight w:val="none"/>
          <w:lang w:eastAsia="zh-CN"/>
        </w:rPr>
        <w:t>。</w:t>
      </w:r>
    </w:p>
    <w:p w14:paraId="182D8217">
      <w:pPr>
        <w:keepNext w:val="0"/>
        <w:keepLines w:val="0"/>
        <w:pageBreakBefore w:val="0"/>
        <w:widowControl/>
        <w:kinsoku/>
        <w:wordWrap w:val="0"/>
        <w:overflowPunct w:val="0"/>
        <w:topLinePunct/>
        <w:autoSpaceDE w:val="0"/>
        <w:autoSpaceDN w:val="0"/>
        <w:bidi w:val="0"/>
        <w:adjustRightInd w:val="0"/>
        <w:snapToGrid w:val="0"/>
        <w:spacing w:line="400" w:lineRule="exact"/>
        <w:ind w:left="428"/>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第六条：双方权利和义务</w:t>
      </w:r>
    </w:p>
    <w:p w14:paraId="742E642D">
      <w:pPr>
        <w:keepNext w:val="0"/>
        <w:keepLines w:val="0"/>
        <w:pageBreakBefore w:val="0"/>
        <w:widowControl/>
        <w:kinsoku/>
        <w:wordWrap w:val="0"/>
        <w:overflowPunct w:val="0"/>
        <w:topLinePunct/>
        <w:autoSpaceDE w:val="0"/>
        <w:autoSpaceDN w:val="0"/>
        <w:bidi w:val="0"/>
        <w:adjustRightInd w:val="0"/>
        <w:snapToGrid w:val="0"/>
        <w:spacing w:line="400" w:lineRule="exact"/>
        <w:ind w:left="46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4"/>
          <w:sz w:val="21"/>
          <w:szCs w:val="21"/>
          <w:highlight w:val="none"/>
        </w:rPr>
        <w:t>一)甲方权利、义务</w:t>
      </w:r>
    </w:p>
    <w:p w14:paraId="1A051729">
      <w:pPr>
        <w:keepNext w:val="0"/>
        <w:keepLines w:val="0"/>
        <w:pageBreakBefore w:val="0"/>
        <w:widowControl/>
        <w:kinsoku/>
        <w:wordWrap w:val="0"/>
        <w:overflowPunct w:val="0"/>
        <w:topLinePunct/>
        <w:autoSpaceDE w:val="0"/>
        <w:autoSpaceDN w:val="0"/>
        <w:bidi w:val="0"/>
        <w:adjustRightInd w:val="0"/>
        <w:snapToGrid w:val="0"/>
        <w:spacing w:before="162" w:line="400" w:lineRule="exact"/>
        <w:ind w:left="15" w:right="18" w:firstLine="430"/>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1、项目为合同期内实施，甲方每季度了解掌握项目工作进度及资金运作情况，每半年对乙方资金的使用情况进行审核一次。</w:t>
      </w:r>
    </w:p>
    <w:p w14:paraId="562EDCE5">
      <w:pPr>
        <w:keepNext w:val="0"/>
        <w:keepLines w:val="0"/>
        <w:pageBreakBefore w:val="0"/>
        <w:widowControl/>
        <w:kinsoku/>
        <w:wordWrap w:val="0"/>
        <w:overflowPunct w:val="0"/>
        <w:topLinePunct/>
        <w:autoSpaceDE w:val="0"/>
        <w:autoSpaceDN w:val="0"/>
        <w:bidi w:val="0"/>
        <w:adjustRightInd w:val="0"/>
        <w:snapToGrid w:val="0"/>
        <w:spacing w:before="162" w:line="400" w:lineRule="exact"/>
        <w:ind w:left="15" w:right="18" w:firstLine="430"/>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2、协调乙方在提供服务过程相关的政府部门和单位。</w:t>
      </w:r>
    </w:p>
    <w:p w14:paraId="2534CC80">
      <w:pPr>
        <w:keepNext w:val="0"/>
        <w:keepLines w:val="0"/>
        <w:pageBreakBefore w:val="0"/>
        <w:widowControl/>
        <w:kinsoku/>
        <w:wordWrap w:val="0"/>
        <w:overflowPunct w:val="0"/>
        <w:topLinePunct/>
        <w:autoSpaceDE w:val="0"/>
        <w:autoSpaceDN w:val="0"/>
        <w:bidi w:val="0"/>
        <w:adjustRightInd w:val="0"/>
        <w:snapToGrid w:val="0"/>
        <w:spacing w:before="162" w:line="400" w:lineRule="exact"/>
        <w:ind w:left="15" w:right="18" w:firstLine="430"/>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3、为开展绩效评估，甲方应对乙方制定具体的考评意见。</w:t>
      </w:r>
    </w:p>
    <w:p w14:paraId="73ACFD97">
      <w:pPr>
        <w:keepNext w:val="0"/>
        <w:keepLines w:val="0"/>
        <w:pageBreakBefore w:val="0"/>
        <w:widowControl/>
        <w:kinsoku/>
        <w:wordWrap w:val="0"/>
        <w:overflowPunct w:val="0"/>
        <w:topLinePunct/>
        <w:autoSpaceDE w:val="0"/>
        <w:autoSpaceDN w:val="0"/>
        <w:bidi w:val="0"/>
        <w:adjustRightInd w:val="0"/>
        <w:snapToGrid w:val="0"/>
        <w:spacing w:before="141" w:line="400" w:lineRule="exact"/>
        <w:ind w:left="46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4"/>
          <w:sz w:val="21"/>
          <w:szCs w:val="21"/>
          <w:highlight w:val="none"/>
        </w:rPr>
        <w:t>二)乙方权利、义务</w:t>
      </w:r>
    </w:p>
    <w:p w14:paraId="0283EA20">
      <w:pPr>
        <w:keepNext w:val="0"/>
        <w:keepLines w:val="0"/>
        <w:pageBreakBefore w:val="0"/>
        <w:widowControl/>
        <w:kinsoku/>
        <w:wordWrap w:val="0"/>
        <w:overflowPunct w:val="0"/>
        <w:topLinePunct/>
        <w:autoSpaceDE w:val="0"/>
        <w:autoSpaceDN w:val="0"/>
        <w:bidi w:val="0"/>
        <w:adjustRightInd w:val="0"/>
        <w:snapToGrid w:val="0"/>
        <w:spacing w:before="161" w:line="400" w:lineRule="exact"/>
        <w:ind w:left="44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position w:val="1"/>
          <w:sz w:val="21"/>
          <w:szCs w:val="21"/>
          <w:highlight w:val="none"/>
        </w:rPr>
        <w:t>1</w:t>
      </w:r>
      <w:r>
        <w:rPr>
          <w:rFonts w:hint="eastAsia" w:ascii="宋体" w:hAnsi="宋体" w:eastAsia="宋体" w:cs="宋体"/>
          <w:color w:val="auto"/>
          <w:spacing w:val="14"/>
          <w:position w:val="1"/>
          <w:sz w:val="21"/>
          <w:szCs w:val="21"/>
          <w:highlight w:val="none"/>
        </w:rPr>
        <w:t>、</w:t>
      </w:r>
      <w:r>
        <w:rPr>
          <w:rFonts w:hint="eastAsia" w:ascii="宋体" w:hAnsi="宋体" w:eastAsia="宋体" w:cs="宋体"/>
          <w:color w:val="auto"/>
          <w:spacing w:val="8"/>
          <w:position w:val="1"/>
          <w:sz w:val="21"/>
          <w:szCs w:val="21"/>
          <w:highlight w:val="none"/>
        </w:rPr>
        <w:t>乙方可要求甲方按本合同的规定按时足额拨付项目经费。</w:t>
      </w:r>
    </w:p>
    <w:p w14:paraId="44793384">
      <w:pPr>
        <w:keepNext w:val="0"/>
        <w:keepLines w:val="0"/>
        <w:pageBreakBefore w:val="0"/>
        <w:widowControl/>
        <w:kinsoku/>
        <w:wordWrap w:val="0"/>
        <w:overflowPunct w:val="0"/>
        <w:topLinePunct/>
        <w:autoSpaceDE w:val="0"/>
        <w:autoSpaceDN w:val="0"/>
        <w:bidi w:val="0"/>
        <w:adjustRightInd w:val="0"/>
        <w:snapToGrid w:val="0"/>
        <w:spacing w:before="138" w:line="400" w:lineRule="exact"/>
        <w:ind w:left="43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position w:val="1"/>
          <w:sz w:val="21"/>
          <w:szCs w:val="21"/>
          <w:highlight w:val="none"/>
        </w:rPr>
        <w:t>2</w:t>
      </w:r>
      <w:r>
        <w:rPr>
          <w:rFonts w:hint="eastAsia" w:ascii="宋体" w:hAnsi="宋体" w:eastAsia="宋体" w:cs="宋体"/>
          <w:color w:val="auto"/>
          <w:spacing w:val="14"/>
          <w:position w:val="1"/>
          <w:sz w:val="21"/>
          <w:szCs w:val="21"/>
          <w:highlight w:val="none"/>
        </w:rPr>
        <w:t>、</w:t>
      </w:r>
      <w:r>
        <w:rPr>
          <w:rFonts w:hint="eastAsia" w:ascii="宋体" w:hAnsi="宋体" w:eastAsia="宋体" w:cs="宋体"/>
          <w:color w:val="auto"/>
          <w:spacing w:val="9"/>
          <w:position w:val="1"/>
          <w:sz w:val="21"/>
          <w:szCs w:val="21"/>
          <w:highlight w:val="none"/>
        </w:rPr>
        <w:t>乙方承接甲方的服务项目的资金，其溢出部分主要应用于乙方的再发展，不得挪作他用。</w:t>
      </w:r>
    </w:p>
    <w:p w14:paraId="66DDCAAF">
      <w:pPr>
        <w:keepNext w:val="0"/>
        <w:keepLines w:val="0"/>
        <w:pageBreakBefore w:val="0"/>
        <w:widowControl/>
        <w:kinsoku/>
        <w:wordWrap w:val="0"/>
        <w:overflowPunct w:val="0"/>
        <w:topLinePunct/>
        <w:autoSpaceDE w:val="0"/>
        <w:autoSpaceDN w:val="0"/>
        <w:bidi w:val="0"/>
        <w:adjustRightInd w:val="0"/>
        <w:snapToGrid w:val="0"/>
        <w:spacing w:before="139" w:line="400" w:lineRule="exact"/>
        <w:ind w:left="9" w:right="16" w:firstLine="42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3、乙方在履行合同过程中，不得将服务项目委托给第三人，应按本合同如实报告项目进展情况，</w:t>
      </w:r>
      <w:r>
        <w:rPr>
          <w:rFonts w:hint="eastAsia" w:ascii="宋体" w:hAnsi="宋体" w:eastAsia="宋体" w:cs="宋体"/>
          <w:color w:val="auto"/>
          <w:spacing w:val="9"/>
          <w:sz w:val="21"/>
          <w:szCs w:val="21"/>
          <w:highlight w:val="none"/>
        </w:rPr>
        <w:t>按时、按标准完成项目任务。如乙方未能在合同期内完成全部项目的服务内容，合同结束后，应将相</w:t>
      </w:r>
      <w:r>
        <w:rPr>
          <w:rFonts w:hint="eastAsia" w:ascii="宋体" w:hAnsi="宋体" w:eastAsia="宋体" w:cs="宋体"/>
          <w:color w:val="auto"/>
          <w:sz w:val="21"/>
          <w:szCs w:val="21"/>
          <w:highlight w:val="none"/>
        </w:rPr>
        <w:t>应</w:t>
      </w:r>
      <w:r>
        <w:rPr>
          <w:rFonts w:hint="eastAsia" w:ascii="宋体" w:hAnsi="宋体" w:eastAsia="宋体" w:cs="宋体"/>
          <w:color w:val="auto"/>
          <w:spacing w:val="7"/>
          <w:sz w:val="21"/>
          <w:szCs w:val="21"/>
          <w:highlight w:val="none"/>
        </w:rPr>
        <w:t>款项返还甲方</w:t>
      </w:r>
      <w:r>
        <w:rPr>
          <w:rFonts w:hint="eastAsia" w:ascii="宋体" w:hAnsi="宋体" w:eastAsia="宋体" w:cs="宋体"/>
          <w:color w:val="auto"/>
          <w:spacing w:val="6"/>
          <w:sz w:val="21"/>
          <w:szCs w:val="21"/>
          <w:highlight w:val="none"/>
        </w:rPr>
        <w:t>。</w:t>
      </w:r>
    </w:p>
    <w:p w14:paraId="6C09049A">
      <w:pPr>
        <w:keepNext w:val="0"/>
        <w:keepLines w:val="0"/>
        <w:pageBreakBefore w:val="0"/>
        <w:widowControl/>
        <w:kinsoku/>
        <w:wordWrap w:val="0"/>
        <w:overflowPunct w:val="0"/>
        <w:topLinePunct/>
        <w:autoSpaceDE w:val="0"/>
        <w:autoSpaceDN w:val="0"/>
        <w:bidi w:val="0"/>
        <w:adjustRightInd w:val="0"/>
        <w:snapToGrid w:val="0"/>
        <w:spacing w:line="400" w:lineRule="exact"/>
        <w:ind w:left="4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第</w:t>
      </w:r>
      <w:r>
        <w:rPr>
          <w:rFonts w:hint="eastAsia" w:ascii="宋体" w:hAnsi="宋体" w:eastAsia="宋体" w:cs="宋体"/>
          <w:color w:val="auto"/>
          <w:spacing w:val="16"/>
          <w:sz w:val="21"/>
          <w:szCs w:val="21"/>
          <w:highlight w:val="none"/>
        </w:rPr>
        <w:t>七</w:t>
      </w:r>
      <w:r>
        <w:rPr>
          <w:rFonts w:hint="eastAsia" w:ascii="宋体" w:hAnsi="宋体" w:eastAsia="宋体" w:cs="宋体"/>
          <w:color w:val="auto"/>
          <w:spacing w:val="9"/>
          <w:sz w:val="21"/>
          <w:szCs w:val="21"/>
          <w:highlight w:val="none"/>
        </w:rPr>
        <w:t>条：在合同履行过程中，双方因违约或重大过失造成对方经济损失的应当赔偿。</w:t>
      </w:r>
    </w:p>
    <w:p w14:paraId="1FB8F355">
      <w:pPr>
        <w:keepNext w:val="0"/>
        <w:keepLines w:val="0"/>
        <w:pageBreakBefore w:val="0"/>
        <w:widowControl/>
        <w:kinsoku/>
        <w:wordWrap w:val="0"/>
        <w:overflowPunct w:val="0"/>
        <w:topLinePunct/>
        <w:autoSpaceDE w:val="0"/>
        <w:autoSpaceDN w:val="0"/>
        <w:bidi w:val="0"/>
        <w:adjustRightInd w:val="0"/>
        <w:snapToGrid w:val="0"/>
        <w:spacing w:before="160" w:line="400" w:lineRule="exact"/>
        <w:ind w:left="29" w:right="16" w:firstLine="3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第八条：</w:t>
      </w:r>
      <w:r>
        <w:rPr>
          <w:rFonts w:hint="eastAsia" w:ascii="宋体" w:hAnsi="宋体" w:eastAsia="宋体" w:cs="宋体"/>
          <w:color w:val="auto"/>
          <w:spacing w:val="9"/>
          <w:sz w:val="21"/>
          <w:szCs w:val="21"/>
          <w:highlight w:val="none"/>
        </w:rPr>
        <w:t>本</w:t>
      </w:r>
      <w:r>
        <w:rPr>
          <w:rFonts w:hint="eastAsia" w:ascii="宋体" w:hAnsi="宋体" w:eastAsia="宋体" w:cs="宋体"/>
          <w:color w:val="auto"/>
          <w:spacing w:val="8"/>
          <w:sz w:val="21"/>
          <w:szCs w:val="21"/>
          <w:highlight w:val="none"/>
        </w:rPr>
        <w:t>合同在履行过程中发生争议，由甲、乙方协商解决，协商不成的，可以向有管辖权的人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民法院提起诉讼。</w:t>
      </w:r>
    </w:p>
    <w:p w14:paraId="796E1D6F">
      <w:pPr>
        <w:keepNext w:val="0"/>
        <w:keepLines w:val="0"/>
        <w:pageBreakBefore w:val="0"/>
        <w:widowControl/>
        <w:kinsoku/>
        <w:wordWrap w:val="0"/>
        <w:overflowPunct w:val="0"/>
        <w:topLinePunct/>
        <w:autoSpaceDE w:val="0"/>
        <w:autoSpaceDN w:val="0"/>
        <w:bidi w:val="0"/>
        <w:adjustRightInd w:val="0"/>
        <w:snapToGrid w:val="0"/>
        <w:spacing w:before="1" w:line="400" w:lineRule="exact"/>
        <w:ind w:left="15" w:right="16" w:firstLine="41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第九条：本协议一</w:t>
      </w:r>
      <w:r>
        <w:rPr>
          <w:rFonts w:hint="eastAsia" w:ascii="宋体" w:hAnsi="宋体" w:eastAsia="宋体" w:cs="宋体"/>
          <w:color w:val="auto"/>
          <w:spacing w:val="3"/>
          <w:sz w:val="21"/>
          <w:szCs w:val="21"/>
          <w:highlight w:val="none"/>
        </w:rPr>
        <w:t>式</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份，甲方、乙方各执</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 xml:space="preserve"> 份，经甲、乙方法定代表人签</w:t>
      </w:r>
      <w:r>
        <w:rPr>
          <w:rFonts w:hint="eastAsia" w:ascii="宋体" w:hAnsi="宋体" w:eastAsia="宋体" w:cs="宋体"/>
          <w:color w:val="auto"/>
          <w:spacing w:val="6"/>
          <w:sz w:val="21"/>
          <w:szCs w:val="21"/>
          <w:highlight w:val="none"/>
        </w:rPr>
        <w:t>章之日起生效。</w:t>
      </w:r>
    </w:p>
    <w:p w14:paraId="43FD5A30">
      <w:pPr>
        <w:keepNext w:val="0"/>
        <w:keepLines w:val="0"/>
        <w:pageBreakBefore w:val="0"/>
        <w:widowControl/>
        <w:kinsoku/>
        <w:wordWrap w:val="0"/>
        <w:overflowPunct w:val="0"/>
        <w:topLinePunct/>
        <w:autoSpaceDE w:val="0"/>
        <w:autoSpaceDN w:val="0"/>
        <w:bidi w:val="0"/>
        <w:adjustRightInd w:val="0"/>
        <w:snapToGrid w:val="0"/>
        <w:spacing w:before="1" w:line="400" w:lineRule="exact"/>
        <w:ind w:left="44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附件：(签定具体合同时，若有附件应注明，并注明附件名称)</w:t>
      </w:r>
    </w:p>
    <w:p w14:paraId="76832ABF">
      <w:pPr>
        <w:keepNext w:val="0"/>
        <w:keepLines w:val="0"/>
        <w:pageBreakBefore w:val="0"/>
        <w:widowControl/>
        <w:kinsoku/>
        <w:wordWrap w:val="0"/>
        <w:overflowPunct w:val="0"/>
        <w:topLinePunct/>
        <w:autoSpaceDE w:val="0"/>
        <w:autoSpaceDN w:val="0"/>
        <w:bidi w:val="0"/>
        <w:adjustRightInd w:val="0"/>
        <w:snapToGrid w:val="0"/>
        <w:spacing w:line="400" w:lineRule="exact"/>
        <w:textAlignment w:val="baseline"/>
        <w:rPr>
          <w:rFonts w:hint="eastAsia" w:ascii="宋体" w:hAnsi="宋体" w:eastAsia="宋体" w:cs="宋体"/>
          <w:color w:val="auto"/>
          <w:sz w:val="21"/>
          <w:szCs w:val="21"/>
          <w:highlight w:val="none"/>
        </w:rPr>
      </w:pPr>
    </w:p>
    <w:p w14:paraId="387D0612">
      <w:pPr>
        <w:keepNext w:val="0"/>
        <w:keepLines w:val="0"/>
        <w:pageBreakBefore w:val="0"/>
        <w:widowControl/>
        <w:kinsoku/>
        <w:wordWrap w:val="0"/>
        <w:overflowPunct w:val="0"/>
        <w:topLinePunct/>
        <w:autoSpaceDE w:val="0"/>
        <w:autoSpaceDN w:val="0"/>
        <w:bidi w:val="0"/>
        <w:adjustRightInd w:val="0"/>
        <w:snapToGrid w:val="0"/>
        <w:spacing w:before="66" w:line="400" w:lineRule="exact"/>
        <w:ind w:left="45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 xml:space="preserve">甲方(公章)                   </w:t>
      </w:r>
      <w:r>
        <w:rPr>
          <w:rFonts w:hint="eastAsia" w:ascii="宋体" w:hAnsi="宋体" w:eastAsia="宋体" w:cs="宋体"/>
          <w:color w:val="auto"/>
          <w:spacing w:val="2"/>
          <w:sz w:val="21"/>
          <w:szCs w:val="21"/>
          <w:highlight w:val="none"/>
          <w:lang w:val="en-US" w:eastAsia="zh-CN"/>
        </w:rPr>
        <w:t xml:space="preserve">   </w:t>
      </w:r>
      <w:r>
        <w:rPr>
          <w:rFonts w:hint="eastAsia" w:ascii="宋体" w:hAnsi="宋体" w:eastAsia="宋体" w:cs="宋体"/>
          <w:color w:val="auto"/>
          <w:spacing w:val="2"/>
          <w:sz w:val="21"/>
          <w:szCs w:val="21"/>
          <w:highlight w:val="none"/>
        </w:rPr>
        <w:t xml:space="preserve"> 乙方(</w:t>
      </w:r>
      <w:r>
        <w:rPr>
          <w:rFonts w:hint="eastAsia" w:ascii="宋体" w:hAnsi="宋体" w:eastAsia="宋体" w:cs="宋体"/>
          <w:color w:val="auto"/>
          <w:sz w:val="21"/>
          <w:szCs w:val="21"/>
          <w:highlight w:val="none"/>
        </w:rPr>
        <w:t>公章)</w:t>
      </w:r>
    </w:p>
    <w:p w14:paraId="2F98593F">
      <w:pPr>
        <w:keepNext w:val="0"/>
        <w:keepLines w:val="0"/>
        <w:pageBreakBefore w:val="0"/>
        <w:widowControl/>
        <w:kinsoku/>
        <w:wordWrap w:val="0"/>
        <w:overflowPunct w:val="0"/>
        <w:topLinePunct/>
        <w:autoSpaceDE w:val="0"/>
        <w:autoSpaceDN w:val="0"/>
        <w:bidi w:val="0"/>
        <w:adjustRightInd w:val="0"/>
        <w:snapToGrid w:val="0"/>
        <w:spacing w:before="164" w:line="400" w:lineRule="exact"/>
        <w:ind w:left="43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单位名</w:t>
      </w:r>
      <w:r>
        <w:rPr>
          <w:rFonts w:hint="eastAsia" w:ascii="宋体" w:hAnsi="宋体" w:eastAsia="宋体" w:cs="宋体"/>
          <w:color w:val="auto"/>
          <w:spacing w:val="-1"/>
          <w:sz w:val="21"/>
          <w:szCs w:val="21"/>
          <w:highlight w:val="none"/>
        </w:rPr>
        <w:t xml:space="preserve">称：                   </w:t>
      </w:r>
      <w:r>
        <w:rPr>
          <w:rFonts w:hint="eastAsia" w:ascii="宋体" w:hAnsi="宋体" w:eastAsia="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 xml:space="preserve"> 单位名称：</w:t>
      </w:r>
    </w:p>
    <w:p w14:paraId="51F09FA1">
      <w:pPr>
        <w:keepNext w:val="0"/>
        <w:keepLines w:val="0"/>
        <w:pageBreakBefore w:val="0"/>
        <w:widowControl/>
        <w:kinsoku/>
        <w:wordWrap w:val="0"/>
        <w:overflowPunct w:val="0"/>
        <w:topLinePunct/>
        <w:autoSpaceDE w:val="0"/>
        <w:autoSpaceDN w:val="0"/>
        <w:bidi w:val="0"/>
        <w:adjustRightInd w:val="0"/>
        <w:snapToGrid w:val="0"/>
        <w:spacing w:before="160" w:line="400" w:lineRule="exact"/>
        <w:ind w:left="42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 xml:space="preserve">法定代表人：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法定代表人：</w:t>
      </w:r>
    </w:p>
    <w:p w14:paraId="758CB358">
      <w:pPr>
        <w:keepNext w:val="0"/>
        <w:keepLines w:val="0"/>
        <w:pageBreakBefore w:val="0"/>
        <w:widowControl/>
        <w:kinsoku/>
        <w:wordWrap w:val="0"/>
        <w:overflowPunct w:val="0"/>
        <w:topLinePunct/>
        <w:autoSpaceDE w:val="0"/>
        <w:autoSpaceDN w:val="0"/>
        <w:bidi w:val="0"/>
        <w:adjustRightInd w:val="0"/>
        <w:snapToGrid w:val="0"/>
        <w:spacing w:before="161" w:line="400" w:lineRule="exact"/>
        <w:ind w:left="4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 xml:space="preserve">地址：                  </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 xml:space="preserve"> 地址：</w:t>
      </w:r>
    </w:p>
    <w:p w14:paraId="24D9871B">
      <w:pPr>
        <w:keepNext w:val="0"/>
        <w:keepLines w:val="0"/>
        <w:pageBreakBefore w:val="0"/>
        <w:widowControl/>
        <w:kinsoku/>
        <w:wordWrap w:val="0"/>
        <w:overflowPunct w:val="0"/>
        <w:topLinePunct/>
        <w:autoSpaceDE w:val="0"/>
        <w:autoSpaceDN w:val="0"/>
        <w:bidi w:val="0"/>
        <w:adjustRightInd w:val="0"/>
        <w:snapToGrid w:val="0"/>
        <w:spacing w:before="149" w:line="400" w:lineRule="exact"/>
        <w:ind w:left="45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 xml:space="preserve">电话：    </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2"/>
          <w:sz w:val="21"/>
          <w:szCs w:val="21"/>
          <w:highlight w:val="none"/>
          <w:lang w:val="en-US" w:eastAsia="zh-CN"/>
        </w:rPr>
        <w:t xml:space="preserve">    </w:t>
      </w:r>
      <w:r>
        <w:rPr>
          <w:rFonts w:hint="eastAsia" w:ascii="宋体" w:hAnsi="宋体" w:eastAsia="宋体" w:cs="宋体"/>
          <w:color w:val="auto"/>
          <w:spacing w:val="-2"/>
          <w:sz w:val="21"/>
          <w:szCs w:val="21"/>
          <w:highlight w:val="none"/>
        </w:rPr>
        <w:t xml:space="preserve">  电话：</w:t>
      </w:r>
    </w:p>
    <w:p w14:paraId="29C66FEA">
      <w:pPr>
        <w:keepNext w:val="0"/>
        <w:keepLines w:val="0"/>
        <w:pageBreakBefore w:val="0"/>
        <w:widowControl/>
        <w:kinsoku/>
        <w:wordWrap w:val="0"/>
        <w:overflowPunct w:val="0"/>
        <w:topLinePunct/>
        <w:autoSpaceDE w:val="0"/>
        <w:autoSpaceDN w:val="0"/>
        <w:bidi w:val="0"/>
        <w:adjustRightInd w:val="0"/>
        <w:snapToGrid w:val="0"/>
        <w:spacing w:before="161" w:line="400" w:lineRule="exact"/>
        <w:ind w:left="42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 xml:space="preserve">传真：                </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rPr>
        <w:t xml:space="preserve"> 传真：</w:t>
      </w:r>
    </w:p>
    <w:p w14:paraId="13ACA5A6">
      <w:pPr>
        <w:keepNext w:val="0"/>
        <w:keepLines w:val="0"/>
        <w:pageBreakBefore w:val="0"/>
        <w:widowControl/>
        <w:kinsoku/>
        <w:wordWrap w:val="0"/>
        <w:overflowPunct w:val="0"/>
        <w:topLinePunct/>
        <w:autoSpaceDE w:val="0"/>
        <w:autoSpaceDN w:val="0"/>
        <w:bidi w:val="0"/>
        <w:adjustRightInd w:val="0"/>
        <w:snapToGrid w:val="0"/>
        <w:spacing w:before="162" w:line="400" w:lineRule="exact"/>
        <w:ind w:left="428"/>
        <w:textAlignment w:val="baseline"/>
        <w:outlineLvl w:val="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 xml:space="preserve">签约日期：  年 月 日         </w:t>
      </w:r>
      <w:r>
        <w:rPr>
          <w:rFonts w:hint="eastAsia" w:ascii="宋体" w:hAnsi="宋体" w:eastAsia="宋体" w:cs="宋体"/>
          <w:color w:val="auto"/>
          <w:spacing w:val="2"/>
          <w:sz w:val="21"/>
          <w:szCs w:val="21"/>
          <w:highlight w:val="none"/>
          <w:lang w:val="en-US" w:eastAsia="zh-CN"/>
        </w:rPr>
        <w:t xml:space="preserve">    </w:t>
      </w:r>
      <w:r>
        <w:rPr>
          <w:rFonts w:hint="eastAsia" w:ascii="宋体" w:hAnsi="宋体" w:eastAsia="宋体" w:cs="宋体"/>
          <w:color w:val="auto"/>
          <w:spacing w:val="2"/>
          <w:sz w:val="21"/>
          <w:szCs w:val="21"/>
          <w:highlight w:val="none"/>
        </w:rPr>
        <w:t xml:space="preserve">签约日期：  年 月 </w:t>
      </w:r>
      <w:r>
        <w:rPr>
          <w:rFonts w:hint="eastAsia" w:ascii="宋体" w:hAnsi="宋体" w:eastAsia="宋体" w:cs="宋体"/>
          <w:color w:val="auto"/>
          <w:sz w:val="21"/>
          <w:szCs w:val="21"/>
          <w:highlight w:val="none"/>
        </w:rPr>
        <w:t xml:space="preserve"> 日</w:t>
      </w:r>
    </w:p>
    <w:p w14:paraId="113E4BCF">
      <w:pPr>
        <w:keepNext w:val="0"/>
        <w:keepLines w:val="0"/>
        <w:pageBreakBefore w:val="0"/>
        <w:kinsoku/>
        <w:wordWrap w:val="0"/>
        <w:overflowPunct w:val="0"/>
        <w:topLinePunct/>
        <w:autoSpaceDE w:val="0"/>
        <w:autoSpaceDN w:val="0"/>
        <w:bidi w:val="0"/>
        <w:spacing w:line="228" w:lineRule="auto"/>
        <w:ind w:left="25"/>
        <w:rPr>
          <w:rFonts w:hint="eastAsia" w:ascii="宋体" w:hAnsi="宋体" w:eastAsia="宋体" w:cs="宋体"/>
          <w:color w:val="auto"/>
          <w:spacing w:val="6"/>
          <w:sz w:val="20"/>
          <w:szCs w:val="20"/>
          <w:highlight w:val="none"/>
        </w:rPr>
      </w:pPr>
    </w:p>
    <w:p w14:paraId="40178FEC">
      <w:pPr>
        <w:keepNext w:val="0"/>
        <w:keepLines w:val="0"/>
        <w:pageBreakBefore w:val="0"/>
        <w:widowControl/>
        <w:kinsoku/>
        <w:wordWrap w:val="0"/>
        <w:overflowPunct w:val="0"/>
        <w:topLinePunct/>
        <w:autoSpaceDE w:val="0"/>
        <w:autoSpaceDN w:val="0"/>
        <w:bidi w:val="0"/>
        <w:adjustRightInd w:val="0"/>
        <w:snapToGrid w:val="0"/>
        <w:spacing w:before="160" w:line="400" w:lineRule="exact"/>
        <w:ind w:left="29" w:right="16" w:firstLine="399"/>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合同融资注意事项：1)供应商预进行合同融资的，在签订合同时，供应商的合同账号需为合同融资银行指定的账户和账号。2)预进行合同融资的合同，采购人在合同备案时，需将备案系统中供应商默认账户和账号修改为合同融资银行指定的账户和账号，然后再提交合同备案。</w:t>
      </w:r>
    </w:p>
    <w:p w14:paraId="793930F8">
      <w:pPr>
        <w:keepNext w:val="0"/>
        <w:keepLines w:val="0"/>
        <w:pageBreakBefore w:val="0"/>
        <w:widowControl/>
        <w:kinsoku/>
        <w:wordWrap w:val="0"/>
        <w:overflowPunct w:val="0"/>
        <w:topLinePunct/>
        <w:autoSpaceDE w:val="0"/>
        <w:autoSpaceDN w:val="0"/>
        <w:bidi w:val="0"/>
        <w:adjustRightInd w:val="0"/>
        <w:snapToGrid w:val="0"/>
        <w:spacing w:before="160" w:line="400" w:lineRule="exact"/>
        <w:ind w:left="29" w:right="16" w:firstLine="399"/>
        <w:textAlignment w:val="baseline"/>
        <w:rPr>
          <w:rFonts w:hint="eastAsia" w:ascii="宋体" w:hAnsi="宋体" w:eastAsia="宋体" w:cs="宋体"/>
          <w:color w:val="auto"/>
          <w:spacing w:val="9"/>
          <w:sz w:val="21"/>
          <w:szCs w:val="21"/>
          <w:highlight w:val="none"/>
        </w:rPr>
        <w:sectPr>
          <w:headerReference r:id="rId9" w:type="default"/>
          <w:footerReference r:id="rId10" w:type="default"/>
          <w:type w:val="continuous"/>
          <w:pgSz w:w="11909" w:h="16834"/>
          <w:pgMar w:top="1440" w:right="1080" w:bottom="1440" w:left="1080" w:header="0" w:footer="710" w:gutter="0"/>
          <w:pgNumType w:fmt="decimal"/>
          <w:cols w:equalWidth="0" w:num="1">
            <w:col w:w="9538"/>
          </w:cols>
        </w:sectPr>
      </w:pPr>
    </w:p>
    <w:p w14:paraId="1FC5407A">
      <w:pPr>
        <w:keepNext w:val="0"/>
        <w:keepLines w:val="0"/>
        <w:pageBreakBefore w:val="0"/>
        <w:kinsoku/>
        <w:wordWrap w:val="0"/>
        <w:overflowPunct w:val="0"/>
        <w:topLinePunct/>
        <w:autoSpaceDE w:val="0"/>
        <w:autoSpaceDN w:val="0"/>
        <w:bidi w:val="0"/>
        <w:spacing w:before="63" w:line="223" w:lineRule="auto"/>
        <w:jc w:val="center"/>
        <w:outlineLvl w:val="0"/>
        <w:rPr>
          <w:rFonts w:hint="eastAsia" w:ascii="宋体" w:hAnsi="宋体" w:eastAsia="宋体" w:cs="宋体"/>
          <w:color w:val="auto"/>
          <w:sz w:val="31"/>
          <w:szCs w:val="31"/>
          <w:highlight w:val="none"/>
        </w:rPr>
      </w:pPr>
      <w:bookmarkStart w:id="762" w:name="_Toc22959"/>
      <w:bookmarkStart w:id="763" w:name="_Toc22788"/>
      <w:r>
        <w:rPr>
          <w:rFonts w:hint="eastAsia" w:ascii="宋体" w:hAnsi="宋体" w:eastAsia="宋体" w:cs="宋体"/>
          <w:color w:val="auto"/>
          <w:spacing w:val="24"/>
          <w:sz w:val="31"/>
          <w:szCs w:val="31"/>
          <w:highlight w:val="none"/>
          <w14:textOutline w14:w="5756" w14:cap="flat" w14:cmpd="sng">
            <w14:solidFill>
              <w14:srgbClr w14:val="000000"/>
            </w14:solidFill>
            <w14:prstDash w14:val="solid"/>
            <w14:miter w14:val="0"/>
          </w14:textOutline>
        </w:rPr>
        <w:t>第</w:t>
      </w:r>
      <w:r>
        <w:rPr>
          <w:rFonts w:hint="eastAsia" w:ascii="宋体" w:hAnsi="宋体" w:eastAsia="宋体" w:cs="宋体"/>
          <w:color w:val="auto"/>
          <w:spacing w:val="18"/>
          <w:sz w:val="31"/>
          <w:szCs w:val="31"/>
          <w:highlight w:val="none"/>
          <w14:textOutline w14:w="5756" w14:cap="flat" w14:cmpd="sng">
            <w14:solidFill>
              <w14:srgbClr w14:val="000000"/>
            </w14:solidFill>
            <w14:prstDash w14:val="solid"/>
            <w14:miter w14:val="0"/>
          </w14:textOutline>
        </w:rPr>
        <w:t>六章</w:t>
      </w:r>
      <w:r>
        <w:rPr>
          <w:rFonts w:hint="eastAsia" w:ascii="宋体" w:hAnsi="宋体" w:eastAsia="宋体" w:cs="宋体"/>
          <w:color w:val="auto"/>
          <w:spacing w:val="18"/>
          <w:sz w:val="31"/>
          <w:szCs w:val="31"/>
          <w:highlight w:val="none"/>
        </w:rPr>
        <w:t xml:space="preserve"> </w:t>
      </w:r>
      <w:r>
        <w:rPr>
          <w:rFonts w:hint="eastAsia" w:ascii="宋体" w:hAnsi="宋体" w:eastAsia="宋体" w:cs="宋体"/>
          <w:color w:val="auto"/>
          <w:spacing w:val="18"/>
          <w:sz w:val="31"/>
          <w:szCs w:val="31"/>
          <w:highlight w:val="none"/>
          <w:lang w:eastAsia="zh-CN"/>
          <w14:textOutline w14:w="5756" w14:cap="flat" w14:cmpd="sng">
            <w14:solidFill>
              <w14:srgbClr w14:val="000000"/>
            </w14:solidFill>
            <w14:prstDash w14:val="solid"/>
            <w14:miter w14:val="0"/>
          </w14:textOutline>
        </w:rPr>
        <w:t>响应文件</w:t>
      </w:r>
      <w:r>
        <w:rPr>
          <w:rFonts w:hint="eastAsia" w:ascii="宋体" w:hAnsi="宋体" w:eastAsia="宋体" w:cs="宋体"/>
          <w:color w:val="auto"/>
          <w:spacing w:val="18"/>
          <w:sz w:val="31"/>
          <w:szCs w:val="31"/>
          <w:highlight w:val="none"/>
          <w14:textOutline w14:w="5756" w14:cap="flat" w14:cmpd="sng">
            <w14:solidFill>
              <w14:srgbClr w14:val="000000"/>
            </w14:solidFill>
            <w14:prstDash w14:val="solid"/>
            <w14:miter w14:val="0"/>
          </w14:textOutline>
        </w:rPr>
        <w:t>格式</w:t>
      </w:r>
      <w:bookmarkEnd w:id="762"/>
      <w:bookmarkEnd w:id="763"/>
    </w:p>
    <w:p w14:paraId="0724F523">
      <w:pPr>
        <w:keepNext w:val="0"/>
        <w:keepLines w:val="0"/>
        <w:pageBreakBefore w:val="0"/>
        <w:kinsoku/>
        <w:wordWrap w:val="0"/>
        <w:overflowPunct w:val="0"/>
        <w:topLinePunct/>
        <w:autoSpaceDE w:val="0"/>
        <w:autoSpaceDN w:val="0"/>
        <w:bidi w:val="0"/>
        <w:spacing w:line="245" w:lineRule="auto"/>
        <w:rPr>
          <w:rFonts w:hint="eastAsia" w:ascii="宋体" w:hAnsi="宋体" w:eastAsia="宋体" w:cs="宋体"/>
          <w:color w:val="auto"/>
          <w:sz w:val="21"/>
          <w:highlight w:val="none"/>
        </w:rPr>
      </w:pPr>
    </w:p>
    <w:p w14:paraId="5CECD607">
      <w:pPr>
        <w:keepNext w:val="0"/>
        <w:keepLines w:val="0"/>
        <w:pageBreakBefore w:val="0"/>
        <w:kinsoku/>
        <w:wordWrap w:val="0"/>
        <w:overflowPunct w:val="0"/>
        <w:topLinePunct/>
        <w:autoSpaceDE w:val="0"/>
        <w:autoSpaceDN w:val="0"/>
        <w:bidi w:val="0"/>
        <w:spacing w:line="245" w:lineRule="auto"/>
        <w:rPr>
          <w:rFonts w:hint="eastAsia" w:ascii="宋体" w:hAnsi="宋体" w:eastAsia="宋体" w:cs="宋体"/>
          <w:color w:val="auto"/>
          <w:sz w:val="21"/>
          <w:highlight w:val="none"/>
        </w:rPr>
      </w:pPr>
    </w:p>
    <w:p w14:paraId="4B2A291A">
      <w:pPr>
        <w:keepNext w:val="0"/>
        <w:keepLines w:val="0"/>
        <w:pageBreakBefore w:val="0"/>
        <w:kinsoku/>
        <w:wordWrap w:val="0"/>
        <w:overflowPunct w:val="0"/>
        <w:topLinePunct/>
        <w:autoSpaceDE w:val="0"/>
        <w:autoSpaceDN w:val="0"/>
        <w:bidi w:val="0"/>
        <w:spacing w:line="245" w:lineRule="auto"/>
        <w:rPr>
          <w:rFonts w:hint="eastAsia" w:ascii="宋体" w:hAnsi="宋体" w:eastAsia="宋体" w:cs="宋体"/>
          <w:color w:val="auto"/>
          <w:sz w:val="21"/>
          <w:highlight w:val="none"/>
        </w:rPr>
      </w:pPr>
    </w:p>
    <w:p w14:paraId="6866E14D">
      <w:pPr>
        <w:wordWrap w:val="0"/>
        <w:snapToGrid w:val="0"/>
        <w:spacing w:line="420" w:lineRule="exact"/>
        <w:ind w:firstLine="1441" w:firstLineChars="450"/>
        <w:rPr>
          <w:rFonts w:ascii="宋体" w:hAnsi="宋体" w:cs="宋体"/>
          <w:sz w:val="32"/>
          <w:szCs w:val="32"/>
        </w:rPr>
      </w:pPr>
      <w:r>
        <w:rPr>
          <w:rFonts w:hint="eastAsia" w:ascii="宋体" w:hAnsi="宋体" w:cs="宋体"/>
          <w:b/>
          <w:bCs/>
          <w:sz w:val="32"/>
          <w:szCs w:val="32"/>
          <w:u w:val="single"/>
        </w:rPr>
        <w:t xml:space="preserve">                 </w:t>
      </w:r>
      <w:bookmarkStart w:id="764" w:name="_Toc22805_WPSOffice_Level1"/>
      <w:bookmarkStart w:id="765" w:name="_Toc16795_WPSOffice_Level1"/>
      <w:bookmarkStart w:id="766" w:name="_Toc13474"/>
      <w:bookmarkStart w:id="767" w:name="_Toc6392"/>
      <w:bookmarkStart w:id="768" w:name="_Toc3967_WPSOffice_Level1"/>
      <w:bookmarkStart w:id="769" w:name="_Toc25632"/>
      <w:bookmarkStart w:id="770" w:name="_Toc4484"/>
      <w:bookmarkStart w:id="771" w:name="_Toc8245_WPSOffice_Level1"/>
      <w:r>
        <w:rPr>
          <w:rFonts w:hint="eastAsia" w:ascii="宋体" w:hAnsi="宋体" w:cs="宋体"/>
          <w:b/>
          <w:bCs/>
          <w:sz w:val="32"/>
          <w:szCs w:val="32"/>
        </w:rPr>
        <w:t>（</w:t>
      </w:r>
      <w:r>
        <w:rPr>
          <w:rFonts w:hint="eastAsia" w:ascii="宋体" w:hAnsi="宋体" w:cs="宋体"/>
          <w:b/>
          <w:bCs/>
          <w:sz w:val="32"/>
          <w:szCs w:val="32"/>
          <w:lang w:val="en-US" w:eastAsia="zh-CN"/>
        </w:rPr>
        <w:t>项目</w:t>
      </w:r>
      <w:r>
        <w:rPr>
          <w:rFonts w:hint="eastAsia" w:ascii="宋体" w:hAnsi="宋体" w:cs="宋体"/>
          <w:b/>
          <w:bCs/>
          <w:sz w:val="32"/>
          <w:szCs w:val="32"/>
          <w:lang w:eastAsia="zh-CN"/>
        </w:rPr>
        <w:t>名称</w:t>
      </w:r>
      <w:r>
        <w:rPr>
          <w:rFonts w:hint="eastAsia" w:ascii="宋体" w:hAnsi="宋体" w:cs="宋体"/>
          <w:b/>
          <w:bCs/>
          <w:sz w:val="32"/>
          <w:szCs w:val="32"/>
        </w:rPr>
        <w:t>）</w:t>
      </w:r>
      <w:bookmarkEnd w:id="764"/>
      <w:bookmarkEnd w:id="765"/>
      <w:bookmarkEnd w:id="766"/>
      <w:bookmarkEnd w:id="767"/>
      <w:bookmarkEnd w:id="768"/>
      <w:bookmarkEnd w:id="769"/>
      <w:bookmarkEnd w:id="770"/>
      <w:bookmarkEnd w:id="771"/>
      <w:r>
        <w:rPr>
          <w:rFonts w:hint="eastAsia" w:ascii="宋体" w:hAnsi="宋体" w:cs="宋体"/>
          <w:b/>
          <w:bCs/>
          <w:sz w:val="32"/>
          <w:szCs w:val="32"/>
        </w:rPr>
        <w:t>竞争性磋商</w:t>
      </w:r>
    </w:p>
    <w:p w14:paraId="1A6F90A9">
      <w:pPr>
        <w:wordWrap w:val="0"/>
        <w:spacing w:line="1000" w:lineRule="exact"/>
        <w:jc w:val="center"/>
        <w:rPr>
          <w:rFonts w:ascii="宋体" w:hAnsi="宋体" w:cs="宋体"/>
          <w:b/>
          <w:bCs/>
          <w:sz w:val="84"/>
          <w:szCs w:val="84"/>
        </w:rPr>
      </w:pPr>
    </w:p>
    <w:p w14:paraId="23F12515">
      <w:pPr>
        <w:wordWrap w:val="0"/>
        <w:spacing w:line="1000" w:lineRule="exact"/>
        <w:jc w:val="center"/>
        <w:rPr>
          <w:rFonts w:ascii="宋体" w:hAnsi="宋体" w:cs="宋体"/>
          <w:sz w:val="52"/>
          <w:szCs w:val="52"/>
        </w:rPr>
      </w:pPr>
      <w:r>
        <w:rPr>
          <w:rFonts w:hint="eastAsia" w:ascii="宋体" w:hAnsi="宋体" w:cs="宋体"/>
          <w:b/>
          <w:bCs/>
          <w:sz w:val="84"/>
          <w:szCs w:val="84"/>
        </w:rPr>
        <w:t>响 应 文 件</w:t>
      </w:r>
    </w:p>
    <w:p w14:paraId="440646F5">
      <w:pPr>
        <w:wordWrap w:val="0"/>
        <w:spacing w:before="240" w:beforeLines="100"/>
        <w:ind w:firstLine="3840" w:firstLineChars="1200"/>
        <w:rPr>
          <w:rFonts w:ascii="宋体" w:hAnsi="宋体" w:cs="宋体"/>
          <w:sz w:val="32"/>
          <w:szCs w:val="32"/>
        </w:rPr>
      </w:pPr>
    </w:p>
    <w:p w14:paraId="60AFB69C">
      <w:pPr>
        <w:wordWrap w:val="0"/>
        <w:spacing w:before="240" w:beforeLines="100"/>
        <w:ind w:firstLine="2054" w:firstLineChars="856"/>
        <w:rPr>
          <w:rFonts w:ascii="宋体" w:hAnsi="宋体" w:cs="宋体"/>
          <w:sz w:val="24"/>
          <w:szCs w:val="24"/>
        </w:rPr>
      </w:pPr>
      <w:r>
        <w:rPr>
          <w:rFonts w:hint="eastAsia" w:ascii="宋体" w:hAnsi="宋体" w:cs="宋体"/>
          <w:sz w:val="24"/>
          <w:szCs w:val="24"/>
        </w:rPr>
        <w:t>采购编号：</w:t>
      </w:r>
    </w:p>
    <w:p w14:paraId="062727C7">
      <w:pPr>
        <w:wordWrap w:val="0"/>
        <w:jc w:val="center"/>
        <w:rPr>
          <w:rFonts w:ascii="宋体" w:hAnsi="宋体" w:cs="宋体"/>
          <w:sz w:val="32"/>
          <w:szCs w:val="32"/>
        </w:rPr>
      </w:pPr>
    </w:p>
    <w:p w14:paraId="4110D04E">
      <w:pPr>
        <w:wordWrap w:val="0"/>
        <w:jc w:val="center"/>
        <w:rPr>
          <w:rFonts w:ascii="宋体" w:hAnsi="宋体" w:cs="宋体"/>
          <w:sz w:val="32"/>
          <w:szCs w:val="32"/>
        </w:rPr>
      </w:pPr>
    </w:p>
    <w:p w14:paraId="4198586E">
      <w:pPr>
        <w:wordWrap w:val="0"/>
        <w:jc w:val="center"/>
        <w:rPr>
          <w:rFonts w:ascii="宋体" w:hAnsi="宋体" w:cs="宋体"/>
          <w:sz w:val="32"/>
          <w:szCs w:val="32"/>
        </w:rPr>
      </w:pPr>
    </w:p>
    <w:p w14:paraId="4C071230">
      <w:pPr>
        <w:wordWrap w:val="0"/>
        <w:jc w:val="center"/>
        <w:rPr>
          <w:rFonts w:ascii="宋体" w:hAnsi="宋体" w:cs="宋体"/>
          <w:sz w:val="32"/>
          <w:szCs w:val="32"/>
        </w:rPr>
      </w:pPr>
    </w:p>
    <w:p w14:paraId="1027DC4C">
      <w:pPr>
        <w:wordWrap w:val="0"/>
        <w:jc w:val="center"/>
        <w:rPr>
          <w:rFonts w:ascii="宋体" w:hAnsi="宋体" w:cs="宋体"/>
          <w:sz w:val="32"/>
          <w:szCs w:val="32"/>
        </w:rPr>
      </w:pPr>
    </w:p>
    <w:p w14:paraId="3F6FAB6D">
      <w:pPr>
        <w:wordWrap w:val="0"/>
        <w:jc w:val="center"/>
        <w:rPr>
          <w:rFonts w:ascii="宋体" w:hAnsi="宋体" w:cs="宋体"/>
          <w:sz w:val="32"/>
          <w:szCs w:val="32"/>
        </w:rPr>
      </w:pPr>
    </w:p>
    <w:p w14:paraId="2A1EF5A3">
      <w:pPr>
        <w:wordWrap w:val="0"/>
        <w:jc w:val="center"/>
        <w:rPr>
          <w:rFonts w:ascii="宋体" w:hAnsi="宋体" w:cs="宋体"/>
          <w:sz w:val="32"/>
          <w:szCs w:val="32"/>
        </w:rPr>
      </w:pPr>
    </w:p>
    <w:p w14:paraId="44979C20">
      <w:pPr>
        <w:wordWrap w:val="0"/>
        <w:jc w:val="center"/>
        <w:rPr>
          <w:rFonts w:ascii="宋体" w:hAnsi="宋体" w:cs="宋体"/>
          <w:sz w:val="32"/>
          <w:szCs w:val="32"/>
        </w:rPr>
      </w:pPr>
    </w:p>
    <w:p w14:paraId="6AA5C881">
      <w:pPr>
        <w:wordWrap w:val="0"/>
        <w:rPr>
          <w:rFonts w:ascii="宋体" w:hAnsi="宋体" w:cs="宋体"/>
          <w:sz w:val="32"/>
          <w:szCs w:val="32"/>
        </w:rPr>
      </w:pPr>
    </w:p>
    <w:p w14:paraId="5A78F97C">
      <w:pPr>
        <w:wordWrap w:val="0"/>
        <w:jc w:val="center"/>
        <w:rPr>
          <w:rFonts w:ascii="宋体" w:hAnsi="宋体" w:cs="宋体"/>
          <w:sz w:val="32"/>
          <w:szCs w:val="32"/>
        </w:rPr>
      </w:pPr>
    </w:p>
    <w:p w14:paraId="290A1DC8">
      <w:pPr>
        <w:wordWrap w:val="0"/>
        <w:spacing w:line="360" w:lineRule="auto"/>
        <w:jc w:val="center"/>
        <w:rPr>
          <w:rFonts w:ascii="宋体" w:hAnsi="宋体" w:cs="宋体"/>
          <w:sz w:val="32"/>
          <w:szCs w:val="32"/>
        </w:rPr>
      </w:pPr>
    </w:p>
    <w:p w14:paraId="6ECF0054">
      <w:pPr>
        <w:wordWrap w:val="0"/>
        <w:spacing w:line="420" w:lineRule="exact"/>
        <w:jc w:val="center"/>
        <w:rPr>
          <w:rFonts w:ascii="宋体" w:hAnsi="宋体" w:cs="宋体"/>
          <w:b/>
          <w:bCs/>
          <w:sz w:val="24"/>
          <w:szCs w:val="24"/>
        </w:rPr>
      </w:pPr>
      <w:bookmarkStart w:id="772" w:name="_Toc7378"/>
      <w:bookmarkStart w:id="773" w:name="_Toc16044"/>
      <w:bookmarkStart w:id="774" w:name="_Toc18652_WPSOffice_Level1"/>
      <w:bookmarkStart w:id="775" w:name="_Toc7391"/>
      <w:bookmarkStart w:id="776" w:name="_Toc14463_WPSOffice_Level1"/>
      <w:bookmarkStart w:id="777" w:name="_Toc22812_WPSOffice_Level1"/>
      <w:bookmarkStart w:id="778" w:name="_Toc14451_WPSOffice_Level1"/>
      <w:r>
        <w:rPr>
          <w:rFonts w:hint="eastAsia" w:ascii="宋体" w:hAnsi="宋体" w:cs="宋体"/>
          <w:b/>
          <w:bCs/>
          <w:sz w:val="24"/>
          <w:szCs w:val="24"/>
        </w:rPr>
        <w:t>供应商：</w:t>
      </w:r>
      <w:r>
        <w:rPr>
          <w:rFonts w:hint="eastAsia" w:ascii="宋体" w:hAnsi="宋体" w:cs="宋体"/>
          <w:b/>
          <w:bCs/>
          <w:sz w:val="24"/>
          <w:szCs w:val="24"/>
          <w:u w:val="single"/>
        </w:rPr>
        <w:t xml:space="preserve">                             </w:t>
      </w:r>
      <w:r>
        <w:rPr>
          <w:rFonts w:hint="eastAsia" w:ascii="宋体" w:hAnsi="宋体" w:cs="宋体"/>
          <w:b/>
          <w:bCs/>
          <w:sz w:val="24"/>
          <w:szCs w:val="24"/>
        </w:rPr>
        <w:t>（单位电子签章）</w:t>
      </w:r>
      <w:bookmarkEnd w:id="772"/>
      <w:bookmarkEnd w:id="773"/>
      <w:bookmarkEnd w:id="774"/>
      <w:bookmarkEnd w:id="775"/>
      <w:bookmarkEnd w:id="776"/>
      <w:bookmarkEnd w:id="777"/>
      <w:bookmarkEnd w:id="778"/>
    </w:p>
    <w:p w14:paraId="1189AEE7">
      <w:pPr>
        <w:wordWrap w:val="0"/>
        <w:spacing w:line="420" w:lineRule="exact"/>
        <w:jc w:val="center"/>
        <w:rPr>
          <w:rFonts w:hint="eastAsia" w:ascii="宋体" w:hAnsi="宋体" w:cs="宋体"/>
          <w:b/>
          <w:bCs/>
          <w:sz w:val="24"/>
          <w:szCs w:val="24"/>
        </w:rPr>
      </w:pPr>
    </w:p>
    <w:p w14:paraId="6CB45CFC">
      <w:pPr>
        <w:wordWrap w:val="0"/>
        <w:spacing w:line="420" w:lineRule="exact"/>
        <w:jc w:val="center"/>
        <w:rPr>
          <w:rFonts w:ascii="宋体" w:hAnsi="宋体" w:cs="宋体"/>
          <w:b/>
          <w:bCs/>
          <w:sz w:val="24"/>
          <w:szCs w:val="24"/>
        </w:rPr>
      </w:pPr>
      <w:r>
        <w:rPr>
          <w:rFonts w:hint="eastAsia" w:ascii="宋体" w:hAnsi="宋体" w:cs="宋体"/>
          <w:b/>
          <w:bCs/>
          <w:sz w:val="24"/>
          <w:szCs w:val="24"/>
        </w:rPr>
        <w:t>法定代表人</w:t>
      </w:r>
      <w:r>
        <w:rPr>
          <w:rFonts w:hint="eastAsia" w:ascii="宋体" w:hAnsi="宋体" w:cs="宋体"/>
          <w:b/>
          <w:bCs/>
          <w:sz w:val="24"/>
          <w:szCs w:val="24"/>
          <w:lang w:eastAsia="zh-CN"/>
        </w:rPr>
        <w:t>（</w:t>
      </w:r>
      <w:r>
        <w:rPr>
          <w:rFonts w:hint="eastAsia" w:ascii="宋体" w:hAnsi="宋体" w:cs="宋体"/>
          <w:b/>
          <w:bCs/>
          <w:sz w:val="24"/>
          <w:szCs w:val="24"/>
          <w:lang w:val="en-US" w:eastAsia="zh-CN"/>
        </w:rPr>
        <w:t>负责人）</w:t>
      </w:r>
      <w:r>
        <w:rPr>
          <w:rFonts w:hint="eastAsia" w:ascii="宋体" w:hAnsi="宋体" w:cs="宋体"/>
          <w:b/>
          <w:bCs/>
          <w:sz w:val="24"/>
          <w:szCs w:val="24"/>
        </w:rPr>
        <w:t>或其委托代理人</w:t>
      </w:r>
      <w:r>
        <w:rPr>
          <w:rFonts w:hint="eastAsia" w:ascii="宋体" w:hAnsi="宋体" w:cs="宋体"/>
          <w:b/>
          <w:bCs/>
          <w:sz w:val="24"/>
          <w:szCs w:val="24"/>
          <w:u w:val="single"/>
        </w:rPr>
        <w:t xml:space="preserve">      </w:t>
      </w:r>
      <w:r>
        <w:rPr>
          <w:rFonts w:hint="eastAsia" w:ascii="宋体" w:hAnsi="宋体" w:cs="宋体"/>
          <w:b/>
          <w:bCs/>
          <w:sz w:val="24"/>
          <w:szCs w:val="24"/>
        </w:rPr>
        <w:t>（电子签名或盖章）</w:t>
      </w:r>
    </w:p>
    <w:p w14:paraId="350EAE23">
      <w:pPr>
        <w:wordWrap w:val="0"/>
        <w:spacing w:line="360" w:lineRule="auto"/>
        <w:ind w:firstLine="2709" w:firstLineChars="1128"/>
        <w:jc w:val="left"/>
        <w:rPr>
          <w:rFonts w:hint="eastAsia" w:ascii="宋体" w:hAnsi="宋体" w:cs="宋体"/>
          <w:b/>
          <w:bCs/>
          <w:sz w:val="24"/>
          <w:szCs w:val="24"/>
          <w:u w:val="single"/>
        </w:rPr>
      </w:pPr>
      <w:bookmarkStart w:id="779" w:name="_Toc20450"/>
      <w:bookmarkStart w:id="780" w:name="_Toc12941"/>
      <w:bookmarkStart w:id="781" w:name="_Toc16649"/>
      <w:bookmarkStart w:id="782" w:name="_Toc21015_WPSOffice_Level1"/>
      <w:bookmarkStart w:id="783" w:name="_Toc31848_WPSOffice_Level1"/>
      <w:bookmarkStart w:id="784" w:name="_Toc27351_WPSOffice_Level1"/>
      <w:bookmarkStart w:id="785" w:name="_Toc3607_WPSOffice_Level1"/>
      <w:bookmarkStart w:id="786" w:name="_Toc31395"/>
    </w:p>
    <w:p w14:paraId="32C935BA">
      <w:pPr>
        <w:wordWrap w:val="0"/>
        <w:spacing w:line="360" w:lineRule="auto"/>
        <w:ind w:firstLine="2709" w:firstLineChars="1128"/>
        <w:jc w:val="left"/>
        <w:rPr>
          <w:rFonts w:ascii="宋体" w:hAnsi="宋体" w:cs="宋体"/>
          <w:sz w:val="24"/>
          <w:szCs w:val="24"/>
        </w:rPr>
        <w:sectPr>
          <w:headerReference r:id="rId11" w:type="default"/>
          <w:footerReference r:id="rId12" w:type="default"/>
          <w:pgSz w:w="11906" w:h="16838"/>
          <w:pgMar w:top="1418" w:right="1418" w:bottom="1418" w:left="1418" w:header="851" w:footer="850" w:gutter="0"/>
          <w:cols w:space="720" w:num="1"/>
          <w:docGrid w:linePitch="312" w:charSpace="0"/>
        </w:sectPr>
      </w:pPr>
      <w:r>
        <w:rPr>
          <w:rFonts w:hint="eastAsia" w:ascii="宋体" w:hAnsi="宋体" w:cs="宋体"/>
          <w:b/>
          <w:bCs/>
          <w:sz w:val="24"/>
          <w:szCs w:val="24"/>
          <w:u w:val="single"/>
        </w:rPr>
        <w:t xml:space="preserve">   </w:t>
      </w:r>
      <w:r>
        <w:rPr>
          <w:rFonts w:hint="eastAsia" w:ascii="宋体" w:hAnsi="宋体" w:cs="宋体"/>
          <w:b/>
          <w:bCs/>
          <w:sz w:val="24"/>
          <w:szCs w:val="24"/>
        </w:rPr>
        <w:t>年</w:t>
      </w:r>
      <w:r>
        <w:rPr>
          <w:rFonts w:hint="eastAsia" w:ascii="宋体" w:hAnsi="宋体" w:cs="宋体"/>
          <w:b/>
          <w:bCs/>
          <w:sz w:val="24"/>
          <w:szCs w:val="24"/>
          <w:u w:val="single"/>
        </w:rPr>
        <w:t xml:space="preserve">    </w:t>
      </w:r>
      <w:r>
        <w:rPr>
          <w:rFonts w:hint="eastAsia" w:ascii="宋体" w:hAnsi="宋体" w:cs="宋体"/>
          <w:b/>
          <w:bCs/>
          <w:sz w:val="24"/>
          <w:szCs w:val="24"/>
        </w:rPr>
        <w:t>月</w:t>
      </w:r>
      <w:r>
        <w:rPr>
          <w:rFonts w:hint="eastAsia" w:ascii="宋体" w:hAnsi="宋体" w:cs="宋体"/>
          <w:b/>
          <w:bCs/>
          <w:sz w:val="24"/>
          <w:szCs w:val="24"/>
          <w:u w:val="single"/>
        </w:rPr>
        <w:t xml:space="preserve">    </w:t>
      </w:r>
      <w:r>
        <w:rPr>
          <w:rFonts w:hint="eastAsia" w:ascii="宋体" w:hAnsi="宋体" w:cs="宋体"/>
          <w:b/>
          <w:bCs/>
          <w:sz w:val="24"/>
          <w:szCs w:val="24"/>
        </w:rPr>
        <w:t>日</w:t>
      </w:r>
      <w:bookmarkEnd w:id="779"/>
      <w:bookmarkEnd w:id="780"/>
      <w:bookmarkEnd w:id="781"/>
      <w:bookmarkEnd w:id="782"/>
      <w:bookmarkEnd w:id="783"/>
      <w:bookmarkEnd w:id="784"/>
      <w:bookmarkEnd w:id="785"/>
      <w:bookmarkEnd w:id="786"/>
    </w:p>
    <w:p w14:paraId="39BD8C8F">
      <w:pPr>
        <w:wordWrap w:val="0"/>
        <w:spacing w:line="460" w:lineRule="exact"/>
        <w:jc w:val="center"/>
        <w:rPr>
          <w:rFonts w:ascii="宋体" w:hAnsi="宋体" w:cs="宋体"/>
          <w:b/>
          <w:bCs/>
          <w:sz w:val="28"/>
          <w:szCs w:val="28"/>
        </w:rPr>
      </w:pPr>
      <w:r>
        <w:rPr>
          <w:rFonts w:hint="eastAsia" w:ascii="宋体" w:hAnsi="宋体" w:cs="宋体"/>
          <w:b/>
          <w:bCs/>
          <w:sz w:val="28"/>
          <w:szCs w:val="28"/>
        </w:rPr>
        <w:t>目录</w:t>
      </w:r>
    </w:p>
    <w:p w14:paraId="6884C428">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一、响应函及响应函附录</w:t>
      </w:r>
    </w:p>
    <w:p w14:paraId="71578E7A">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cs="宋体"/>
          <w:sz w:val="24"/>
          <w:szCs w:val="24"/>
        </w:rPr>
      </w:pPr>
      <w:r>
        <w:rPr>
          <w:rFonts w:hint="eastAsia" w:ascii="宋体" w:hAnsi="宋体" w:cs="宋体"/>
          <w:sz w:val="24"/>
          <w:szCs w:val="24"/>
        </w:rPr>
        <w:t>二、法定代表人（单位负责人）身份证明</w:t>
      </w:r>
    </w:p>
    <w:p w14:paraId="0EBA497E">
      <w:pPr>
        <w:keepNext w:val="0"/>
        <w:keepLines w:val="0"/>
        <w:pageBreakBefore w:val="0"/>
        <w:widowControl w:val="0"/>
        <w:kinsoku/>
        <w:wordWrap w:val="0"/>
        <w:overflowPunct/>
        <w:topLinePunct w:val="0"/>
        <w:autoSpaceDE/>
        <w:autoSpaceDN/>
        <w:bidi w:val="0"/>
        <w:adjustRightInd/>
        <w:snapToGrid/>
        <w:spacing w:line="460" w:lineRule="exact"/>
        <w:ind w:firstLine="960" w:firstLineChars="400"/>
        <w:textAlignment w:val="auto"/>
        <w:rPr>
          <w:rFonts w:ascii="宋体" w:hAnsi="宋体" w:cs="宋体"/>
          <w:sz w:val="24"/>
          <w:szCs w:val="24"/>
        </w:rPr>
      </w:pPr>
      <w:r>
        <w:rPr>
          <w:rFonts w:hint="eastAsia" w:ascii="宋体" w:hAnsi="宋体" w:cs="宋体"/>
          <w:sz w:val="24"/>
          <w:szCs w:val="24"/>
        </w:rPr>
        <w:t>授权委托书</w:t>
      </w:r>
    </w:p>
    <w:p w14:paraId="1F9F54B0">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cs="宋体"/>
          <w:sz w:val="24"/>
          <w:szCs w:val="24"/>
        </w:rPr>
        <w:t>商务条款偏离表</w:t>
      </w:r>
    </w:p>
    <w:p w14:paraId="48F81070">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rPr>
        <w:t>四、资格证明材料</w:t>
      </w:r>
    </w:p>
    <w:p w14:paraId="27A4FD5D">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rPr>
        <w:t>五、</w:t>
      </w:r>
      <w:r>
        <w:rPr>
          <w:rFonts w:hint="eastAsia" w:ascii="宋体" w:hAnsi="宋体" w:cs="宋体"/>
          <w:sz w:val="24"/>
          <w:szCs w:val="24"/>
          <w:lang w:val="en-US" w:eastAsia="zh-CN"/>
        </w:rPr>
        <w:t>技术部分</w:t>
      </w:r>
    </w:p>
    <w:p w14:paraId="3570803C">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rPr>
        <w:t>六、</w:t>
      </w:r>
      <w:r>
        <w:rPr>
          <w:rFonts w:hint="eastAsia" w:ascii="宋体" w:hAnsi="宋体" w:cs="宋体"/>
          <w:sz w:val="24"/>
          <w:szCs w:val="24"/>
          <w:lang w:val="en-US" w:eastAsia="zh-CN"/>
        </w:rPr>
        <w:t>综合部分</w:t>
      </w:r>
    </w:p>
    <w:p w14:paraId="0888F6EB">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default" w:ascii="宋体" w:hAnsi="宋体" w:cs="宋体"/>
          <w:sz w:val="24"/>
          <w:szCs w:val="24"/>
          <w:lang w:val="en-US" w:eastAsia="zh-CN"/>
        </w:rPr>
      </w:pPr>
      <w:r>
        <w:rPr>
          <w:rFonts w:hint="eastAsia" w:ascii="宋体" w:hAnsi="宋体" w:cs="宋体"/>
          <w:sz w:val="24"/>
          <w:szCs w:val="24"/>
        </w:rPr>
        <w:t>七、</w:t>
      </w:r>
      <w:r>
        <w:rPr>
          <w:rFonts w:hint="eastAsia" w:ascii="宋体" w:hAnsi="宋体" w:cs="宋体"/>
          <w:sz w:val="24"/>
          <w:szCs w:val="24"/>
          <w:lang w:val="en-US" w:eastAsia="zh-CN"/>
        </w:rPr>
        <w:t>其他</w:t>
      </w:r>
    </w:p>
    <w:p w14:paraId="582440C3">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八</w:t>
      </w:r>
      <w:r>
        <w:rPr>
          <w:rFonts w:hint="eastAsia" w:ascii="宋体" w:hAnsi="宋体" w:cs="宋体"/>
          <w:sz w:val="24"/>
          <w:szCs w:val="24"/>
        </w:rPr>
        <w:t>、关于政府采购政策（有则附，没有不附）</w:t>
      </w:r>
    </w:p>
    <w:p w14:paraId="7F506E7F">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ascii="宋体" w:hAnsi="宋体" w:cs="宋体"/>
          <w:sz w:val="24"/>
          <w:szCs w:val="24"/>
        </w:rPr>
      </w:pPr>
    </w:p>
    <w:p w14:paraId="7350568F">
      <w:pPr>
        <w:bidi w:val="0"/>
      </w:pPr>
      <w:r>
        <w:rPr>
          <w:rFonts w:hint="eastAsia"/>
        </w:rPr>
        <w:br w:type="page"/>
      </w:r>
      <w:bookmarkStart w:id="787" w:name="_Toc19981"/>
      <w:bookmarkStart w:id="788" w:name="_Toc195922057"/>
      <w:bookmarkStart w:id="789" w:name="_Toc192127131"/>
    </w:p>
    <w:p w14:paraId="06D603C8">
      <w:pPr>
        <w:pStyle w:val="2"/>
        <w:bidi w:val="0"/>
        <w:jc w:val="center"/>
        <w:rPr>
          <w:rFonts w:hint="eastAsia"/>
        </w:rPr>
      </w:pPr>
      <w:bookmarkStart w:id="790" w:name="_Toc24700"/>
      <w:r>
        <w:rPr>
          <w:rFonts w:hint="eastAsia"/>
        </w:rPr>
        <w:t>一、响应函及响应函附录</w:t>
      </w:r>
    </w:p>
    <w:p w14:paraId="273E04AB">
      <w:pPr>
        <w:wordWrap w:val="0"/>
        <w:spacing w:line="420" w:lineRule="exact"/>
        <w:jc w:val="center"/>
        <w:outlineLvl w:val="2"/>
        <w:rPr>
          <w:rFonts w:ascii="宋体" w:hAnsi="宋体" w:cs="宋体"/>
          <w:b/>
          <w:sz w:val="24"/>
          <w:szCs w:val="24"/>
        </w:rPr>
      </w:pPr>
      <w:r>
        <w:rPr>
          <w:rFonts w:hint="eastAsia" w:ascii="宋体" w:hAnsi="宋体" w:cs="宋体"/>
          <w:b/>
          <w:sz w:val="24"/>
          <w:szCs w:val="24"/>
        </w:rPr>
        <w:t>（一）响应函</w:t>
      </w:r>
      <w:bookmarkEnd w:id="790"/>
    </w:p>
    <w:p w14:paraId="41DB26BF">
      <w:pPr>
        <w:pStyle w:val="11"/>
        <w:wordWrap w:val="0"/>
        <w:spacing w:line="420" w:lineRule="exact"/>
        <w:ind w:left="112" w:leftChars="0" w:hanging="112" w:hangingChars="47"/>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w:t>
      </w:r>
    </w:p>
    <w:p w14:paraId="27BFDC4D">
      <w:pPr>
        <w:spacing w:line="520" w:lineRule="exact"/>
        <w:ind w:left="479" w:leftChars="228" w:firstLine="0" w:firstLineChars="0"/>
        <w:jc w:val="left"/>
        <w:rPr>
          <w:rFonts w:hint="eastAsia" w:ascii="宋体" w:hAnsi="宋体" w:eastAsia="宋体" w:cs="宋体"/>
          <w:sz w:val="24"/>
          <w:szCs w:val="24"/>
        </w:rPr>
      </w:pPr>
      <w:r>
        <w:rPr>
          <w:rFonts w:hint="eastAsia" w:ascii="宋体" w:hAnsi="宋体" w:eastAsia="宋体" w:cs="宋体"/>
          <w:sz w:val="24"/>
          <w:szCs w:val="24"/>
        </w:rPr>
        <w:t>我们收到了</w:t>
      </w:r>
      <w:r>
        <w:rPr>
          <w:rFonts w:hint="eastAsia" w:ascii="宋体" w:hAnsi="宋体" w:cs="宋体"/>
          <w:sz w:val="24"/>
          <w:szCs w:val="24"/>
          <w:lang w:val="en-US" w:eastAsia="zh-CN"/>
        </w:rPr>
        <w:t>采购</w:t>
      </w:r>
      <w:r>
        <w:rPr>
          <w:rFonts w:hint="eastAsia" w:ascii="宋体" w:hAnsi="宋体" w:eastAsia="宋体" w:cs="宋体"/>
          <w:sz w:val="24"/>
          <w:szCs w:val="24"/>
        </w:rPr>
        <w:t>编号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cs="宋体"/>
          <w:sz w:val="24"/>
          <w:szCs w:val="24"/>
          <w:lang w:val="en-US" w:eastAsia="zh-CN"/>
        </w:rPr>
        <w:t>竞争性磋商</w:t>
      </w:r>
      <w:r>
        <w:rPr>
          <w:rFonts w:hint="eastAsia" w:ascii="宋体" w:hAnsi="宋体" w:eastAsia="宋体" w:cs="宋体"/>
          <w:sz w:val="24"/>
          <w:szCs w:val="24"/>
        </w:rPr>
        <w:t>文件，经详细研究，我们决定参</w:t>
      </w:r>
    </w:p>
    <w:p w14:paraId="459E541F">
      <w:pPr>
        <w:spacing w:line="520" w:lineRule="exact"/>
        <w:jc w:val="left"/>
        <w:rPr>
          <w:rFonts w:hint="eastAsia" w:ascii="宋体" w:hAnsi="宋体" w:eastAsia="宋体" w:cs="宋体"/>
          <w:sz w:val="24"/>
          <w:szCs w:val="24"/>
        </w:rPr>
      </w:pPr>
      <w:r>
        <w:rPr>
          <w:rFonts w:hint="eastAsia" w:ascii="宋体" w:hAnsi="宋体" w:eastAsia="宋体" w:cs="宋体"/>
          <w:sz w:val="24"/>
          <w:szCs w:val="24"/>
        </w:rPr>
        <w:t>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项目名称）</w:t>
      </w:r>
      <w:r>
        <w:rPr>
          <w:rFonts w:hint="eastAsia" w:ascii="宋体" w:hAnsi="宋体" w:eastAsia="宋体" w:cs="宋体"/>
          <w:sz w:val="24"/>
          <w:szCs w:val="24"/>
        </w:rPr>
        <w:t>的招标投标活动，我们郑重声明以下诸点并负法律责任。</w:t>
      </w:r>
    </w:p>
    <w:p w14:paraId="1671D827">
      <w:pPr>
        <w:numPr>
          <w:ilvl w:val="0"/>
          <w:numId w:val="0"/>
        </w:num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按照</w:t>
      </w:r>
      <w:r>
        <w:rPr>
          <w:rFonts w:hint="eastAsia" w:ascii="宋体" w:hAnsi="宋体" w:eastAsia="宋体" w:cs="宋体"/>
          <w:sz w:val="24"/>
          <w:szCs w:val="24"/>
          <w:lang w:val="en-US" w:eastAsia="zh-CN"/>
        </w:rPr>
        <w:t>磋商</w:t>
      </w:r>
      <w:r>
        <w:rPr>
          <w:rFonts w:hint="eastAsia" w:ascii="宋体" w:hAnsi="宋体" w:eastAsia="宋体" w:cs="宋体"/>
          <w:sz w:val="24"/>
          <w:szCs w:val="24"/>
        </w:rPr>
        <w:t>文件中规定的条款和要求，投标总报价为大写：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05B89FF">
      <w:pPr>
        <w:spacing w:line="520" w:lineRule="exact"/>
        <w:jc w:val="left"/>
        <w:rPr>
          <w:rFonts w:hint="eastAsia" w:ascii="宋体" w:hAnsi="宋体" w:eastAsia="宋体" w:cs="宋体"/>
          <w:sz w:val="24"/>
          <w:szCs w:val="24"/>
          <w:lang w:eastAsia="zh-CN"/>
        </w:rPr>
      </w:pPr>
      <w:r>
        <w:rPr>
          <w:rFonts w:hint="eastAsia" w:ascii="宋体" w:hAnsi="宋体" w:eastAsia="宋体" w:cs="宋体"/>
          <w:sz w:val="24"/>
          <w:szCs w:val="24"/>
        </w:rPr>
        <w:t>质量</w:t>
      </w:r>
      <w:r>
        <w:rPr>
          <w:rFonts w:hint="eastAsia" w:ascii="宋体" w:hAnsi="宋体" w:eastAsia="宋体" w:cs="宋体"/>
          <w:sz w:val="24"/>
          <w:szCs w:val="24"/>
          <w:lang w:val="en-US" w:eastAsia="zh-CN"/>
        </w:rPr>
        <w:t>要求</w:t>
      </w:r>
      <w:r>
        <w:rPr>
          <w:rFonts w:hint="eastAsia" w:ascii="宋体" w:hAnsi="宋体" w:cs="宋体"/>
          <w:sz w:val="24"/>
          <w:szCs w:val="24"/>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cs="宋体"/>
          <w:color w:val="000000"/>
          <w:sz w:val="24"/>
          <w:szCs w:val="24"/>
          <w:lang w:val="en-US" w:eastAsia="zh-CN"/>
        </w:rPr>
        <w:t>服务期限：</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w:t>
      </w:r>
    </w:p>
    <w:p w14:paraId="2F0E2C2D">
      <w:pPr>
        <w:pStyle w:val="11"/>
        <w:wordWrap w:val="0"/>
        <w:spacing w:line="420" w:lineRule="exact"/>
        <w:ind w:left="1" w:leftChars="0" w:firstLine="480" w:firstLineChars="200"/>
        <w:rPr>
          <w:rFonts w:hint="eastAsia" w:ascii="宋体" w:hAnsi="宋体" w:eastAsia="宋体" w:cs="宋体"/>
          <w:sz w:val="24"/>
          <w:szCs w:val="24"/>
        </w:rPr>
      </w:pPr>
      <w:r>
        <w:rPr>
          <w:rFonts w:hint="eastAsia" w:ascii="宋体" w:hAnsi="宋体" w:eastAsia="宋体" w:cs="宋体"/>
          <w:sz w:val="24"/>
          <w:szCs w:val="24"/>
        </w:rPr>
        <w:t>2．我方已详细检查全部竞争性磋商文件包括澄清文件、补充通知（如有的话）及有关附件，并完全理解我方必须放弃提出含糊不清或误解的权力，愿按照竞争性磋商文件中的条款和要求按最后一次的报价作为最后报价。</w:t>
      </w:r>
    </w:p>
    <w:p w14:paraId="6F7A4FD1">
      <w:pPr>
        <w:pStyle w:val="11"/>
        <w:wordWrap w:val="0"/>
        <w:spacing w:line="420" w:lineRule="exact"/>
        <w:ind w:left="1" w:leftChars="0" w:firstLine="480" w:firstLineChars="200"/>
        <w:rPr>
          <w:rFonts w:hint="eastAsia" w:ascii="宋体" w:hAnsi="宋体" w:eastAsia="宋体" w:cs="宋体"/>
          <w:sz w:val="24"/>
          <w:szCs w:val="24"/>
        </w:rPr>
      </w:pPr>
      <w:r>
        <w:rPr>
          <w:rFonts w:hint="eastAsia" w:ascii="宋体" w:hAnsi="宋体" w:eastAsia="宋体" w:cs="宋体"/>
          <w:sz w:val="24"/>
          <w:szCs w:val="24"/>
        </w:rPr>
        <w:t>3．我方在此承诺，我方若能成交，保证在</w:t>
      </w:r>
      <w:r>
        <w:rPr>
          <w:rFonts w:hint="eastAsia" w:ascii="宋体" w:hAnsi="宋体" w:cs="宋体"/>
          <w:sz w:val="24"/>
          <w:szCs w:val="24"/>
          <w:lang w:val="en-US" w:eastAsia="zh-CN"/>
        </w:rPr>
        <w:t>服务</w:t>
      </w:r>
      <w:r>
        <w:rPr>
          <w:rFonts w:hint="eastAsia" w:ascii="宋体" w:hAnsi="宋体" w:eastAsia="宋体" w:cs="宋体"/>
          <w:sz w:val="24"/>
          <w:szCs w:val="24"/>
          <w:lang w:eastAsia="zh-CN"/>
        </w:rPr>
        <w:t>期</w:t>
      </w:r>
      <w:r>
        <w:rPr>
          <w:rFonts w:hint="eastAsia" w:ascii="宋体" w:hAnsi="宋体" w:cs="宋体"/>
          <w:sz w:val="24"/>
          <w:szCs w:val="24"/>
          <w:lang w:val="en-US" w:eastAsia="zh-CN"/>
        </w:rPr>
        <w:t>限</w:t>
      </w:r>
      <w:r>
        <w:rPr>
          <w:rFonts w:hint="eastAsia" w:ascii="宋体" w:hAnsi="宋体" w:eastAsia="宋体" w:cs="宋体"/>
          <w:sz w:val="24"/>
          <w:szCs w:val="24"/>
        </w:rPr>
        <w:t>内，全面履行竞争性磋商文件中规定的职责和义务。</w:t>
      </w:r>
    </w:p>
    <w:p w14:paraId="2E61719D">
      <w:pPr>
        <w:pStyle w:val="11"/>
        <w:wordWrap w:val="0"/>
        <w:spacing w:line="420" w:lineRule="exact"/>
        <w:ind w:left="1" w:leftChars="0" w:firstLine="480" w:firstLineChars="200"/>
        <w:rPr>
          <w:rFonts w:hint="eastAsia" w:ascii="宋体" w:hAnsi="宋体" w:eastAsia="宋体" w:cs="宋体"/>
          <w:sz w:val="24"/>
          <w:szCs w:val="24"/>
        </w:rPr>
      </w:pPr>
      <w:r>
        <w:rPr>
          <w:rFonts w:hint="eastAsia" w:ascii="宋体" w:hAnsi="宋体" w:eastAsia="宋体" w:cs="宋体"/>
          <w:sz w:val="24"/>
          <w:szCs w:val="24"/>
        </w:rPr>
        <w:t>4．如果我方成交，我方保证按合同条款中规定的内容执行；我方保证质量达到国家及行业现行标准规范规定的合格要求，并按竞争性磋商文件和有关规定提交一切资料。</w:t>
      </w:r>
    </w:p>
    <w:p w14:paraId="2BA66A85">
      <w:pPr>
        <w:pStyle w:val="11"/>
        <w:wordWrap w:val="0"/>
        <w:spacing w:line="420" w:lineRule="exact"/>
        <w:ind w:left="1" w:leftChars="0" w:firstLine="480" w:firstLineChars="200"/>
        <w:rPr>
          <w:rFonts w:hint="eastAsia" w:ascii="宋体" w:hAnsi="宋体" w:eastAsia="宋体" w:cs="宋体"/>
          <w:sz w:val="24"/>
          <w:szCs w:val="24"/>
        </w:rPr>
      </w:pPr>
      <w:r>
        <w:rPr>
          <w:rFonts w:hint="eastAsia" w:ascii="宋体" w:hAnsi="宋体" w:eastAsia="宋体" w:cs="宋体"/>
          <w:sz w:val="24"/>
          <w:szCs w:val="24"/>
        </w:rPr>
        <w:t>5．我方同意从60日历天（从磋商截止之日算起）内保持响应文件有效，在此有效期内，我方将严格遵守响应文件的承诺，本响应文件对我方具有约束力，并可随时被接受成交。</w:t>
      </w:r>
    </w:p>
    <w:p w14:paraId="434C3B25">
      <w:pPr>
        <w:pStyle w:val="11"/>
        <w:wordWrap w:val="0"/>
        <w:spacing w:line="420" w:lineRule="exact"/>
        <w:ind w:left="1" w:leftChars="0" w:firstLine="480" w:firstLineChars="200"/>
        <w:rPr>
          <w:rFonts w:hint="eastAsia" w:ascii="宋体" w:hAnsi="宋体" w:eastAsia="宋体" w:cs="宋体"/>
          <w:sz w:val="24"/>
          <w:szCs w:val="24"/>
        </w:rPr>
      </w:pPr>
      <w:r>
        <w:rPr>
          <w:rFonts w:hint="eastAsia" w:ascii="宋体" w:hAnsi="宋体" w:eastAsia="宋体" w:cs="宋体"/>
          <w:sz w:val="24"/>
          <w:szCs w:val="24"/>
        </w:rPr>
        <w:t>6．除响应文件所提交的资料外，我方同意随时接受贵方的检查、询问，并根据磋商需要补充贵方要求提交的资料。</w:t>
      </w:r>
    </w:p>
    <w:p w14:paraId="22B1A095">
      <w:pPr>
        <w:pStyle w:val="11"/>
        <w:wordWrap w:val="0"/>
        <w:spacing w:line="420" w:lineRule="exact"/>
        <w:ind w:left="1" w:leftChars="0" w:firstLine="480" w:firstLineChars="200"/>
        <w:rPr>
          <w:rFonts w:hint="eastAsia" w:ascii="宋体" w:hAnsi="宋体" w:eastAsia="宋体" w:cs="宋体"/>
          <w:sz w:val="24"/>
          <w:szCs w:val="24"/>
        </w:rPr>
      </w:pPr>
      <w:r>
        <w:rPr>
          <w:rFonts w:hint="eastAsia" w:ascii="宋体" w:hAnsi="宋体" w:eastAsia="宋体" w:cs="宋体"/>
          <w:sz w:val="24"/>
          <w:szCs w:val="24"/>
        </w:rPr>
        <w:t>7．如果我方成交后，我方没有任何正当理由而拒签合同，同时我方愿意补偿该项工作因我方延误所造成的经济损失。</w:t>
      </w:r>
    </w:p>
    <w:p w14:paraId="5AA689D8">
      <w:pPr>
        <w:pStyle w:val="11"/>
        <w:wordWrap w:val="0"/>
        <w:spacing w:line="420" w:lineRule="exact"/>
        <w:ind w:left="1" w:leftChars="0" w:firstLine="480" w:firstLineChars="200"/>
        <w:rPr>
          <w:rFonts w:hint="eastAsia" w:ascii="宋体" w:hAnsi="宋体" w:eastAsia="宋体" w:cs="宋体"/>
          <w:sz w:val="24"/>
          <w:szCs w:val="24"/>
        </w:rPr>
      </w:pPr>
      <w:r>
        <w:rPr>
          <w:rFonts w:hint="eastAsia" w:ascii="宋体" w:hAnsi="宋体" w:eastAsia="宋体" w:cs="宋体"/>
          <w:sz w:val="24"/>
          <w:szCs w:val="24"/>
        </w:rPr>
        <w:t>8．我方愿接受合同条款中规定的合同价款计算和调整方式。</w:t>
      </w:r>
    </w:p>
    <w:p w14:paraId="1A5F19D5">
      <w:pPr>
        <w:pStyle w:val="11"/>
        <w:wordWrap w:val="0"/>
        <w:spacing w:line="420" w:lineRule="exact"/>
        <w:ind w:left="1" w:leftChars="0" w:firstLine="480" w:firstLineChars="200"/>
        <w:rPr>
          <w:rFonts w:hint="eastAsia" w:ascii="宋体" w:hAnsi="宋体" w:eastAsia="宋体" w:cs="宋体"/>
          <w:sz w:val="24"/>
          <w:szCs w:val="24"/>
        </w:rPr>
      </w:pPr>
      <w:r>
        <w:rPr>
          <w:rFonts w:hint="eastAsia" w:ascii="宋体" w:hAnsi="宋体" w:eastAsia="宋体" w:cs="宋体"/>
          <w:sz w:val="24"/>
          <w:szCs w:val="24"/>
        </w:rPr>
        <w:t>9．除非另外达成协议并生效，贵方的成交通知书和本响应文件将成为约束我方的合同文件组成部分。</w:t>
      </w:r>
    </w:p>
    <w:p w14:paraId="46C2F19D">
      <w:pPr>
        <w:pStyle w:val="11"/>
        <w:wordWrap w:val="0"/>
        <w:spacing w:line="420" w:lineRule="exact"/>
        <w:ind w:left="0" w:leftChars="0" w:firstLine="0" w:firstLineChars="0"/>
        <w:rPr>
          <w:rFonts w:hint="eastAsia" w:ascii="宋体" w:hAnsi="宋体" w:eastAsia="宋体" w:cs="宋体"/>
          <w:sz w:val="24"/>
          <w:szCs w:val="24"/>
        </w:rPr>
      </w:pPr>
    </w:p>
    <w:p w14:paraId="3F4D2F47">
      <w:pPr>
        <w:pStyle w:val="11"/>
        <w:wordWrap w:val="0"/>
        <w:spacing w:line="420" w:lineRule="exact"/>
        <w:ind w:left="1" w:leftChars="0"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（单位电子签章）</w:t>
      </w:r>
    </w:p>
    <w:p w14:paraId="21D5F4E2">
      <w:pPr>
        <w:pStyle w:val="11"/>
        <w:wordWrap w:val="0"/>
        <w:spacing w:line="420" w:lineRule="exact"/>
        <w:ind w:left="1" w:leftChars="0" w:firstLine="480" w:firstLineChars="200"/>
        <w:jc w:val="right"/>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cs="宋体"/>
          <w:sz w:val="24"/>
          <w:szCs w:val="24"/>
          <w:lang w:eastAsia="zh-CN"/>
        </w:rPr>
        <w:t>（</w:t>
      </w:r>
      <w:r>
        <w:rPr>
          <w:rFonts w:hint="eastAsia" w:ascii="宋体" w:hAnsi="宋体" w:cs="宋体"/>
          <w:sz w:val="24"/>
          <w:szCs w:val="24"/>
          <w:lang w:val="en-US" w:eastAsia="zh-CN"/>
        </w:rPr>
        <w:t>负责人）</w:t>
      </w:r>
      <w:r>
        <w:rPr>
          <w:rFonts w:hint="eastAsia" w:ascii="宋体" w:hAnsi="宋体" w:eastAsia="宋体" w:cs="宋体"/>
          <w:sz w:val="24"/>
          <w:szCs w:val="24"/>
        </w:rPr>
        <w:t>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（电子签名或盖章）</w:t>
      </w:r>
    </w:p>
    <w:p w14:paraId="643EDBFD">
      <w:pPr>
        <w:pStyle w:val="11"/>
        <w:wordWrap w:val="0"/>
        <w:spacing w:line="420" w:lineRule="exact"/>
        <w:ind w:left="1" w:leftChars="0" w:firstLine="480" w:firstLineChars="200"/>
        <w:jc w:val="right"/>
        <w:rPr>
          <w:rFonts w:hint="eastAsia" w:ascii="宋体" w:hAnsi="宋体" w:eastAsia="宋体" w:cs="宋体"/>
          <w:b/>
          <w:kern w:val="0"/>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F26ED66">
      <w:pPr>
        <w:wordWrap w:val="0"/>
        <w:autoSpaceDE w:val="0"/>
        <w:autoSpaceDN w:val="0"/>
        <w:adjustRightInd w:val="0"/>
        <w:snapToGrid w:val="0"/>
        <w:spacing w:line="360" w:lineRule="auto"/>
        <w:ind w:firstLine="4320" w:firstLineChars="1800"/>
        <w:jc w:val="right"/>
        <w:rPr>
          <w:rFonts w:hint="eastAsia" w:ascii="宋体" w:hAnsi="宋体" w:eastAsia="宋体" w:cs="宋体"/>
          <w:kern w:val="0"/>
          <w:sz w:val="24"/>
          <w:szCs w:val="24"/>
        </w:rPr>
        <w:sectPr>
          <w:footerReference r:id="rId13" w:type="default"/>
          <w:pgSz w:w="11906" w:h="16838"/>
          <w:pgMar w:top="1418" w:right="1418" w:bottom="1418" w:left="1418" w:header="851" w:footer="850" w:gutter="0"/>
          <w:cols w:space="720" w:num="1"/>
          <w:docGrid w:linePitch="312" w:charSpace="0"/>
        </w:sectPr>
      </w:pPr>
    </w:p>
    <w:bookmarkEnd w:id="787"/>
    <w:p w14:paraId="04C5412A">
      <w:pPr>
        <w:wordWrap w:val="0"/>
        <w:spacing w:line="420" w:lineRule="exact"/>
        <w:jc w:val="center"/>
        <w:outlineLvl w:val="2"/>
        <w:rPr>
          <w:rFonts w:hint="eastAsia" w:ascii="宋体" w:hAnsi="宋体" w:cs="宋体"/>
          <w:b/>
          <w:bCs/>
          <w:sz w:val="28"/>
          <w:szCs w:val="28"/>
        </w:rPr>
      </w:pPr>
      <w:bookmarkStart w:id="791" w:name="_Toc8862"/>
      <w:bookmarkStart w:id="792" w:name="_Toc11398"/>
      <w:bookmarkStart w:id="793" w:name="_Toc28667"/>
    </w:p>
    <w:p w14:paraId="694FAC67">
      <w:pPr>
        <w:wordWrap w:val="0"/>
        <w:spacing w:line="420" w:lineRule="exact"/>
        <w:jc w:val="center"/>
        <w:outlineLvl w:val="2"/>
        <w:rPr>
          <w:rFonts w:hint="eastAsia" w:ascii="宋体" w:hAnsi="宋体" w:cs="宋体"/>
          <w:b/>
          <w:bCs/>
          <w:sz w:val="28"/>
          <w:szCs w:val="28"/>
        </w:rPr>
      </w:pPr>
    </w:p>
    <w:p w14:paraId="0543143D">
      <w:pPr>
        <w:wordWrap w:val="0"/>
        <w:spacing w:line="420" w:lineRule="exact"/>
        <w:jc w:val="center"/>
        <w:outlineLvl w:val="2"/>
        <w:rPr>
          <w:rFonts w:ascii="宋体" w:hAnsi="宋体" w:cs="宋体"/>
          <w:b/>
          <w:bCs/>
          <w:sz w:val="28"/>
          <w:szCs w:val="28"/>
        </w:rPr>
      </w:pPr>
      <w:r>
        <w:rPr>
          <w:rFonts w:hint="eastAsia" w:ascii="宋体" w:hAnsi="宋体" w:cs="宋体"/>
          <w:b/>
          <w:bCs/>
          <w:sz w:val="28"/>
          <w:szCs w:val="28"/>
        </w:rPr>
        <w:t>（二）响应函附录</w:t>
      </w:r>
      <w:bookmarkEnd w:id="791"/>
      <w:bookmarkEnd w:id="792"/>
    </w:p>
    <w:tbl>
      <w:tblPr>
        <w:tblStyle w:val="19"/>
        <w:tblpPr w:leftFromText="180" w:rightFromText="180" w:vertAnchor="text" w:horzAnchor="page" w:tblpXSpec="center" w:tblpY="568"/>
        <w:tblOverlap w:val="never"/>
        <w:tblW w:w="8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2788"/>
        <w:gridCol w:w="3726"/>
      </w:tblGrid>
      <w:tr w14:paraId="5B2E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3" w:type="dxa"/>
            <w:tcBorders>
              <w:top w:val="single" w:color="auto" w:sz="4" w:space="0"/>
              <w:left w:val="single" w:color="auto" w:sz="4" w:space="0"/>
              <w:bottom w:val="single" w:color="auto" w:sz="4" w:space="0"/>
              <w:right w:val="single" w:color="auto" w:sz="4" w:space="0"/>
            </w:tcBorders>
            <w:vAlign w:val="center"/>
          </w:tcPr>
          <w:p w14:paraId="4F58EF70">
            <w:pPr>
              <w:wordWrap w:val="0"/>
              <w:jc w:val="center"/>
              <w:rPr>
                <w:rFonts w:hint="eastAsia" w:ascii="宋体" w:hAnsi="宋体" w:eastAsia="宋体" w:cs="宋体"/>
                <w:sz w:val="24"/>
                <w:szCs w:val="24"/>
                <w:lang w:eastAsia="zh-CN"/>
              </w:rPr>
            </w:pPr>
            <w:r>
              <w:rPr>
                <w:rFonts w:hint="eastAsia" w:ascii="宋体" w:hAnsi="宋体" w:cs="宋体"/>
                <w:sz w:val="24"/>
                <w:szCs w:val="24"/>
                <w:lang w:val="en-US" w:eastAsia="zh-CN"/>
              </w:rPr>
              <w:t>项目</w:t>
            </w:r>
            <w:r>
              <w:rPr>
                <w:rFonts w:hint="eastAsia" w:ascii="宋体" w:hAnsi="宋体" w:cs="宋体"/>
                <w:sz w:val="24"/>
                <w:szCs w:val="24"/>
                <w:lang w:eastAsia="zh-CN"/>
              </w:rPr>
              <w:t>名称</w:t>
            </w:r>
          </w:p>
        </w:tc>
        <w:tc>
          <w:tcPr>
            <w:tcW w:w="6514" w:type="dxa"/>
            <w:gridSpan w:val="2"/>
            <w:tcBorders>
              <w:top w:val="single" w:color="auto" w:sz="4" w:space="0"/>
              <w:left w:val="single" w:color="auto" w:sz="4" w:space="0"/>
              <w:bottom w:val="single" w:color="auto" w:sz="4" w:space="0"/>
              <w:right w:val="single" w:color="auto" w:sz="4" w:space="0"/>
            </w:tcBorders>
            <w:vAlign w:val="center"/>
          </w:tcPr>
          <w:p w14:paraId="10A573B3">
            <w:pPr>
              <w:wordWrap w:val="0"/>
              <w:rPr>
                <w:rFonts w:ascii="宋体" w:hAnsi="宋体" w:cs="宋体"/>
                <w:sz w:val="24"/>
                <w:szCs w:val="24"/>
              </w:rPr>
            </w:pPr>
          </w:p>
        </w:tc>
      </w:tr>
      <w:tr w14:paraId="0B47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3" w:type="dxa"/>
            <w:tcBorders>
              <w:top w:val="single" w:color="auto" w:sz="4" w:space="0"/>
              <w:left w:val="single" w:color="auto" w:sz="4" w:space="0"/>
              <w:bottom w:val="single" w:color="auto" w:sz="4" w:space="0"/>
              <w:right w:val="single" w:color="auto" w:sz="4" w:space="0"/>
            </w:tcBorders>
            <w:vAlign w:val="center"/>
          </w:tcPr>
          <w:p w14:paraId="69F4D688">
            <w:pPr>
              <w:wordWrap w:val="0"/>
              <w:jc w:val="center"/>
              <w:rPr>
                <w:rFonts w:ascii="宋体" w:hAnsi="宋体" w:cs="宋体"/>
                <w:sz w:val="24"/>
                <w:szCs w:val="24"/>
              </w:rPr>
            </w:pPr>
            <w:r>
              <w:rPr>
                <w:rFonts w:hint="eastAsia" w:ascii="宋体" w:hAnsi="宋体" w:cs="宋体"/>
                <w:sz w:val="24"/>
                <w:szCs w:val="24"/>
              </w:rPr>
              <w:t>供应商名称</w:t>
            </w:r>
          </w:p>
        </w:tc>
        <w:tc>
          <w:tcPr>
            <w:tcW w:w="6514" w:type="dxa"/>
            <w:gridSpan w:val="2"/>
            <w:tcBorders>
              <w:top w:val="single" w:color="auto" w:sz="4" w:space="0"/>
              <w:left w:val="single" w:color="auto" w:sz="4" w:space="0"/>
              <w:bottom w:val="single" w:color="auto" w:sz="4" w:space="0"/>
              <w:right w:val="single" w:color="auto" w:sz="4" w:space="0"/>
            </w:tcBorders>
            <w:vAlign w:val="center"/>
          </w:tcPr>
          <w:p w14:paraId="419B88CC">
            <w:pPr>
              <w:wordWrap w:val="0"/>
              <w:rPr>
                <w:rFonts w:ascii="宋体" w:hAnsi="宋体" w:cs="宋体"/>
                <w:sz w:val="24"/>
                <w:szCs w:val="24"/>
              </w:rPr>
            </w:pPr>
          </w:p>
        </w:tc>
      </w:tr>
      <w:tr w14:paraId="582D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3" w:type="dxa"/>
            <w:vMerge w:val="restart"/>
            <w:tcBorders>
              <w:top w:val="single" w:color="auto" w:sz="4" w:space="0"/>
              <w:left w:val="single" w:color="auto" w:sz="4" w:space="0"/>
              <w:right w:val="single" w:color="auto" w:sz="4" w:space="0"/>
            </w:tcBorders>
            <w:vAlign w:val="center"/>
          </w:tcPr>
          <w:p w14:paraId="3B049B78">
            <w:pPr>
              <w:wordWrap w:val="0"/>
              <w:jc w:val="center"/>
              <w:rPr>
                <w:rFonts w:ascii="宋体" w:hAnsi="宋体" w:cs="宋体"/>
                <w:sz w:val="24"/>
                <w:szCs w:val="24"/>
              </w:rPr>
            </w:pPr>
            <w:r>
              <w:rPr>
                <w:rFonts w:hint="eastAsia" w:ascii="宋体" w:hAnsi="宋体" w:cs="宋体"/>
                <w:sz w:val="24"/>
                <w:szCs w:val="24"/>
              </w:rPr>
              <w:t>磋商报价（元）</w:t>
            </w:r>
          </w:p>
        </w:tc>
        <w:tc>
          <w:tcPr>
            <w:tcW w:w="2788" w:type="dxa"/>
            <w:tcBorders>
              <w:top w:val="single" w:color="auto" w:sz="4" w:space="0"/>
              <w:left w:val="single" w:color="auto" w:sz="4" w:space="0"/>
              <w:bottom w:val="single" w:color="auto" w:sz="4" w:space="0"/>
              <w:right w:val="single" w:color="auto" w:sz="4" w:space="0"/>
            </w:tcBorders>
            <w:vAlign w:val="center"/>
          </w:tcPr>
          <w:p w14:paraId="39CFE6F2">
            <w:pPr>
              <w:wordWrap w:val="0"/>
              <w:rPr>
                <w:rFonts w:ascii="宋体" w:hAnsi="宋体" w:cs="宋体"/>
                <w:sz w:val="24"/>
                <w:szCs w:val="24"/>
              </w:rPr>
            </w:pPr>
            <w:r>
              <w:rPr>
                <w:rFonts w:hint="eastAsia" w:ascii="宋体" w:hAnsi="宋体" w:cs="宋体"/>
                <w:sz w:val="24"/>
                <w:szCs w:val="24"/>
              </w:rPr>
              <w:t>（大写）</w:t>
            </w:r>
          </w:p>
        </w:tc>
        <w:tc>
          <w:tcPr>
            <w:tcW w:w="3726" w:type="dxa"/>
            <w:tcBorders>
              <w:top w:val="single" w:color="auto" w:sz="4" w:space="0"/>
              <w:left w:val="single" w:color="auto" w:sz="4" w:space="0"/>
              <w:bottom w:val="single" w:color="auto" w:sz="4" w:space="0"/>
              <w:right w:val="single" w:color="auto" w:sz="4" w:space="0"/>
            </w:tcBorders>
            <w:vAlign w:val="center"/>
          </w:tcPr>
          <w:p w14:paraId="683A44E7">
            <w:pPr>
              <w:wordWrap w:val="0"/>
              <w:rPr>
                <w:rFonts w:ascii="宋体" w:hAnsi="宋体" w:cs="宋体"/>
                <w:sz w:val="24"/>
                <w:szCs w:val="24"/>
              </w:rPr>
            </w:pPr>
            <w:r>
              <w:rPr>
                <w:rFonts w:hint="eastAsia" w:ascii="宋体" w:hAnsi="宋体" w:cs="宋体"/>
                <w:sz w:val="24"/>
                <w:szCs w:val="24"/>
              </w:rPr>
              <w:t>（小写）</w:t>
            </w:r>
          </w:p>
        </w:tc>
      </w:tr>
      <w:tr w14:paraId="4630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3" w:type="dxa"/>
            <w:vMerge w:val="continue"/>
            <w:tcBorders>
              <w:left w:val="single" w:color="auto" w:sz="4" w:space="0"/>
              <w:bottom w:val="single" w:color="auto" w:sz="4" w:space="0"/>
              <w:right w:val="single" w:color="auto" w:sz="4" w:space="0"/>
            </w:tcBorders>
            <w:vAlign w:val="center"/>
          </w:tcPr>
          <w:p w14:paraId="41968904">
            <w:pPr>
              <w:wordWrap w:val="0"/>
              <w:ind w:firstLine="480"/>
              <w:jc w:val="center"/>
              <w:rPr>
                <w:rFonts w:ascii="宋体" w:hAnsi="宋体" w:cs="宋体"/>
                <w:sz w:val="24"/>
                <w:szCs w:val="24"/>
              </w:rPr>
            </w:pPr>
          </w:p>
        </w:tc>
        <w:tc>
          <w:tcPr>
            <w:tcW w:w="6514" w:type="dxa"/>
            <w:gridSpan w:val="2"/>
            <w:tcBorders>
              <w:top w:val="single" w:color="auto" w:sz="4" w:space="0"/>
              <w:left w:val="single" w:color="auto" w:sz="4" w:space="0"/>
              <w:bottom w:val="single" w:color="auto" w:sz="4" w:space="0"/>
              <w:right w:val="single" w:color="auto" w:sz="4" w:space="0"/>
            </w:tcBorders>
            <w:vAlign w:val="center"/>
          </w:tcPr>
          <w:p w14:paraId="62A79D5A">
            <w:pPr>
              <w:wordWrap w:val="0"/>
              <w:rPr>
                <w:rFonts w:ascii="宋体" w:hAnsi="宋体" w:cs="宋体"/>
                <w:sz w:val="24"/>
                <w:szCs w:val="24"/>
              </w:rPr>
            </w:pPr>
            <w:r>
              <w:rPr>
                <w:rFonts w:hint="eastAsia" w:ascii="宋体" w:hAnsi="宋体" w:cs="宋体"/>
                <w:sz w:val="24"/>
                <w:szCs w:val="24"/>
              </w:rPr>
              <w:t>（供应商应在此填列第一次报价，但以供应商最后一次的磋商报价为成交价）</w:t>
            </w:r>
          </w:p>
        </w:tc>
      </w:tr>
      <w:tr w14:paraId="26BC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3" w:type="dxa"/>
            <w:tcBorders>
              <w:top w:val="single" w:color="auto" w:sz="4" w:space="0"/>
              <w:left w:val="single" w:color="auto" w:sz="4" w:space="0"/>
              <w:bottom w:val="single" w:color="auto" w:sz="4" w:space="0"/>
              <w:right w:val="single" w:color="auto" w:sz="4" w:space="0"/>
            </w:tcBorders>
            <w:vAlign w:val="center"/>
          </w:tcPr>
          <w:p w14:paraId="751BFF24">
            <w:pPr>
              <w:wordWrap w:val="0"/>
              <w:jc w:val="center"/>
              <w:rPr>
                <w:rFonts w:hint="eastAsia" w:ascii="宋体" w:hAnsi="宋体" w:eastAsia="宋体" w:cs="宋体"/>
                <w:sz w:val="24"/>
                <w:szCs w:val="24"/>
                <w:lang w:eastAsia="zh-CN"/>
              </w:rPr>
            </w:pPr>
            <w:r>
              <w:rPr>
                <w:rFonts w:hint="eastAsia" w:ascii="宋体" w:hAnsi="宋体" w:cs="宋体"/>
                <w:sz w:val="24"/>
                <w:szCs w:val="24"/>
                <w:lang w:val="en-US" w:eastAsia="zh-CN"/>
              </w:rPr>
              <w:t>服务期限</w:t>
            </w:r>
          </w:p>
        </w:tc>
        <w:tc>
          <w:tcPr>
            <w:tcW w:w="6514" w:type="dxa"/>
            <w:gridSpan w:val="2"/>
            <w:tcBorders>
              <w:top w:val="single" w:color="auto" w:sz="4" w:space="0"/>
              <w:left w:val="single" w:color="auto" w:sz="4" w:space="0"/>
              <w:bottom w:val="single" w:color="auto" w:sz="4" w:space="0"/>
              <w:right w:val="single" w:color="auto" w:sz="4" w:space="0"/>
            </w:tcBorders>
            <w:vAlign w:val="center"/>
          </w:tcPr>
          <w:p w14:paraId="1B7D7E71">
            <w:pPr>
              <w:wordWrap w:val="0"/>
              <w:rPr>
                <w:rFonts w:ascii="宋体" w:hAnsi="宋体" w:cs="宋体"/>
                <w:sz w:val="24"/>
                <w:szCs w:val="24"/>
              </w:rPr>
            </w:pPr>
          </w:p>
        </w:tc>
      </w:tr>
      <w:tr w14:paraId="481B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3" w:type="dxa"/>
            <w:tcBorders>
              <w:top w:val="single" w:color="auto" w:sz="4" w:space="0"/>
              <w:left w:val="single" w:color="auto" w:sz="4" w:space="0"/>
              <w:bottom w:val="single" w:color="auto" w:sz="4" w:space="0"/>
              <w:right w:val="single" w:color="auto" w:sz="4" w:space="0"/>
            </w:tcBorders>
            <w:vAlign w:val="center"/>
          </w:tcPr>
          <w:p w14:paraId="64A5368F">
            <w:pPr>
              <w:wordWrap w:val="0"/>
              <w:jc w:val="center"/>
              <w:rPr>
                <w:rFonts w:hint="eastAsia" w:ascii="宋体" w:hAnsi="宋体" w:eastAsia="宋体" w:cs="宋体"/>
                <w:sz w:val="24"/>
                <w:szCs w:val="24"/>
                <w:lang w:eastAsia="zh-CN"/>
              </w:rPr>
            </w:pPr>
            <w:r>
              <w:rPr>
                <w:rFonts w:hint="eastAsia" w:ascii="宋体" w:hAnsi="宋体" w:cs="宋体"/>
                <w:sz w:val="24"/>
                <w:szCs w:val="24"/>
                <w:lang w:eastAsia="zh-CN"/>
              </w:rPr>
              <w:t>质量要求</w:t>
            </w:r>
          </w:p>
        </w:tc>
        <w:tc>
          <w:tcPr>
            <w:tcW w:w="6514" w:type="dxa"/>
            <w:gridSpan w:val="2"/>
            <w:tcBorders>
              <w:top w:val="single" w:color="auto" w:sz="4" w:space="0"/>
              <w:left w:val="single" w:color="auto" w:sz="4" w:space="0"/>
              <w:bottom w:val="single" w:color="auto" w:sz="4" w:space="0"/>
              <w:right w:val="single" w:color="auto" w:sz="4" w:space="0"/>
            </w:tcBorders>
            <w:vAlign w:val="center"/>
          </w:tcPr>
          <w:p w14:paraId="023189A2">
            <w:pPr>
              <w:wordWrap w:val="0"/>
              <w:rPr>
                <w:rFonts w:ascii="宋体" w:hAnsi="宋体" w:cs="宋体"/>
                <w:sz w:val="24"/>
                <w:szCs w:val="24"/>
              </w:rPr>
            </w:pPr>
          </w:p>
        </w:tc>
      </w:tr>
      <w:tr w14:paraId="3B4F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3" w:type="dxa"/>
            <w:tcBorders>
              <w:top w:val="single" w:color="auto" w:sz="4" w:space="0"/>
              <w:left w:val="single" w:color="auto" w:sz="4" w:space="0"/>
              <w:bottom w:val="single" w:color="auto" w:sz="4" w:space="0"/>
              <w:right w:val="single" w:color="auto" w:sz="4" w:space="0"/>
            </w:tcBorders>
            <w:vAlign w:val="center"/>
          </w:tcPr>
          <w:p w14:paraId="49D7FFD2">
            <w:pPr>
              <w:wordWrap w:val="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项目负责人</w:t>
            </w:r>
          </w:p>
        </w:tc>
        <w:tc>
          <w:tcPr>
            <w:tcW w:w="6514" w:type="dxa"/>
            <w:gridSpan w:val="2"/>
            <w:tcBorders>
              <w:top w:val="single" w:color="auto" w:sz="4" w:space="0"/>
              <w:left w:val="single" w:color="auto" w:sz="4" w:space="0"/>
              <w:bottom w:val="single" w:color="auto" w:sz="4" w:space="0"/>
              <w:right w:val="single" w:color="auto" w:sz="4" w:space="0"/>
            </w:tcBorders>
            <w:vAlign w:val="center"/>
          </w:tcPr>
          <w:p w14:paraId="19F825A1">
            <w:pPr>
              <w:wordWrap w:val="0"/>
              <w:jc w:val="both"/>
              <w:rPr>
                <w:rFonts w:hint="default" w:ascii="宋体" w:hAnsi="宋体" w:eastAsia="宋体" w:cs="宋体"/>
                <w:sz w:val="24"/>
                <w:szCs w:val="24"/>
                <w:highlight w:val="none"/>
                <w:lang w:val="en-US" w:eastAsia="zh-CN"/>
              </w:rPr>
            </w:pPr>
          </w:p>
        </w:tc>
      </w:tr>
      <w:tr w14:paraId="3C82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3" w:type="dxa"/>
            <w:tcBorders>
              <w:top w:val="single" w:color="auto" w:sz="4" w:space="0"/>
              <w:left w:val="single" w:color="auto" w:sz="4" w:space="0"/>
              <w:bottom w:val="single" w:color="auto" w:sz="4" w:space="0"/>
              <w:right w:val="single" w:color="auto" w:sz="4" w:space="0"/>
            </w:tcBorders>
            <w:vAlign w:val="center"/>
          </w:tcPr>
          <w:p w14:paraId="5B30FBC3">
            <w:pPr>
              <w:wordWrap w:val="0"/>
              <w:jc w:val="center"/>
              <w:rPr>
                <w:rFonts w:ascii="宋体" w:hAnsi="宋体" w:cs="宋体"/>
                <w:sz w:val="24"/>
                <w:szCs w:val="24"/>
              </w:rPr>
            </w:pPr>
            <w:r>
              <w:rPr>
                <w:rFonts w:hint="eastAsia" w:ascii="宋体" w:hAnsi="宋体" w:cs="宋体"/>
                <w:sz w:val="24"/>
                <w:szCs w:val="24"/>
              </w:rPr>
              <w:t>磋商有效期</w:t>
            </w:r>
          </w:p>
        </w:tc>
        <w:tc>
          <w:tcPr>
            <w:tcW w:w="6514" w:type="dxa"/>
            <w:gridSpan w:val="2"/>
            <w:tcBorders>
              <w:top w:val="single" w:color="auto" w:sz="4" w:space="0"/>
              <w:left w:val="single" w:color="auto" w:sz="4" w:space="0"/>
              <w:bottom w:val="single" w:color="auto" w:sz="4" w:space="0"/>
              <w:right w:val="single" w:color="auto" w:sz="4" w:space="0"/>
            </w:tcBorders>
            <w:vAlign w:val="center"/>
          </w:tcPr>
          <w:p w14:paraId="2D761AEE">
            <w:pPr>
              <w:wordWrap w:val="0"/>
              <w:rPr>
                <w:rFonts w:ascii="宋体" w:hAnsi="宋体" w:cs="宋体"/>
                <w:sz w:val="24"/>
                <w:szCs w:val="24"/>
              </w:rPr>
            </w:pPr>
          </w:p>
        </w:tc>
      </w:tr>
      <w:tr w14:paraId="5723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3" w:type="dxa"/>
            <w:tcBorders>
              <w:top w:val="single" w:color="auto" w:sz="4" w:space="0"/>
              <w:left w:val="single" w:color="auto" w:sz="4" w:space="0"/>
              <w:bottom w:val="single" w:color="auto" w:sz="4" w:space="0"/>
              <w:right w:val="single" w:color="auto" w:sz="4" w:space="0"/>
            </w:tcBorders>
            <w:vAlign w:val="center"/>
          </w:tcPr>
          <w:p w14:paraId="1FE08937">
            <w:pPr>
              <w:wordWrap w:val="0"/>
              <w:jc w:val="center"/>
              <w:rPr>
                <w:rFonts w:ascii="宋体" w:hAnsi="宋体" w:cs="宋体"/>
                <w:sz w:val="24"/>
                <w:szCs w:val="24"/>
              </w:rPr>
            </w:pPr>
            <w:r>
              <w:rPr>
                <w:rFonts w:hint="eastAsia" w:ascii="宋体" w:hAnsi="宋体" w:cs="宋体"/>
                <w:sz w:val="24"/>
                <w:szCs w:val="24"/>
              </w:rPr>
              <w:t>备注</w:t>
            </w:r>
          </w:p>
        </w:tc>
        <w:tc>
          <w:tcPr>
            <w:tcW w:w="6514" w:type="dxa"/>
            <w:gridSpan w:val="2"/>
            <w:tcBorders>
              <w:top w:val="single" w:color="auto" w:sz="4" w:space="0"/>
              <w:left w:val="single" w:color="auto" w:sz="4" w:space="0"/>
              <w:bottom w:val="single" w:color="auto" w:sz="4" w:space="0"/>
              <w:right w:val="single" w:color="auto" w:sz="4" w:space="0"/>
            </w:tcBorders>
            <w:vAlign w:val="center"/>
          </w:tcPr>
          <w:p w14:paraId="4D2A3A56">
            <w:pPr>
              <w:wordWrap w:val="0"/>
              <w:jc w:val="center"/>
              <w:rPr>
                <w:rFonts w:ascii="宋体" w:hAnsi="宋体" w:cs="宋体"/>
                <w:sz w:val="24"/>
                <w:szCs w:val="24"/>
                <w:lang w:val="ru-RU"/>
              </w:rPr>
            </w:pPr>
          </w:p>
        </w:tc>
      </w:tr>
    </w:tbl>
    <w:p w14:paraId="2D836BCB">
      <w:pPr>
        <w:wordWrap w:val="0"/>
        <w:spacing w:line="420" w:lineRule="exact"/>
        <w:rPr>
          <w:rFonts w:ascii="宋体" w:hAnsi="宋体" w:cs="宋体"/>
          <w:sz w:val="24"/>
        </w:rPr>
      </w:pPr>
    </w:p>
    <w:p w14:paraId="3199173B">
      <w:pPr>
        <w:wordWrap w:val="0"/>
        <w:spacing w:line="420" w:lineRule="exact"/>
        <w:rPr>
          <w:rFonts w:ascii="宋体" w:hAnsi="宋体" w:cs="宋体"/>
          <w:sz w:val="24"/>
        </w:rPr>
      </w:pPr>
    </w:p>
    <w:p w14:paraId="4F928FDC">
      <w:pPr>
        <w:wordWrap w:val="0"/>
        <w:spacing w:line="420" w:lineRule="exact"/>
        <w:rPr>
          <w:rFonts w:ascii="宋体" w:hAnsi="宋体" w:cs="宋体"/>
          <w:sz w:val="24"/>
          <w:szCs w:val="24"/>
        </w:rPr>
      </w:pPr>
    </w:p>
    <w:p w14:paraId="774551F0">
      <w:pPr>
        <w:wordWrap w:val="0"/>
        <w:spacing w:line="420" w:lineRule="exact"/>
        <w:jc w:val="right"/>
        <w:rPr>
          <w:rFonts w:hint="eastAsia" w:ascii="宋体" w:hAnsi="宋体" w:cs="宋体"/>
          <w:sz w:val="24"/>
          <w:szCs w:val="24"/>
        </w:rPr>
      </w:pPr>
    </w:p>
    <w:p w14:paraId="44EC943F">
      <w:pPr>
        <w:wordWrap w:val="0"/>
        <w:spacing w:line="420" w:lineRule="exact"/>
        <w:jc w:val="right"/>
        <w:rPr>
          <w:rFonts w:hint="eastAsia" w:ascii="宋体" w:hAnsi="宋体" w:cs="宋体"/>
          <w:sz w:val="24"/>
          <w:szCs w:val="24"/>
        </w:rPr>
      </w:pPr>
    </w:p>
    <w:p w14:paraId="59E81866">
      <w:pPr>
        <w:wordWrap w:val="0"/>
        <w:spacing w:line="420" w:lineRule="exact"/>
        <w:jc w:val="right"/>
        <w:rPr>
          <w:rFonts w:hint="eastAsia" w:ascii="宋体" w:hAnsi="宋体" w:cs="宋体"/>
          <w:sz w:val="24"/>
          <w:szCs w:val="24"/>
        </w:rPr>
      </w:pPr>
    </w:p>
    <w:p w14:paraId="73C51E8F">
      <w:pPr>
        <w:wordWrap w:val="0"/>
        <w:spacing w:line="420" w:lineRule="exact"/>
        <w:jc w:val="right"/>
        <w:rPr>
          <w:rFonts w:hint="eastAsia" w:ascii="宋体" w:hAnsi="宋体" w:cs="宋体"/>
          <w:sz w:val="24"/>
          <w:szCs w:val="24"/>
        </w:rPr>
      </w:pPr>
    </w:p>
    <w:p w14:paraId="5B77F7BD">
      <w:pPr>
        <w:wordWrap w:val="0"/>
        <w:spacing w:line="420" w:lineRule="exact"/>
        <w:jc w:val="right"/>
        <w:rPr>
          <w:rFonts w:hint="eastAsia" w:ascii="宋体" w:hAnsi="宋体" w:cs="宋体"/>
          <w:sz w:val="24"/>
          <w:szCs w:val="24"/>
        </w:rPr>
      </w:pPr>
    </w:p>
    <w:p w14:paraId="66F43AEB">
      <w:pPr>
        <w:wordWrap w:val="0"/>
        <w:spacing w:line="420" w:lineRule="exact"/>
        <w:jc w:val="right"/>
        <w:rPr>
          <w:rFonts w:hint="eastAsia" w:ascii="宋体" w:hAnsi="宋体" w:cs="宋体"/>
          <w:sz w:val="24"/>
          <w:szCs w:val="24"/>
        </w:rPr>
      </w:pPr>
    </w:p>
    <w:p w14:paraId="4D857F26">
      <w:pPr>
        <w:wordWrap w:val="0"/>
        <w:spacing w:line="420" w:lineRule="exact"/>
        <w:jc w:val="right"/>
        <w:rPr>
          <w:rFonts w:hint="eastAsia" w:ascii="宋体" w:hAnsi="宋体" w:cs="宋体"/>
          <w:sz w:val="24"/>
          <w:szCs w:val="24"/>
        </w:rPr>
      </w:pPr>
    </w:p>
    <w:p w14:paraId="4C04D39B">
      <w:pPr>
        <w:wordWrap w:val="0"/>
        <w:spacing w:line="420" w:lineRule="exact"/>
        <w:jc w:val="right"/>
        <w:rPr>
          <w:rFonts w:hint="eastAsia" w:ascii="宋体" w:hAnsi="宋体" w:cs="宋体"/>
          <w:sz w:val="24"/>
          <w:szCs w:val="24"/>
        </w:rPr>
      </w:pPr>
    </w:p>
    <w:p w14:paraId="7BEEE35A">
      <w:pPr>
        <w:wordWrap w:val="0"/>
        <w:spacing w:line="420" w:lineRule="exact"/>
        <w:jc w:val="right"/>
        <w:rPr>
          <w:rFonts w:hint="eastAsia" w:ascii="宋体" w:hAnsi="宋体" w:cs="宋体"/>
          <w:sz w:val="24"/>
          <w:szCs w:val="24"/>
        </w:rPr>
      </w:pPr>
    </w:p>
    <w:p w14:paraId="5C240FD1">
      <w:pPr>
        <w:wordWrap w:val="0"/>
        <w:spacing w:line="420" w:lineRule="exact"/>
        <w:jc w:val="right"/>
        <w:rPr>
          <w:rFonts w:hint="eastAsia" w:ascii="宋体" w:hAnsi="宋体" w:cs="宋体"/>
          <w:sz w:val="24"/>
          <w:szCs w:val="24"/>
        </w:rPr>
      </w:pPr>
    </w:p>
    <w:p w14:paraId="3C1C91BD">
      <w:pPr>
        <w:wordWrap w:val="0"/>
        <w:spacing w:line="420" w:lineRule="exact"/>
        <w:jc w:val="right"/>
        <w:rPr>
          <w:rFonts w:hint="eastAsia" w:ascii="宋体" w:hAnsi="宋体" w:cs="宋体"/>
          <w:sz w:val="24"/>
          <w:szCs w:val="24"/>
        </w:rPr>
      </w:pPr>
    </w:p>
    <w:p w14:paraId="19779233">
      <w:pPr>
        <w:wordWrap w:val="0"/>
        <w:spacing w:line="420" w:lineRule="exact"/>
        <w:jc w:val="right"/>
        <w:rPr>
          <w:rFonts w:hint="eastAsia" w:ascii="宋体" w:hAnsi="宋体" w:cs="宋体"/>
          <w:sz w:val="24"/>
          <w:szCs w:val="24"/>
        </w:rPr>
      </w:pPr>
    </w:p>
    <w:p w14:paraId="2F6EC60C">
      <w:pPr>
        <w:wordWrap w:val="0"/>
        <w:spacing w:line="420" w:lineRule="exact"/>
        <w:jc w:val="right"/>
        <w:rPr>
          <w:rFonts w:hint="eastAsia" w:ascii="宋体" w:hAnsi="宋体" w:cs="宋体"/>
          <w:sz w:val="24"/>
          <w:szCs w:val="24"/>
        </w:rPr>
      </w:pPr>
    </w:p>
    <w:p w14:paraId="11C9BC0B">
      <w:pPr>
        <w:wordWrap w:val="0"/>
        <w:spacing w:line="420" w:lineRule="exact"/>
        <w:jc w:val="right"/>
        <w:rPr>
          <w:rFonts w:hint="eastAsia" w:ascii="宋体" w:hAnsi="宋体" w:cs="宋体"/>
          <w:sz w:val="24"/>
          <w:szCs w:val="24"/>
        </w:rPr>
      </w:pPr>
    </w:p>
    <w:p w14:paraId="502EFBB5">
      <w:pPr>
        <w:wordWrap w:val="0"/>
        <w:spacing w:line="420" w:lineRule="exact"/>
        <w:jc w:val="right"/>
        <w:rPr>
          <w:rFonts w:ascii="宋体" w:hAnsi="宋体" w:cs="宋体"/>
          <w:sz w:val="24"/>
          <w:szCs w:val="24"/>
        </w:rPr>
      </w:pPr>
      <w:r>
        <w:rPr>
          <w:rFonts w:hint="eastAsia" w:ascii="宋体" w:hAnsi="宋体" w:cs="宋体"/>
          <w:sz w:val="24"/>
          <w:szCs w:val="24"/>
        </w:rPr>
        <w:t>供应商法定代表人</w:t>
      </w:r>
      <w:r>
        <w:rPr>
          <w:rFonts w:hint="eastAsia" w:ascii="宋体" w:hAnsi="宋体" w:cs="宋体"/>
          <w:sz w:val="24"/>
          <w:szCs w:val="24"/>
          <w:lang w:eastAsia="zh-CN"/>
        </w:rPr>
        <w:t>（</w:t>
      </w:r>
      <w:r>
        <w:rPr>
          <w:rFonts w:hint="eastAsia" w:ascii="宋体" w:hAnsi="宋体" w:cs="宋体"/>
          <w:sz w:val="24"/>
          <w:szCs w:val="24"/>
          <w:lang w:val="en-US" w:eastAsia="zh-CN"/>
        </w:rPr>
        <w:t>负责人）</w:t>
      </w:r>
      <w:r>
        <w:rPr>
          <w:rFonts w:hint="eastAsia" w:ascii="宋体" w:hAnsi="宋体" w:cs="宋体"/>
          <w:sz w:val="24"/>
          <w:szCs w:val="24"/>
        </w:rPr>
        <w:t>或其授权委托人(电子签名或盖章)</w:t>
      </w:r>
      <w:r>
        <w:rPr>
          <w:rFonts w:hint="eastAsia" w:ascii="宋体" w:hAnsi="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rPr>
        <w:t xml:space="preserve">       </w:t>
      </w:r>
    </w:p>
    <w:p w14:paraId="69569DEB">
      <w:pPr>
        <w:wordWrap w:val="0"/>
        <w:spacing w:line="420" w:lineRule="exact"/>
        <w:jc w:val="right"/>
        <w:rPr>
          <w:rFonts w:hint="eastAsia" w:ascii="宋体" w:hAnsi="宋体" w:cs="宋体"/>
          <w:sz w:val="24"/>
          <w:szCs w:val="24"/>
        </w:rPr>
      </w:pPr>
    </w:p>
    <w:p w14:paraId="0225231A">
      <w:pPr>
        <w:wordWrap w:val="0"/>
        <w:spacing w:line="420" w:lineRule="exact"/>
        <w:jc w:val="right"/>
        <w:rPr>
          <w:rFonts w:ascii="宋体" w:hAnsi="宋体" w:cs="宋体"/>
          <w:sz w:val="24"/>
          <w:szCs w:val="24"/>
        </w:rPr>
      </w:pPr>
      <w:r>
        <w:rPr>
          <w:rFonts w:hint="eastAsia" w:ascii="宋体" w:hAnsi="宋体" w:cs="宋体"/>
          <w:sz w:val="24"/>
          <w:szCs w:val="24"/>
        </w:rPr>
        <w:t>供应商(单位电子签章)：</w:t>
      </w:r>
      <w:r>
        <w:rPr>
          <w:rFonts w:hint="eastAsia" w:ascii="宋体" w:hAnsi="宋体" w:cs="宋体"/>
          <w:sz w:val="24"/>
          <w:szCs w:val="24"/>
          <w:u w:val="single"/>
        </w:rPr>
        <w:t xml:space="preserve">                  </w:t>
      </w:r>
    </w:p>
    <w:p w14:paraId="491C241D">
      <w:pPr>
        <w:wordWrap w:val="0"/>
        <w:spacing w:line="420" w:lineRule="exact"/>
        <w:jc w:val="right"/>
        <w:rPr>
          <w:rFonts w:hint="eastAsia" w:ascii="宋体" w:hAnsi="宋体" w:cs="宋体"/>
          <w:sz w:val="24"/>
          <w:szCs w:val="24"/>
          <w:u w:val="single"/>
        </w:rPr>
      </w:pPr>
    </w:p>
    <w:p w14:paraId="77597DF6">
      <w:pPr>
        <w:wordWrap w:val="0"/>
        <w:spacing w:line="420" w:lineRule="exact"/>
        <w:jc w:val="right"/>
        <w:rPr>
          <w:rFonts w:ascii="宋体" w:hAnsi="宋体" w:cs="宋体"/>
          <w:b/>
          <w:kern w:val="0"/>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12EC7D69">
      <w:pPr>
        <w:wordWrap w:val="0"/>
        <w:ind w:firstLine="420"/>
        <w:rPr>
          <w:rFonts w:ascii="宋体" w:hAnsi="宋体" w:cs="宋体"/>
          <w:sz w:val="24"/>
          <w:szCs w:val="24"/>
        </w:rPr>
      </w:pPr>
      <w:r>
        <w:rPr>
          <w:rFonts w:hint="eastAsia" w:ascii="宋体" w:hAnsi="宋体" w:cs="宋体"/>
          <w:sz w:val="24"/>
          <w:szCs w:val="24"/>
        </w:rPr>
        <w:br w:type="page"/>
      </w:r>
    </w:p>
    <w:p w14:paraId="3471C665">
      <w:pPr>
        <w:ind w:right="360" w:firstLine="630" w:firstLineChars="300"/>
        <w:jc w:val="right"/>
        <w:rPr>
          <w:rFonts w:hint="eastAsia"/>
          <w:sz w:val="24"/>
          <w:szCs w:val="24"/>
        </w:rPr>
      </w:pPr>
      <w:bookmarkStart w:id="794" w:name="_Toc918"/>
      <w:bookmarkStart w:id="795" w:name="_Toc31033"/>
      <w:bookmarkStart w:id="796" w:name="_Toc466298161"/>
      <w:bookmarkStart w:id="797" w:name="_Toc2481"/>
      <w:bookmarkStart w:id="798" w:name="_Toc8120"/>
      <w:r>
        <w:rPr>
          <w:rFonts w:hint="eastAsia"/>
        </w:rPr>
        <w:t>二、</w:t>
      </w:r>
    </w:p>
    <w:p w14:paraId="62780F51">
      <w:pPr>
        <w:pStyle w:val="46"/>
        <w:wordWrap w:val="0"/>
        <w:ind w:firstLine="0" w:firstLineChars="0"/>
        <w:jc w:val="center"/>
        <w:rPr>
          <w:rFonts w:hint="eastAsia" w:ascii="宋体" w:hAnsi="宋体" w:eastAsia="宋体"/>
          <w:b/>
          <w:szCs w:val="28"/>
          <w:lang w:val="en-US" w:eastAsia="zh-CN"/>
        </w:rPr>
      </w:pPr>
      <w:r>
        <w:rPr>
          <w:rFonts w:hint="eastAsia" w:ascii="宋体" w:hAnsi="宋体" w:eastAsia="宋体"/>
          <w:b/>
          <w:szCs w:val="28"/>
          <w:lang w:val="en-US" w:eastAsia="zh-CN"/>
        </w:rPr>
        <w:t>二</w:t>
      </w:r>
      <w:r>
        <w:rPr>
          <w:rFonts w:hint="eastAsia" w:ascii="宋体" w:hAnsi="宋体" w:eastAsia="宋体"/>
          <w:b/>
          <w:szCs w:val="28"/>
        </w:rPr>
        <w:t>、</w:t>
      </w:r>
      <w:bookmarkEnd w:id="794"/>
      <w:bookmarkEnd w:id="795"/>
      <w:bookmarkEnd w:id="796"/>
      <w:bookmarkEnd w:id="797"/>
      <w:r>
        <w:rPr>
          <w:rFonts w:hint="eastAsia" w:ascii="宋体" w:hAnsi="宋体" w:eastAsia="宋体"/>
          <w:b/>
          <w:szCs w:val="28"/>
        </w:rPr>
        <w:t>法定代表人（单位负责人）身份证明</w:t>
      </w:r>
      <w:bookmarkEnd w:id="798"/>
    </w:p>
    <w:p w14:paraId="22205F92">
      <w:pPr>
        <w:wordWrap w:val="0"/>
        <w:spacing w:line="440" w:lineRule="exact"/>
        <w:ind w:firstLine="420"/>
        <w:jc w:val="center"/>
        <w:rPr>
          <w:rFonts w:ascii="宋体" w:hAnsi="宋体" w:cs="宋体"/>
          <w:szCs w:val="21"/>
        </w:rPr>
      </w:pPr>
    </w:p>
    <w:p w14:paraId="0ECA9C44">
      <w:pPr>
        <w:wordWrap w:val="0"/>
        <w:spacing w:line="420" w:lineRule="exact"/>
        <w:ind w:firstLine="480"/>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hint="eastAsia" w:ascii="宋体" w:hAnsi="宋体" w:cs="宋体"/>
          <w:sz w:val="24"/>
          <w:szCs w:val="24"/>
        </w:rPr>
        <w:t xml:space="preserve"> </w:t>
      </w:r>
    </w:p>
    <w:p w14:paraId="7744416D">
      <w:pPr>
        <w:wordWrap w:val="0"/>
        <w:spacing w:line="420" w:lineRule="exact"/>
        <w:ind w:firstLine="480"/>
        <w:rPr>
          <w:rFonts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p>
    <w:p w14:paraId="6BAD0EBE">
      <w:pPr>
        <w:wordWrap w:val="0"/>
        <w:spacing w:line="420" w:lineRule="exact"/>
        <w:ind w:firstLine="480"/>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14:paraId="102CD32E">
      <w:pPr>
        <w:wordWrap w:val="0"/>
        <w:spacing w:line="420" w:lineRule="exact"/>
        <w:ind w:firstLine="480"/>
        <w:rPr>
          <w:rFonts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 xml:space="preserve"> 年</w:t>
      </w:r>
      <w:r>
        <w:rPr>
          <w:rFonts w:hint="eastAsia" w:ascii="宋体" w:hAnsi="宋体" w:cs="宋体"/>
          <w:sz w:val="24"/>
          <w:szCs w:val="24"/>
          <w:u w:val="single"/>
        </w:rPr>
        <w:t xml:space="preserve">       </w:t>
      </w:r>
      <w:r>
        <w:rPr>
          <w:rFonts w:hint="eastAsia" w:ascii="宋体" w:hAnsi="宋体" w:cs="宋体"/>
          <w:sz w:val="24"/>
          <w:szCs w:val="24"/>
        </w:rPr>
        <w:t xml:space="preserve"> 月</w:t>
      </w:r>
      <w:r>
        <w:rPr>
          <w:rFonts w:hint="eastAsia" w:ascii="宋体" w:hAnsi="宋体" w:cs="宋体"/>
          <w:sz w:val="24"/>
          <w:szCs w:val="24"/>
          <w:u w:val="single"/>
        </w:rPr>
        <w:t xml:space="preserve">       </w:t>
      </w:r>
      <w:r>
        <w:rPr>
          <w:rFonts w:hint="eastAsia" w:ascii="宋体" w:hAnsi="宋体" w:cs="宋体"/>
          <w:sz w:val="24"/>
          <w:szCs w:val="24"/>
        </w:rPr>
        <w:t xml:space="preserve"> 日</w:t>
      </w:r>
    </w:p>
    <w:p w14:paraId="7CAF87F1">
      <w:pPr>
        <w:wordWrap w:val="0"/>
        <w:spacing w:line="420" w:lineRule="exact"/>
        <w:ind w:firstLine="480"/>
        <w:rPr>
          <w:rFonts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14:paraId="7AF816E9">
      <w:pPr>
        <w:wordWrap w:val="0"/>
        <w:spacing w:line="420" w:lineRule="exact"/>
        <w:ind w:firstLine="480"/>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 xml:space="preserve"> 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14:paraId="0440A1E6">
      <w:pPr>
        <w:wordWrap w:val="0"/>
        <w:spacing w:line="420" w:lineRule="exact"/>
        <w:ind w:firstLine="480"/>
        <w:rPr>
          <w:rFonts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 xml:space="preserve"> （供应商名称）的法定代表人</w:t>
      </w:r>
      <w:r>
        <w:rPr>
          <w:rFonts w:hint="eastAsia" w:ascii="宋体" w:hAnsi="宋体" w:cs="宋体"/>
          <w:sz w:val="24"/>
          <w:szCs w:val="24"/>
          <w:lang w:eastAsia="zh-CN"/>
        </w:rPr>
        <w:t>（</w:t>
      </w:r>
      <w:r>
        <w:rPr>
          <w:rFonts w:hint="eastAsia" w:ascii="宋体" w:hAnsi="宋体" w:cs="宋体"/>
          <w:sz w:val="24"/>
          <w:szCs w:val="24"/>
          <w:lang w:val="en-US" w:eastAsia="zh-CN"/>
        </w:rPr>
        <w:t>负责人）</w:t>
      </w:r>
      <w:r>
        <w:rPr>
          <w:rFonts w:hint="eastAsia" w:ascii="宋体" w:hAnsi="宋体" w:cs="宋体"/>
          <w:sz w:val="24"/>
          <w:szCs w:val="24"/>
        </w:rPr>
        <w:t>。</w:t>
      </w:r>
    </w:p>
    <w:p w14:paraId="07EDCC81">
      <w:pPr>
        <w:wordWrap w:val="0"/>
        <w:spacing w:line="420" w:lineRule="exact"/>
        <w:ind w:firstLine="480"/>
        <w:rPr>
          <w:rFonts w:ascii="宋体" w:hAnsi="宋体" w:cs="宋体"/>
          <w:sz w:val="24"/>
          <w:szCs w:val="24"/>
        </w:rPr>
      </w:pPr>
      <w:r>
        <w:rPr>
          <w:rFonts w:hint="eastAsia" w:ascii="宋体" w:hAnsi="宋体" w:cs="宋体"/>
          <w:sz w:val="24"/>
          <w:szCs w:val="24"/>
        </w:rPr>
        <w:t>特此证明。</w:t>
      </w:r>
    </w:p>
    <w:p w14:paraId="2DF83EDA">
      <w:pPr>
        <w:wordWrap w:val="0"/>
        <w:spacing w:line="420" w:lineRule="exact"/>
        <w:ind w:firstLine="480"/>
        <w:rPr>
          <w:rFonts w:ascii="宋体" w:hAnsi="宋体" w:cs="宋体"/>
          <w:sz w:val="24"/>
          <w:szCs w:val="24"/>
        </w:rPr>
      </w:pPr>
    </w:p>
    <w:p w14:paraId="7ED3B17E">
      <w:pPr>
        <w:wordWrap w:val="0"/>
        <w:spacing w:line="420" w:lineRule="exact"/>
        <w:ind w:firstLine="480"/>
        <w:rPr>
          <w:rFonts w:ascii="宋体" w:hAnsi="宋体" w:cs="宋体"/>
          <w:sz w:val="24"/>
          <w:szCs w:val="24"/>
        </w:rPr>
      </w:pPr>
    </w:p>
    <w:p w14:paraId="6D566A98">
      <w:pPr>
        <w:wordWrap w:val="0"/>
        <w:spacing w:line="420" w:lineRule="exact"/>
        <w:ind w:firstLine="480"/>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（单位电子签章）</w:t>
      </w:r>
    </w:p>
    <w:p w14:paraId="41C582E6">
      <w:pPr>
        <w:wordWrap w:val="0"/>
        <w:spacing w:line="420" w:lineRule="exact"/>
        <w:ind w:firstLine="480"/>
        <w:jc w:val="righ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340FB9E6">
      <w:pPr>
        <w:wordWrap w:val="0"/>
        <w:spacing w:line="440" w:lineRule="exact"/>
        <w:rPr>
          <w:rFonts w:ascii="宋体" w:hAnsi="宋体" w:cs="宋体"/>
          <w:sz w:val="24"/>
          <w:szCs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278B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9638" w:type="dxa"/>
            <w:vAlign w:val="center"/>
          </w:tcPr>
          <w:p w14:paraId="61F6F295">
            <w:pPr>
              <w:wordWrap w:val="0"/>
              <w:spacing w:line="440" w:lineRule="exact"/>
              <w:jc w:val="center"/>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eastAsia="zh-CN"/>
              </w:rPr>
              <w:t>（</w:t>
            </w:r>
            <w:r>
              <w:rPr>
                <w:rFonts w:hint="eastAsia" w:ascii="宋体" w:hAnsi="宋体" w:cs="宋体"/>
                <w:sz w:val="24"/>
                <w:szCs w:val="24"/>
                <w:lang w:val="en-US" w:eastAsia="zh-CN"/>
              </w:rPr>
              <w:t>负责人）</w:t>
            </w:r>
            <w:r>
              <w:rPr>
                <w:rFonts w:hint="eastAsia" w:ascii="宋体" w:hAnsi="宋体" w:cs="宋体"/>
                <w:sz w:val="24"/>
                <w:szCs w:val="24"/>
              </w:rPr>
              <w:t>身份证扫描件</w:t>
            </w:r>
          </w:p>
          <w:p w14:paraId="251DBEF2">
            <w:pPr>
              <w:wordWrap w:val="0"/>
              <w:spacing w:line="440" w:lineRule="exact"/>
              <w:jc w:val="center"/>
              <w:rPr>
                <w:rFonts w:ascii="宋体" w:hAnsi="宋体" w:cs="宋体"/>
                <w:sz w:val="24"/>
                <w:szCs w:val="24"/>
              </w:rPr>
            </w:pPr>
          </w:p>
        </w:tc>
      </w:tr>
    </w:tbl>
    <w:p w14:paraId="26A16E24">
      <w:pPr>
        <w:wordWrap w:val="0"/>
        <w:ind w:firstLine="420"/>
        <w:rPr>
          <w:rFonts w:ascii="宋体" w:hAnsi="宋体" w:cs="宋体"/>
        </w:rPr>
      </w:pPr>
      <w:r>
        <w:rPr>
          <w:rFonts w:hint="eastAsia" w:ascii="宋体" w:hAnsi="宋体" w:cs="宋体"/>
        </w:rPr>
        <w:br w:type="page"/>
      </w:r>
    </w:p>
    <w:p w14:paraId="3C5E1EBA">
      <w:pPr>
        <w:bidi w:val="0"/>
        <w:jc w:val="center"/>
        <w:rPr>
          <w:rFonts w:hint="eastAsia"/>
          <w:sz w:val="36"/>
          <w:szCs w:val="44"/>
        </w:rPr>
      </w:pPr>
      <w:bookmarkStart w:id="799" w:name="_Toc10913"/>
      <w:r>
        <w:rPr>
          <w:rFonts w:hint="eastAsia"/>
          <w:sz w:val="36"/>
          <w:szCs w:val="44"/>
        </w:rPr>
        <w:t>授权委托书</w:t>
      </w:r>
      <w:bookmarkEnd w:id="799"/>
    </w:p>
    <w:p w14:paraId="2AAA2464">
      <w:pPr>
        <w:bidi w:val="0"/>
        <w:jc w:val="center"/>
        <w:rPr>
          <w:rFonts w:hint="eastAsia"/>
          <w:sz w:val="36"/>
          <w:szCs w:val="44"/>
        </w:rPr>
      </w:pPr>
    </w:p>
    <w:p w14:paraId="5ECA2959">
      <w:pPr>
        <w:wordWrap w:val="0"/>
        <w:topLinePunct/>
        <w:spacing w:line="420" w:lineRule="exact"/>
        <w:ind w:firstLine="480"/>
        <w:rPr>
          <w:rFonts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（供应商名称）的法定代表人</w:t>
      </w:r>
      <w:r>
        <w:rPr>
          <w:rFonts w:hint="eastAsia" w:ascii="宋体" w:hAnsi="宋体" w:cs="宋体"/>
          <w:sz w:val="24"/>
          <w:szCs w:val="24"/>
          <w:lang w:eastAsia="zh-CN"/>
        </w:rPr>
        <w:t>（</w:t>
      </w:r>
      <w:r>
        <w:rPr>
          <w:rFonts w:hint="eastAsia" w:ascii="宋体" w:hAnsi="宋体" w:cs="宋体"/>
          <w:sz w:val="24"/>
          <w:szCs w:val="24"/>
          <w:lang w:val="en-US" w:eastAsia="zh-CN"/>
        </w:rPr>
        <w:t>负责人）</w:t>
      </w:r>
      <w:r>
        <w:rPr>
          <w:rFonts w:hint="eastAsia" w:ascii="宋体" w:hAnsi="宋体" w:cs="宋体"/>
          <w:sz w:val="24"/>
          <w:szCs w:val="24"/>
        </w:rPr>
        <w:t>，现委托</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（姓名）为我方代理人。代理人根据授权，以我方名义签署、澄清、说明、补正、递交、撤回、修改</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val="en-US" w:eastAsia="zh-CN"/>
        </w:rPr>
        <w:t>项目</w:t>
      </w:r>
      <w:r>
        <w:rPr>
          <w:rFonts w:hint="eastAsia" w:ascii="宋体" w:hAnsi="宋体" w:cs="宋体"/>
          <w:sz w:val="24"/>
          <w:szCs w:val="24"/>
          <w:lang w:eastAsia="zh-CN"/>
        </w:rPr>
        <w:t>名称</w:t>
      </w:r>
      <w:r>
        <w:rPr>
          <w:rFonts w:hint="eastAsia" w:ascii="宋体" w:hAnsi="宋体" w:cs="宋体"/>
          <w:sz w:val="24"/>
          <w:szCs w:val="24"/>
        </w:rPr>
        <w:t>）响应文件、签订合同和处理有关事宜，其法律后果由我方承担。</w:t>
      </w:r>
    </w:p>
    <w:p w14:paraId="5436DE8E">
      <w:pPr>
        <w:wordWrap w:val="0"/>
        <w:spacing w:line="420" w:lineRule="exact"/>
        <w:ind w:firstLine="480"/>
        <w:rPr>
          <w:rFonts w:ascii="宋体" w:hAnsi="宋体" w:cs="宋体"/>
          <w:sz w:val="24"/>
          <w:szCs w:val="24"/>
        </w:rPr>
      </w:pPr>
      <w:r>
        <w:rPr>
          <w:rFonts w:hint="eastAsia" w:ascii="宋体" w:hAnsi="宋体" w:cs="宋体"/>
          <w:sz w:val="24"/>
          <w:szCs w:val="24"/>
        </w:rPr>
        <w:t>委托期限：</w:t>
      </w:r>
      <w:r>
        <w:rPr>
          <w:rFonts w:hint="eastAsia" w:ascii="宋体" w:hAnsi="宋体" w:cs="宋体"/>
          <w:sz w:val="24"/>
          <w:szCs w:val="24"/>
          <w:u w:val="single"/>
        </w:rPr>
        <w:t xml:space="preserve">                        </w:t>
      </w:r>
      <w:r>
        <w:rPr>
          <w:rFonts w:hint="eastAsia" w:ascii="宋体" w:hAnsi="宋体" w:cs="宋体"/>
          <w:sz w:val="24"/>
          <w:szCs w:val="24"/>
        </w:rPr>
        <w:t>。</w:t>
      </w:r>
    </w:p>
    <w:p w14:paraId="163958F2">
      <w:pPr>
        <w:wordWrap w:val="0"/>
        <w:spacing w:line="420" w:lineRule="exact"/>
        <w:ind w:firstLine="480"/>
        <w:rPr>
          <w:rFonts w:ascii="宋体" w:hAnsi="宋体" w:cs="宋体"/>
          <w:sz w:val="24"/>
          <w:szCs w:val="24"/>
        </w:rPr>
      </w:pPr>
      <w:r>
        <w:rPr>
          <w:rFonts w:hint="eastAsia" w:ascii="宋体" w:hAnsi="宋体" w:cs="宋体"/>
          <w:sz w:val="24"/>
          <w:szCs w:val="24"/>
        </w:rPr>
        <w:t>代理人无转委托权。</w:t>
      </w:r>
    </w:p>
    <w:p w14:paraId="43155E60">
      <w:pPr>
        <w:wordWrap w:val="0"/>
        <w:spacing w:line="420" w:lineRule="exact"/>
        <w:ind w:firstLine="480"/>
        <w:rPr>
          <w:rFonts w:ascii="宋体" w:hAnsi="宋体" w:cs="宋体"/>
          <w:sz w:val="24"/>
          <w:szCs w:val="24"/>
        </w:rPr>
      </w:pPr>
    </w:p>
    <w:p w14:paraId="75480353">
      <w:pPr>
        <w:wordWrap w:val="0"/>
        <w:spacing w:line="420" w:lineRule="exact"/>
        <w:rPr>
          <w:rFonts w:ascii="宋体" w:hAnsi="宋体" w:cs="宋体"/>
          <w:sz w:val="24"/>
          <w:szCs w:val="24"/>
        </w:rPr>
      </w:pPr>
    </w:p>
    <w:p w14:paraId="18995374">
      <w:pPr>
        <w:wordWrap w:val="0"/>
        <w:spacing w:line="420" w:lineRule="exact"/>
        <w:ind w:firstLine="480"/>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（单位电子签章）</w:t>
      </w:r>
    </w:p>
    <w:p w14:paraId="4D8926CE">
      <w:pPr>
        <w:wordWrap w:val="0"/>
        <w:spacing w:line="420" w:lineRule="exact"/>
        <w:ind w:firstLine="480"/>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eastAsia="zh-CN"/>
        </w:rPr>
        <w:t>（</w:t>
      </w:r>
      <w:r>
        <w:rPr>
          <w:rFonts w:hint="eastAsia" w:ascii="宋体" w:hAnsi="宋体" w:cs="宋体"/>
          <w:sz w:val="24"/>
          <w:szCs w:val="24"/>
          <w:lang w:val="en-US" w:eastAsia="zh-CN"/>
        </w:rPr>
        <w:t>负责人）</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（电子签名或盖章）</w:t>
      </w:r>
    </w:p>
    <w:p w14:paraId="229A83D6">
      <w:pPr>
        <w:wordWrap w:val="0"/>
        <w:spacing w:line="420" w:lineRule="exact"/>
        <w:ind w:firstLine="480"/>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14:paraId="669A4873">
      <w:pPr>
        <w:wordWrap w:val="0"/>
        <w:spacing w:line="420" w:lineRule="exact"/>
        <w:ind w:firstLine="480"/>
        <w:rPr>
          <w:rFonts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cs="宋体"/>
          <w:sz w:val="24"/>
          <w:szCs w:val="24"/>
        </w:rPr>
        <w:t>（签字）</w:t>
      </w:r>
    </w:p>
    <w:p w14:paraId="0D88E319">
      <w:pPr>
        <w:wordWrap w:val="0"/>
        <w:spacing w:line="420" w:lineRule="exact"/>
        <w:ind w:firstLine="480"/>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14:paraId="72225A2F">
      <w:pPr>
        <w:wordWrap w:val="0"/>
        <w:spacing w:line="420" w:lineRule="exact"/>
        <w:ind w:firstLine="48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57BEA80A">
      <w:pPr>
        <w:pStyle w:val="7"/>
        <w:wordWrap w:val="0"/>
        <w:rPr>
          <w:rFonts w:ascii="宋体" w:hAnsi="宋体" w:cs="宋体"/>
          <w:sz w:val="24"/>
          <w:szCs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7A32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5" w:hRule="atLeast"/>
          <w:jc w:val="center"/>
        </w:trPr>
        <w:tc>
          <w:tcPr>
            <w:tcW w:w="9638" w:type="dxa"/>
            <w:vAlign w:val="center"/>
          </w:tcPr>
          <w:p w14:paraId="0842F9DD">
            <w:pPr>
              <w:wordWrap w:val="0"/>
              <w:spacing w:line="440" w:lineRule="exact"/>
              <w:jc w:val="center"/>
              <w:rPr>
                <w:rFonts w:ascii="宋体" w:hAnsi="宋体" w:cs="宋体"/>
                <w:sz w:val="24"/>
                <w:szCs w:val="24"/>
              </w:rPr>
            </w:pPr>
            <w:r>
              <w:rPr>
                <w:rFonts w:hint="eastAsia" w:ascii="宋体" w:hAnsi="宋体" w:cs="宋体"/>
                <w:sz w:val="24"/>
                <w:szCs w:val="24"/>
              </w:rPr>
              <w:t>委托代理人身份证扫描件</w:t>
            </w:r>
          </w:p>
          <w:p w14:paraId="01EEA5A4">
            <w:pPr>
              <w:wordWrap w:val="0"/>
              <w:spacing w:line="440" w:lineRule="exact"/>
              <w:ind w:firstLine="480"/>
              <w:jc w:val="center"/>
              <w:rPr>
                <w:rFonts w:ascii="宋体" w:hAnsi="宋体" w:cs="宋体"/>
                <w:sz w:val="24"/>
                <w:szCs w:val="24"/>
              </w:rPr>
            </w:pPr>
          </w:p>
        </w:tc>
      </w:tr>
    </w:tbl>
    <w:p w14:paraId="677D628A">
      <w:pPr>
        <w:bidi w:val="0"/>
      </w:pPr>
    </w:p>
    <w:p w14:paraId="4E9A40B2">
      <w:pPr>
        <w:pStyle w:val="18"/>
        <w:tabs>
          <w:tab w:val="left" w:pos="945"/>
          <w:tab w:val="left" w:pos="1155"/>
        </w:tabs>
        <w:wordWrap w:val="0"/>
        <w:ind w:firstLine="480"/>
        <w:rPr>
          <w:rFonts w:hint="default" w:ascii="宋体" w:hAnsi="宋体" w:cs="宋体"/>
        </w:rPr>
      </w:pPr>
      <w:r>
        <w:rPr>
          <w:rFonts w:ascii="宋体" w:hAnsi="宋体" w:cs="宋体"/>
        </w:rPr>
        <w:br w:type="page"/>
      </w:r>
    </w:p>
    <w:bookmarkEnd w:id="788"/>
    <w:bookmarkEnd w:id="789"/>
    <w:bookmarkEnd w:id="793"/>
    <w:p w14:paraId="21C33F79">
      <w:pPr>
        <w:pStyle w:val="2"/>
        <w:bidi w:val="0"/>
        <w:jc w:val="center"/>
        <w:rPr>
          <w:rFonts w:hint="eastAsia"/>
        </w:rPr>
      </w:pPr>
      <w:bookmarkStart w:id="800" w:name="_Toc14094"/>
      <w:bookmarkStart w:id="801" w:name="_Toc29310"/>
      <w:bookmarkStart w:id="802" w:name="_Toc417567991"/>
      <w:bookmarkStart w:id="803" w:name="_Toc398716804"/>
      <w:bookmarkStart w:id="804" w:name="_Toc414956975"/>
      <w:r>
        <w:rPr>
          <w:rFonts w:hint="eastAsia"/>
          <w:lang w:val="en-US" w:eastAsia="zh-CN"/>
        </w:rPr>
        <w:t>三</w:t>
      </w:r>
      <w:r>
        <w:rPr>
          <w:rFonts w:hint="eastAsia"/>
        </w:rPr>
        <w:t>、商务条款偏离表</w:t>
      </w:r>
      <w:bookmarkEnd w:id="800"/>
      <w:bookmarkEnd w:id="801"/>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220"/>
        <w:gridCol w:w="3220"/>
        <w:gridCol w:w="1768"/>
      </w:tblGrid>
      <w:tr w14:paraId="77A7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70" w:type="dxa"/>
            <w:noWrap w:val="0"/>
            <w:vAlign w:val="center"/>
          </w:tcPr>
          <w:p w14:paraId="38BB96E0">
            <w:pPr>
              <w:spacing w:before="120"/>
              <w:rPr>
                <w:rFonts w:ascii="宋体" w:hAnsi="宋体"/>
                <w:sz w:val="24"/>
                <w:szCs w:val="24"/>
              </w:rPr>
            </w:pPr>
            <w:r>
              <w:rPr>
                <w:rFonts w:hint="eastAsia" w:ascii="宋体" w:hAnsi="宋体"/>
                <w:sz w:val="24"/>
                <w:szCs w:val="24"/>
              </w:rPr>
              <w:t>序号</w:t>
            </w:r>
          </w:p>
        </w:tc>
        <w:tc>
          <w:tcPr>
            <w:tcW w:w="3220" w:type="dxa"/>
            <w:noWrap w:val="0"/>
            <w:vAlign w:val="center"/>
          </w:tcPr>
          <w:p w14:paraId="7B155FC7">
            <w:pPr>
              <w:spacing w:before="120"/>
              <w:jc w:val="center"/>
              <w:rPr>
                <w:rFonts w:ascii="宋体" w:hAnsi="宋体"/>
                <w:sz w:val="24"/>
                <w:szCs w:val="24"/>
              </w:rPr>
            </w:pPr>
            <w:r>
              <w:rPr>
                <w:rFonts w:hint="eastAsia" w:ascii="宋体" w:hAnsi="宋体"/>
                <w:sz w:val="24"/>
                <w:szCs w:val="24"/>
              </w:rPr>
              <w:t>招标文件的商务条款</w:t>
            </w:r>
          </w:p>
        </w:tc>
        <w:tc>
          <w:tcPr>
            <w:tcW w:w="3220" w:type="dxa"/>
            <w:noWrap w:val="0"/>
            <w:vAlign w:val="center"/>
          </w:tcPr>
          <w:p w14:paraId="4121F270">
            <w:pPr>
              <w:spacing w:before="120"/>
              <w:jc w:val="center"/>
              <w:rPr>
                <w:rFonts w:ascii="宋体" w:hAnsi="宋体"/>
                <w:sz w:val="24"/>
                <w:szCs w:val="24"/>
              </w:rPr>
            </w:pPr>
            <w:r>
              <w:rPr>
                <w:rFonts w:hint="eastAsia" w:ascii="宋体" w:hAnsi="宋体"/>
                <w:sz w:val="24"/>
                <w:szCs w:val="24"/>
              </w:rPr>
              <w:t>投标文件的商务条款</w:t>
            </w:r>
          </w:p>
        </w:tc>
        <w:tc>
          <w:tcPr>
            <w:tcW w:w="1768" w:type="dxa"/>
            <w:noWrap w:val="0"/>
            <w:vAlign w:val="center"/>
          </w:tcPr>
          <w:p w14:paraId="27346A66">
            <w:pPr>
              <w:spacing w:before="120"/>
              <w:jc w:val="center"/>
              <w:rPr>
                <w:rFonts w:ascii="宋体" w:hAnsi="宋体"/>
                <w:sz w:val="24"/>
                <w:szCs w:val="24"/>
              </w:rPr>
            </w:pPr>
            <w:r>
              <w:rPr>
                <w:rFonts w:hint="eastAsia" w:ascii="宋体" w:hAnsi="宋体"/>
                <w:sz w:val="24"/>
                <w:szCs w:val="24"/>
              </w:rPr>
              <w:t>偏离说明</w:t>
            </w:r>
          </w:p>
        </w:tc>
      </w:tr>
      <w:tr w14:paraId="008B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70" w:type="dxa"/>
            <w:noWrap w:val="0"/>
            <w:vAlign w:val="center"/>
          </w:tcPr>
          <w:p w14:paraId="33BEEB1D">
            <w:pPr>
              <w:spacing w:before="120"/>
              <w:rPr>
                <w:rFonts w:ascii="宋体" w:hAnsi="宋体"/>
                <w:sz w:val="24"/>
                <w:szCs w:val="24"/>
              </w:rPr>
            </w:pPr>
          </w:p>
        </w:tc>
        <w:tc>
          <w:tcPr>
            <w:tcW w:w="3220" w:type="dxa"/>
            <w:noWrap w:val="0"/>
            <w:vAlign w:val="center"/>
          </w:tcPr>
          <w:p w14:paraId="20A0E37D">
            <w:pPr>
              <w:spacing w:before="120"/>
              <w:rPr>
                <w:rFonts w:ascii="宋体" w:hAnsi="宋体"/>
                <w:sz w:val="24"/>
                <w:szCs w:val="24"/>
              </w:rPr>
            </w:pPr>
          </w:p>
        </w:tc>
        <w:tc>
          <w:tcPr>
            <w:tcW w:w="3220" w:type="dxa"/>
            <w:noWrap w:val="0"/>
            <w:vAlign w:val="center"/>
          </w:tcPr>
          <w:p w14:paraId="57F5AEA0">
            <w:pPr>
              <w:spacing w:before="120"/>
              <w:rPr>
                <w:rFonts w:ascii="宋体" w:hAnsi="宋体"/>
                <w:sz w:val="24"/>
                <w:szCs w:val="24"/>
              </w:rPr>
            </w:pPr>
          </w:p>
        </w:tc>
        <w:tc>
          <w:tcPr>
            <w:tcW w:w="1768" w:type="dxa"/>
            <w:noWrap w:val="0"/>
            <w:vAlign w:val="center"/>
          </w:tcPr>
          <w:p w14:paraId="1E487900">
            <w:pPr>
              <w:spacing w:before="120"/>
              <w:rPr>
                <w:rFonts w:ascii="宋体" w:hAnsi="宋体"/>
                <w:sz w:val="24"/>
                <w:szCs w:val="24"/>
              </w:rPr>
            </w:pPr>
          </w:p>
        </w:tc>
      </w:tr>
      <w:tr w14:paraId="25FD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70" w:type="dxa"/>
            <w:noWrap w:val="0"/>
            <w:vAlign w:val="center"/>
          </w:tcPr>
          <w:p w14:paraId="1B2B6E7E">
            <w:pPr>
              <w:spacing w:before="120"/>
              <w:rPr>
                <w:rFonts w:ascii="宋体" w:hAnsi="宋体"/>
                <w:sz w:val="24"/>
                <w:szCs w:val="24"/>
              </w:rPr>
            </w:pPr>
          </w:p>
        </w:tc>
        <w:tc>
          <w:tcPr>
            <w:tcW w:w="3220" w:type="dxa"/>
            <w:noWrap w:val="0"/>
            <w:vAlign w:val="center"/>
          </w:tcPr>
          <w:p w14:paraId="6609A865">
            <w:pPr>
              <w:spacing w:before="120"/>
              <w:rPr>
                <w:rFonts w:ascii="宋体" w:hAnsi="宋体"/>
                <w:sz w:val="24"/>
                <w:szCs w:val="24"/>
              </w:rPr>
            </w:pPr>
          </w:p>
        </w:tc>
        <w:tc>
          <w:tcPr>
            <w:tcW w:w="3220" w:type="dxa"/>
            <w:noWrap w:val="0"/>
            <w:vAlign w:val="center"/>
          </w:tcPr>
          <w:p w14:paraId="655F8AE5">
            <w:pPr>
              <w:spacing w:before="120"/>
              <w:rPr>
                <w:rFonts w:ascii="宋体" w:hAnsi="宋体"/>
                <w:sz w:val="24"/>
                <w:szCs w:val="24"/>
              </w:rPr>
            </w:pPr>
          </w:p>
        </w:tc>
        <w:tc>
          <w:tcPr>
            <w:tcW w:w="1768" w:type="dxa"/>
            <w:noWrap w:val="0"/>
            <w:vAlign w:val="center"/>
          </w:tcPr>
          <w:p w14:paraId="2B9F95B9">
            <w:pPr>
              <w:spacing w:before="120"/>
              <w:rPr>
                <w:rFonts w:ascii="宋体" w:hAnsi="宋体"/>
                <w:sz w:val="24"/>
                <w:szCs w:val="24"/>
              </w:rPr>
            </w:pPr>
          </w:p>
        </w:tc>
      </w:tr>
      <w:tr w14:paraId="788A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70" w:type="dxa"/>
            <w:noWrap w:val="0"/>
            <w:vAlign w:val="center"/>
          </w:tcPr>
          <w:p w14:paraId="5F2361F2">
            <w:pPr>
              <w:spacing w:before="120"/>
              <w:rPr>
                <w:rFonts w:ascii="宋体" w:hAnsi="宋体"/>
                <w:sz w:val="24"/>
                <w:szCs w:val="24"/>
              </w:rPr>
            </w:pPr>
          </w:p>
        </w:tc>
        <w:tc>
          <w:tcPr>
            <w:tcW w:w="3220" w:type="dxa"/>
            <w:noWrap w:val="0"/>
            <w:vAlign w:val="center"/>
          </w:tcPr>
          <w:p w14:paraId="04569A7B">
            <w:pPr>
              <w:spacing w:before="120"/>
              <w:rPr>
                <w:rFonts w:ascii="宋体" w:hAnsi="宋体"/>
                <w:sz w:val="24"/>
                <w:szCs w:val="24"/>
              </w:rPr>
            </w:pPr>
          </w:p>
        </w:tc>
        <w:tc>
          <w:tcPr>
            <w:tcW w:w="3220" w:type="dxa"/>
            <w:noWrap w:val="0"/>
            <w:vAlign w:val="center"/>
          </w:tcPr>
          <w:p w14:paraId="68740C50">
            <w:pPr>
              <w:spacing w:before="120"/>
              <w:rPr>
                <w:rFonts w:ascii="宋体" w:hAnsi="宋体"/>
                <w:sz w:val="24"/>
                <w:szCs w:val="24"/>
              </w:rPr>
            </w:pPr>
          </w:p>
        </w:tc>
        <w:tc>
          <w:tcPr>
            <w:tcW w:w="1768" w:type="dxa"/>
            <w:noWrap w:val="0"/>
            <w:vAlign w:val="center"/>
          </w:tcPr>
          <w:p w14:paraId="41B46848">
            <w:pPr>
              <w:spacing w:before="120"/>
              <w:rPr>
                <w:rFonts w:ascii="宋体" w:hAnsi="宋体"/>
                <w:sz w:val="24"/>
                <w:szCs w:val="24"/>
              </w:rPr>
            </w:pPr>
          </w:p>
        </w:tc>
      </w:tr>
      <w:tr w14:paraId="3305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70" w:type="dxa"/>
            <w:noWrap w:val="0"/>
            <w:vAlign w:val="center"/>
          </w:tcPr>
          <w:p w14:paraId="276A98DD">
            <w:pPr>
              <w:spacing w:before="120"/>
              <w:rPr>
                <w:rFonts w:ascii="宋体" w:hAnsi="宋体"/>
                <w:sz w:val="24"/>
                <w:szCs w:val="24"/>
              </w:rPr>
            </w:pPr>
          </w:p>
        </w:tc>
        <w:tc>
          <w:tcPr>
            <w:tcW w:w="3220" w:type="dxa"/>
            <w:noWrap w:val="0"/>
            <w:vAlign w:val="center"/>
          </w:tcPr>
          <w:p w14:paraId="79A60217">
            <w:pPr>
              <w:spacing w:before="120"/>
              <w:rPr>
                <w:rFonts w:ascii="宋体" w:hAnsi="宋体"/>
                <w:sz w:val="24"/>
                <w:szCs w:val="24"/>
              </w:rPr>
            </w:pPr>
          </w:p>
        </w:tc>
        <w:tc>
          <w:tcPr>
            <w:tcW w:w="3220" w:type="dxa"/>
            <w:noWrap w:val="0"/>
            <w:vAlign w:val="center"/>
          </w:tcPr>
          <w:p w14:paraId="3EC85FD6">
            <w:pPr>
              <w:spacing w:before="120"/>
              <w:rPr>
                <w:rFonts w:ascii="宋体" w:hAnsi="宋体"/>
                <w:sz w:val="24"/>
                <w:szCs w:val="24"/>
              </w:rPr>
            </w:pPr>
          </w:p>
        </w:tc>
        <w:tc>
          <w:tcPr>
            <w:tcW w:w="1768" w:type="dxa"/>
            <w:noWrap w:val="0"/>
            <w:vAlign w:val="center"/>
          </w:tcPr>
          <w:p w14:paraId="04C6E833">
            <w:pPr>
              <w:spacing w:before="120"/>
              <w:rPr>
                <w:rFonts w:ascii="宋体" w:hAnsi="宋体"/>
                <w:sz w:val="24"/>
                <w:szCs w:val="24"/>
              </w:rPr>
            </w:pPr>
          </w:p>
        </w:tc>
      </w:tr>
      <w:tr w14:paraId="15BF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70" w:type="dxa"/>
            <w:noWrap w:val="0"/>
            <w:vAlign w:val="center"/>
          </w:tcPr>
          <w:p w14:paraId="089AC197">
            <w:pPr>
              <w:spacing w:before="120"/>
              <w:rPr>
                <w:rFonts w:ascii="宋体" w:hAnsi="宋体"/>
                <w:sz w:val="24"/>
                <w:szCs w:val="24"/>
              </w:rPr>
            </w:pPr>
          </w:p>
        </w:tc>
        <w:tc>
          <w:tcPr>
            <w:tcW w:w="3220" w:type="dxa"/>
            <w:noWrap w:val="0"/>
            <w:vAlign w:val="center"/>
          </w:tcPr>
          <w:p w14:paraId="60ECA44E">
            <w:pPr>
              <w:spacing w:before="120"/>
              <w:rPr>
                <w:rFonts w:ascii="宋体" w:hAnsi="宋体"/>
                <w:sz w:val="24"/>
                <w:szCs w:val="24"/>
              </w:rPr>
            </w:pPr>
          </w:p>
        </w:tc>
        <w:tc>
          <w:tcPr>
            <w:tcW w:w="3220" w:type="dxa"/>
            <w:noWrap w:val="0"/>
            <w:vAlign w:val="center"/>
          </w:tcPr>
          <w:p w14:paraId="66967A55">
            <w:pPr>
              <w:spacing w:before="120"/>
              <w:rPr>
                <w:rFonts w:ascii="宋体" w:hAnsi="宋体"/>
                <w:sz w:val="24"/>
                <w:szCs w:val="24"/>
              </w:rPr>
            </w:pPr>
          </w:p>
        </w:tc>
        <w:tc>
          <w:tcPr>
            <w:tcW w:w="1768" w:type="dxa"/>
            <w:noWrap w:val="0"/>
            <w:vAlign w:val="center"/>
          </w:tcPr>
          <w:p w14:paraId="7B3663A5">
            <w:pPr>
              <w:spacing w:before="120"/>
              <w:rPr>
                <w:rFonts w:ascii="宋体" w:hAnsi="宋体"/>
                <w:sz w:val="24"/>
                <w:szCs w:val="24"/>
              </w:rPr>
            </w:pPr>
          </w:p>
        </w:tc>
      </w:tr>
      <w:tr w14:paraId="75B5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70" w:type="dxa"/>
            <w:noWrap w:val="0"/>
            <w:vAlign w:val="center"/>
          </w:tcPr>
          <w:p w14:paraId="34A3C1D3">
            <w:pPr>
              <w:spacing w:before="120"/>
              <w:rPr>
                <w:rFonts w:ascii="宋体" w:hAnsi="宋体"/>
                <w:sz w:val="24"/>
                <w:szCs w:val="24"/>
              </w:rPr>
            </w:pPr>
          </w:p>
        </w:tc>
        <w:tc>
          <w:tcPr>
            <w:tcW w:w="3220" w:type="dxa"/>
            <w:noWrap w:val="0"/>
            <w:vAlign w:val="center"/>
          </w:tcPr>
          <w:p w14:paraId="22BD0851">
            <w:pPr>
              <w:spacing w:before="120"/>
              <w:rPr>
                <w:rFonts w:ascii="宋体" w:hAnsi="宋体"/>
                <w:sz w:val="24"/>
                <w:szCs w:val="24"/>
              </w:rPr>
            </w:pPr>
          </w:p>
        </w:tc>
        <w:tc>
          <w:tcPr>
            <w:tcW w:w="3220" w:type="dxa"/>
            <w:noWrap w:val="0"/>
            <w:vAlign w:val="center"/>
          </w:tcPr>
          <w:p w14:paraId="4287DD68">
            <w:pPr>
              <w:spacing w:before="120"/>
              <w:rPr>
                <w:rFonts w:ascii="宋体" w:hAnsi="宋体"/>
                <w:sz w:val="24"/>
                <w:szCs w:val="24"/>
              </w:rPr>
            </w:pPr>
          </w:p>
        </w:tc>
        <w:tc>
          <w:tcPr>
            <w:tcW w:w="1768" w:type="dxa"/>
            <w:noWrap w:val="0"/>
            <w:vAlign w:val="center"/>
          </w:tcPr>
          <w:p w14:paraId="4C4D8615">
            <w:pPr>
              <w:spacing w:before="120"/>
              <w:rPr>
                <w:rFonts w:ascii="宋体" w:hAnsi="宋体"/>
                <w:sz w:val="24"/>
                <w:szCs w:val="24"/>
              </w:rPr>
            </w:pPr>
          </w:p>
        </w:tc>
      </w:tr>
      <w:tr w14:paraId="3CE7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70" w:type="dxa"/>
            <w:noWrap w:val="0"/>
            <w:vAlign w:val="center"/>
          </w:tcPr>
          <w:p w14:paraId="64D60F89">
            <w:pPr>
              <w:spacing w:before="120"/>
              <w:rPr>
                <w:rFonts w:ascii="宋体" w:hAnsi="宋体"/>
                <w:sz w:val="24"/>
                <w:szCs w:val="24"/>
              </w:rPr>
            </w:pPr>
          </w:p>
        </w:tc>
        <w:tc>
          <w:tcPr>
            <w:tcW w:w="3220" w:type="dxa"/>
            <w:noWrap w:val="0"/>
            <w:vAlign w:val="center"/>
          </w:tcPr>
          <w:p w14:paraId="13B3D599">
            <w:pPr>
              <w:spacing w:before="120"/>
              <w:rPr>
                <w:rFonts w:ascii="宋体" w:hAnsi="宋体"/>
                <w:sz w:val="24"/>
                <w:szCs w:val="24"/>
              </w:rPr>
            </w:pPr>
          </w:p>
        </w:tc>
        <w:tc>
          <w:tcPr>
            <w:tcW w:w="3220" w:type="dxa"/>
            <w:noWrap w:val="0"/>
            <w:vAlign w:val="center"/>
          </w:tcPr>
          <w:p w14:paraId="7DB33EDF">
            <w:pPr>
              <w:spacing w:before="120"/>
              <w:rPr>
                <w:rFonts w:ascii="宋体" w:hAnsi="宋体"/>
                <w:sz w:val="24"/>
                <w:szCs w:val="24"/>
              </w:rPr>
            </w:pPr>
          </w:p>
        </w:tc>
        <w:tc>
          <w:tcPr>
            <w:tcW w:w="1768" w:type="dxa"/>
            <w:noWrap w:val="0"/>
            <w:vAlign w:val="center"/>
          </w:tcPr>
          <w:p w14:paraId="21CD9F14">
            <w:pPr>
              <w:spacing w:before="120"/>
              <w:rPr>
                <w:rFonts w:ascii="宋体" w:hAnsi="宋体"/>
                <w:sz w:val="24"/>
                <w:szCs w:val="24"/>
              </w:rPr>
            </w:pPr>
          </w:p>
        </w:tc>
      </w:tr>
      <w:tr w14:paraId="55C5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70" w:type="dxa"/>
            <w:noWrap w:val="0"/>
            <w:vAlign w:val="center"/>
          </w:tcPr>
          <w:p w14:paraId="0E755106">
            <w:pPr>
              <w:spacing w:before="120"/>
              <w:rPr>
                <w:rFonts w:ascii="宋体" w:hAnsi="宋体"/>
                <w:sz w:val="24"/>
                <w:szCs w:val="24"/>
              </w:rPr>
            </w:pPr>
          </w:p>
        </w:tc>
        <w:tc>
          <w:tcPr>
            <w:tcW w:w="3220" w:type="dxa"/>
            <w:noWrap w:val="0"/>
            <w:vAlign w:val="center"/>
          </w:tcPr>
          <w:p w14:paraId="287B40E6">
            <w:pPr>
              <w:spacing w:before="120"/>
              <w:rPr>
                <w:rFonts w:ascii="宋体" w:hAnsi="宋体"/>
                <w:sz w:val="24"/>
                <w:szCs w:val="24"/>
              </w:rPr>
            </w:pPr>
          </w:p>
        </w:tc>
        <w:tc>
          <w:tcPr>
            <w:tcW w:w="3220" w:type="dxa"/>
            <w:noWrap w:val="0"/>
            <w:vAlign w:val="center"/>
          </w:tcPr>
          <w:p w14:paraId="4161E90A">
            <w:pPr>
              <w:spacing w:before="120"/>
              <w:rPr>
                <w:rFonts w:ascii="宋体" w:hAnsi="宋体"/>
                <w:sz w:val="24"/>
                <w:szCs w:val="24"/>
              </w:rPr>
            </w:pPr>
          </w:p>
        </w:tc>
        <w:tc>
          <w:tcPr>
            <w:tcW w:w="1768" w:type="dxa"/>
            <w:noWrap w:val="0"/>
            <w:vAlign w:val="center"/>
          </w:tcPr>
          <w:p w14:paraId="531C8875">
            <w:pPr>
              <w:spacing w:before="120"/>
              <w:rPr>
                <w:rFonts w:ascii="宋体" w:hAnsi="宋体"/>
                <w:sz w:val="24"/>
                <w:szCs w:val="24"/>
              </w:rPr>
            </w:pPr>
          </w:p>
        </w:tc>
      </w:tr>
      <w:tr w14:paraId="64F9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70" w:type="dxa"/>
            <w:noWrap w:val="0"/>
            <w:vAlign w:val="center"/>
          </w:tcPr>
          <w:p w14:paraId="6095F68B">
            <w:pPr>
              <w:spacing w:before="120"/>
              <w:rPr>
                <w:rFonts w:ascii="宋体" w:hAnsi="宋体"/>
                <w:sz w:val="24"/>
                <w:szCs w:val="24"/>
              </w:rPr>
            </w:pPr>
          </w:p>
        </w:tc>
        <w:tc>
          <w:tcPr>
            <w:tcW w:w="3220" w:type="dxa"/>
            <w:noWrap w:val="0"/>
            <w:vAlign w:val="center"/>
          </w:tcPr>
          <w:p w14:paraId="0B5BEB2F">
            <w:pPr>
              <w:spacing w:before="120"/>
              <w:rPr>
                <w:rFonts w:ascii="宋体" w:hAnsi="宋体"/>
                <w:sz w:val="24"/>
                <w:szCs w:val="24"/>
              </w:rPr>
            </w:pPr>
          </w:p>
        </w:tc>
        <w:tc>
          <w:tcPr>
            <w:tcW w:w="3220" w:type="dxa"/>
            <w:noWrap w:val="0"/>
            <w:vAlign w:val="center"/>
          </w:tcPr>
          <w:p w14:paraId="0CDA578E">
            <w:pPr>
              <w:spacing w:before="120"/>
              <w:rPr>
                <w:rFonts w:ascii="宋体" w:hAnsi="宋体"/>
                <w:sz w:val="24"/>
                <w:szCs w:val="24"/>
              </w:rPr>
            </w:pPr>
          </w:p>
        </w:tc>
        <w:tc>
          <w:tcPr>
            <w:tcW w:w="1768" w:type="dxa"/>
            <w:noWrap w:val="0"/>
            <w:vAlign w:val="center"/>
          </w:tcPr>
          <w:p w14:paraId="78FAA479">
            <w:pPr>
              <w:spacing w:before="120"/>
              <w:rPr>
                <w:rFonts w:ascii="宋体" w:hAnsi="宋体"/>
                <w:sz w:val="24"/>
                <w:szCs w:val="24"/>
              </w:rPr>
            </w:pPr>
          </w:p>
        </w:tc>
      </w:tr>
    </w:tbl>
    <w:p w14:paraId="4A99CC15">
      <w:pPr>
        <w:pStyle w:val="33"/>
        <w:jc w:val="both"/>
        <w:rPr>
          <w:rFonts w:hAnsi="宋体"/>
        </w:rPr>
      </w:pPr>
    </w:p>
    <w:p w14:paraId="33A27E56">
      <w:pPr>
        <w:numPr>
          <w:ilvl w:val="0"/>
          <w:numId w:val="0"/>
        </w:numPr>
        <w:wordWrap w:val="0"/>
        <w:spacing w:line="420" w:lineRule="exact"/>
        <w:jc w:val="center"/>
        <w:outlineLvl w:val="1"/>
        <w:rPr>
          <w:rFonts w:hint="eastAsia"/>
          <w:sz w:val="24"/>
          <w:szCs w:val="24"/>
        </w:rPr>
      </w:pPr>
      <w:r>
        <w:rPr>
          <w:rFonts w:ascii="宋体" w:hAnsi="宋体"/>
          <w:sz w:val="24"/>
          <w:szCs w:val="24"/>
        </w:rPr>
        <w:t>注：</w:t>
      </w:r>
      <w:r>
        <w:rPr>
          <w:rFonts w:hint="eastAsia"/>
          <w:sz w:val="24"/>
          <w:szCs w:val="24"/>
        </w:rPr>
        <w:t>“偏离说明”一栏必须写明偏离情况，不得以“满足”代替，若无偏离则填写“无”。</w:t>
      </w:r>
    </w:p>
    <w:p w14:paraId="000AE507">
      <w:pPr>
        <w:numPr>
          <w:ilvl w:val="0"/>
          <w:numId w:val="0"/>
        </w:numPr>
        <w:wordWrap w:val="0"/>
        <w:spacing w:line="420" w:lineRule="exact"/>
        <w:jc w:val="center"/>
        <w:outlineLvl w:val="1"/>
        <w:rPr>
          <w:rFonts w:hint="default"/>
          <w:sz w:val="24"/>
          <w:szCs w:val="24"/>
          <w:lang w:val="en-US" w:eastAsia="zh-CN"/>
        </w:rPr>
      </w:pPr>
      <w:r>
        <w:rPr>
          <w:rFonts w:hint="eastAsia" w:eastAsia="宋体"/>
          <w:sz w:val="24"/>
          <w:szCs w:val="24"/>
          <w:lang w:val="en-US" w:eastAsia="zh-CN"/>
        </w:rPr>
        <w:t xml:space="preserve">              </w:t>
      </w:r>
      <w:r>
        <w:rPr>
          <w:rFonts w:hint="eastAsia"/>
          <w:sz w:val="24"/>
          <w:szCs w:val="24"/>
          <w:lang w:val="en-US" w:eastAsia="zh-CN"/>
        </w:rPr>
        <w:t>参照第三章“</w:t>
      </w:r>
      <w:r>
        <w:rPr>
          <w:rFonts w:hint="eastAsia"/>
          <w:sz w:val="24"/>
          <w:szCs w:val="24"/>
        </w:rPr>
        <w:t>符合性审查</w:t>
      </w:r>
      <w:r>
        <w:rPr>
          <w:rFonts w:hint="eastAsia"/>
          <w:sz w:val="24"/>
          <w:szCs w:val="24"/>
          <w:lang w:val="en-US" w:eastAsia="zh-CN"/>
        </w:rPr>
        <w:t>”内容填写偏离情况，供应商可根据磋商文件内容自行拓展。</w:t>
      </w:r>
    </w:p>
    <w:p w14:paraId="2186862A">
      <w:pPr>
        <w:pStyle w:val="7"/>
        <w:spacing w:line="360" w:lineRule="auto"/>
        <w:ind w:left="480" w:hanging="480" w:hangingChars="200"/>
        <w:rPr>
          <w:rFonts w:hint="eastAsia" w:ascii="宋体" w:hAnsi="宋体" w:eastAsia="宋体"/>
          <w:sz w:val="24"/>
          <w:szCs w:val="24"/>
          <w:lang w:val="en-US" w:eastAsia="zh-CN"/>
        </w:rPr>
      </w:pPr>
    </w:p>
    <w:p w14:paraId="7B5EAA21">
      <w:pPr>
        <w:spacing w:after="120" w:line="360" w:lineRule="auto"/>
        <w:rPr>
          <w:rFonts w:hint="eastAsia" w:ascii="宋体" w:hAnsi="宋体"/>
          <w:snapToGrid w:val="0"/>
          <w:kern w:val="0"/>
          <w:sz w:val="24"/>
          <w:szCs w:val="24"/>
        </w:rPr>
      </w:pPr>
      <w:r>
        <w:rPr>
          <w:rFonts w:hint="eastAsia"/>
          <w:snapToGrid w:val="0"/>
          <w:kern w:val="0"/>
          <w:sz w:val="24"/>
          <w:szCs w:val="24"/>
        </w:rPr>
        <w:t xml:space="preserve">   </w:t>
      </w:r>
    </w:p>
    <w:p w14:paraId="36566A5E">
      <w:pPr>
        <w:adjustRightInd w:val="0"/>
        <w:snapToGrid w:val="0"/>
        <w:spacing w:line="360" w:lineRule="auto"/>
        <w:jc w:val="right"/>
        <w:rPr>
          <w:rFonts w:hint="eastAsia" w:ascii="宋体" w:hAnsi="宋体"/>
          <w:snapToGrid w:val="0"/>
          <w:kern w:val="0"/>
          <w:sz w:val="24"/>
          <w:szCs w:val="24"/>
        </w:rPr>
      </w:pPr>
      <w:r>
        <w:rPr>
          <w:rFonts w:hint="eastAsia" w:ascii="宋体" w:hAnsi="宋体"/>
          <w:snapToGrid w:val="0"/>
          <w:kern w:val="0"/>
          <w:sz w:val="24"/>
          <w:szCs w:val="24"/>
        </w:rPr>
        <w:t xml:space="preserve">供应商（单位电子签章）： </w:t>
      </w:r>
    </w:p>
    <w:p w14:paraId="0AAF7172">
      <w:pPr>
        <w:pStyle w:val="7"/>
        <w:jc w:val="right"/>
        <w:rPr>
          <w:rFonts w:hint="eastAsia" w:ascii="宋体" w:hAnsi="宋体"/>
          <w:sz w:val="24"/>
          <w:szCs w:val="24"/>
        </w:rPr>
      </w:pPr>
      <w:r>
        <w:rPr>
          <w:rFonts w:hint="eastAsia" w:ascii="宋体" w:hAnsi="宋体"/>
          <w:snapToGrid w:val="0"/>
          <w:kern w:val="0"/>
          <w:sz w:val="24"/>
          <w:szCs w:val="24"/>
        </w:rPr>
        <w:t>法定代表人</w:t>
      </w:r>
      <w:r>
        <w:rPr>
          <w:rFonts w:hint="eastAsia" w:ascii="宋体" w:hAnsi="宋体"/>
          <w:snapToGrid w:val="0"/>
          <w:kern w:val="0"/>
          <w:sz w:val="24"/>
          <w:szCs w:val="24"/>
          <w:lang w:eastAsia="zh-CN"/>
        </w:rPr>
        <w:t>（</w:t>
      </w:r>
      <w:r>
        <w:rPr>
          <w:rFonts w:hint="eastAsia" w:ascii="宋体" w:hAnsi="宋体"/>
          <w:snapToGrid w:val="0"/>
          <w:kern w:val="0"/>
          <w:sz w:val="24"/>
          <w:szCs w:val="24"/>
          <w:lang w:val="en-US" w:eastAsia="zh-CN"/>
        </w:rPr>
        <w:t>负责人）</w:t>
      </w:r>
      <w:r>
        <w:rPr>
          <w:rFonts w:hint="eastAsia" w:ascii="宋体" w:hAnsi="宋体"/>
          <w:snapToGrid w:val="0"/>
          <w:kern w:val="0"/>
          <w:sz w:val="24"/>
          <w:szCs w:val="24"/>
        </w:rPr>
        <w:t xml:space="preserve">或其委托代理人（电子签名或盖章）： </w:t>
      </w:r>
    </w:p>
    <w:p w14:paraId="027019D3">
      <w:pPr>
        <w:pStyle w:val="7"/>
        <w:rPr>
          <w:rFonts w:hint="eastAsia" w:ascii="宋体" w:hAnsi="宋体"/>
          <w:sz w:val="24"/>
          <w:szCs w:val="24"/>
        </w:rPr>
      </w:pPr>
    </w:p>
    <w:p w14:paraId="327F3C6A">
      <w:pPr>
        <w:pStyle w:val="7"/>
        <w:rPr>
          <w:rFonts w:hint="eastAsia"/>
          <w:sz w:val="24"/>
          <w:szCs w:val="24"/>
        </w:rPr>
      </w:pPr>
      <w:r>
        <w:rPr>
          <w:rFonts w:hint="eastAsia" w:ascii="宋体" w:hAnsi="宋体"/>
          <w:sz w:val="24"/>
          <w:szCs w:val="24"/>
        </w:rPr>
        <w:t xml:space="preserve">                                                         年      月     日</w:t>
      </w:r>
    </w:p>
    <w:bookmarkEnd w:id="802"/>
    <w:bookmarkEnd w:id="803"/>
    <w:bookmarkEnd w:id="804"/>
    <w:p w14:paraId="79C20A44">
      <w:pPr>
        <w:wordWrap w:val="0"/>
        <w:spacing w:line="420" w:lineRule="exact"/>
        <w:jc w:val="center"/>
        <w:outlineLvl w:val="1"/>
        <w:rPr>
          <w:rFonts w:ascii="宋体" w:hAnsi="宋体" w:cs="宋体"/>
          <w:b/>
          <w:sz w:val="32"/>
          <w:szCs w:val="32"/>
        </w:rPr>
      </w:pPr>
      <w:r>
        <w:rPr>
          <w:rFonts w:hint="eastAsia" w:ascii="宋体" w:hAnsi="宋体" w:cs="宋体"/>
        </w:rPr>
        <w:br w:type="page"/>
      </w:r>
      <w:bookmarkStart w:id="805" w:name="_Toc2557"/>
      <w:bookmarkStart w:id="806" w:name="_Toc11835"/>
      <w:bookmarkStart w:id="807" w:name="_Toc20896"/>
      <w:bookmarkStart w:id="808" w:name="_Toc414445769"/>
      <w:bookmarkStart w:id="809" w:name="_Toc410631178"/>
      <w:bookmarkStart w:id="810" w:name="_Toc416103819"/>
      <w:bookmarkStart w:id="811" w:name="_Toc468781351"/>
      <w:bookmarkStart w:id="812" w:name="_Toc143577473"/>
      <w:r>
        <w:rPr>
          <w:rFonts w:hint="eastAsia" w:ascii="宋体" w:hAnsi="宋体" w:cs="宋体"/>
          <w:b/>
          <w:sz w:val="32"/>
          <w:szCs w:val="32"/>
          <w:lang w:val="en-US" w:eastAsia="zh-CN"/>
        </w:rPr>
        <w:t>四</w:t>
      </w:r>
      <w:r>
        <w:rPr>
          <w:rFonts w:hint="eastAsia" w:ascii="宋体" w:hAnsi="宋体" w:cs="宋体"/>
          <w:b/>
          <w:sz w:val="32"/>
          <w:szCs w:val="32"/>
        </w:rPr>
        <w:t>、资格证明材料</w:t>
      </w:r>
      <w:bookmarkEnd w:id="805"/>
      <w:bookmarkEnd w:id="806"/>
      <w:bookmarkEnd w:id="807"/>
    </w:p>
    <w:p w14:paraId="74BED6F3">
      <w:pPr>
        <w:wordWrap w:val="0"/>
        <w:spacing w:line="420" w:lineRule="exact"/>
        <w:jc w:val="center"/>
        <w:rPr>
          <w:rFonts w:hint="eastAsia" w:ascii="宋体" w:hAnsi="宋体" w:cs="宋体"/>
          <w:b/>
          <w:bCs/>
          <w:sz w:val="28"/>
          <w:szCs w:val="28"/>
        </w:rPr>
      </w:pPr>
      <w:bookmarkStart w:id="813" w:name="_Toc456185719"/>
      <w:bookmarkStart w:id="814" w:name="_Toc9513"/>
    </w:p>
    <w:p w14:paraId="47164973">
      <w:pPr>
        <w:wordWrap w:val="0"/>
        <w:spacing w:line="420" w:lineRule="exact"/>
        <w:jc w:val="center"/>
        <w:rPr>
          <w:rFonts w:ascii="宋体" w:hAnsi="宋体" w:cs="宋体"/>
          <w:b/>
          <w:bCs/>
          <w:sz w:val="28"/>
          <w:szCs w:val="28"/>
        </w:rPr>
      </w:pPr>
      <w:r>
        <w:rPr>
          <w:rFonts w:hint="eastAsia" w:ascii="宋体" w:hAnsi="宋体" w:cs="宋体"/>
          <w:b/>
          <w:bCs/>
          <w:sz w:val="28"/>
          <w:szCs w:val="28"/>
        </w:rPr>
        <w:t>供应商基本情况表</w:t>
      </w:r>
      <w:bookmarkEnd w:id="813"/>
      <w:bookmarkEnd w:id="814"/>
    </w:p>
    <w:tbl>
      <w:tblPr>
        <w:tblStyle w:val="1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014"/>
        <w:gridCol w:w="1447"/>
        <w:gridCol w:w="1379"/>
        <w:gridCol w:w="271"/>
        <w:gridCol w:w="1140"/>
        <w:gridCol w:w="293"/>
        <w:gridCol w:w="802"/>
        <w:gridCol w:w="1610"/>
      </w:tblGrid>
      <w:tr w14:paraId="5175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2" w:type="dxa"/>
            <w:vAlign w:val="center"/>
          </w:tcPr>
          <w:p w14:paraId="79CC128D">
            <w:pPr>
              <w:wordWrap w:val="0"/>
              <w:jc w:val="center"/>
              <w:rPr>
                <w:rFonts w:ascii="宋体" w:hAnsi="宋体" w:cs="宋体"/>
                <w:sz w:val="24"/>
                <w:szCs w:val="24"/>
              </w:rPr>
            </w:pPr>
            <w:r>
              <w:rPr>
                <w:rFonts w:hint="eastAsia" w:ascii="宋体" w:hAnsi="宋体" w:cs="宋体"/>
                <w:sz w:val="24"/>
                <w:szCs w:val="24"/>
              </w:rPr>
              <w:t>供应商名称</w:t>
            </w:r>
          </w:p>
        </w:tc>
        <w:tc>
          <w:tcPr>
            <w:tcW w:w="7956" w:type="dxa"/>
            <w:gridSpan w:val="8"/>
            <w:vAlign w:val="center"/>
          </w:tcPr>
          <w:p w14:paraId="2E430720">
            <w:pPr>
              <w:wordWrap w:val="0"/>
              <w:jc w:val="center"/>
              <w:rPr>
                <w:rFonts w:ascii="宋体" w:hAnsi="宋体" w:cs="宋体"/>
                <w:sz w:val="24"/>
                <w:szCs w:val="24"/>
              </w:rPr>
            </w:pPr>
          </w:p>
        </w:tc>
      </w:tr>
      <w:tr w14:paraId="2398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2" w:type="dxa"/>
            <w:vAlign w:val="center"/>
          </w:tcPr>
          <w:p w14:paraId="3502CF3C">
            <w:pPr>
              <w:wordWrap w:val="0"/>
              <w:jc w:val="center"/>
              <w:rPr>
                <w:rFonts w:ascii="宋体" w:hAnsi="宋体" w:cs="宋体"/>
                <w:sz w:val="24"/>
                <w:szCs w:val="24"/>
              </w:rPr>
            </w:pPr>
            <w:r>
              <w:rPr>
                <w:rFonts w:hint="eastAsia" w:ascii="宋体" w:hAnsi="宋体" w:cs="宋体"/>
                <w:sz w:val="24"/>
                <w:szCs w:val="24"/>
              </w:rPr>
              <w:t>注册地址</w:t>
            </w:r>
          </w:p>
        </w:tc>
        <w:tc>
          <w:tcPr>
            <w:tcW w:w="3840" w:type="dxa"/>
            <w:gridSpan w:val="3"/>
            <w:vAlign w:val="center"/>
          </w:tcPr>
          <w:p w14:paraId="6294BDD4">
            <w:pPr>
              <w:wordWrap w:val="0"/>
              <w:jc w:val="center"/>
              <w:rPr>
                <w:rFonts w:ascii="宋体" w:hAnsi="宋体" w:cs="宋体"/>
                <w:sz w:val="24"/>
                <w:szCs w:val="24"/>
              </w:rPr>
            </w:pPr>
          </w:p>
        </w:tc>
        <w:tc>
          <w:tcPr>
            <w:tcW w:w="1411" w:type="dxa"/>
            <w:gridSpan w:val="2"/>
            <w:vAlign w:val="center"/>
          </w:tcPr>
          <w:p w14:paraId="0AC9291F">
            <w:pPr>
              <w:wordWrap w:val="0"/>
              <w:jc w:val="center"/>
              <w:rPr>
                <w:rFonts w:ascii="宋体" w:hAnsi="宋体" w:cs="宋体"/>
                <w:sz w:val="24"/>
                <w:szCs w:val="24"/>
              </w:rPr>
            </w:pPr>
            <w:r>
              <w:rPr>
                <w:rFonts w:hint="eastAsia" w:ascii="宋体" w:hAnsi="宋体" w:cs="宋体"/>
                <w:sz w:val="24"/>
                <w:szCs w:val="24"/>
              </w:rPr>
              <w:t>邮政编码</w:t>
            </w:r>
          </w:p>
        </w:tc>
        <w:tc>
          <w:tcPr>
            <w:tcW w:w="2705" w:type="dxa"/>
            <w:gridSpan w:val="3"/>
            <w:vAlign w:val="center"/>
          </w:tcPr>
          <w:p w14:paraId="1EF652D8">
            <w:pPr>
              <w:wordWrap w:val="0"/>
              <w:jc w:val="center"/>
              <w:rPr>
                <w:rFonts w:ascii="宋体" w:hAnsi="宋体" w:cs="宋体"/>
                <w:sz w:val="24"/>
                <w:szCs w:val="24"/>
              </w:rPr>
            </w:pPr>
          </w:p>
        </w:tc>
      </w:tr>
      <w:tr w14:paraId="40B6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2" w:type="dxa"/>
            <w:vMerge w:val="restart"/>
            <w:vAlign w:val="center"/>
          </w:tcPr>
          <w:p w14:paraId="0FC2A655">
            <w:pPr>
              <w:wordWrap w:val="0"/>
              <w:jc w:val="center"/>
              <w:rPr>
                <w:rFonts w:ascii="宋体" w:hAnsi="宋体" w:cs="宋体"/>
                <w:sz w:val="24"/>
                <w:szCs w:val="24"/>
              </w:rPr>
            </w:pPr>
            <w:r>
              <w:rPr>
                <w:rFonts w:hint="eastAsia" w:ascii="宋体" w:hAnsi="宋体" w:cs="宋体"/>
                <w:sz w:val="24"/>
                <w:szCs w:val="24"/>
              </w:rPr>
              <w:t>联系方式</w:t>
            </w:r>
          </w:p>
        </w:tc>
        <w:tc>
          <w:tcPr>
            <w:tcW w:w="1014" w:type="dxa"/>
            <w:vAlign w:val="center"/>
          </w:tcPr>
          <w:p w14:paraId="03932790">
            <w:pPr>
              <w:wordWrap w:val="0"/>
              <w:jc w:val="center"/>
              <w:rPr>
                <w:rFonts w:ascii="宋体" w:hAnsi="宋体" w:cs="宋体"/>
                <w:sz w:val="24"/>
                <w:szCs w:val="24"/>
              </w:rPr>
            </w:pPr>
            <w:r>
              <w:rPr>
                <w:rFonts w:hint="eastAsia" w:ascii="宋体" w:hAnsi="宋体" w:cs="宋体"/>
                <w:sz w:val="24"/>
                <w:szCs w:val="24"/>
              </w:rPr>
              <w:t>联系人</w:t>
            </w:r>
          </w:p>
        </w:tc>
        <w:tc>
          <w:tcPr>
            <w:tcW w:w="2826" w:type="dxa"/>
            <w:gridSpan w:val="2"/>
            <w:vAlign w:val="center"/>
          </w:tcPr>
          <w:p w14:paraId="073B99DB">
            <w:pPr>
              <w:wordWrap w:val="0"/>
              <w:jc w:val="center"/>
              <w:rPr>
                <w:rFonts w:ascii="宋体" w:hAnsi="宋体" w:cs="宋体"/>
                <w:sz w:val="24"/>
                <w:szCs w:val="24"/>
              </w:rPr>
            </w:pPr>
          </w:p>
        </w:tc>
        <w:tc>
          <w:tcPr>
            <w:tcW w:w="1411" w:type="dxa"/>
            <w:gridSpan w:val="2"/>
            <w:vAlign w:val="center"/>
          </w:tcPr>
          <w:p w14:paraId="0401C10A">
            <w:pPr>
              <w:wordWrap w:val="0"/>
              <w:jc w:val="center"/>
              <w:rPr>
                <w:rFonts w:ascii="宋体" w:hAnsi="宋体" w:cs="宋体"/>
                <w:sz w:val="24"/>
                <w:szCs w:val="24"/>
              </w:rPr>
            </w:pPr>
            <w:r>
              <w:rPr>
                <w:rFonts w:hint="eastAsia" w:ascii="宋体" w:hAnsi="宋体" w:cs="宋体"/>
                <w:sz w:val="24"/>
                <w:szCs w:val="24"/>
              </w:rPr>
              <w:t>电  话</w:t>
            </w:r>
          </w:p>
        </w:tc>
        <w:tc>
          <w:tcPr>
            <w:tcW w:w="2705" w:type="dxa"/>
            <w:gridSpan w:val="3"/>
            <w:vAlign w:val="center"/>
          </w:tcPr>
          <w:p w14:paraId="46A5CE5C">
            <w:pPr>
              <w:wordWrap w:val="0"/>
              <w:jc w:val="center"/>
              <w:rPr>
                <w:rFonts w:ascii="宋体" w:hAnsi="宋体" w:cs="宋体"/>
                <w:sz w:val="24"/>
                <w:szCs w:val="24"/>
              </w:rPr>
            </w:pPr>
          </w:p>
        </w:tc>
      </w:tr>
      <w:tr w14:paraId="19FA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2" w:type="dxa"/>
            <w:vMerge w:val="continue"/>
            <w:vAlign w:val="center"/>
          </w:tcPr>
          <w:p w14:paraId="500E5E3C">
            <w:pPr>
              <w:wordWrap w:val="0"/>
              <w:ind w:firstLine="480"/>
              <w:jc w:val="center"/>
              <w:rPr>
                <w:rFonts w:ascii="宋体" w:hAnsi="宋体" w:cs="宋体"/>
                <w:sz w:val="24"/>
                <w:szCs w:val="24"/>
              </w:rPr>
            </w:pPr>
          </w:p>
        </w:tc>
        <w:tc>
          <w:tcPr>
            <w:tcW w:w="1014" w:type="dxa"/>
            <w:vAlign w:val="center"/>
          </w:tcPr>
          <w:p w14:paraId="38077DF9">
            <w:pPr>
              <w:wordWrap w:val="0"/>
              <w:jc w:val="center"/>
              <w:rPr>
                <w:rFonts w:ascii="宋体" w:hAnsi="宋体" w:cs="宋体"/>
                <w:sz w:val="24"/>
                <w:szCs w:val="24"/>
              </w:rPr>
            </w:pPr>
            <w:r>
              <w:rPr>
                <w:rFonts w:hint="eastAsia" w:ascii="宋体" w:hAnsi="宋体" w:cs="宋体"/>
                <w:sz w:val="24"/>
                <w:szCs w:val="24"/>
              </w:rPr>
              <w:t>传  真</w:t>
            </w:r>
          </w:p>
        </w:tc>
        <w:tc>
          <w:tcPr>
            <w:tcW w:w="2826" w:type="dxa"/>
            <w:gridSpan w:val="2"/>
            <w:vAlign w:val="center"/>
          </w:tcPr>
          <w:p w14:paraId="4967013A">
            <w:pPr>
              <w:wordWrap w:val="0"/>
              <w:jc w:val="center"/>
              <w:rPr>
                <w:rFonts w:ascii="宋体" w:hAnsi="宋体" w:cs="宋体"/>
                <w:sz w:val="24"/>
                <w:szCs w:val="24"/>
              </w:rPr>
            </w:pPr>
          </w:p>
        </w:tc>
        <w:tc>
          <w:tcPr>
            <w:tcW w:w="1411" w:type="dxa"/>
            <w:gridSpan w:val="2"/>
            <w:vAlign w:val="center"/>
          </w:tcPr>
          <w:p w14:paraId="2198B959">
            <w:pPr>
              <w:wordWrap w:val="0"/>
              <w:jc w:val="center"/>
              <w:rPr>
                <w:rFonts w:ascii="宋体" w:hAnsi="宋体" w:cs="宋体"/>
                <w:sz w:val="24"/>
                <w:szCs w:val="24"/>
              </w:rPr>
            </w:pPr>
            <w:r>
              <w:rPr>
                <w:rFonts w:hint="eastAsia" w:ascii="宋体" w:hAnsi="宋体" w:cs="宋体"/>
                <w:sz w:val="24"/>
                <w:szCs w:val="24"/>
              </w:rPr>
              <w:t>网  址</w:t>
            </w:r>
          </w:p>
        </w:tc>
        <w:tc>
          <w:tcPr>
            <w:tcW w:w="2705" w:type="dxa"/>
            <w:gridSpan w:val="3"/>
            <w:vAlign w:val="center"/>
          </w:tcPr>
          <w:p w14:paraId="551218A2">
            <w:pPr>
              <w:wordWrap w:val="0"/>
              <w:ind w:firstLine="480"/>
              <w:jc w:val="center"/>
              <w:rPr>
                <w:rFonts w:ascii="宋体" w:hAnsi="宋体" w:cs="宋体"/>
                <w:sz w:val="24"/>
                <w:szCs w:val="24"/>
              </w:rPr>
            </w:pPr>
          </w:p>
        </w:tc>
      </w:tr>
      <w:tr w14:paraId="778D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2" w:type="dxa"/>
            <w:vAlign w:val="center"/>
          </w:tcPr>
          <w:p w14:paraId="5EDB72BF">
            <w:pPr>
              <w:wordWrap w:val="0"/>
              <w:jc w:val="center"/>
              <w:rPr>
                <w:rFonts w:ascii="宋体" w:hAnsi="宋体" w:cs="宋体"/>
                <w:sz w:val="24"/>
                <w:szCs w:val="24"/>
              </w:rPr>
            </w:pPr>
            <w:r>
              <w:rPr>
                <w:rFonts w:hint="eastAsia" w:ascii="宋体" w:hAnsi="宋体" w:cs="宋体"/>
                <w:sz w:val="24"/>
                <w:szCs w:val="24"/>
              </w:rPr>
              <w:t>组织结构</w:t>
            </w:r>
          </w:p>
        </w:tc>
        <w:tc>
          <w:tcPr>
            <w:tcW w:w="7956" w:type="dxa"/>
            <w:gridSpan w:val="8"/>
            <w:vAlign w:val="center"/>
          </w:tcPr>
          <w:p w14:paraId="26481ACC">
            <w:pPr>
              <w:wordWrap w:val="0"/>
              <w:jc w:val="center"/>
              <w:rPr>
                <w:rFonts w:ascii="宋体" w:hAnsi="宋体" w:cs="宋体"/>
                <w:sz w:val="24"/>
                <w:szCs w:val="24"/>
              </w:rPr>
            </w:pPr>
          </w:p>
        </w:tc>
      </w:tr>
      <w:tr w14:paraId="4AC0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2" w:type="dxa"/>
            <w:vAlign w:val="center"/>
          </w:tcPr>
          <w:p w14:paraId="3AEF31DF">
            <w:pPr>
              <w:wordWrap w:val="0"/>
              <w:jc w:val="center"/>
              <w:rPr>
                <w:rFonts w:ascii="宋体" w:hAnsi="宋体" w:cs="宋体"/>
                <w:sz w:val="24"/>
                <w:szCs w:val="24"/>
              </w:rPr>
            </w:pPr>
            <w:r>
              <w:rPr>
                <w:rFonts w:hint="eastAsia" w:ascii="宋体" w:hAnsi="宋体" w:cs="宋体"/>
                <w:sz w:val="24"/>
                <w:szCs w:val="24"/>
              </w:rPr>
              <w:t>法定代表人</w:t>
            </w:r>
          </w:p>
        </w:tc>
        <w:tc>
          <w:tcPr>
            <w:tcW w:w="1014" w:type="dxa"/>
            <w:vAlign w:val="center"/>
          </w:tcPr>
          <w:p w14:paraId="2E04B76A">
            <w:pPr>
              <w:wordWrap w:val="0"/>
              <w:jc w:val="center"/>
              <w:rPr>
                <w:rFonts w:ascii="宋体" w:hAnsi="宋体" w:cs="宋体"/>
                <w:sz w:val="24"/>
                <w:szCs w:val="24"/>
              </w:rPr>
            </w:pPr>
            <w:r>
              <w:rPr>
                <w:rFonts w:hint="eastAsia" w:ascii="宋体" w:hAnsi="宋体" w:cs="宋体"/>
                <w:sz w:val="24"/>
                <w:szCs w:val="24"/>
              </w:rPr>
              <w:t>姓名</w:t>
            </w:r>
          </w:p>
        </w:tc>
        <w:tc>
          <w:tcPr>
            <w:tcW w:w="1447" w:type="dxa"/>
            <w:vAlign w:val="center"/>
          </w:tcPr>
          <w:p w14:paraId="69C00671">
            <w:pPr>
              <w:wordWrap w:val="0"/>
              <w:jc w:val="center"/>
              <w:rPr>
                <w:rFonts w:ascii="宋体" w:hAnsi="宋体" w:cs="宋体"/>
                <w:sz w:val="24"/>
                <w:szCs w:val="24"/>
              </w:rPr>
            </w:pPr>
          </w:p>
        </w:tc>
        <w:tc>
          <w:tcPr>
            <w:tcW w:w="1650" w:type="dxa"/>
            <w:gridSpan w:val="2"/>
            <w:vAlign w:val="center"/>
          </w:tcPr>
          <w:p w14:paraId="49D92965">
            <w:pPr>
              <w:wordWrap w:val="0"/>
              <w:jc w:val="center"/>
              <w:rPr>
                <w:rFonts w:ascii="宋体" w:hAnsi="宋体" w:cs="宋体"/>
                <w:sz w:val="24"/>
                <w:szCs w:val="24"/>
              </w:rPr>
            </w:pPr>
            <w:r>
              <w:rPr>
                <w:rFonts w:hint="eastAsia" w:ascii="宋体" w:hAnsi="宋体" w:cs="宋体"/>
                <w:sz w:val="24"/>
                <w:szCs w:val="24"/>
              </w:rPr>
              <w:t>职务（职称）</w:t>
            </w:r>
          </w:p>
        </w:tc>
        <w:tc>
          <w:tcPr>
            <w:tcW w:w="1433" w:type="dxa"/>
            <w:gridSpan w:val="2"/>
            <w:vAlign w:val="center"/>
          </w:tcPr>
          <w:p w14:paraId="394E85A7">
            <w:pPr>
              <w:wordWrap w:val="0"/>
              <w:jc w:val="center"/>
              <w:rPr>
                <w:rFonts w:ascii="宋体" w:hAnsi="宋体" w:cs="宋体"/>
                <w:sz w:val="24"/>
                <w:szCs w:val="24"/>
              </w:rPr>
            </w:pPr>
          </w:p>
        </w:tc>
        <w:tc>
          <w:tcPr>
            <w:tcW w:w="802" w:type="dxa"/>
            <w:vAlign w:val="center"/>
          </w:tcPr>
          <w:p w14:paraId="0B5B0BA4">
            <w:pPr>
              <w:wordWrap w:val="0"/>
              <w:jc w:val="center"/>
              <w:rPr>
                <w:rFonts w:ascii="宋体" w:hAnsi="宋体" w:cs="宋体"/>
                <w:sz w:val="24"/>
                <w:szCs w:val="24"/>
              </w:rPr>
            </w:pPr>
            <w:r>
              <w:rPr>
                <w:rFonts w:hint="eastAsia" w:ascii="宋体" w:hAnsi="宋体" w:cs="宋体"/>
                <w:sz w:val="24"/>
                <w:szCs w:val="24"/>
              </w:rPr>
              <w:t>电话</w:t>
            </w:r>
          </w:p>
        </w:tc>
        <w:tc>
          <w:tcPr>
            <w:tcW w:w="1610" w:type="dxa"/>
            <w:vAlign w:val="center"/>
          </w:tcPr>
          <w:p w14:paraId="7594EA1A">
            <w:pPr>
              <w:wordWrap w:val="0"/>
              <w:jc w:val="center"/>
              <w:rPr>
                <w:rFonts w:ascii="宋体" w:hAnsi="宋体" w:cs="宋体"/>
                <w:sz w:val="24"/>
                <w:szCs w:val="24"/>
              </w:rPr>
            </w:pPr>
          </w:p>
        </w:tc>
      </w:tr>
      <w:tr w14:paraId="085B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2" w:type="dxa"/>
            <w:vAlign w:val="center"/>
          </w:tcPr>
          <w:p w14:paraId="57D740E3">
            <w:pPr>
              <w:wordWrap w:val="0"/>
              <w:jc w:val="center"/>
              <w:rPr>
                <w:rFonts w:ascii="宋体" w:hAnsi="宋体" w:cs="宋体"/>
                <w:sz w:val="24"/>
                <w:szCs w:val="24"/>
              </w:rPr>
            </w:pPr>
            <w:r>
              <w:rPr>
                <w:rFonts w:hint="eastAsia" w:ascii="宋体" w:hAnsi="宋体" w:cs="宋体"/>
                <w:sz w:val="24"/>
                <w:szCs w:val="24"/>
              </w:rPr>
              <w:t>项目负责人</w:t>
            </w:r>
          </w:p>
        </w:tc>
        <w:tc>
          <w:tcPr>
            <w:tcW w:w="1014" w:type="dxa"/>
            <w:vAlign w:val="center"/>
          </w:tcPr>
          <w:p w14:paraId="0BDA8450">
            <w:pPr>
              <w:wordWrap w:val="0"/>
              <w:jc w:val="center"/>
              <w:rPr>
                <w:rFonts w:ascii="宋体" w:hAnsi="宋体" w:cs="宋体"/>
                <w:sz w:val="24"/>
                <w:szCs w:val="24"/>
              </w:rPr>
            </w:pPr>
            <w:r>
              <w:rPr>
                <w:rFonts w:hint="eastAsia" w:ascii="宋体" w:hAnsi="宋体" w:cs="宋体"/>
                <w:sz w:val="24"/>
                <w:szCs w:val="24"/>
              </w:rPr>
              <w:t>姓名</w:t>
            </w:r>
          </w:p>
        </w:tc>
        <w:tc>
          <w:tcPr>
            <w:tcW w:w="1447" w:type="dxa"/>
            <w:vAlign w:val="center"/>
          </w:tcPr>
          <w:p w14:paraId="62218714">
            <w:pPr>
              <w:wordWrap w:val="0"/>
              <w:jc w:val="center"/>
              <w:rPr>
                <w:rFonts w:ascii="宋体" w:hAnsi="宋体" w:cs="宋体"/>
                <w:sz w:val="24"/>
                <w:szCs w:val="24"/>
              </w:rPr>
            </w:pPr>
          </w:p>
        </w:tc>
        <w:tc>
          <w:tcPr>
            <w:tcW w:w="1650" w:type="dxa"/>
            <w:gridSpan w:val="2"/>
            <w:vAlign w:val="center"/>
          </w:tcPr>
          <w:p w14:paraId="6E5913FE">
            <w:pPr>
              <w:wordWrap w:val="0"/>
              <w:jc w:val="center"/>
              <w:rPr>
                <w:rFonts w:ascii="宋体" w:hAnsi="宋体" w:cs="宋体"/>
                <w:sz w:val="24"/>
                <w:szCs w:val="24"/>
              </w:rPr>
            </w:pPr>
            <w:r>
              <w:rPr>
                <w:rFonts w:hint="eastAsia" w:ascii="宋体" w:hAnsi="宋体" w:cs="宋体"/>
                <w:sz w:val="24"/>
                <w:szCs w:val="24"/>
              </w:rPr>
              <w:t>职务（职称）</w:t>
            </w:r>
          </w:p>
        </w:tc>
        <w:tc>
          <w:tcPr>
            <w:tcW w:w="1433" w:type="dxa"/>
            <w:gridSpan w:val="2"/>
            <w:vAlign w:val="center"/>
          </w:tcPr>
          <w:p w14:paraId="604679DD">
            <w:pPr>
              <w:wordWrap w:val="0"/>
              <w:jc w:val="center"/>
              <w:rPr>
                <w:rFonts w:ascii="宋体" w:hAnsi="宋体" w:cs="宋体"/>
                <w:sz w:val="24"/>
                <w:szCs w:val="24"/>
              </w:rPr>
            </w:pPr>
          </w:p>
        </w:tc>
        <w:tc>
          <w:tcPr>
            <w:tcW w:w="802" w:type="dxa"/>
            <w:vAlign w:val="center"/>
          </w:tcPr>
          <w:p w14:paraId="7E95B7F8">
            <w:pPr>
              <w:wordWrap w:val="0"/>
              <w:jc w:val="center"/>
              <w:rPr>
                <w:rFonts w:ascii="宋体" w:hAnsi="宋体" w:cs="宋体"/>
                <w:sz w:val="24"/>
                <w:szCs w:val="24"/>
              </w:rPr>
            </w:pPr>
            <w:r>
              <w:rPr>
                <w:rFonts w:hint="eastAsia" w:ascii="宋体" w:hAnsi="宋体" w:cs="宋体"/>
                <w:sz w:val="24"/>
                <w:szCs w:val="24"/>
              </w:rPr>
              <w:t>电话</w:t>
            </w:r>
          </w:p>
        </w:tc>
        <w:tc>
          <w:tcPr>
            <w:tcW w:w="1610" w:type="dxa"/>
            <w:vAlign w:val="center"/>
          </w:tcPr>
          <w:p w14:paraId="2E08174F">
            <w:pPr>
              <w:wordWrap w:val="0"/>
              <w:jc w:val="center"/>
              <w:rPr>
                <w:rFonts w:ascii="宋体" w:hAnsi="宋体" w:cs="宋体"/>
                <w:sz w:val="24"/>
                <w:szCs w:val="24"/>
              </w:rPr>
            </w:pPr>
          </w:p>
        </w:tc>
      </w:tr>
      <w:tr w14:paraId="34B9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2" w:type="dxa"/>
            <w:vAlign w:val="center"/>
          </w:tcPr>
          <w:p w14:paraId="46FD92E7">
            <w:pPr>
              <w:wordWrap w:val="0"/>
              <w:jc w:val="center"/>
              <w:rPr>
                <w:rFonts w:ascii="宋体" w:hAnsi="宋体" w:cs="宋体"/>
                <w:sz w:val="24"/>
                <w:szCs w:val="24"/>
              </w:rPr>
            </w:pPr>
            <w:r>
              <w:rPr>
                <w:rFonts w:hint="eastAsia" w:ascii="宋体" w:hAnsi="宋体" w:cs="宋体"/>
                <w:sz w:val="24"/>
                <w:szCs w:val="24"/>
              </w:rPr>
              <w:t>成立时间</w:t>
            </w:r>
          </w:p>
        </w:tc>
        <w:tc>
          <w:tcPr>
            <w:tcW w:w="2461" w:type="dxa"/>
            <w:gridSpan w:val="2"/>
            <w:vAlign w:val="center"/>
          </w:tcPr>
          <w:p w14:paraId="62CC2D1D">
            <w:pPr>
              <w:wordWrap w:val="0"/>
              <w:jc w:val="center"/>
              <w:rPr>
                <w:rFonts w:ascii="宋体" w:hAnsi="宋体" w:cs="宋体"/>
                <w:sz w:val="24"/>
                <w:szCs w:val="24"/>
              </w:rPr>
            </w:pPr>
          </w:p>
        </w:tc>
        <w:tc>
          <w:tcPr>
            <w:tcW w:w="5495" w:type="dxa"/>
            <w:gridSpan w:val="6"/>
            <w:vAlign w:val="center"/>
          </w:tcPr>
          <w:p w14:paraId="2D814BE7">
            <w:pPr>
              <w:wordWrap w:val="0"/>
              <w:jc w:val="center"/>
              <w:rPr>
                <w:rFonts w:ascii="宋体" w:hAnsi="宋体" w:cs="宋体"/>
                <w:sz w:val="24"/>
                <w:szCs w:val="24"/>
              </w:rPr>
            </w:pPr>
            <w:r>
              <w:rPr>
                <w:rFonts w:hint="eastAsia" w:ascii="宋体" w:hAnsi="宋体" w:cs="宋体"/>
                <w:sz w:val="24"/>
                <w:szCs w:val="24"/>
              </w:rPr>
              <w:t>员工总人数：</w:t>
            </w:r>
          </w:p>
        </w:tc>
      </w:tr>
      <w:tr w14:paraId="4E6C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1682" w:type="dxa"/>
            <w:vAlign w:val="center"/>
          </w:tcPr>
          <w:p w14:paraId="3562430D">
            <w:pPr>
              <w:wordWrap w:val="0"/>
              <w:spacing w:line="420" w:lineRule="exact"/>
              <w:jc w:val="center"/>
              <w:rPr>
                <w:rFonts w:ascii="宋体" w:hAnsi="宋体" w:cs="宋体"/>
                <w:sz w:val="24"/>
                <w:szCs w:val="24"/>
              </w:rPr>
            </w:pPr>
            <w:r>
              <w:rPr>
                <w:rFonts w:hint="eastAsia" w:ascii="宋体" w:hAnsi="宋体" w:cs="宋体"/>
                <w:sz w:val="24"/>
                <w:szCs w:val="24"/>
              </w:rPr>
              <w:t>经营范围</w:t>
            </w:r>
          </w:p>
        </w:tc>
        <w:tc>
          <w:tcPr>
            <w:tcW w:w="7956" w:type="dxa"/>
            <w:gridSpan w:val="8"/>
            <w:vAlign w:val="center"/>
          </w:tcPr>
          <w:p w14:paraId="7BB75167">
            <w:pPr>
              <w:wordWrap w:val="0"/>
              <w:spacing w:line="420" w:lineRule="exact"/>
              <w:rPr>
                <w:rFonts w:ascii="宋体" w:hAnsi="宋体" w:cs="宋体"/>
                <w:sz w:val="24"/>
                <w:szCs w:val="24"/>
              </w:rPr>
            </w:pPr>
          </w:p>
        </w:tc>
      </w:tr>
      <w:tr w14:paraId="56CB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2" w:type="dxa"/>
            <w:vAlign w:val="center"/>
          </w:tcPr>
          <w:p w14:paraId="40F533F0">
            <w:pPr>
              <w:wordWrap w:val="0"/>
              <w:spacing w:line="420" w:lineRule="exact"/>
              <w:jc w:val="center"/>
              <w:rPr>
                <w:rFonts w:ascii="宋体" w:hAnsi="宋体" w:cs="宋体"/>
                <w:sz w:val="24"/>
                <w:szCs w:val="24"/>
              </w:rPr>
            </w:pPr>
            <w:r>
              <w:rPr>
                <w:rFonts w:hint="eastAsia" w:ascii="宋体" w:hAnsi="宋体" w:cs="宋体"/>
                <w:sz w:val="24"/>
                <w:szCs w:val="24"/>
              </w:rPr>
              <w:t>备注</w:t>
            </w:r>
          </w:p>
        </w:tc>
        <w:tc>
          <w:tcPr>
            <w:tcW w:w="7956" w:type="dxa"/>
            <w:gridSpan w:val="8"/>
            <w:vAlign w:val="center"/>
          </w:tcPr>
          <w:p w14:paraId="4FB886F2">
            <w:pPr>
              <w:wordWrap w:val="0"/>
              <w:spacing w:line="420" w:lineRule="exact"/>
              <w:jc w:val="center"/>
              <w:rPr>
                <w:rFonts w:ascii="宋体" w:hAnsi="宋体" w:cs="宋体"/>
                <w:sz w:val="24"/>
                <w:szCs w:val="24"/>
              </w:rPr>
            </w:pPr>
          </w:p>
        </w:tc>
      </w:tr>
    </w:tbl>
    <w:p w14:paraId="3C8386F6">
      <w:pPr>
        <w:wordWrap w:val="0"/>
        <w:spacing w:line="420" w:lineRule="exact"/>
        <w:rPr>
          <w:rFonts w:ascii="宋体" w:hAnsi="宋体" w:cs="宋体"/>
          <w:szCs w:val="21"/>
        </w:rPr>
      </w:pPr>
    </w:p>
    <w:p w14:paraId="13EB8ECC">
      <w:pPr>
        <w:wordWrap w:val="0"/>
        <w:spacing w:line="420" w:lineRule="exact"/>
        <w:rPr>
          <w:rFonts w:ascii="宋体" w:hAnsi="宋体" w:cs="宋体"/>
          <w:szCs w:val="21"/>
        </w:rPr>
      </w:pPr>
      <w:r>
        <w:rPr>
          <w:rFonts w:hint="eastAsia" w:ascii="宋体" w:hAnsi="宋体" w:cs="宋体"/>
          <w:szCs w:val="21"/>
        </w:rPr>
        <w:t>注：根据供应商须知前附表第1.</w:t>
      </w:r>
      <w:r>
        <w:rPr>
          <w:rFonts w:hint="eastAsia" w:ascii="宋体" w:hAnsi="宋体" w:cs="宋体"/>
          <w:szCs w:val="21"/>
          <w:lang w:val="en-US" w:eastAsia="zh-CN"/>
        </w:rPr>
        <w:t>4</w:t>
      </w:r>
      <w:r>
        <w:rPr>
          <w:rFonts w:hint="eastAsia" w:ascii="宋体" w:hAnsi="宋体" w:cs="宋体"/>
          <w:szCs w:val="21"/>
        </w:rPr>
        <w:t>.1项的要求在本表后附供应商证明材料。</w:t>
      </w:r>
    </w:p>
    <w:bookmarkEnd w:id="808"/>
    <w:bookmarkEnd w:id="809"/>
    <w:bookmarkEnd w:id="810"/>
    <w:p w14:paraId="222A19CE">
      <w:pPr>
        <w:rPr>
          <w:rFonts w:hint="eastAsia" w:ascii="宋体" w:hAnsi="宋体" w:eastAsia="宋体" w:cs="宋体"/>
          <w:sz w:val="24"/>
          <w:szCs w:val="24"/>
          <w:highlight w:val="none"/>
          <w:lang w:val="en-US" w:eastAsia="zh-CN"/>
        </w:rPr>
      </w:pPr>
      <w:bookmarkStart w:id="815" w:name="_Toc15604"/>
      <w:bookmarkStart w:id="816" w:name="_Toc18442"/>
      <w:bookmarkStart w:id="817" w:name="_Toc24549"/>
    </w:p>
    <w:p w14:paraId="57EB3C63">
      <w:pPr>
        <w:wordWrap w:val="0"/>
        <w:spacing w:line="420" w:lineRule="exact"/>
        <w:rPr>
          <w:rFonts w:hint="default" w:ascii="宋体" w:hAnsi="宋体" w:cs="宋体"/>
          <w:szCs w:val="21"/>
          <w:lang w:val="en-US" w:eastAsia="zh-CN"/>
        </w:rPr>
      </w:pPr>
      <w:r>
        <w:rPr>
          <w:rFonts w:hint="eastAsia" w:ascii="宋体" w:hAnsi="宋体" w:cs="宋体"/>
          <w:szCs w:val="21"/>
          <w:lang w:val="en-US" w:eastAsia="zh-CN"/>
        </w:rPr>
        <w:t>注：关于招标公告中的二、申请人的资格要求，信誉要求：</w:t>
      </w:r>
      <w:r>
        <w:rPr>
          <w:rFonts w:hint="default" w:ascii="宋体" w:hAnsi="宋体" w:cs="宋体"/>
          <w:szCs w:val="21"/>
          <w:lang w:val="en-US" w:eastAsia="zh-CN"/>
        </w:rPr>
        <w:t>①</w:t>
      </w:r>
      <w:r>
        <w:rPr>
          <w:rFonts w:hint="eastAsia" w:ascii="宋体" w:hAnsi="宋体" w:cs="宋体"/>
          <w:szCs w:val="21"/>
          <w:lang w:val="en-US" w:eastAsia="zh-CN"/>
        </w:rPr>
        <w:t>信用中国网站查询指南如下：点击“信用中国”网站（www.creditchina.gov.cn）进入网站首页</w:t>
      </w:r>
      <w:r>
        <w:rPr>
          <w:rFonts w:hint="default" w:ascii="宋体" w:hAnsi="宋体" w:cs="宋体"/>
          <w:szCs w:val="21"/>
          <w:lang w:val="en-US" w:eastAsia="zh-CN"/>
        </w:rPr>
        <w:t>→</w:t>
      </w:r>
      <w:r>
        <w:rPr>
          <w:rFonts w:hint="eastAsia" w:ascii="宋体" w:hAnsi="宋体" w:cs="宋体"/>
          <w:szCs w:val="21"/>
          <w:lang w:val="en-US" w:eastAsia="zh-CN"/>
        </w:rPr>
        <w:t>点击“专项查询”</w:t>
      </w:r>
      <w:r>
        <w:rPr>
          <w:rFonts w:hint="default" w:ascii="宋体" w:hAnsi="宋体" w:cs="宋体"/>
          <w:szCs w:val="21"/>
          <w:lang w:val="en-US" w:eastAsia="zh-CN"/>
        </w:rPr>
        <w:t>→</w:t>
      </w:r>
      <w:r>
        <w:rPr>
          <w:rFonts w:hint="eastAsia" w:ascii="宋体" w:hAnsi="宋体" w:cs="宋体"/>
          <w:szCs w:val="21"/>
          <w:lang w:val="en-US" w:eastAsia="zh-CN"/>
        </w:rPr>
        <w:t>点击相应的“失信被执行人”（自动跳转至中国执行信息公开网）、“重大税收违法失信主体”和“政府采购严重违法失信行为记录名单”，</w:t>
      </w:r>
      <w:r>
        <w:rPr>
          <w:rFonts w:hint="default" w:ascii="宋体" w:hAnsi="宋体" w:cs="宋体"/>
          <w:szCs w:val="21"/>
          <w:lang w:val="en-US" w:eastAsia="zh-CN"/>
        </w:rPr>
        <w:t>输入企业</w:t>
      </w:r>
      <w:r>
        <w:rPr>
          <w:rFonts w:hint="eastAsia" w:ascii="宋体" w:hAnsi="宋体" w:cs="宋体"/>
          <w:szCs w:val="21"/>
          <w:lang w:val="en-US" w:eastAsia="zh-CN"/>
        </w:rPr>
        <w:t>名称</w:t>
      </w:r>
      <w:r>
        <w:rPr>
          <w:rFonts w:hint="default" w:ascii="宋体" w:hAnsi="宋体" w:cs="宋体"/>
          <w:szCs w:val="21"/>
          <w:lang w:val="en-US" w:eastAsia="zh-CN"/>
        </w:rPr>
        <w:t>及统一社会信用代码</w:t>
      </w:r>
      <w:r>
        <w:rPr>
          <w:rFonts w:hint="eastAsia" w:ascii="宋体" w:hAnsi="宋体" w:cs="宋体"/>
          <w:szCs w:val="21"/>
          <w:lang w:val="en-US" w:eastAsia="zh-CN"/>
        </w:rPr>
        <w:t>进行查询；</w:t>
      </w:r>
      <w:r>
        <w:rPr>
          <w:rFonts w:hint="default" w:ascii="宋体" w:hAnsi="宋体" w:cs="宋体"/>
          <w:szCs w:val="21"/>
          <w:lang w:val="en-US" w:eastAsia="zh-CN"/>
        </w:rPr>
        <w:t>②中国政府采购网网站查询指南如下：点击中国政府采购网（www.ccgp.gov.cn）</w:t>
      </w:r>
      <w:r>
        <w:rPr>
          <w:rFonts w:hint="eastAsia" w:ascii="宋体" w:hAnsi="宋体" w:cs="宋体"/>
          <w:szCs w:val="21"/>
          <w:lang w:val="en-US" w:eastAsia="zh-CN"/>
        </w:rPr>
        <w:t>进入网站首页</w:t>
      </w:r>
      <w:r>
        <w:rPr>
          <w:rFonts w:hint="default" w:ascii="宋体" w:hAnsi="宋体" w:cs="宋体"/>
          <w:szCs w:val="21"/>
          <w:lang w:val="en-US" w:eastAsia="zh-CN"/>
        </w:rPr>
        <w:t>→</w:t>
      </w:r>
      <w:r>
        <w:rPr>
          <w:rFonts w:hint="eastAsia" w:ascii="宋体" w:hAnsi="宋体" w:cs="宋体"/>
          <w:szCs w:val="21"/>
          <w:lang w:val="en-US" w:eastAsia="zh-CN"/>
        </w:rPr>
        <w:t>点击</w:t>
      </w:r>
      <w:r>
        <w:rPr>
          <w:rFonts w:hint="default" w:ascii="宋体" w:hAnsi="宋体" w:cs="宋体"/>
          <w:szCs w:val="21"/>
          <w:lang w:val="en-US" w:eastAsia="zh-CN"/>
        </w:rPr>
        <w:t>“政府采购严重违法失信行为记录名单”输入企业</w:t>
      </w:r>
      <w:r>
        <w:rPr>
          <w:rFonts w:hint="eastAsia" w:ascii="宋体" w:hAnsi="宋体" w:cs="宋体"/>
          <w:szCs w:val="21"/>
          <w:lang w:val="en-US" w:eastAsia="zh-CN"/>
        </w:rPr>
        <w:t>名称</w:t>
      </w:r>
      <w:r>
        <w:rPr>
          <w:rFonts w:hint="default" w:ascii="宋体" w:hAnsi="宋体" w:cs="宋体"/>
          <w:szCs w:val="21"/>
          <w:lang w:val="en-US" w:eastAsia="zh-CN"/>
        </w:rPr>
        <w:t>及统一社会信用代码</w:t>
      </w:r>
      <w:r>
        <w:rPr>
          <w:rFonts w:hint="eastAsia" w:ascii="宋体" w:hAnsi="宋体" w:cs="宋体"/>
          <w:szCs w:val="21"/>
          <w:lang w:val="en-US" w:eastAsia="zh-CN"/>
        </w:rPr>
        <w:t>进行查询；</w:t>
      </w:r>
    </w:p>
    <w:p w14:paraId="0D98FEC7">
      <w:pPr>
        <w:rPr>
          <w:rFonts w:ascii="宋体" w:hAnsi="宋体" w:cs="宋体"/>
          <w:szCs w:val="21"/>
        </w:rPr>
      </w:pPr>
      <w:r>
        <w:rPr>
          <w:rFonts w:hint="eastAsia" w:ascii="宋体" w:hAnsi="宋体" w:cs="宋体"/>
          <w:szCs w:val="21"/>
        </w:rPr>
        <w:br w:type="page"/>
      </w:r>
    </w:p>
    <w:bookmarkEnd w:id="811"/>
    <w:bookmarkEnd w:id="812"/>
    <w:bookmarkEnd w:id="815"/>
    <w:bookmarkEnd w:id="816"/>
    <w:bookmarkEnd w:id="817"/>
    <w:p w14:paraId="22812C92">
      <w:pPr>
        <w:wordWrap w:val="0"/>
        <w:spacing w:line="420" w:lineRule="exact"/>
        <w:jc w:val="center"/>
        <w:outlineLvl w:val="1"/>
        <w:rPr>
          <w:rFonts w:hint="eastAsia" w:ascii="宋体" w:hAnsi="宋体" w:eastAsia="宋体" w:cs="宋体"/>
          <w:b/>
          <w:sz w:val="32"/>
          <w:szCs w:val="32"/>
          <w:lang w:val="en-US" w:eastAsia="zh-CN"/>
        </w:rPr>
      </w:pPr>
      <w:bookmarkStart w:id="818" w:name="_Toc21211"/>
      <w:bookmarkStart w:id="819" w:name="_Toc20467"/>
      <w:r>
        <w:rPr>
          <w:rFonts w:hint="eastAsia" w:ascii="宋体" w:hAnsi="宋体" w:cs="宋体"/>
          <w:b/>
          <w:sz w:val="32"/>
          <w:szCs w:val="32"/>
          <w:lang w:val="en-US" w:eastAsia="zh-CN"/>
        </w:rPr>
        <w:t>五</w:t>
      </w:r>
      <w:r>
        <w:rPr>
          <w:rFonts w:hint="eastAsia" w:ascii="宋体" w:hAnsi="宋体" w:eastAsia="宋体" w:cs="宋体"/>
          <w:b/>
          <w:sz w:val="32"/>
          <w:szCs w:val="32"/>
        </w:rPr>
        <w:t>、</w:t>
      </w:r>
      <w:bookmarkEnd w:id="818"/>
      <w:bookmarkEnd w:id="819"/>
      <w:r>
        <w:rPr>
          <w:rFonts w:hint="eastAsia" w:ascii="宋体" w:hAnsi="宋体" w:eastAsia="宋体" w:cs="宋体"/>
          <w:b/>
          <w:sz w:val="32"/>
          <w:szCs w:val="32"/>
          <w:lang w:val="en-US" w:eastAsia="zh-CN"/>
        </w:rPr>
        <w:t>技术部分</w:t>
      </w:r>
    </w:p>
    <w:p w14:paraId="10F3164D">
      <w:pPr>
        <w:jc w:val="center"/>
        <w:rPr>
          <w:rFonts w:hint="eastAsia"/>
          <w:sz w:val="24"/>
          <w:szCs w:val="24"/>
          <w:lang w:val="en-US" w:eastAsia="zh-CN"/>
        </w:rPr>
      </w:pPr>
    </w:p>
    <w:p w14:paraId="53E98C70">
      <w:pPr>
        <w:pStyle w:val="7"/>
        <w:jc w:val="center"/>
        <w:rPr>
          <w:rFonts w:hint="default" w:eastAsia="宋体"/>
          <w:sz w:val="24"/>
          <w:szCs w:val="24"/>
          <w:lang w:val="en-US" w:eastAsia="zh-CN"/>
        </w:rPr>
      </w:pPr>
      <w:r>
        <w:rPr>
          <w:rFonts w:hint="eastAsia"/>
          <w:sz w:val="24"/>
          <w:szCs w:val="24"/>
          <w:lang w:val="en-US" w:eastAsia="zh-CN"/>
        </w:rPr>
        <w:t>格式自拟</w:t>
      </w:r>
    </w:p>
    <w:p w14:paraId="1EC76333">
      <w:pPr>
        <w:rPr>
          <w:rFonts w:hint="eastAsia"/>
          <w:sz w:val="24"/>
          <w:szCs w:val="24"/>
        </w:rPr>
      </w:pPr>
    </w:p>
    <w:p w14:paraId="425FE8F4">
      <w:pPr>
        <w:pStyle w:val="7"/>
        <w:rPr>
          <w:rFonts w:hint="eastAsia"/>
          <w:sz w:val="24"/>
          <w:szCs w:val="24"/>
        </w:rPr>
      </w:pPr>
    </w:p>
    <w:p w14:paraId="11F051FA">
      <w:pPr>
        <w:rPr>
          <w:rFonts w:hint="eastAsia"/>
        </w:rPr>
      </w:pPr>
    </w:p>
    <w:p w14:paraId="2E108265">
      <w:pPr>
        <w:pStyle w:val="7"/>
        <w:rPr>
          <w:rFonts w:hint="eastAsia"/>
          <w:lang w:val="en-US" w:eastAsia="zh-CN"/>
        </w:rPr>
      </w:pPr>
    </w:p>
    <w:p w14:paraId="5B5C7BDC">
      <w:pPr>
        <w:jc w:val="center"/>
        <w:rPr>
          <w:rFonts w:hint="eastAsia" w:ascii="宋体" w:hAnsi="宋体" w:cs="宋体"/>
          <w:b/>
          <w:sz w:val="30"/>
          <w:szCs w:val="30"/>
          <w:lang w:val="en-US" w:eastAsia="zh-CN"/>
        </w:rPr>
      </w:pPr>
    </w:p>
    <w:p w14:paraId="3AC08D05">
      <w:pPr>
        <w:pStyle w:val="7"/>
        <w:jc w:val="center"/>
        <w:rPr>
          <w:rFonts w:hint="eastAsia" w:ascii="宋体" w:hAnsi="宋体" w:cs="宋体"/>
          <w:b/>
          <w:sz w:val="30"/>
          <w:szCs w:val="30"/>
          <w:lang w:val="en-US" w:eastAsia="zh-CN"/>
        </w:rPr>
      </w:pPr>
    </w:p>
    <w:p w14:paraId="561C1059">
      <w:pPr>
        <w:rPr>
          <w:rFonts w:hint="eastAsia" w:ascii="宋体" w:hAnsi="宋体" w:cs="宋体"/>
          <w:b/>
          <w:sz w:val="30"/>
          <w:szCs w:val="30"/>
          <w:lang w:val="en-US" w:eastAsia="zh-CN"/>
        </w:rPr>
      </w:pPr>
    </w:p>
    <w:p w14:paraId="3693E7A2">
      <w:pPr>
        <w:rPr>
          <w:rFonts w:hint="eastAsia" w:ascii="宋体" w:hAnsi="宋体" w:cs="宋体"/>
          <w:b/>
          <w:sz w:val="30"/>
          <w:szCs w:val="30"/>
          <w:lang w:val="en-US" w:eastAsia="zh-CN"/>
        </w:rPr>
      </w:pPr>
    </w:p>
    <w:p w14:paraId="3D1043D8">
      <w:pPr>
        <w:rPr>
          <w:rFonts w:hint="eastAsia" w:ascii="宋体" w:hAnsi="宋体" w:cs="宋体"/>
          <w:b/>
          <w:sz w:val="30"/>
          <w:szCs w:val="30"/>
          <w:lang w:val="en-US" w:eastAsia="zh-CN"/>
        </w:rPr>
      </w:pPr>
    </w:p>
    <w:p w14:paraId="76B2C225">
      <w:pPr>
        <w:rPr>
          <w:rFonts w:hint="eastAsia" w:ascii="宋体" w:hAnsi="宋体" w:cs="宋体"/>
          <w:b/>
          <w:sz w:val="30"/>
          <w:szCs w:val="30"/>
          <w:lang w:val="en-US" w:eastAsia="zh-CN"/>
        </w:rPr>
      </w:pPr>
    </w:p>
    <w:p w14:paraId="341B857E">
      <w:pPr>
        <w:rPr>
          <w:rFonts w:hint="eastAsia" w:ascii="宋体" w:hAnsi="宋体" w:cs="宋体"/>
          <w:b/>
          <w:sz w:val="30"/>
          <w:szCs w:val="30"/>
          <w:lang w:val="en-US" w:eastAsia="zh-CN"/>
        </w:rPr>
      </w:pPr>
    </w:p>
    <w:p w14:paraId="669B64B5">
      <w:pPr>
        <w:rPr>
          <w:rFonts w:hint="eastAsia" w:ascii="宋体" w:hAnsi="宋体" w:cs="宋体"/>
          <w:b/>
          <w:sz w:val="30"/>
          <w:szCs w:val="30"/>
          <w:lang w:val="en-US" w:eastAsia="zh-CN"/>
        </w:rPr>
      </w:pPr>
    </w:p>
    <w:p w14:paraId="66F3DC02">
      <w:pPr>
        <w:rPr>
          <w:rFonts w:hint="eastAsia" w:ascii="宋体" w:hAnsi="宋体" w:cs="宋体"/>
          <w:b/>
          <w:sz w:val="30"/>
          <w:szCs w:val="30"/>
          <w:lang w:val="en-US" w:eastAsia="zh-CN"/>
        </w:rPr>
      </w:pPr>
    </w:p>
    <w:p w14:paraId="34AA14B0">
      <w:pPr>
        <w:rPr>
          <w:rFonts w:hint="eastAsia" w:ascii="宋体" w:hAnsi="宋体" w:cs="宋体"/>
          <w:b/>
          <w:sz w:val="30"/>
          <w:szCs w:val="30"/>
          <w:lang w:val="en-US" w:eastAsia="zh-CN"/>
        </w:rPr>
      </w:pPr>
    </w:p>
    <w:p w14:paraId="7A6C3EEC">
      <w:pPr>
        <w:rPr>
          <w:rFonts w:hint="eastAsia" w:ascii="宋体" w:hAnsi="宋体" w:cs="宋体"/>
          <w:b/>
          <w:sz w:val="30"/>
          <w:szCs w:val="30"/>
          <w:lang w:val="en-US" w:eastAsia="zh-CN"/>
        </w:rPr>
      </w:pPr>
    </w:p>
    <w:p w14:paraId="1B5F2C9C">
      <w:pPr>
        <w:rPr>
          <w:rFonts w:hint="eastAsia" w:ascii="宋体" w:hAnsi="宋体" w:cs="宋体"/>
          <w:b/>
          <w:sz w:val="30"/>
          <w:szCs w:val="30"/>
          <w:lang w:val="en-US" w:eastAsia="zh-CN"/>
        </w:rPr>
      </w:pPr>
    </w:p>
    <w:p w14:paraId="5E7DD11F">
      <w:pPr>
        <w:rPr>
          <w:rFonts w:hint="eastAsia" w:ascii="宋体" w:hAnsi="宋体" w:cs="宋体"/>
          <w:b/>
          <w:sz w:val="30"/>
          <w:szCs w:val="30"/>
          <w:lang w:val="en-US" w:eastAsia="zh-CN"/>
        </w:rPr>
      </w:pPr>
    </w:p>
    <w:p w14:paraId="3FA9AC40">
      <w:pPr>
        <w:rPr>
          <w:rFonts w:hint="eastAsia" w:ascii="宋体" w:hAnsi="宋体" w:cs="宋体"/>
          <w:b/>
          <w:sz w:val="30"/>
          <w:szCs w:val="30"/>
          <w:lang w:val="en-US" w:eastAsia="zh-CN"/>
        </w:rPr>
      </w:pPr>
    </w:p>
    <w:p w14:paraId="64C97F66">
      <w:pPr>
        <w:rPr>
          <w:rFonts w:hint="eastAsia" w:ascii="宋体" w:hAnsi="宋体" w:cs="宋体"/>
          <w:b/>
          <w:sz w:val="30"/>
          <w:szCs w:val="30"/>
          <w:lang w:val="en-US" w:eastAsia="zh-CN"/>
        </w:rPr>
      </w:pPr>
    </w:p>
    <w:p w14:paraId="7F1EE893">
      <w:pPr>
        <w:rPr>
          <w:rFonts w:hint="eastAsia" w:ascii="宋体" w:hAnsi="宋体" w:cs="宋体"/>
          <w:b/>
          <w:sz w:val="30"/>
          <w:szCs w:val="30"/>
          <w:lang w:val="en-US" w:eastAsia="zh-CN"/>
        </w:rPr>
      </w:pPr>
    </w:p>
    <w:p w14:paraId="2B070BF5">
      <w:pPr>
        <w:rPr>
          <w:rFonts w:hint="eastAsia" w:ascii="宋体" w:hAnsi="宋体" w:cs="宋体"/>
          <w:b/>
          <w:sz w:val="30"/>
          <w:szCs w:val="30"/>
          <w:lang w:val="en-US" w:eastAsia="zh-CN"/>
        </w:rPr>
      </w:pPr>
    </w:p>
    <w:p w14:paraId="4A162DF1">
      <w:pPr>
        <w:rPr>
          <w:rFonts w:hint="eastAsia" w:ascii="宋体" w:hAnsi="宋体" w:cs="宋体"/>
          <w:b/>
          <w:sz w:val="30"/>
          <w:szCs w:val="30"/>
          <w:lang w:val="en-US" w:eastAsia="zh-CN"/>
        </w:rPr>
      </w:pPr>
    </w:p>
    <w:p w14:paraId="0A7BFC8F">
      <w:pPr>
        <w:rPr>
          <w:rFonts w:hint="eastAsia" w:ascii="宋体" w:hAnsi="宋体" w:cs="宋体"/>
          <w:b/>
          <w:sz w:val="30"/>
          <w:szCs w:val="30"/>
          <w:lang w:val="en-US" w:eastAsia="zh-CN"/>
        </w:rPr>
      </w:pPr>
    </w:p>
    <w:p w14:paraId="62ACA36F">
      <w:pPr>
        <w:rPr>
          <w:rFonts w:hint="eastAsia" w:ascii="宋体" w:hAnsi="宋体" w:cs="宋体"/>
          <w:b/>
          <w:sz w:val="30"/>
          <w:szCs w:val="30"/>
          <w:lang w:val="en-US" w:eastAsia="zh-CN"/>
        </w:rPr>
      </w:pPr>
    </w:p>
    <w:p w14:paraId="55D6FF6C">
      <w:pPr>
        <w:rPr>
          <w:rFonts w:hint="eastAsia" w:ascii="宋体" w:hAnsi="宋体" w:cs="宋体"/>
          <w:b/>
          <w:sz w:val="30"/>
          <w:szCs w:val="30"/>
          <w:lang w:val="en-US" w:eastAsia="zh-CN"/>
        </w:rPr>
      </w:pPr>
    </w:p>
    <w:p w14:paraId="4FCE9BE7">
      <w:pPr>
        <w:rPr>
          <w:rFonts w:hint="eastAsia" w:ascii="宋体" w:hAnsi="宋体" w:cs="宋体"/>
          <w:b/>
          <w:sz w:val="30"/>
          <w:szCs w:val="30"/>
          <w:lang w:val="en-US" w:eastAsia="zh-CN"/>
        </w:rPr>
      </w:pPr>
    </w:p>
    <w:p w14:paraId="0E0DE5DF">
      <w:pPr>
        <w:rPr>
          <w:rFonts w:hint="eastAsia" w:ascii="宋体" w:hAnsi="宋体" w:cs="宋体"/>
          <w:b/>
          <w:sz w:val="30"/>
          <w:szCs w:val="30"/>
          <w:lang w:val="en-US" w:eastAsia="zh-CN"/>
        </w:rPr>
      </w:pPr>
    </w:p>
    <w:p w14:paraId="7C915021">
      <w:pPr>
        <w:rPr>
          <w:rFonts w:hint="eastAsia" w:ascii="宋体" w:hAnsi="宋体" w:cs="宋体"/>
          <w:b/>
          <w:sz w:val="30"/>
          <w:szCs w:val="30"/>
          <w:lang w:val="en-US" w:eastAsia="zh-CN"/>
        </w:rPr>
      </w:pPr>
    </w:p>
    <w:p w14:paraId="48F51115">
      <w:pPr>
        <w:rPr>
          <w:rFonts w:hint="eastAsia" w:ascii="宋体" w:hAnsi="宋体" w:cs="宋体"/>
          <w:b/>
          <w:sz w:val="30"/>
          <w:szCs w:val="30"/>
          <w:lang w:val="en-US" w:eastAsia="zh-CN"/>
        </w:rPr>
      </w:pPr>
    </w:p>
    <w:p w14:paraId="78DC666A">
      <w:pPr>
        <w:rPr>
          <w:rFonts w:hint="eastAsia" w:ascii="宋体" w:hAnsi="宋体" w:cs="宋体"/>
          <w:b/>
          <w:sz w:val="30"/>
          <w:szCs w:val="30"/>
          <w:lang w:val="en-US" w:eastAsia="zh-CN"/>
        </w:rPr>
      </w:pPr>
    </w:p>
    <w:p w14:paraId="60E7DBE1">
      <w:pPr>
        <w:rPr>
          <w:rFonts w:hint="eastAsia" w:ascii="宋体" w:hAnsi="宋体" w:cs="宋体"/>
          <w:b/>
          <w:sz w:val="30"/>
          <w:szCs w:val="30"/>
          <w:lang w:val="en-US" w:eastAsia="zh-CN"/>
        </w:rPr>
      </w:pPr>
    </w:p>
    <w:p w14:paraId="793F5C9C">
      <w:pPr>
        <w:rPr>
          <w:rFonts w:hint="eastAsia" w:ascii="宋体" w:hAnsi="宋体" w:cs="宋体"/>
          <w:b/>
          <w:sz w:val="30"/>
          <w:szCs w:val="30"/>
          <w:lang w:val="en-US" w:eastAsia="zh-CN"/>
        </w:rPr>
      </w:pPr>
    </w:p>
    <w:p w14:paraId="4CBA219D">
      <w:pPr>
        <w:rPr>
          <w:rFonts w:hint="eastAsia" w:ascii="宋体" w:hAnsi="宋体" w:cs="宋体"/>
          <w:b/>
          <w:sz w:val="30"/>
          <w:szCs w:val="30"/>
          <w:lang w:val="en-US" w:eastAsia="zh-CN"/>
        </w:rPr>
      </w:pPr>
    </w:p>
    <w:p w14:paraId="3DA9B503">
      <w:pPr>
        <w:wordWrap w:val="0"/>
        <w:spacing w:line="420" w:lineRule="exact"/>
        <w:jc w:val="center"/>
        <w:outlineLvl w:val="1"/>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六、综合部分</w:t>
      </w:r>
    </w:p>
    <w:p w14:paraId="4157C5E3">
      <w:pPr>
        <w:rPr>
          <w:rFonts w:hint="eastAsia" w:ascii="宋体" w:hAnsi="宋体" w:cs="宋体"/>
          <w:b/>
          <w:sz w:val="30"/>
          <w:szCs w:val="30"/>
          <w:lang w:val="en-US" w:eastAsia="zh-CN"/>
        </w:rPr>
      </w:pPr>
    </w:p>
    <w:p w14:paraId="495DBAE0">
      <w:pPr>
        <w:jc w:val="center"/>
        <w:rPr>
          <w:rFonts w:hint="eastAsia" w:ascii="宋体" w:hAnsi="宋体" w:cs="宋体"/>
          <w:b/>
          <w:sz w:val="30"/>
          <w:szCs w:val="30"/>
          <w:lang w:val="en-US" w:eastAsia="zh-CN"/>
        </w:rPr>
      </w:pPr>
      <w:r>
        <w:rPr>
          <w:rFonts w:hint="eastAsia"/>
          <w:sz w:val="24"/>
          <w:szCs w:val="24"/>
          <w:lang w:val="en-US" w:eastAsia="zh-CN"/>
        </w:rPr>
        <w:t>格式自拟</w:t>
      </w:r>
    </w:p>
    <w:p w14:paraId="2F527EA6">
      <w:pPr>
        <w:rPr>
          <w:rFonts w:hint="eastAsia" w:ascii="宋体" w:hAnsi="宋体" w:cs="宋体"/>
          <w:b/>
          <w:sz w:val="30"/>
          <w:szCs w:val="30"/>
          <w:lang w:val="en-US" w:eastAsia="zh-CN"/>
        </w:rPr>
      </w:pPr>
    </w:p>
    <w:p w14:paraId="5E705897">
      <w:pPr>
        <w:rPr>
          <w:rFonts w:hint="eastAsia" w:ascii="宋体" w:hAnsi="宋体" w:cs="宋体"/>
          <w:b/>
          <w:sz w:val="30"/>
          <w:szCs w:val="30"/>
          <w:lang w:val="en-US" w:eastAsia="zh-CN"/>
        </w:rPr>
      </w:pPr>
    </w:p>
    <w:p w14:paraId="204BC89A">
      <w:pPr>
        <w:rPr>
          <w:rFonts w:hint="eastAsia" w:ascii="宋体" w:hAnsi="宋体" w:cs="宋体"/>
          <w:b/>
          <w:sz w:val="30"/>
          <w:szCs w:val="30"/>
          <w:lang w:val="en-US" w:eastAsia="zh-CN"/>
        </w:rPr>
      </w:pPr>
    </w:p>
    <w:p w14:paraId="0385535D">
      <w:pPr>
        <w:rPr>
          <w:rFonts w:hint="eastAsia" w:ascii="宋体" w:hAnsi="宋体" w:cs="宋体"/>
          <w:b/>
          <w:sz w:val="30"/>
          <w:szCs w:val="30"/>
          <w:lang w:val="en-US" w:eastAsia="zh-CN"/>
        </w:rPr>
      </w:pPr>
    </w:p>
    <w:p w14:paraId="3DDF0409">
      <w:pPr>
        <w:rPr>
          <w:rFonts w:hint="eastAsia" w:ascii="宋体" w:hAnsi="宋体" w:cs="宋体"/>
          <w:b/>
          <w:sz w:val="30"/>
          <w:szCs w:val="30"/>
          <w:lang w:val="en-US" w:eastAsia="zh-CN"/>
        </w:rPr>
      </w:pPr>
    </w:p>
    <w:p w14:paraId="417C14EA">
      <w:pPr>
        <w:rPr>
          <w:rFonts w:hint="eastAsia" w:ascii="宋体" w:hAnsi="宋体" w:cs="宋体"/>
          <w:b/>
          <w:sz w:val="30"/>
          <w:szCs w:val="30"/>
          <w:lang w:val="en-US" w:eastAsia="zh-CN"/>
        </w:rPr>
      </w:pPr>
    </w:p>
    <w:p w14:paraId="49ADFB95">
      <w:pPr>
        <w:rPr>
          <w:rFonts w:hint="eastAsia" w:ascii="宋体" w:hAnsi="宋体" w:cs="宋体"/>
          <w:b/>
          <w:sz w:val="30"/>
          <w:szCs w:val="30"/>
          <w:lang w:val="en-US" w:eastAsia="zh-CN"/>
        </w:rPr>
      </w:pPr>
    </w:p>
    <w:p w14:paraId="18747207">
      <w:pPr>
        <w:rPr>
          <w:rFonts w:hint="eastAsia" w:ascii="宋体" w:hAnsi="宋体" w:cs="宋体"/>
          <w:b/>
          <w:sz w:val="30"/>
          <w:szCs w:val="30"/>
          <w:lang w:val="en-US" w:eastAsia="zh-CN"/>
        </w:rPr>
      </w:pPr>
    </w:p>
    <w:p w14:paraId="1BCF627B">
      <w:pPr>
        <w:rPr>
          <w:rFonts w:hint="eastAsia" w:ascii="宋体" w:hAnsi="宋体" w:cs="宋体"/>
          <w:b/>
          <w:sz w:val="30"/>
          <w:szCs w:val="30"/>
          <w:lang w:val="en-US" w:eastAsia="zh-CN"/>
        </w:rPr>
      </w:pPr>
    </w:p>
    <w:p w14:paraId="06011C38">
      <w:pPr>
        <w:rPr>
          <w:rFonts w:hint="eastAsia" w:ascii="宋体" w:hAnsi="宋体" w:cs="宋体"/>
          <w:b/>
          <w:sz w:val="30"/>
          <w:szCs w:val="30"/>
          <w:lang w:val="en-US" w:eastAsia="zh-CN"/>
        </w:rPr>
      </w:pPr>
    </w:p>
    <w:p w14:paraId="3CA24DD7">
      <w:pPr>
        <w:rPr>
          <w:rFonts w:hint="eastAsia" w:ascii="宋体" w:hAnsi="宋体" w:cs="宋体"/>
          <w:b/>
          <w:sz w:val="30"/>
          <w:szCs w:val="30"/>
          <w:lang w:val="en-US" w:eastAsia="zh-CN"/>
        </w:rPr>
      </w:pPr>
    </w:p>
    <w:p w14:paraId="24D0E57D">
      <w:pPr>
        <w:rPr>
          <w:rFonts w:hint="eastAsia" w:ascii="宋体" w:hAnsi="宋体" w:cs="宋体"/>
          <w:b/>
          <w:sz w:val="30"/>
          <w:szCs w:val="30"/>
          <w:lang w:val="en-US" w:eastAsia="zh-CN"/>
        </w:rPr>
      </w:pPr>
    </w:p>
    <w:p w14:paraId="4B6689A1">
      <w:pPr>
        <w:jc w:val="both"/>
        <w:rPr>
          <w:rFonts w:hint="eastAsia" w:ascii="宋体" w:hAnsi="宋体" w:cs="宋体"/>
          <w:b/>
          <w:sz w:val="30"/>
          <w:szCs w:val="30"/>
          <w:lang w:val="en-US" w:eastAsia="zh-CN"/>
        </w:rPr>
      </w:pPr>
    </w:p>
    <w:p w14:paraId="746562C1">
      <w:pPr>
        <w:pStyle w:val="7"/>
        <w:jc w:val="center"/>
        <w:rPr>
          <w:rFonts w:hint="eastAsia"/>
          <w:lang w:val="en-US" w:eastAsia="zh-CN"/>
        </w:rPr>
      </w:pPr>
    </w:p>
    <w:p w14:paraId="03441A30">
      <w:pPr>
        <w:rPr>
          <w:rFonts w:hint="eastAsia" w:ascii="宋体" w:hAnsi="宋体" w:cs="宋体"/>
          <w:b/>
          <w:sz w:val="32"/>
          <w:szCs w:val="32"/>
          <w:lang w:val="en-US" w:eastAsia="zh-CN"/>
        </w:rPr>
      </w:pPr>
      <w:bookmarkStart w:id="820" w:name="_Toc12738"/>
      <w:r>
        <w:rPr>
          <w:rFonts w:hint="eastAsia" w:ascii="宋体" w:hAnsi="宋体" w:cs="宋体"/>
          <w:b/>
          <w:sz w:val="32"/>
          <w:szCs w:val="32"/>
          <w:lang w:val="en-US" w:eastAsia="zh-CN"/>
        </w:rPr>
        <w:br w:type="page"/>
      </w:r>
    </w:p>
    <w:p w14:paraId="224329E6">
      <w:pPr>
        <w:numPr>
          <w:ilvl w:val="0"/>
          <w:numId w:val="0"/>
        </w:numPr>
        <w:wordWrap w:val="0"/>
        <w:spacing w:line="420" w:lineRule="exact"/>
        <w:jc w:val="center"/>
        <w:outlineLvl w:val="1"/>
        <w:rPr>
          <w:rFonts w:hint="eastAsia" w:ascii="宋体" w:hAnsi="宋体" w:eastAsia="宋体" w:cs="宋体"/>
          <w:b/>
          <w:sz w:val="32"/>
          <w:szCs w:val="32"/>
          <w:lang w:val="en-US" w:eastAsia="zh-CN"/>
        </w:rPr>
      </w:pPr>
      <w:r>
        <w:rPr>
          <w:rFonts w:hint="eastAsia" w:ascii="宋体" w:hAnsi="宋体" w:cs="宋体"/>
          <w:b/>
          <w:sz w:val="32"/>
          <w:szCs w:val="32"/>
          <w:lang w:val="en-US" w:eastAsia="zh-CN"/>
        </w:rPr>
        <w:t>七、</w:t>
      </w:r>
      <w:r>
        <w:rPr>
          <w:rFonts w:hint="eastAsia" w:ascii="宋体" w:hAnsi="宋体" w:eastAsia="宋体" w:cs="宋体"/>
          <w:b/>
          <w:sz w:val="32"/>
          <w:szCs w:val="32"/>
          <w:lang w:val="en-US" w:eastAsia="zh-CN"/>
        </w:rPr>
        <w:t>其他</w:t>
      </w:r>
    </w:p>
    <w:p w14:paraId="008D1D15">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8"/>
          <w:szCs w:val="28"/>
        </w:rPr>
      </w:pPr>
      <w:r>
        <w:rPr>
          <w:rFonts w:hint="eastAsia" w:ascii="宋体" w:hAnsi="宋体" w:eastAsia="宋体" w:cs="宋体"/>
          <w:b/>
          <w:bCs/>
          <w:spacing w:val="-5"/>
          <w:sz w:val="28"/>
          <w:szCs w:val="28"/>
        </w:rPr>
        <w:t>1、</w:t>
      </w:r>
      <w:bookmarkEnd w:id="820"/>
      <w:r>
        <w:rPr>
          <w:rFonts w:ascii="宋体" w:hAnsi="宋体" w:eastAsia="宋体" w:cs="宋体"/>
          <w:b/>
          <w:bCs/>
          <w:spacing w:val="-5"/>
          <w:sz w:val="28"/>
          <w:szCs w:val="28"/>
        </w:rPr>
        <w:t>固始县政府采购供应商信用承诺函</w:t>
      </w:r>
    </w:p>
    <w:p w14:paraId="26D6F891">
      <w:pPr>
        <w:spacing w:before="132" w:line="227" w:lineRule="auto"/>
        <w:ind w:firstLine="436" w:firstLineChars="200"/>
        <w:rPr>
          <w:rFonts w:ascii="宋体" w:hAnsi="宋体" w:eastAsia="宋体" w:cs="宋体"/>
          <w:spacing w:val="9"/>
          <w:sz w:val="20"/>
          <w:szCs w:val="20"/>
          <w:u w:val="none" w:color="auto"/>
        </w:rPr>
      </w:pPr>
    </w:p>
    <w:p w14:paraId="1BC84615">
      <w:pPr>
        <w:spacing w:before="132" w:line="227" w:lineRule="auto"/>
        <w:ind w:left="0" w:leftChars="0" w:firstLine="0" w:firstLineChars="0"/>
        <w:rPr>
          <w:rFonts w:ascii="宋体" w:hAnsi="宋体" w:eastAsia="宋体" w:cs="宋体"/>
          <w:sz w:val="20"/>
          <w:szCs w:val="20"/>
        </w:rPr>
      </w:pPr>
      <w:r>
        <w:rPr>
          <w:rFonts w:ascii="宋体" w:hAnsi="宋体" w:eastAsia="宋体" w:cs="宋体"/>
          <w:spacing w:val="9"/>
          <w:sz w:val="20"/>
          <w:szCs w:val="20"/>
          <w:u w:val="none" w:color="auto"/>
        </w:rPr>
        <w:t>致（采购人或采购代理机构</w:t>
      </w:r>
      <w:r>
        <w:rPr>
          <w:rFonts w:ascii="宋体" w:hAnsi="宋体" w:eastAsia="宋体" w:cs="宋体"/>
          <w:spacing w:val="7"/>
          <w:sz w:val="20"/>
          <w:szCs w:val="20"/>
          <w:u w:val="none" w:color="auto"/>
        </w:rPr>
        <w:t>）：</w:t>
      </w:r>
      <w:r>
        <w:rPr>
          <w:rFonts w:ascii="宋体" w:hAnsi="宋体" w:eastAsia="宋体" w:cs="宋体"/>
          <w:sz w:val="20"/>
          <w:szCs w:val="20"/>
          <w:u w:val="single" w:color="auto"/>
        </w:rPr>
        <w:t xml:space="preserve">   </w:t>
      </w:r>
      <w:r>
        <w:rPr>
          <w:rFonts w:hint="eastAsia" w:ascii="宋体" w:hAnsi="宋体" w:eastAsia="宋体" w:cs="宋体"/>
          <w:sz w:val="20"/>
          <w:szCs w:val="20"/>
          <w:u w:val="single" w:color="auto"/>
          <w:lang w:val="en-US" w:eastAsia="zh-CN"/>
        </w:rPr>
        <w:t xml:space="preserve">             </w:t>
      </w:r>
      <w:r>
        <w:rPr>
          <w:rFonts w:ascii="宋体" w:hAnsi="宋体" w:eastAsia="宋体" w:cs="宋体"/>
          <w:sz w:val="20"/>
          <w:szCs w:val="20"/>
          <w:u w:val="single" w:color="auto"/>
        </w:rPr>
        <w:t xml:space="preserve">   </w:t>
      </w:r>
      <w:r>
        <w:rPr>
          <w:rFonts w:hint="eastAsia" w:ascii="宋体" w:hAnsi="宋体" w:eastAsia="宋体" w:cs="宋体"/>
          <w:sz w:val="20"/>
          <w:szCs w:val="20"/>
          <w:u w:val="single" w:color="auto"/>
          <w:lang w:val="en-US" w:eastAsia="zh-CN"/>
        </w:rPr>
        <w:t xml:space="preserve"> </w:t>
      </w:r>
      <w:r>
        <w:rPr>
          <w:rFonts w:ascii="宋体" w:hAnsi="宋体" w:eastAsia="宋体" w:cs="宋体"/>
          <w:sz w:val="20"/>
          <w:szCs w:val="20"/>
          <w:u w:val="single" w:color="auto"/>
        </w:rPr>
        <w:t xml:space="preserve">    </w:t>
      </w:r>
    </w:p>
    <w:p w14:paraId="364F8A06">
      <w:pPr>
        <w:spacing w:before="152" w:line="228" w:lineRule="auto"/>
        <w:ind w:left="421"/>
        <w:rPr>
          <w:rFonts w:ascii="宋体" w:hAnsi="宋体" w:eastAsia="宋体" w:cs="宋体"/>
          <w:sz w:val="20"/>
          <w:szCs w:val="20"/>
        </w:rPr>
      </w:pPr>
      <w:r>
        <w:rPr>
          <w:rFonts w:ascii="宋体" w:hAnsi="宋体" w:eastAsia="宋体" w:cs="宋体"/>
          <w:spacing w:val="8"/>
          <w:sz w:val="20"/>
          <w:szCs w:val="20"/>
        </w:rPr>
        <w:t>单位名称（自然人姓名</w:t>
      </w:r>
      <w:r>
        <w:rPr>
          <w:rFonts w:ascii="宋体" w:hAnsi="宋体" w:eastAsia="宋体" w:cs="宋体"/>
          <w:spacing w:val="10"/>
          <w:sz w:val="20"/>
          <w:szCs w:val="20"/>
        </w:rPr>
        <w:t>）</w:t>
      </w:r>
      <w:r>
        <w:rPr>
          <w:rFonts w:ascii="宋体" w:hAnsi="宋体" w:eastAsia="宋体" w:cs="宋体"/>
          <w:spacing w:val="10"/>
          <w:sz w:val="20"/>
          <w:szCs w:val="20"/>
          <w:u w:val="single" w:color="auto"/>
        </w:rPr>
        <w:t>：</w:t>
      </w:r>
      <w:r>
        <w:rPr>
          <w:rFonts w:hint="eastAsia" w:ascii="宋体" w:hAnsi="宋体" w:eastAsia="宋体" w:cs="宋体"/>
          <w:spacing w:val="10"/>
          <w:sz w:val="20"/>
          <w:szCs w:val="20"/>
          <w:u w:val="single" w:color="auto"/>
          <w:lang w:val="en-US" w:eastAsia="zh-CN"/>
        </w:rPr>
        <w:t xml:space="preserve">                        </w:t>
      </w:r>
      <w:r>
        <w:rPr>
          <w:rFonts w:ascii="宋体" w:hAnsi="宋体" w:eastAsia="宋体" w:cs="宋体"/>
          <w:sz w:val="20"/>
          <w:szCs w:val="20"/>
          <w:u w:val="single" w:color="auto"/>
        </w:rPr>
        <w:t xml:space="preserve">     </w:t>
      </w:r>
    </w:p>
    <w:p w14:paraId="02FC4A22">
      <w:pPr>
        <w:spacing w:before="154" w:line="227" w:lineRule="auto"/>
        <w:ind w:left="425"/>
        <w:rPr>
          <w:rFonts w:ascii="宋体" w:hAnsi="宋体" w:eastAsia="宋体" w:cs="宋体"/>
          <w:sz w:val="20"/>
          <w:szCs w:val="20"/>
        </w:rPr>
      </w:pPr>
      <w:r>
        <w:rPr>
          <w:rFonts w:ascii="宋体" w:hAnsi="宋体" w:eastAsia="宋体" w:cs="宋体"/>
          <w:spacing w:val="8"/>
          <w:sz w:val="20"/>
          <w:szCs w:val="20"/>
        </w:rPr>
        <w:t>统一社会信用代码（身份证号码</w:t>
      </w:r>
      <w:r>
        <w:rPr>
          <w:rFonts w:ascii="宋体" w:hAnsi="宋体" w:eastAsia="宋体" w:cs="宋体"/>
          <w:spacing w:val="12"/>
          <w:sz w:val="20"/>
          <w:szCs w:val="20"/>
        </w:rPr>
        <w:t>）</w:t>
      </w:r>
      <w:r>
        <w:rPr>
          <w:rFonts w:ascii="宋体" w:hAnsi="宋体" w:eastAsia="宋体" w:cs="宋体"/>
          <w:spacing w:val="12"/>
          <w:sz w:val="20"/>
          <w:szCs w:val="20"/>
          <w:u w:val="single" w:color="auto"/>
        </w:rPr>
        <w:t>：</w:t>
      </w:r>
      <w:r>
        <w:rPr>
          <w:rFonts w:ascii="宋体" w:hAnsi="宋体" w:eastAsia="宋体" w:cs="宋体"/>
          <w:sz w:val="20"/>
          <w:szCs w:val="20"/>
          <w:u w:val="single" w:color="auto"/>
        </w:rPr>
        <w:t xml:space="preserve"> </w:t>
      </w:r>
      <w:r>
        <w:rPr>
          <w:rFonts w:hint="eastAsia" w:ascii="宋体" w:hAnsi="宋体" w:eastAsia="宋体" w:cs="宋体"/>
          <w:sz w:val="20"/>
          <w:szCs w:val="20"/>
          <w:u w:val="single" w:color="auto"/>
          <w:lang w:val="en-US" w:eastAsia="zh-CN"/>
        </w:rPr>
        <w:t xml:space="preserve">                   </w:t>
      </w:r>
      <w:r>
        <w:rPr>
          <w:rFonts w:ascii="宋体" w:hAnsi="宋体" w:eastAsia="宋体" w:cs="宋体"/>
          <w:sz w:val="20"/>
          <w:szCs w:val="20"/>
          <w:u w:val="single" w:color="auto"/>
        </w:rPr>
        <w:t xml:space="preserve">   </w:t>
      </w:r>
    </w:p>
    <w:p w14:paraId="264DBFF7">
      <w:pPr>
        <w:spacing w:before="154" w:line="228" w:lineRule="auto"/>
        <w:ind w:left="420"/>
        <w:rPr>
          <w:rFonts w:hint="default" w:ascii="宋体" w:hAnsi="宋体" w:eastAsia="宋体" w:cs="宋体"/>
          <w:sz w:val="20"/>
          <w:szCs w:val="20"/>
          <w:lang w:val="en-US" w:eastAsia="zh-CN"/>
        </w:rPr>
      </w:pPr>
      <w:r>
        <w:rPr>
          <w:rFonts w:ascii="宋体" w:hAnsi="宋体" w:eastAsia="宋体" w:cs="宋体"/>
          <w:spacing w:val="8"/>
          <w:sz w:val="20"/>
          <w:szCs w:val="20"/>
        </w:rPr>
        <w:t>法定代表人（负责人</w:t>
      </w:r>
      <w:r>
        <w:rPr>
          <w:rFonts w:ascii="宋体" w:hAnsi="宋体" w:eastAsia="宋体" w:cs="宋体"/>
          <w:spacing w:val="10"/>
          <w:sz w:val="20"/>
          <w:szCs w:val="20"/>
        </w:rPr>
        <w:t>）</w:t>
      </w:r>
      <w:r>
        <w:rPr>
          <w:rFonts w:ascii="宋体" w:hAnsi="宋体" w:eastAsia="宋体" w:cs="宋体"/>
          <w:spacing w:val="10"/>
          <w:sz w:val="20"/>
          <w:szCs w:val="20"/>
          <w:u w:val="single" w:color="auto"/>
        </w:rPr>
        <w:t>：</w:t>
      </w:r>
      <w:r>
        <w:rPr>
          <w:rFonts w:ascii="宋体" w:hAnsi="宋体" w:eastAsia="宋体" w:cs="宋体"/>
          <w:sz w:val="20"/>
          <w:szCs w:val="20"/>
          <w:u w:val="single" w:color="auto"/>
        </w:rPr>
        <w:t xml:space="preserve">      </w:t>
      </w:r>
      <w:r>
        <w:rPr>
          <w:rFonts w:hint="eastAsia" w:ascii="宋体" w:hAnsi="宋体" w:eastAsia="宋体" w:cs="宋体"/>
          <w:sz w:val="20"/>
          <w:szCs w:val="20"/>
          <w:u w:val="single" w:color="auto"/>
          <w:lang w:val="en-US" w:eastAsia="zh-CN"/>
        </w:rPr>
        <w:t xml:space="preserve">                    </w:t>
      </w:r>
    </w:p>
    <w:p w14:paraId="3BA69F07">
      <w:pPr>
        <w:spacing w:before="151" w:line="230" w:lineRule="auto"/>
        <w:ind w:left="420"/>
        <w:rPr>
          <w:rFonts w:ascii="宋体" w:hAnsi="宋体" w:eastAsia="宋体" w:cs="宋体"/>
          <w:sz w:val="20"/>
          <w:szCs w:val="20"/>
        </w:rPr>
      </w:pPr>
      <w:r>
        <w:rPr>
          <w:rFonts w:ascii="宋体" w:hAnsi="宋体" w:eastAsia="宋体" w:cs="宋体"/>
          <w:spacing w:val="7"/>
          <w:sz w:val="20"/>
          <w:szCs w:val="20"/>
        </w:rPr>
        <w:t>联系地址和电话</w:t>
      </w:r>
      <w:r>
        <w:rPr>
          <w:rFonts w:ascii="宋体" w:hAnsi="宋体" w:eastAsia="宋体" w:cs="宋体"/>
          <w:spacing w:val="7"/>
          <w:sz w:val="20"/>
          <w:szCs w:val="20"/>
          <w:u w:val="single" w:color="auto"/>
        </w:rPr>
        <w:t>：</w:t>
      </w:r>
      <w:r>
        <w:rPr>
          <w:rFonts w:ascii="宋体" w:hAnsi="宋体" w:eastAsia="宋体" w:cs="宋体"/>
          <w:sz w:val="20"/>
          <w:szCs w:val="20"/>
          <w:u w:val="single" w:color="auto"/>
        </w:rPr>
        <w:t xml:space="preserve">         </w:t>
      </w:r>
      <w:r>
        <w:rPr>
          <w:rFonts w:hint="eastAsia" w:ascii="宋体" w:hAnsi="宋体" w:eastAsia="宋体" w:cs="宋体"/>
          <w:sz w:val="20"/>
          <w:szCs w:val="20"/>
          <w:u w:val="single" w:color="auto"/>
          <w:lang w:val="en-US" w:eastAsia="zh-CN"/>
        </w:rPr>
        <w:t xml:space="preserve">           </w:t>
      </w:r>
      <w:r>
        <w:rPr>
          <w:rFonts w:ascii="宋体" w:hAnsi="宋体" w:eastAsia="宋体" w:cs="宋体"/>
          <w:sz w:val="20"/>
          <w:szCs w:val="20"/>
          <w:u w:val="single" w:color="auto"/>
        </w:rPr>
        <w:t xml:space="preserve">      </w:t>
      </w:r>
    </w:p>
    <w:p w14:paraId="38C8CCD7">
      <w:pPr>
        <w:keepNext w:val="0"/>
        <w:keepLines w:val="0"/>
        <w:pageBreakBefore w:val="0"/>
        <w:widowControl/>
        <w:kinsoku w:val="0"/>
        <w:wordWrap w:val="0"/>
        <w:overflowPunct/>
        <w:topLinePunct w:val="0"/>
        <w:autoSpaceDE w:val="0"/>
        <w:autoSpaceDN w:val="0"/>
        <w:bidi w:val="0"/>
        <w:adjustRightInd w:val="0"/>
        <w:snapToGrid w:val="0"/>
        <w:spacing w:line="420" w:lineRule="exact"/>
        <w:ind w:left="0" w:leftChars="0" w:firstLine="420" w:firstLineChars="200"/>
        <w:textAlignment w:val="baseline"/>
        <w:rPr>
          <w:rFonts w:hint="eastAsia" w:ascii="宋体" w:hAnsi="宋体" w:cs="宋体"/>
          <w:szCs w:val="21"/>
          <w:lang w:val="en-US" w:eastAsia="zh-CN"/>
        </w:rPr>
      </w:pPr>
    </w:p>
    <w:p w14:paraId="31DD459B">
      <w:pPr>
        <w:keepNext w:val="0"/>
        <w:keepLines w:val="0"/>
        <w:pageBreakBefore w:val="0"/>
        <w:widowControl/>
        <w:kinsoku w:val="0"/>
        <w:wordWrap w:val="0"/>
        <w:overflowPunct/>
        <w:topLinePunct w:val="0"/>
        <w:autoSpaceDE w:val="0"/>
        <w:autoSpaceDN w:val="0"/>
        <w:bidi w:val="0"/>
        <w:adjustRightInd w:val="0"/>
        <w:snapToGrid w:val="0"/>
        <w:spacing w:line="420" w:lineRule="exact"/>
        <w:ind w:left="0" w:leftChars="0" w:firstLine="420" w:firstLineChars="200"/>
        <w:textAlignment w:val="baseline"/>
        <w:rPr>
          <w:rFonts w:hint="eastAsia" w:ascii="宋体" w:hAnsi="宋体" w:cs="宋体"/>
          <w:szCs w:val="21"/>
          <w:lang w:val="en-US" w:eastAsia="zh-CN"/>
        </w:rPr>
      </w:pPr>
      <w:r>
        <w:rPr>
          <w:rFonts w:hint="eastAsia" w:ascii="宋体" w:hAnsi="宋体" w:cs="宋体"/>
          <w:szCs w:val="21"/>
          <w:lang w:val="en-US" w:eastAsia="zh-CN"/>
        </w:rPr>
        <w:t>为维护公平、公正、公开的政府采购市场秩序，树立诚实守信的政府采购供应商形象，我单位 （本人） 自愿作出以下承诺：</w:t>
      </w:r>
    </w:p>
    <w:p w14:paraId="5FF1727D">
      <w:pPr>
        <w:keepNext w:val="0"/>
        <w:keepLines w:val="0"/>
        <w:pageBreakBefore w:val="0"/>
        <w:widowControl/>
        <w:kinsoku w:val="0"/>
        <w:wordWrap w:val="0"/>
        <w:overflowPunct/>
        <w:topLinePunct w:val="0"/>
        <w:autoSpaceDE w:val="0"/>
        <w:autoSpaceDN w:val="0"/>
        <w:bidi w:val="0"/>
        <w:adjustRightInd w:val="0"/>
        <w:snapToGrid w:val="0"/>
        <w:spacing w:line="420" w:lineRule="exact"/>
        <w:ind w:left="0" w:leftChars="0" w:firstLine="420" w:firstLineChars="200"/>
        <w:textAlignment w:val="baseline"/>
        <w:rPr>
          <w:rFonts w:hint="eastAsia" w:ascii="宋体" w:hAnsi="宋体" w:cs="宋体"/>
          <w:szCs w:val="21"/>
          <w:lang w:val="en-US" w:eastAsia="zh-CN"/>
        </w:rPr>
      </w:pPr>
      <w:r>
        <w:rPr>
          <w:rFonts w:hint="eastAsia" w:ascii="宋体" w:hAnsi="宋体" w:cs="宋体"/>
          <w:szCs w:val="21"/>
          <w:lang w:val="en-US" w:eastAsia="zh-CN"/>
        </w:rPr>
        <w:t>一、我单位（本人） 自愿参加本次政府采购活动，严格遵守《中华人民共和国政府采购法》及 相关法律法规，依法诚信经营，无条件遵守本次政府采购活动的各项规定。我单位（本人）郑重承诺，我单位（本人）符合《中华人民共和国政府采购法》第二十二条规定和采购文件、本承诺书的 条件：</w:t>
      </w:r>
    </w:p>
    <w:p w14:paraId="62193D36">
      <w:pPr>
        <w:keepNext w:val="0"/>
        <w:keepLines w:val="0"/>
        <w:pageBreakBefore w:val="0"/>
        <w:widowControl/>
        <w:kinsoku w:val="0"/>
        <w:wordWrap w:val="0"/>
        <w:overflowPunct/>
        <w:topLinePunct w:val="0"/>
        <w:autoSpaceDE w:val="0"/>
        <w:autoSpaceDN w:val="0"/>
        <w:bidi w:val="0"/>
        <w:adjustRightInd w:val="0"/>
        <w:snapToGrid w:val="0"/>
        <w:spacing w:line="420" w:lineRule="exact"/>
        <w:ind w:left="0" w:leftChars="0" w:firstLine="420" w:firstLineChars="200"/>
        <w:textAlignment w:val="baseline"/>
        <w:rPr>
          <w:rFonts w:hint="eastAsia" w:ascii="宋体" w:hAnsi="宋体" w:cs="宋体"/>
          <w:szCs w:val="21"/>
          <w:lang w:val="en-US" w:eastAsia="zh-CN"/>
        </w:rPr>
      </w:pPr>
      <w:r>
        <w:rPr>
          <w:rFonts w:hint="eastAsia" w:ascii="宋体" w:hAnsi="宋体" w:cs="宋体"/>
          <w:szCs w:val="21"/>
          <w:lang w:val="en-US" w:eastAsia="zh-CN"/>
        </w:rPr>
        <w:t>（一）具有独立承担民事责任的能力；</w:t>
      </w:r>
    </w:p>
    <w:p w14:paraId="28C32C2C">
      <w:pPr>
        <w:keepNext w:val="0"/>
        <w:keepLines w:val="0"/>
        <w:pageBreakBefore w:val="0"/>
        <w:widowControl/>
        <w:kinsoku w:val="0"/>
        <w:wordWrap w:val="0"/>
        <w:overflowPunct/>
        <w:topLinePunct w:val="0"/>
        <w:autoSpaceDE w:val="0"/>
        <w:autoSpaceDN w:val="0"/>
        <w:bidi w:val="0"/>
        <w:adjustRightInd w:val="0"/>
        <w:snapToGrid w:val="0"/>
        <w:spacing w:line="420" w:lineRule="exact"/>
        <w:ind w:left="0" w:leftChars="0" w:firstLine="420" w:firstLineChars="200"/>
        <w:textAlignment w:val="baseline"/>
        <w:rPr>
          <w:rFonts w:hint="eastAsia" w:ascii="宋体" w:hAnsi="宋体" w:cs="宋体"/>
          <w:szCs w:val="21"/>
          <w:lang w:val="en-US" w:eastAsia="zh-CN"/>
        </w:rPr>
      </w:pPr>
      <w:r>
        <w:rPr>
          <w:rFonts w:hint="eastAsia" w:ascii="宋体" w:hAnsi="宋体" w:cs="宋体"/>
          <w:szCs w:val="21"/>
          <w:lang w:val="en-US" w:eastAsia="zh-CN"/>
        </w:rPr>
        <w:t>（二）具有良好的商业信誉和健全的财务会计制度；</w:t>
      </w:r>
    </w:p>
    <w:p w14:paraId="4AE6B84E">
      <w:pPr>
        <w:keepNext w:val="0"/>
        <w:keepLines w:val="0"/>
        <w:pageBreakBefore w:val="0"/>
        <w:widowControl/>
        <w:kinsoku w:val="0"/>
        <w:wordWrap w:val="0"/>
        <w:overflowPunct/>
        <w:topLinePunct w:val="0"/>
        <w:autoSpaceDE w:val="0"/>
        <w:autoSpaceDN w:val="0"/>
        <w:bidi w:val="0"/>
        <w:adjustRightInd w:val="0"/>
        <w:snapToGrid w:val="0"/>
        <w:spacing w:line="420" w:lineRule="exact"/>
        <w:ind w:left="0" w:leftChars="0" w:firstLine="420" w:firstLineChars="200"/>
        <w:textAlignment w:val="baseline"/>
        <w:rPr>
          <w:rFonts w:hint="eastAsia" w:ascii="宋体" w:hAnsi="宋体" w:cs="宋体"/>
          <w:szCs w:val="21"/>
          <w:lang w:val="en-US" w:eastAsia="zh-CN"/>
        </w:rPr>
      </w:pPr>
      <w:r>
        <w:rPr>
          <w:rFonts w:hint="eastAsia" w:ascii="宋体" w:hAnsi="宋体" w:cs="宋体"/>
          <w:szCs w:val="21"/>
          <w:lang w:val="en-US" w:eastAsia="zh-CN"/>
        </w:rPr>
        <w:t>（三）具有履行合同所必需的设备和专业技术能力；</w:t>
      </w:r>
    </w:p>
    <w:p w14:paraId="7050975D">
      <w:pPr>
        <w:keepNext w:val="0"/>
        <w:keepLines w:val="0"/>
        <w:pageBreakBefore w:val="0"/>
        <w:widowControl/>
        <w:kinsoku w:val="0"/>
        <w:wordWrap w:val="0"/>
        <w:overflowPunct/>
        <w:topLinePunct w:val="0"/>
        <w:autoSpaceDE w:val="0"/>
        <w:autoSpaceDN w:val="0"/>
        <w:bidi w:val="0"/>
        <w:adjustRightInd w:val="0"/>
        <w:snapToGrid w:val="0"/>
        <w:spacing w:line="420" w:lineRule="exact"/>
        <w:ind w:left="0" w:leftChars="0" w:firstLine="420" w:firstLineChars="200"/>
        <w:textAlignment w:val="baseline"/>
        <w:rPr>
          <w:rFonts w:hint="eastAsia" w:ascii="宋体" w:hAnsi="宋体" w:cs="宋体"/>
          <w:szCs w:val="21"/>
          <w:lang w:val="en-US" w:eastAsia="zh-CN"/>
        </w:rPr>
      </w:pPr>
      <w:r>
        <w:rPr>
          <w:rFonts w:hint="eastAsia" w:ascii="宋体" w:hAnsi="宋体" w:cs="宋体"/>
          <w:szCs w:val="21"/>
          <w:lang w:val="en-US" w:eastAsia="zh-CN"/>
        </w:rPr>
        <w:t>（四）有依法缴纳税收和社会保障资金的良好记录；</w:t>
      </w:r>
    </w:p>
    <w:p w14:paraId="40CF3F90">
      <w:pPr>
        <w:keepNext w:val="0"/>
        <w:keepLines w:val="0"/>
        <w:pageBreakBefore w:val="0"/>
        <w:widowControl/>
        <w:kinsoku w:val="0"/>
        <w:wordWrap w:val="0"/>
        <w:overflowPunct/>
        <w:topLinePunct w:val="0"/>
        <w:autoSpaceDE w:val="0"/>
        <w:autoSpaceDN w:val="0"/>
        <w:bidi w:val="0"/>
        <w:adjustRightInd w:val="0"/>
        <w:snapToGrid w:val="0"/>
        <w:spacing w:line="420" w:lineRule="exact"/>
        <w:ind w:left="0" w:leftChars="0" w:firstLine="420" w:firstLineChars="200"/>
        <w:textAlignment w:val="baseline"/>
        <w:rPr>
          <w:rFonts w:hint="eastAsia" w:ascii="宋体" w:hAnsi="宋体" w:cs="宋体"/>
          <w:szCs w:val="21"/>
          <w:lang w:val="en-US" w:eastAsia="zh-CN"/>
        </w:rPr>
      </w:pPr>
      <w:r>
        <w:rPr>
          <w:rFonts w:hint="eastAsia" w:ascii="宋体" w:hAnsi="宋体" w:cs="宋体"/>
          <w:szCs w:val="21"/>
          <w:lang w:val="en-US" w:eastAsia="zh-CN"/>
        </w:rPr>
        <w:t>（五）参加政府采购活动前三年内，在经营活动中没有重大违法记录；</w:t>
      </w:r>
    </w:p>
    <w:p w14:paraId="0A8695A0">
      <w:pPr>
        <w:keepNext w:val="0"/>
        <w:keepLines w:val="0"/>
        <w:pageBreakBefore w:val="0"/>
        <w:widowControl/>
        <w:kinsoku w:val="0"/>
        <w:wordWrap w:val="0"/>
        <w:overflowPunct/>
        <w:topLinePunct w:val="0"/>
        <w:autoSpaceDE w:val="0"/>
        <w:autoSpaceDN w:val="0"/>
        <w:bidi w:val="0"/>
        <w:adjustRightInd w:val="0"/>
        <w:snapToGrid w:val="0"/>
        <w:spacing w:line="420" w:lineRule="exact"/>
        <w:ind w:left="0" w:leftChars="0" w:firstLine="420" w:firstLineChars="200"/>
        <w:textAlignment w:val="baseline"/>
        <w:rPr>
          <w:rFonts w:hint="eastAsia" w:ascii="宋体" w:hAnsi="宋体" w:cs="宋体"/>
          <w:szCs w:val="21"/>
          <w:lang w:val="en-US" w:eastAsia="zh-CN"/>
        </w:rPr>
      </w:pPr>
      <w:r>
        <w:rPr>
          <w:rFonts w:hint="eastAsia" w:ascii="宋体" w:hAnsi="宋体" w:cs="宋体"/>
          <w:szCs w:val="21"/>
          <w:lang w:val="en-US" w:eastAsia="zh-CN"/>
        </w:rPr>
        <w:t>（六）未被列入经营异常名录或者严重违法失信名单、失信被执行人、重大税收违法案件当事人名 单、政府采购严重违法失信行为记录名单；</w:t>
      </w:r>
    </w:p>
    <w:p w14:paraId="5D4084E5">
      <w:pPr>
        <w:keepNext w:val="0"/>
        <w:keepLines w:val="0"/>
        <w:pageBreakBefore w:val="0"/>
        <w:widowControl/>
        <w:kinsoku w:val="0"/>
        <w:wordWrap w:val="0"/>
        <w:overflowPunct/>
        <w:topLinePunct w:val="0"/>
        <w:autoSpaceDE w:val="0"/>
        <w:autoSpaceDN w:val="0"/>
        <w:bidi w:val="0"/>
        <w:adjustRightInd w:val="0"/>
        <w:snapToGrid w:val="0"/>
        <w:spacing w:line="420" w:lineRule="exact"/>
        <w:ind w:left="0" w:leftChars="0" w:firstLine="420" w:firstLineChars="200"/>
        <w:textAlignment w:val="baseline"/>
        <w:rPr>
          <w:rFonts w:hint="eastAsia" w:ascii="宋体" w:hAnsi="宋体" w:cs="宋体"/>
          <w:szCs w:val="21"/>
          <w:lang w:val="en-US" w:eastAsia="zh-CN"/>
        </w:rPr>
      </w:pPr>
      <w:r>
        <w:rPr>
          <w:rFonts w:hint="eastAsia" w:ascii="宋体" w:hAnsi="宋体" w:cs="宋体"/>
          <w:szCs w:val="21"/>
          <w:lang w:val="en-US" w:eastAsia="zh-CN"/>
        </w:rPr>
        <w:t>（七）未被相关监管部门作出行政处罚且尚在处罚有效期内；</w:t>
      </w:r>
    </w:p>
    <w:p w14:paraId="4EA4819B">
      <w:pPr>
        <w:keepNext w:val="0"/>
        <w:keepLines w:val="0"/>
        <w:pageBreakBefore w:val="0"/>
        <w:widowControl/>
        <w:kinsoku w:val="0"/>
        <w:wordWrap w:val="0"/>
        <w:overflowPunct/>
        <w:topLinePunct w:val="0"/>
        <w:autoSpaceDE w:val="0"/>
        <w:autoSpaceDN w:val="0"/>
        <w:bidi w:val="0"/>
        <w:adjustRightInd w:val="0"/>
        <w:snapToGrid w:val="0"/>
        <w:spacing w:line="420" w:lineRule="exact"/>
        <w:ind w:left="0" w:leftChars="0" w:firstLine="420" w:firstLineChars="200"/>
        <w:textAlignment w:val="baseline"/>
        <w:rPr>
          <w:rFonts w:hint="eastAsia" w:ascii="宋体" w:hAnsi="宋体" w:cs="宋体"/>
          <w:szCs w:val="21"/>
          <w:lang w:val="en-US" w:eastAsia="zh-CN"/>
        </w:rPr>
      </w:pPr>
      <w:r>
        <w:rPr>
          <w:rFonts w:hint="eastAsia" w:ascii="宋体" w:hAnsi="宋体" w:cs="宋体"/>
          <w:szCs w:val="21"/>
          <w:lang w:val="en-US" w:eastAsia="zh-CN"/>
        </w:rPr>
        <w:t>（八）未曾做出虚假采购承诺；</w:t>
      </w:r>
    </w:p>
    <w:p w14:paraId="427003E9">
      <w:pPr>
        <w:keepNext w:val="0"/>
        <w:keepLines w:val="0"/>
        <w:pageBreakBefore w:val="0"/>
        <w:widowControl/>
        <w:kinsoku w:val="0"/>
        <w:wordWrap w:val="0"/>
        <w:overflowPunct/>
        <w:topLinePunct w:val="0"/>
        <w:autoSpaceDE w:val="0"/>
        <w:autoSpaceDN w:val="0"/>
        <w:bidi w:val="0"/>
        <w:adjustRightInd w:val="0"/>
        <w:snapToGrid w:val="0"/>
        <w:spacing w:line="420" w:lineRule="exact"/>
        <w:ind w:left="0" w:leftChars="0" w:firstLine="420" w:firstLineChars="200"/>
        <w:textAlignment w:val="baseline"/>
        <w:rPr>
          <w:rFonts w:hint="eastAsia" w:ascii="宋体" w:hAnsi="宋体" w:cs="宋体"/>
          <w:szCs w:val="21"/>
          <w:lang w:val="en-US" w:eastAsia="zh-CN"/>
        </w:rPr>
      </w:pPr>
      <w:r>
        <w:rPr>
          <w:rFonts w:hint="eastAsia" w:ascii="宋体" w:hAnsi="宋体" w:cs="宋体"/>
          <w:szCs w:val="21"/>
          <w:lang w:val="en-US" w:eastAsia="zh-CN"/>
        </w:rPr>
        <w:t>（九）符合法律、行政法规规定的其他条件。</w:t>
      </w:r>
    </w:p>
    <w:p w14:paraId="4DED2903">
      <w:pPr>
        <w:keepNext w:val="0"/>
        <w:keepLines w:val="0"/>
        <w:pageBreakBefore w:val="0"/>
        <w:widowControl/>
        <w:kinsoku w:val="0"/>
        <w:wordWrap w:val="0"/>
        <w:overflowPunct/>
        <w:topLinePunct w:val="0"/>
        <w:autoSpaceDE w:val="0"/>
        <w:autoSpaceDN w:val="0"/>
        <w:bidi w:val="0"/>
        <w:adjustRightInd w:val="0"/>
        <w:snapToGrid w:val="0"/>
        <w:spacing w:line="420" w:lineRule="exact"/>
        <w:ind w:left="0" w:leftChars="0" w:firstLine="420" w:firstLineChars="200"/>
        <w:textAlignment w:val="baseline"/>
        <w:rPr>
          <w:rFonts w:hint="eastAsia" w:ascii="宋体" w:hAnsi="宋体" w:cs="宋体"/>
          <w:szCs w:val="21"/>
          <w:lang w:val="en-US" w:eastAsia="zh-CN"/>
        </w:rPr>
      </w:pPr>
      <w:r>
        <w:rPr>
          <w:rFonts w:hint="eastAsia" w:ascii="宋体" w:hAnsi="宋体" w:cs="宋体"/>
          <w:szCs w:val="21"/>
          <w:lang w:val="en-US" w:eastAsia="zh-CN"/>
        </w:rPr>
        <w:t>二、我单位（本人）保证上述承诺事项的真实性。如有弄虚作假或其他违法违规行为， 自愿按  照规定将违背承诺行为作为失信行为记录到社会信用信息平台，并视同为“提供虚假材料谋取中标、 成交 ”按照《政府采购法》第七十七、七十九条规定，处以采购金额千分之五以上千分之十以下的  罚款，列入不良行为记录名单，在一至三年内禁止参加政府采购活动，有违法所得的，并处没收违  法所得，情节严重的， 由市场监管部门吊销营业执照；构成犯罪的，依法追究刑事责任；给他人造  成损失的，并应依照有关民事法律规定承担民事责任。</w:t>
      </w:r>
    </w:p>
    <w:p w14:paraId="54A1A874">
      <w:pPr>
        <w:spacing w:before="1" w:line="226" w:lineRule="auto"/>
        <w:ind w:left="420"/>
        <w:jc w:val="right"/>
        <w:rPr>
          <w:rFonts w:ascii="宋体" w:hAnsi="宋体" w:eastAsia="宋体" w:cs="宋体"/>
          <w:spacing w:val="8"/>
          <w:sz w:val="20"/>
          <w:szCs w:val="20"/>
        </w:rPr>
      </w:pPr>
    </w:p>
    <w:p w14:paraId="667E5430">
      <w:pPr>
        <w:spacing w:before="1" w:line="226" w:lineRule="auto"/>
        <w:ind w:left="420"/>
        <w:jc w:val="right"/>
        <w:rPr>
          <w:rFonts w:ascii="宋体" w:hAnsi="宋体" w:eastAsia="宋体" w:cs="宋体"/>
          <w:sz w:val="20"/>
          <w:szCs w:val="20"/>
        </w:rPr>
      </w:pPr>
      <w:r>
        <w:rPr>
          <w:rFonts w:ascii="宋体" w:hAnsi="宋体" w:eastAsia="宋体" w:cs="宋体"/>
          <w:spacing w:val="8"/>
          <w:sz w:val="20"/>
          <w:szCs w:val="20"/>
        </w:rPr>
        <w:t>供应商（单位电子签章</w:t>
      </w:r>
      <w:r>
        <w:rPr>
          <w:rFonts w:ascii="宋体" w:hAnsi="宋体" w:eastAsia="宋体" w:cs="宋体"/>
          <w:spacing w:val="4"/>
          <w:sz w:val="20"/>
          <w:szCs w:val="20"/>
        </w:rPr>
        <w:t>）：</w:t>
      </w:r>
    </w:p>
    <w:p w14:paraId="590B0A44">
      <w:pPr>
        <w:spacing w:before="152" w:line="227" w:lineRule="auto"/>
        <w:ind w:left="420"/>
        <w:jc w:val="right"/>
        <w:rPr>
          <w:rFonts w:ascii="宋体" w:hAnsi="宋体" w:eastAsia="宋体" w:cs="宋体"/>
          <w:sz w:val="20"/>
          <w:szCs w:val="20"/>
        </w:rPr>
      </w:pPr>
      <w:r>
        <w:rPr>
          <w:rFonts w:ascii="宋体" w:hAnsi="宋体" w:eastAsia="宋体" w:cs="宋体"/>
          <w:spacing w:val="9"/>
          <w:sz w:val="20"/>
          <w:szCs w:val="20"/>
        </w:rPr>
        <w:t>法定代表人、负责人、本人或授权代表（电子签名或盖章</w:t>
      </w:r>
      <w:r>
        <w:rPr>
          <w:rFonts w:ascii="宋体" w:hAnsi="宋体" w:eastAsia="宋体" w:cs="宋体"/>
          <w:spacing w:val="6"/>
          <w:sz w:val="20"/>
          <w:szCs w:val="20"/>
        </w:rPr>
        <w:t>）：</w:t>
      </w:r>
    </w:p>
    <w:p w14:paraId="7C822B64">
      <w:pPr>
        <w:spacing w:before="155" w:line="228" w:lineRule="auto"/>
        <w:ind w:left="455"/>
        <w:jc w:val="right"/>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17"/>
          <w:sz w:val="20"/>
          <w:szCs w:val="20"/>
        </w:rPr>
        <w:t xml:space="preserve">  </w:t>
      </w:r>
      <w:r>
        <w:rPr>
          <w:rFonts w:ascii="宋体" w:hAnsi="宋体" w:eastAsia="宋体" w:cs="宋体"/>
          <w:spacing w:val="-6"/>
          <w:sz w:val="20"/>
          <w:szCs w:val="20"/>
        </w:rPr>
        <w:t>年</w:t>
      </w:r>
      <w:r>
        <w:rPr>
          <w:rFonts w:ascii="宋体" w:hAnsi="宋体" w:eastAsia="宋体" w:cs="宋体"/>
          <w:spacing w:val="12"/>
          <w:sz w:val="20"/>
          <w:szCs w:val="20"/>
        </w:rPr>
        <w:t xml:space="preserve">  </w:t>
      </w:r>
      <w:r>
        <w:rPr>
          <w:rFonts w:ascii="宋体" w:hAnsi="宋体" w:eastAsia="宋体" w:cs="宋体"/>
          <w:spacing w:val="-6"/>
          <w:sz w:val="20"/>
          <w:szCs w:val="20"/>
        </w:rPr>
        <w:t>月</w:t>
      </w:r>
      <w:r>
        <w:rPr>
          <w:rFonts w:ascii="宋体" w:hAnsi="宋体" w:eastAsia="宋体" w:cs="宋体"/>
          <w:spacing w:val="28"/>
          <w:sz w:val="20"/>
          <w:szCs w:val="20"/>
        </w:rPr>
        <w:t xml:space="preserve">  </w:t>
      </w:r>
      <w:r>
        <w:rPr>
          <w:rFonts w:ascii="宋体" w:hAnsi="宋体" w:eastAsia="宋体" w:cs="宋体"/>
          <w:spacing w:val="-6"/>
          <w:sz w:val="20"/>
          <w:szCs w:val="20"/>
        </w:rPr>
        <w:t>日</w:t>
      </w:r>
    </w:p>
    <w:p w14:paraId="3FDD1FFA">
      <w:pPr>
        <w:spacing w:before="44" w:line="301" w:lineRule="auto"/>
        <w:ind w:left="1" w:right="70" w:firstLine="207"/>
        <w:rPr>
          <w:rFonts w:ascii="宋体" w:hAnsi="宋体" w:eastAsia="宋体" w:cs="宋体"/>
          <w:spacing w:val="8"/>
          <w:sz w:val="20"/>
          <w:szCs w:val="20"/>
        </w:rPr>
      </w:pPr>
    </w:p>
    <w:p w14:paraId="7E5C1EDE">
      <w:pPr>
        <w:spacing w:before="44" w:line="301" w:lineRule="auto"/>
        <w:ind w:left="1" w:right="70" w:firstLine="207"/>
        <w:rPr>
          <w:rFonts w:ascii="宋体" w:hAnsi="宋体" w:eastAsia="宋体" w:cs="宋体"/>
          <w:sz w:val="20"/>
          <w:szCs w:val="20"/>
        </w:rPr>
      </w:pPr>
      <w:r>
        <w:rPr>
          <w:rFonts w:ascii="宋体" w:hAnsi="宋体" w:eastAsia="宋体" w:cs="宋体"/>
          <w:spacing w:val="8"/>
          <w:sz w:val="20"/>
          <w:szCs w:val="20"/>
        </w:rPr>
        <w:t>注：1、供应商须在响应文件中按此模板提供承诺函，未提供视为未实质性响应招标文件要求，按</w:t>
      </w:r>
      <w:r>
        <w:rPr>
          <w:rFonts w:ascii="宋体" w:hAnsi="宋体" w:eastAsia="宋体" w:cs="宋体"/>
          <w:spacing w:val="5"/>
          <w:sz w:val="20"/>
          <w:szCs w:val="20"/>
        </w:rPr>
        <w:t xml:space="preserve"> </w:t>
      </w:r>
      <w:r>
        <w:rPr>
          <w:rFonts w:ascii="宋体" w:hAnsi="宋体" w:eastAsia="宋体" w:cs="宋体"/>
          <w:spacing w:val="6"/>
          <w:sz w:val="20"/>
          <w:szCs w:val="20"/>
        </w:rPr>
        <w:t>无效投标处理。</w:t>
      </w:r>
    </w:p>
    <w:p w14:paraId="72DC92B6">
      <w:pPr>
        <w:spacing w:before="1" w:line="226" w:lineRule="auto"/>
        <w:ind w:right="15"/>
        <w:jc w:val="right"/>
        <w:rPr>
          <w:rFonts w:ascii="宋体" w:hAnsi="宋体" w:eastAsia="宋体" w:cs="宋体"/>
          <w:sz w:val="20"/>
          <w:szCs w:val="20"/>
        </w:rPr>
      </w:pPr>
      <w:r>
        <w:rPr>
          <w:rFonts w:ascii="宋体" w:hAnsi="宋体" w:eastAsia="宋体" w:cs="宋体"/>
          <w:spacing w:val="9"/>
          <w:sz w:val="20"/>
          <w:szCs w:val="20"/>
        </w:rPr>
        <w:t>2、供应商的法定代表人或者授权代表的签字或盖章应真实、有效，如由授权代表签字或盖章的，</w:t>
      </w:r>
    </w:p>
    <w:p w14:paraId="75CDED63">
      <w:pPr>
        <w:spacing w:before="83" w:line="227" w:lineRule="auto"/>
        <w:outlineLvl w:val="1"/>
        <w:rPr>
          <w:rFonts w:ascii="宋体" w:hAnsi="宋体" w:eastAsia="宋体" w:cs="宋体"/>
          <w:sz w:val="20"/>
          <w:szCs w:val="20"/>
        </w:rPr>
      </w:pPr>
      <w:r>
        <w:rPr>
          <w:rFonts w:ascii="宋体" w:hAnsi="宋体" w:eastAsia="宋体" w:cs="宋体"/>
          <w:spacing w:val="8"/>
          <w:sz w:val="20"/>
          <w:szCs w:val="20"/>
        </w:rPr>
        <w:t>应提供“法定代表人授权书</w:t>
      </w:r>
      <w:r>
        <w:rPr>
          <w:rFonts w:ascii="宋体" w:hAnsi="宋体" w:eastAsia="宋体" w:cs="宋体"/>
          <w:spacing w:val="-64"/>
          <w:sz w:val="20"/>
          <w:szCs w:val="20"/>
        </w:rPr>
        <w:t xml:space="preserve"> </w:t>
      </w:r>
      <w:r>
        <w:rPr>
          <w:rFonts w:ascii="宋体" w:hAnsi="宋体" w:eastAsia="宋体" w:cs="宋体"/>
          <w:spacing w:val="8"/>
          <w:sz w:val="20"/>
          <w:szCs w:val="20"/>
        </w:rPr>
        <w:t>”。</w:t>
      </w:r>
    </w:p>
    <w:p w14:paraId="36DC7493">
      <w:pPr>
        <w:rPr>
          <w:rFonts w:ascii="宋体" w:hAnsi="宋体" w:cs="宋体"/>
          <w:b/>
          <w:bCs/>
          <w:iCs/>
          <w:caps/>
          <w:kern w:val="0"/>
          <w:sz w:val="24"/>
          <w:szCs w:val="24"/>
        </w:rPr>
      </w:pPr>
      <w:r>
        <w:rPr>
          <w:rFonts w:hint="eastAsia" w:ascii="宋体" w:hAnsi="宋体" w:cs="宋体"/>
          <w:b/>
          <w:bCs/>
          <w:iCs/>
          <w:caps/>
          <w:kern w:val="0"/>
          <w:sz w:val="24"/>
          <w:szCs w:val="24"/>
        </w:rPr>
        <w:br w:type="page"/>
      </w:r>
    </w:p>
    <w:p w14:paraId="0D653966">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反商业贿赂承诺书</w:t>
      </w:r>
    </w:p>
    <w:p w14:paraId="4AA97AEE">
      <w:pPr>
        <w:pStyle w:val="7"/>
        <w:spacing w:before="7"/>
        <w:rPr>
          <w:rFonts w:ascii="宋体" w:hAnsi="宋体" w:cs="宋体"/>
          <w:b/>
          <w:sz w:val="22"/>
          <w:szCs w:val="22"/>
        </w:rPr>
      </w:pPr>
    </w:p>
    <w:p w14:paraId="07AF391D">
      <w:pPr>
        <w:rPr>
          <w:rFonts w:hint="eastAsia"/>
          <w:sz w:val="24"/>
          <w:szCs w:val="24"/>
        </w:rPr>
      </w:pPr>
    </w:p>
    <w:p w14:paraId="117C7C61">
      <w:pPr>
        <w:spacing w:line="360" w:lineRule="auto"/>
        <w:rPr>
          <w:rFonts w:hint="eastAsia"/>
          <w:sz w:val="24"/>
          <w:szCs w:val="24"/>
        </w:rPr>
      </w:pPr>
      <w:r>
        <w:rPr>
          <w:rFonts w:hint="eastAsia"/>
          <w:sz w:val="24"/>
          <w:szCs w:val="24"/>
        </w:rPr>
        <w:t>我公司承诺：</w:t>
      </w:r>
    </w:p>
    <w:p w14:paraId="13826290">
      <w:pPr>
        <w:spacing w:line="360" w:lineRule="auto"/>
        <w:rPr>
          <w:rFonts w:hint="eastAsia" w:hAnsi="宋体"/>
          <w:sz w:val="24"/>
          <w:szCs w:val="24"/>
        </w:rPr>
      </w:pPr>
      <w:r>
        <w:rPr>
          <w:rFonts w:hint="eastAsia" w:hAnsi="宋体"/>
          <w:sz w:val="24"/>
          <w:szCs w:val="24"/>
        </w:rPr>
        <w:t xml:space="preserve">    在</w:t>
      </w:r>
      <w:r>
        <w:rPr>
          <w:rFonts w:hint="eastAsia" w:hAnsi="宋体"/>
          <w:sz w:val="24"/>
          <w:szCs w:val="24"/>
          <w:u w:val="single"/>
        </w:rPr>
        <w:t xml:space="preserve">             项目名称</w:t>
      </w:r>
      <w:r>
        <w:rPr>
          <w:rFonts w:hint="eastAsia" w:hAnsi="宋体"/>
          <w:sz w:val="24"/>
          <w:szCs w:val="24"/>
        </w:rPr>
        <w:t>（</w:t>
      </w:r>
      <w:r>
        <w:rPr>
          <w:rFonts w:hint="eastAsia" w:hAnsi="宋体"/>
          <w:sz w:val="24"/>
          <w:szCs w:val="24"/>
          <w:lang w:val="en-US" w:eastAsia="zh-CN"/>
        </w:rPr>
        <w:t>采购</w:t>
      </w:r>
      <w:r>
        <w:rPr>
          <w:rFonts w:hint="eastAsia" w:hAnsi="宋体"/>
          <w:sz w:val="24"/>
          <w:szCs w:val="24"/>
        </w:rPr>
        <w:t xml:space="preserve">编号为： </w:t>
      </w:r>
      <w:r>
        <w:rPr>
          <w:rFonts w:hint="eastAsia" w:hAnsi="宋体"/>
          <w:sz w:val="24"/>
          <w:szCs w:val="24"/>
          <w:u w:val="single"/>
        </w:rPr>
        <w:t xml:space="preserve">            </w:t>
      </w:r>
      <w:r>
        <w:rPr>
          <w:rFonts w:hint="eastAsia" w:hAnsi="宋体" w:eastAsia="宋体"/>
          <w:sz w:val="24"/>
          <w:szCs w:val="24"/>
          <w:u w:val="none"/>
          <w:lang w:val="en-US" w:eastAsia="zh-CN"/>
        </w:rPr>
        <w:t>）</w:t>
      </w:r>
      <w:r>
        <w:rPr>
          <w:rFonts w:hint="eastAsia" w:hAnsi="宋体"/>
          <w:sz w:val="24"/>
          <w:szCs w:val="24"/>
        </w:rPr>
        <w:t>采购活动中，我方保证做到：</w:t>
      </w:r>
    </w:p>
    <w:p w14:paraId="5989CC60">
      <w:pPr>
        <w:spacing w:line="360" w:lineRule="auto"/>
        <w:ind w:firstLine="480" w:firstLineChars="200"/>
        <w:rPr>
          <w:rFonts w:hint="eastAsia"/>
          <w:sz w:val="24"/>
          <w:szCs w:val="24"/>
        </w:rPr>
      </w:pPr>
      <w:r>
        <w:rPr>
          <w:rFonts w:hint="eastAsia"/>
          <w:sz w:val="24"/>
          <w:szCs w:val="24"/>
        </w:rPr>
        <w:t>一、公平竞争参加本次采购活动。</w:t>
      </w:r>
    </w:p>
    <w:p w14:paraId="1768BA05">
      <w:pPr>
        <w:spacing w:line="360" w:lineRule="auto"/>
        <w:ind w:firstLine="480" w:firstLineChars="200"/>
        <w:rPr>
          <w:rFonts w:hint="eastAsia"/>
          <w:sz w:val="24"/>
          <w:szCs w:val="24"/>
        </w:rPr>
      </w:pPr>
      <w:r>
        <w:rPr>
          <w:rFonts w:hint="eastAsia"/>
          <w:sz w:val="24"/>
          <w:szCs w:val="24"/>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14:paraId="3B62F5FA">
      <w:pPr>
        <w:spacing w:line="360" w:lineRule="auto"/>
        <w:ind w:firstLine="480" w:firstLineChars="200"/>
        <w:rPr>
          <w:rFonts w:hint="eastAsia"/>
          <w:sz w:val="24"/>
          <w:szCs w:val="24"/>
        </w:rPr>
      </w:pPr>
      <w:r>
        <w:rPr>
          <w:rFonts w:hint="eastAsia"/>
          <w:sz w:val="24"/>
          <w:szCs w:val="24"/>
        </w:rPr>
        <w:t>三、若出现上述行为，我方及参与招标投标活动的工作人员愿意接受按照国家法律法规等有关规定给予的处罚。</w:t>
      </w:r>
    </w:p>
    <w:p w14:paraId="750CDB7C">
      <w:pPr>
        <w:rPr>
          <w:rFonts w:hint="eastAsia"/>
          <w:sz w:val="24"/>
          <w:szCs w:val="24"/>
        </w:rPr>
      </w:pPr>
    </w:p>
    <w:p w14:paraId="22AE70A4">
      <w:pPr>
        <w:spacing w:line="360" w:lineRule="auto"/>
        <w:jc w:val="center"/>
        <w:rPr>
          <w:rFonts w:hint="eastAsia"/>
          <w:sz w:val="24"/>
          <w:szCs w:val="24"/>
        </w:rPr>
      </w:pPr>
      <w:r>
        <w:rPr>
          <w:rFonts w:hint="eastAsia"/>
          <w:sz w:val="24"/>
          <w:szCs w:val="24"/>
        </w:rPr>
        <w:t xml:space="preserve">      供应商（盖单位公章） ：</w:t>
      </w:r>
    </w:p>
    <w:p w14:paraId="057EAA3B">
      <w:pPr>
        <w:spacing w:line="360" w:lineRule="auto"/>
        <w:jc w:val="center"/>
        <w:rPr>
          <w:rFonts w:hint="eastAsia"/>
          <w:sz w:val="24"/>
          <w:szCs w:val="24"/>
        </w:rPr>
      </w:pPr>
      <w:r>
        <w:rPr>
          <w:rFonts w:hint="eastAsia" w:ascii="宋体" w:hAnsi="宋体"/>
          <w:sz w:val="24"/>
          <w:szCs w:val="24"/>
        </w:rPr>
        <w:t xml:space="preserve">                    法定代表人</w:t>
      </w:r>
      <w:r>
        <w:rPr>
          <w:rFonts w:hint="eastAsia" w:ascii="宋体" w:hAnsi="宋体"/>
          <w:sz w:val="24"/>
          <w:szCs w:val="24"/>
          <w:lang w:eastAsia="zh-CN"/>
        </w:rPr>
        <w:t>（</w:t>
      </w:r>
      <w:r>
        <w:rPr>
          <w:rFonts w:hint="eastAsia" w:ascii="宋体" w:hAnsi="宋体"/>
          <w:sz w:val="24"/>
          <w:szCs w:val="24"/>
          <w:lang w:val="en-US" w:eastAsia="zh-CN"/>
        </w:rPr>
        <w:t>负责人）</w:t>
      </w:r>
      <w:r>
        <w:rPr>
          <w:rFonts w:hint="eastAsia" w:ascii="宋体" w:hAnsi="宋体"/>
          <w:sz w:val="24"/>
          <w:szCs w:val="24"/>
        </w:rPr>
        <w:t>或其委托代理人（签字或盖章）</w:t>
      </w:r>
      <w:r>
        <w:rPr>
          <w:rFonts w:hint="eastAsia" w:hAnsi="宋体"/>
          <w:sz w:val="24"/>
          <w:szCs w:val="24"/>
        </w:rPr>
        <w:t>：</w:t>
      </w:r>
    </w:p>
    <w:p w14:paraId="5A9A665A">
      <w:pPr>
        <w:spacing w:line="360" w:lineRule="auto"/>
        <w:jc w:val="center"/>
        <w:rPr>
          <w:rFonts w:hint="eastAsia" w:hAnsi="宋体"/>
          <w:spacing w:val="20"/>
          <w:sz w:val="24"/>
          <w:szCs w:val="24"/>
        </w:rPr>
      </w:pPr>
      <w:r>
        <w:rPr>
          <w:rFonts w:hint="eastAsia" w:hAnsi="宋体"/>
          <w:sz w:val="24"/>
          <w:szCs w:val="24"/>
        </w:rPr>
        <w:t xml:space="preserve">                   日期：</w:t>
      </w:r>
      <w:r>
        <w:rPr>
          <w:rFonts w:hint="eastAsia" w:hAnsi="宋体"/>
          <w:spacing w:val="20"/>
          <w:sz w:val="24"/>
          <w:szCs w:val="24"/>
          <w:u w:val="single"/>
        </w:rPr>
        <w:t xml:space="preserve">      </w:t>
      </w:r>
      <w:r>
        <w:rPr>
          <w:rFonts w:hint="eastAsia" w:hAnsi="宋体"/>
          <w:spacing w:val="20"/>
          <w:sz w:val="24"/>
          <w:szCs w:val="24"/>
        </w:rPr>
        <w:t>年</w:t>
      </w:r>
      <w:r>
        <w:rPr>
          <w:rFonts w:hint="eastAsia" w:hAnsi="宋体"/>
          <w:spacing w:val="20"/>
          <w:sz w:val="24"/>
          <w:szCs w:val="24"/>
          <w:u w:val="single"/>
        </w:rPr>
        <w:t xml:space="preserve">    </w:t>
      </w:r>
      <w:r>
        <w:rPr>
          <w:rFonts w:hint="eastAsia" w:hAnsi="宋体"/>
          <w:spacing w:val="20"/>
          <w:sz w:val="24"/>
          <w:szCs w:val="24"/>
        </w:rPr>
        <w:t>月</w:t>
      </w:r>
      <w:r>
        <w:rPr>
          <w:rFonts w:hint="eastAsia" w:hAnsi="宋体"/>
          <w:spacing w:val="20"/>
          <w:sz w:val="24"/>
          <w:szCs w:val="24"/>
          <w:u w:val="single"/>
        </w:rPr>
        <w:t xml:space="preserve">    </w:t>
      </w:r>
      <w:r>
        <w:rPr>
          <w:rFonts w:hint="eastAsia" w:hAnsi="宋体"/>
          <w:spacing w:val="20"/>
          <w:sz w:val="24"/>
          <w:szCs w:val="24"/>
        </w:rPr>
        <w:t>日</w:t>
      </w:r>
    </w:p>
    <w:p w14:paraId="6FB8058F">
      <w:pPr>
        <w:spacing w:line="420" w:lineRule="exact"/>
        <w:ind w:firstLine="470" w:firstLineChars="196"/>
        <w:rPr>
          <w:rFonts w:hint="eastAsia" w:hAnsi="宋体"/>
          <w:sz w:val="24"/>
          <w:szCs w:val="24"/>
        </w:rPr>
      </w:pPr>
      <w:r>
        <w:rPr>
          <w:rFonts w:hint="eastAsia" w:hAnsi="宋体"/>
          <w:sz w:val="24"/>
          <w:szCs w:val="24"/>
        </w:rPr>
        <w:t>注：本承诺书应由法定代表人</w:t>
      </w:r>
      <w:r>
        <w:rPr>
          <w:rFonts w:hint="eastAsia" w:hAnsi="宋体"/>
          <w:sz w:val="24"/>
          <w:szCs w:val="24"/>
          <w:lang w:eastAsia="zh-CN"/>
        </w:rPr>
        <w:t>（</w:t>
      </w:r>
      <w:r>
        <w:rPr>
          <w:rFonts w:hint="eastAsia" w:hAnsi="宋体"/>
          <w:sz w:val="24"/>
          <w:szCs w:val="24"/>
          <w:lang w:val="en-US" w:eastAsia="zh-CN"/>
        </w:rPr>
        <w:t>负责人）</w:t>
      </w:r>
      <w:r>
        <w:rPr>
          <w:rFonts w:hint="eastAsia" w:hAnsi="宋体"/>
          <w:sz w:val="24"/>
          <w:szCs w:val="24"/>
        </w:rPr>
        <w:t>或授权代理人签字并加盖公章，</w:t>
      </w:r>
      <w:r>
        <w:rPr>
          <w:rFonts w:hint="eastAsia" w:hAnsi="宋体"/>
          <w:bCs/>
          <w:sz w:val="24"/>
          <w:szCs w:val="24"/>
        </w:rPr>
        <w:t>否则视为无效文件</w:t>
      </w:r>
      <w:r>
        <w:rPr>
          <w:rFonts w:hint="eastAsia" w:hAnsi="宋体"/>
          <w:sz w:val="24"/>
          <w:szCs w:val="24"/>
        </w:rPr>
        <w:t>。</w:t>
      </w:r>
    </w:p>
    <w:p w14:paraId="11D55C0E">
      <w:pPr>
        <w:spacing w:line="400" w:lineRule="exact"/>
        <w:jc w:val="center"/>
        <w:rPr>
          <w:rFonts w:hint="eastAsia" w:hAnsi="宋体"/>
          <w:b/>
          <w:sz w:val="24"/>
          <w:szCs w:val="24"/>
        </w:rPr>
      </w:pPr>
    </w:p>
    <w:p w14:paraId="52D49606">
      <w:pPr>
        <w:spacing w:line="400" w:lineRule="exact"/>
        <w:rPr>
          <w:rFonts w:hint="eastAsia" w:hAnsi="宋体"/>
          <w:b/>
          <w:sz w:val="21"/>
          <w:szCs w:val="21"/>
        </w:rPr>
      </w:pPr>
      <w:r>
        <w:rPr>
          <w:rFonts w:hint="eastAsia" w:hAnsi="宋体"/>
          <w:b/>
          <w:sz w:val="21"/>
          <w:szCs w:val="21"/>
        </w:rPr>
        <w:br w:type="page"/>
      </w:r>
    </w:p>
    <w:p w14:paraId="506F0D5B">
      <w:pPr>
        <w:wordWrap w:val="0"/>
        <w:rPr>
          <w:rFonts w:ascii="宋体" w:hAnsi="宋体" w:cs="宋体"/>
        </w:rPr>
      </w:pPr>
    </w:p>
    <w:p w14:paraId="2703F5E7">
      <w:pPr>
        <w:wordWrap w:val="0"/>
        <w:spacing w:line="420" w:lineRule="exact"/>
        <w:jc w:val="center"/>
        <w:outlineLvl w:val="1"/>
        <w:rPr>
          <w:rFonts w:hint="default" w:ascii="宋体" w:hAnsi="宋体" w:eastAsia="宋体" w:cs="宋体"/>
          <w:b/>
          <w:sz w:val="32"/>
          <w:szCs w:val="32"/>
          <w:lang w:val="en-US" w:eastAsia="zh-CN"/>
        </w:rPr>
      </w:pPr>
      <w:r>
        <w:rPr>
          <w:rFonts w:hint="eastAsia" w:ascii="宋体" w:hAnsi="宋体" w:cs="宋体"/>
          <w:b/>
          <w:sz w:val="32"/>
          <w:szCs w:val="32"/>
          <w:lang w:val="en-US" w:eastAsia="zh-CN"/>
        </w:rPr>
        <w:t>3</w:t>
      </w:r>
      <w:r>
        <w:rPr>
          <w:rFonts w:hint="eastAsia" w:ascii="宋体" w:hAnsi="宋体" w:eastAsia="宋体" w:cs="宋体"/>
          <w:b/>
          <w:sz w:val="32"/>
          <w:szCs w:val="32"/>
          <w:lang w:val="en-US" w:eastAsia="zh-CN"/>
        </w:rPr>
        <w:t>、供应商认为应该提交的其他材料</w:t>
      </w:r>
    </w:p>
    <w:p w14:paraId="1FDF0C2C">
      <w:pPr>
        <w:wordWrap w:val="0"/>
        <w:spacing w:line="420" w:lineRule="exact"/>
        <w:rPr>
          <w:rFonts w:ascii="宋体" w:hAnsi="宋体" w:cs="宋体"/>
          <w:b/>
          <w:bCs/>
          <w:szCs w:val="21"/>
        </w:rPr>
      </w:pPr>
    </w:p>
    <w:p w14:paraId="3B2FF74A">
      <w:pPr>
        <w:spacing w:line="420" w:lineRule="exact"/>
        <w:ind w:firstLine="549" w:firstLineChars="196"/>
        <w:rPr>
          <w:rFonts w:hint="eastAsia"/>
          <w:sz w:val="24"/>
          <w:szCs w:val="24"/>
        </w:rPr>
      </w:pPr>
      <w:bookmarkStart w:id="821" w:name="_Toc19083"/>
      <w:bookmarkStart w:id="822" w:name="_Toc19333"/>
      <w:r>
        <w:rPr>
          <w:rFonts w:hint="eastAsia" w:ascii="宋体" w:hAnsi="宋体" w:cs="宋体"/>
          <w:b/>
          <w:bCs/>
          <w:sz w:val="28"/>
          <w:szCs w:val="28"/>
        </w:rPr>
        <w:br w:type="page"/>
      </w:r>
      <w:bookmarkEnd w:id="821"/>
      <w:bookmarkEnd w:id="822"/>
    </w:p>
    <w:p w14:paraId="45F7E7D6">
      <w:pPr>
        <w:wordWrap w:val="0"/>
        <w:spacing w:line="420" w:lineRule="exact"/>
        <w:jc w:val="center"/>
        <w:outlineLvl w:val="1"/>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八、关于政府采购政策（有则附，没有不附）</w:t>
      </w:r>
    </w:p>
    <w:p w14:paraId="42A5F204">
      <w:pPr>
        <w:autoSpaceDE w:val="0"/>
        <w:autoSpaceDN w:val="0"/>
        <w:adjustRightInd w:val="0"/>
        <w:spacing w:line="595" w:lineRule="exact"/>
        <w:ind w:right="-20"/>
        <w:jc w:val="center"/>
        <w:rPr>
          <w:rFonts w:hint="eastAsia" w:asciiTheme="minorEastAsia" w:hAnsiTheme="minorEastAsia" w:eastAsiaTheme="minorEastAsia" w:cstheme="minorEastAsia"/>
          <w:spacing w:val="2"/>
          <w:kern w:val="0"/>
          <w:sz w:val="24"/>
          <w:szCs w:val="24"/>
        </w:rPr>
      </w:pPr>
      <w:r>
        <w:rPr>
          <w:rFonts w:hint="eastAsia" w:asciiTheme="minorEastAsia" w:hAnsiTheme="minorEastAsia" w:eastAsiaTheme="minorEastAsia" w:cstheme="minorEastAsia"/>
          <w:spacing w:val="2"/>
          <w:kern w:val="0"/>
          <w:sz w:val="24"/>
          <w:szCs w:val="24"/>
        </w:rPr>
        <w:t>政府采购政策、采购标的需满足的要求，以及投标人须提供的证明材料</w:t>
      </w:r>
    </w:p>
    <w:p w14:paraId="395E4CB5">
      <w:pPr>
        <w:pStyle w:val="17"/>
        <w:ind w:firstLine="240"/>
        <w:rPr>
          <w:rFonts w:hint="eastAsia" w:asciiTheme="minorEastAsia" w:hAnsiTheme="minorEastAsia" w:eastAsiaTheme="minorEastAsia" w:cstheme="minorEastAsia"/>
          <w:sz w:val="24"/>
          <w:szCs w:val="24"/>
        </w:rPr>
      </w:pPr>
    </w:p>
    <w:p w14:paraId="2824AB80">
      <w:pPr>
        <w:wordWrap w:val="0"/>
        <w:jc w:val="center"/>
        <w:outlineLvl w:val="1"/>
        <w:rPr>
          <w:rFonts w:hint="eastAsia" w:asciiTheme="minorEastAsia" w:hAnsiTheme="minorEastAsia" w:eastAsiaTheme="minorEastAsia" w:cstheme="minorEastAsia"/>
          <w:b/>
          <w:bCs/>
          <w:sz w:val="24"/>
          <w:szCs w:val="24"/>
          <w:lang w:val="en-US" w:eastAsia="zh-CN"/>
        </w:rPr>
      </w:pPr>
      <w:bookmarkStart w:id="823" w:name="_Toc16158"/>
      <w:bookmarkStart w:id="824" w:name="_Toc30711"/>
      <w:bookmarkStart w:id="825" w:name="_Toc746"/>
      <w:bookmarkStart w:id="826" w:name="_Toc23143"/>
      <w:bookmarkStart w:id="827" w:name="_Toc32628"/>
      <w:bookmarkStart w:id="828" w:name="_Toc9246"/>
      <w:bookmarkStart w:id="829" w:name="_Toc3557455"/>
      <w:bookmarkStart w:id="830" w:name="_Toc22789"/>
      <w:bookmarkStart w:id="831" w:name="_Toc5320"/>
      <w:r>
        <w:rPr>
          <w:rFonts w:hint="eastAsia" w:asciiTheme="minorEastAsia" w:hAnsiTheme="minorEastAsia" w:eastAsiaTheme="minorEastAsia" w:cstheme="minorEastAsia"/>
          <w:b/>
          <w:bCs/>
          <w:sz w:val="24"/>
          <w:szCs w:val="24"/>
          <w:lang w:val="en-US" w:eastAsia="zh-CN"/>
        </w:rPr>
        <w:t>（一）关于中小企业及产品</w:t>
      </w:r>
      <w:bookmarkEnd w:id="823"/>
      <w:bookmarkEnd w:id="824"/>
      <w:bookmarkEnd w:id="825"/>
      <w:bookmarkEnd w:id="826"/>
      <w:bookmarkEnd w:id="827"/>
      <w:bookmarkEnd w:id="828"/>
      <w:bookmarkEnd w:id="829"/>
      <w:bookmarkEnd w:id="830"/>
      <w:bookmarkEnd w:id="831"/>
    </w:p>
    <w:p w14:paraId="058CE981">
      <w:pPr>
        <w:pStyle w:val="17"/>
        <w:ind w:firstLine="240"/>
        <w:rPr>
          <w:rFonts w:hint="eastAsia" w:asciiTheme="minorEastAsia" w:hAnsiTheme="minorEastAsia" w:eastAsiaTheme="minorEastAsia" w:cstheme="minorEastAsia"/>
          <w:sz w:val="24"/>
          <w:szCs w:val="24"/>
        </w:rPr>
      </w:pPr>
    </w:p>
    <w:p w14:paraId="4F8CA6C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（属于中小企业的填写，不属于的无需填写此项内容，也无需放入投标文件格式中）</w:t>
      </w:r>
    </w:p>
    <w:p w14:paraId="26038E50">
      <w:pPr>
        <w:rPr>
          <w:rFonts w:hint="eastAsia" w:asciiTheme="minorEastAsia" w:hAnsiTheme="minorEastAsia" w:eastAsiaTheme="minorEastAsia" w:cstheme="minorEastAsia"/>
          <w:sz w:val="24"/>
          <w:szCs w:val="24"/>
        </w:rPr>
      </w:pPr>
    </w:p>
    <w:p w14:paraId="0BA921D6">
      <w:pPr>
        <w:jc w:val="center"/>
        <w:rPr>
          <w:rFonts w:hint="eastAsia" w:ascii="宋体" w:hAnsi="宋体" w:cs="宋体"/>
          <w:sz w:val="24"/>
          <w:szCs w:val="24"/>
        </w:rPr>
      </w:pPr>
      <w:r>
        <w:rPr>
          <w:rFonts w:hint="eastAsia" w:ascii="宋体" w:hAnsi="宋体" w:cs="宋体"/>
          <w:sz w:val="24"/>
          <w:szCs w:val="24"/>
        </w:rPr>
        <w:t>中小企业声明函（工程、服务）</w:t>
      </w:r>
    </w:p>
    <w:p w14:paraId="4F323604">
      <w:pPr>
        <w:rPr>
          <w:rFonts w:hint="eastAsia" w:ascii="宋体" w:hAnsi="宋体" w:cs="宋体"/>
          <w:sz w:val="24"/>
          <w:szCs w:val="24"/>
        </w:rPr>
      </w:pPr>
    </w:p>
    <w:p w14:paraId="4F137516">
      <w:pPr>
        <w:spacing w:line="360" w:lineRule="auto"/>
        <w:ind w:firstLine="480" w:firstLineChars="200"/>
        <w:rPr>
          <w:rFonts w:hint="eastAsia"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w:t>
      </w:r>
      <w:r>
        <w:rPr>
          <w:rFonts w:hint="eastAsia" w:ascii="宋体" w:hAnsi="宋体" w:cs="宋体"/>
          <w:sz w:val="24"/>
          <w:szCs w:val="24"/>
          <w:u w:val="single"/>
          <w:lang w:val="en-US" w:eastAsia="zh-CN"/>
        </w:rPr>
        <w:t xml:space="preserve"> </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u w:val="single"/>
          <w:lang w:val="en-US" w:eastAsia="zh-CN"/>
        </w:rPr>
        <w:t xml:space="preserve"> </w:t>
      </w:r>
      <w:r>
        <w:rPr>
          <w:rFonts w:hint="eastAsia" w:ascii="宋体" w:hAnsi="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C198E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kern w:val="2"/>
          <w:sz w:val="24"/>
          <w:szCs w:val="24"/>
          <w:lang w:val="en-US" w:eastAsia="zh-CN" w:bidi="ar-SA"/>
        </w:rPr>
        <w:t>1.</w:t>
      </w:r>
      <w:r>
        <w:rPr>
          <w:rFonts w:hint="eastAsia" w:ascii="宋体" w:hAnsi="宋体" w:cs="宋体"/>
          <w:sz w:val="24"/>
          <w:szCs w:val="24"/>
          <w:u w:val="single"/>
        </w:rPr>
        <w:t>（标的名称）</w:t>
      </w:r>
      <w:r>
        <w:rPr>
          <w:rFonts w:hint="eastAsia" w:ascii="宋体" w:hAnsi="宋体" w:cs="宋体"/>
          <w:sz w:val="24"/>
          <w:szCs w:val="24"/>
          <w:u w:val="single"/>
          <w:lang w:val="en-US" w:eastAsia="zh-CN"/>
        </w:rPr>
        <w:t xml:space="preserve"> </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u w:val="single"/>
          <w:lang w:val="en-US" w:eastAsia="zh-CN"/>
        </w:rPr>
        <w:t xml:space="preserve"> </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u w:val="single"/>
          <w:lang w:val="en-US" w:eastAsia="zh-CN"/>
        </w:rPr>
        <w:t xml:space="preserve"> </w:t>
      </w:r>
      <w:r>
        <w:rPr>
          <w:rFonts w:hint="eastAsia" w:ascii="宋体" w:hAnsi="宋体" w:cs="宋体"/>
          <w:sz w:val="24"/>
          <w:szCs w:val="24"/>
        </w:rPr>
        <w:t>，从业人员</w:t>
      </w:r>
      <w:r>
        <w:rPr>
          <w:rFonts w:hint="eastAsia" w:ascii="宋体" w:hAnsi="宋体" w:cs="宋体"/>
          <w:sz w:val="24"/>
          <w:szCs w:val="24"/>
          <w:u w:val="single"/>
        </w:rPr>
        <w:tab/>
      </w:r>
      <w:r>
        <w:rPr>
          <w:rFonts w:hint="eastAsia" w:ascii="宋体" w:hAnsi="宋体" w:cs="宋体"/>
          <w:sz w:val="24"/>
          <w:szCs w:val="24"/>
        </w:rPr>
        <w:t>人，营业收入为</w:t>
      </w:r>
      <w:r>
        <w:rPr>
          <w:rFonts w:hint="eastAsia" w:ascii="宋体" w:hAnsi="宋体" w:cs="宋体"/>
          <w:sz w:val="24"/>
          <w:szCs w:val="24"/>
          <w:u w:val="single"/>
        </w:rPr>
        <w:tab/>
      </w:r>
      <w:r>
        <w:rPr>
          <w:rFonts w:hint="eastAsia" w:ascii="宋体" w:hAnsi="宋体" w:cs="宋体"/>
          <w:sz w:val="24"/>
          <w:szCs w:val="24"/>
        </w:rPr>
        <w:t>万元，资产总额为</w:t>
      </w:r>
      <w:r>
        <w:rPr>
          <w:rFonts w:hint="eastAsia" w:ascii="宋体" w:hAnsi="宋体" w:cs="宋体"/>
          <w:sz w:val="24"/>
          <w:szCs w:val="24"/>
          <w:u w:val="single"/>
        </w:rPr>
        <w:tab/>
      </w:r>
      <w:r>
        <w:rPr>
          <w:rFonts w:hint="eastAsia" w:ascii="宋体" w:hAnsi="宋体" w:cs="宋体"/>
          <w:sz w:val="24"/>
          <w:szCs w:val="24"/>
        </w:rPr>
        <w:t>万元</w:t>
      </w:r>
      <w:r>
        <w:rPr>
          <w:rFonts w:hint="eastAsia" w:ascii="宋体" w:hAnsi="宋体" w:cs="宋体"/>
          <w:sz w:val="24"/>
          <w:szCs w:val="24"/>
          <w:vertAlign w:val="superscript"/>
        </w:rPr>
        <w:t>1</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38AC71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kern w:val="2"/>
          <w:sz w:val="24"/>
          <w:szCs w:val="24"/>
          <w:lang w:val="en-US" w:eastAsia="zh-CN" w:bidi="ar-SA"/>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ab/>
      </w:r>
      <w:r>
        <w:rPr>
          <w:rFonts w:hint="eastAsia" w:ascii="宋体" w:hAnsi="宋体" w:cs="宋体"/>
          <w:sz w:val="24"/>
          <w:szCs w:val="24"/>
        </w:rPr>
        <w:t>人，营业收入为</w:t>
      </w:r>
      <w:r>
        <w:rPr>
          <w:rFonts w:hint="eastAsia" w:ascii="宋体" w:hAnsi="宋体" w:cs="宋体"/>
          <w:sz w:val="24"/>
          <w:szCs w:val="24"/>
          <w:u w:val="single"/>
        </w:rPr>
        <w:tab/>
      </w:r>
      <w:r>
        <w:rPr>
          <w:rFonts w:hint="eastAsia" w:ascii="宋体" w:hAnsi="宋体" w:cs="宋体"/>
          <w:sz w:val="24"/>
          <w:szCs w:val="24"/>
        </w:rPr>
        <w:t>万元，资产总额为</w:t>
      </w:r>
      <w:r>
        <w:rPr>
          <w:rFonts w:hint="eastAsia" w:ascii="宋体" w:hAnsi="宋体" w:cs="宋体"/>
          <w:sz w:val="24"/>
          <w:szCs w:val="24"/>
          <w:u w:val="single"/>
        </w:rPr>
        <w:tab/>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5F3ACF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w:t>
      </w:r>
    </w:p>
    <w:p w14:paraId="6D0FE940">
      <w:pPr>
        <w:spacing w:line="360" w:lineRule="auto"/>
        <w:ind w:firstLine="480" w:firstLineChars="200"/>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68329FB3">
      <w:pPr>
        <w:spacing w:line="360" w:lineRule="auto"/>
        <w:ind w:firstLine="480" w:firstLineChars="200"/>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14:paraId="015E01CB">
      <w:pPr>
        <w:spacing w:line="360" w:lineRule="auto"/>
        <w:ind w:firstLine="4560" w:firstLineChars="1900"/>
        <w:rPr>
          <w:rFonts w:hint="eastAsia" w:ascii="宋体" w:hAnsi="宋体" w:cs="宋体"/>
          <w:sz w:val="24"/>
          <w:szCs w:val="24"/>
        </w:rPr>
      </w:pPr>
      <w:r>
        <w:rPr>
          <w:rFonts w:hint="eastAsia" w:ascii="宋体" w:hAnsi="宋体" w:cs="宋体"/>
          <w:sz w:val="24"/>
          <w:szCs w:val="24"/>
        </w:rPr>
        <w:t>企业名称（盖章）：</w:t>
      </w:r>
    </w:p>
    <w:p w14:paraId="56C3AE4D">
      <w:pPr>
        <w:spacing w:line="360" w:lineRule="auto"/>
        <w:ind w:firstLine="4560" w:firstLineChars="1900"/>
        <w:rPr>
          <w:rFonts w:hint="eastAsia" w:ascii="宋体" w:hAnsi="宋体" w:cs="宋体"/>
          <w:sz w:val="24"/>
          <w:szCs w:val="24"/>
        </w:rPr>
      </w:pPr>
      <w:r>
        <w:rPr>
          <w:rFonts w:hint="eastAsia" w:ascii="宋体" w:hAnsi="宋体" w:cs="宋体"/>
          <w:sz w:val="24"/>
          <w:szCs w:val="24"/>
        </w:rPr>
        <w:t>日期：</w:t>
      </w:r>
    </w:p>
    <w:p w14:paraId="31C93A6E">
      <w:pPr>
        <w:spacing w:line="360" w:lineRule="auto"/>
        <w:rPr>
          <w:rFonts w:hint="eastAsia" w:ascii="宋体" w:hAnsi="宋体" w:cs="宋体"/>
          <w:sz w:val="24"/>
          <w:szCs w:val="24"/>
          <w:vertAlign w:val="superscript"/>
        </w:rPr>
      </w:pPr>
    </w:p>
    <w:p w14:paraId="1E8D93F6">
      <w:pPr>
        <w:spacing w:line="360" w:lineRule="auto"/>
        <w:rPr>
          <w:rFonts w:hint="eastAsia" w:ascii="宋体" w:hAnsi="宋体" w:cs="宋体"/>
          <w:sz w:val="24"/>
          <w:szCs w:val="24"/>
        </w:rPr>
      </w:pPr>
      <w:r>
        <w:rPr>
          <w:rFonts w:hint="eastAsia" w:ascii="宋体" w:hAnsi="宋体" w:cs="宋体"/>
          <w:sz w:val="24"/>
          <w:szCs w:val="24"/>
        </w:rPr>
        <w:t>从业人员、营业收入、资产总额填报上一年度数据，无上一年度数据的新成立企业可不填报。</w:t>
      </w:r>
    </w:p>
    <w:p w14:paraId="70F66144">
      <w:pPr>
        <w:adjustRightInd w:val="0"/>
        <w:snapToGrid w:val="0"/>
        <w:spacing w:line="360" w:lineRule="auto"/>
        <w:rPr>
          <w:rFonts w:hint="eastAsia" w:ascii="宋体" w:hAnsi="宋体" w:cs="宋体"/>
          <w:sz w:val="24"/>
          <w:szCs w:val="24"/>
        </w:rPr>
      </w:pPr>
    </w:p>
    <w:p w14:paraId="35BD04C6">
      <w:pPr>
        <w:rPr>
          <w:rFonts w:hint="eastAsia" w:ascii="宋体" w:hAnsi="宋体" w:cs="宋体"/>
          <w:sz w:val="24"/>
          <w:szCs w:val="24"/>
        </w:rPr>
      </w:pPr>
      <w:r>
        <w:rPr>
          <w:rFonts w:hint="eastAsia" w:ascii="宋体" w:hAnsi="宋体" w:cs="宋体"/>
          <w:sz w:val="24"/>
          <w:szCs w:val="24"/>
        </w:rPr>
        <w:br w:type="page"/>
      </w:r>
    </w:p>
    <w:p w14:paraId="5A1CAC4D">
      <w:pPr>
        <w:adjustRightInd w:val="0"/>
        <w:snapToGrid w:val="0"/>
        <w:spacing w:line="360" w:lineRule="auto"/>
        <w:rPr>
          <w:rFonts w:ascii="宋体" w:hAnsi="宋体" w:cs="宋体"/>
          <w:sz w:val="24"/>
          <w:szCs w:val="24"/>
        </w:rPr>
      </w:pPr>
      <w:r>
        <w:rPr>
          <w:rFonts w:hint="eastAsia" w:ascii="宋体" w:hAnsi="宋体" w:cs="宋体"/>
          <w:sz w:val="24"/>
          <w:szCs w:val="24"/>
        </w:rPr>
        <w:t>附件</w:t>
      </w:r>
    </w:p>
    <w:p w14:paraId="55104425">
      <w:pPr>
        <w:widowControl/>
        <w:spacing w:line="330" w:lineRule="atLeast"/>
        <w:jc w:val="center"/>
        <w:rPr>
          <w:rFonts w:ascii="方正小标宋_GBK" w:hAnsi="宋体" w:eastAsia="方正小标宋_GBK" w:cs="宋体"/>
          <w:color w:val="000000"/>
          <w:kern w:val="0"/>
          <w:sz w:val="22"/>
          <w:szCs w:val="22"/>
        </w:rPr>
      </w:pPr>
      <w:r>
        <w:rPr>
          <w:rFonts w:hint="eastAsia" w:ascii="宋体" w:hAnsi="宋体" w:cs="宋体"/>
          <w:color w:val="000000"/>
          <w:kern w:val="0"/>
          <w:sz w:val="22"/>
          <w:szCs w:val="22"/>
        </w:rPr>
        <w:t>国家统计局《统计上大中小微型企业划分标准》</w:t>
      </w:r>
    </w:p>
    <w:tbl>
      <w:tblPr>
        <w:tblStyle w:val="19"/>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1524"/>
        <w:gridCol w:w="709"/>
        <w:gridCol w:w="1125"/>
        <w:gridCol w:w="1862"/>
        <w:gridCol w:w="1752"/>
        <w:gridCol w:w="1008"/>
      </w:tblGrid>
      <w:tr w14:paraId="3D78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958" w:type="dxa"/>
            <w:noWrap w:val="0"/>
            <w:vAlign w:val="center"/>
          </w:tcPr>
          <w:p w14:paraId="0DC877BF">
            <w:pPr>
              <w:keepNext w:val="0"/>
              <w:keepLines w:val="0"/>
              <w:widowControl/>
              <w:suppressLineNumbers w:val="0"/>
              <w:spacing w:before="0" w:beforeAutospacing="0" w:after="0" w:afterAutospacing="0" w:line="240" w:lineRule="exact"/>
              <w:ind w:left="0" w:right="0"/>
              <w:jc w:val="center"/>
              <w:rPr>
                <w:rFonts w:hint="default" w:ascii="宋体" w:cs="宋体"/>
                <w:b/>
                <w:bCs/>
                <w:color w:val="000000"/>
                <w:kern w:val="0"/>
                <w:sz w:val="22"/>
                <w:szCs w:val="22"/>
              </w:rPr>
            </w:pPr>
            <w:r>
              <w:rPr>
                <w:rFonts w:hint="eastAsia" w:ascii="宋体" w:hAnsi="宋体" w:cs="宋体"/>
                <w:b/>
                <w:bCs/>
                <w:color w:val="000000"/>
                <w:kern w:val="0"/>
                <w:sz w:val="22"/>
                <w:szCs w:val="22"/>
              </w:rPr>
              <w:t>行业名称</w:t>
            </w:r>
          </w:p>
        </w:tc>
        <w:tc>
          <w:tcPr>
            <w:tcW w:w="1524" w:type="dxa"/>
            <w:noWrap w:val="0"/>
            <w:vAlign w:val="center"/>
          </w:tcPr>
          <w:p w14:paraId="164E1D28">
            <w:pPr>
              <w:keepNext w:val="0"/>
              <w:keepLines w:val="0"/>
              <w:widowControl/>
              <w:suppressLineNumbers w:val="0"/>
              <w:spacing w:before="0" w:beforeAutospacing="0" w:after="0" w:afterAutospacing="0"/>
              <w:ind w:left="0" w:right="0"/>
              <w:jc w:val="center"/>
              <w:rPr>
                <w:rFonts w:hint="default" w:ascii="宋体" w:cs="宋体"/>
                <w:b/>
                <w:bCs/>
                <w:color w:val="000000"/>
                <w:kern w:val="0"/>
                <w:sz w:val="22"/>
                <w:szCs w:val="22"/>
              </w:rPr>
            </w:pPr>
            <w:r>
              <w:rPr>
                <w:rFonts w:hint="eastAsia" w:ascii="宋体" w:hAnsi="宋体" w:cs="宋体"/>
                <w:b/>
                <w:bCs/>
                <w:color w:val="000000"/>
                <w:kern w:val="0"/>
                <w:sz w:val="22"/>
                <w:szCs w:val="22"/>
              </w:rPr>
              <w:t>指标名称</w:t>
            </w:r>
          </w:p>
        </w:tc>
        <w:tc>
          <w:tcPr>
            <w:tcW w:w="709" w:type="dxa"/>
            <w:noWrap w:val="0"/>
            <w:vAlign w:val="center"/>
          </w:tcPr>
          <w:p w14:paraId="52415CD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rPr>
              <w:t>计量</w:t>
            </w:r>
          </w:p>
          <w:p w14:paraId="6A6C0B4A">
            <w:pPr>
              <w:keepNext w:val="0"/>
              <w:keepLines w:val="0"/>
              <w:widowControl/>
              <w:suppressLineNumbers w:val="0"/>
              <w:spacing w:before="0" w:beforeAutospacing="0" w:after="0" w:afterAutospacing="0"/>
              <w:ind w:left="0" w:right="0"/>
              <w:jc w:val="center"/>
              <w:rPr>
                <w:rFonts w:hint="default" w:ascii="宋体" w:cs="宋体"/>
                <w:b/>
                <w:bCs/>
                <w:color w:val="000000"/>
                <w:kern w:val="0"/>
                <w:sz w:val="22"/>
                <w:szCs w:val="22"/>
              </w:rPr>
            </w:pPr>
            <w:r>
              <w:rPr>
                <w:rFonts w:hint="eastAsia" w:ascii="宋体" w:hAnsi="宋体" w:cs="宋体"/>
                <w:b/>
                <w:bCs/>
                <w:color w:val="000000"/>
                <w:kern w:val="0"/>
                <w:sz w:val="22"/>
                <w:szCs w:val="22"/>
              </w:rPr>
              <w:t>单位</w:t>
            </w:r>
          </w:p>
        </w:tc>
        <w:tc>
          <w:tcPr>
            <w:tcW w:w="1125" w:type="dxa"/>
            <w:noWrap w:val="0"/>
            <w:vAlign w:val="center"/>
          </w:tcPr>
          <w:p w14:paraId="1DDFFF6B">
            <w:pPr>
              <w:keepNext w:val="0"/>
              <w:keepLines w:val="0"/>
              <w:widowControl/>
              <w:suppressLineNumbers w:val="0"/>
              <w:spacing w:before="0" w:beforeAutospacing="0" w:after="0" w:afterAutospacing="0"/>
              <w:ind w:left="0" w:right="0"/>
              <w:jc w:val="center"/>
              <w:rPr>
                <w:rFonts w:hint="default" w:ascii="宋体" w:cs="宋体"/>
                <w:b/>
                <w:bCs/>
                <w:color w:val="000000"/>
                <w:kern w:val="0"/>
                <w:sz w:val="22"/>
                <w:szCs w:val="22"/>
              </w:rPr>
            </w:pPr>
            <w:r>
              <w:rPr>
                <w:rFonts w:hint="eastAsia" w:ascii="宋体" w:hAnsi="宋体" w:cs="宋体"/>
                <w:b/>
                <w:bCs/>
                <w:color w:val="000000"/>
                <w:kern w:val="0"/>
                <w:sz w:val="22"/>
                <w:szCs w:val="22"/>
              </w:rPr>
              <w:t>大型</w:t>
            </w:r>
          </w:p>
        </w:tc>
        <w:tc>
          <w:tcPr>
            <w:tcW w:w="1862" w:type="dxa"/>
            <w:noWrap w:val="0"/>
            <w:vAlign w:val="center"/>
          </w:tcPr>
          <w:p w14:paraId="240B0F13">
            <w:pPr>
              <w:keepNext w:val="0"/>
              <w:keepLines w:val="0"/>
              <w:widowControl/>
              <w:suppressLineNumbers w:val="0"/>
              <w:spacing w:before="0" w:beforeAutospacing="0" w:after="0" w:afterAutospacing="0"/>
              <w:ind w:left="0" w:right="0"/>
              <w:jc w:val="center"/>
              <w:rPr>
                <w:rFonts w:hint="default" w:ascii="宋体" w:cs="宋体"/>
                <w:b/>
                <w:bCs/>
                <w:color w:val="000000"/>
                <w:kern w:val="0"/>
                <w:sz w:val="22"/>
                <w:szCs w:val="22"/>
              </w:rPr>
            </w:pPr>
            <w:r>
              <w:rPr>
                <w:rFonts w:hint="eastAsia" w:ascii="宋体" w:hAnsi="宋体" w:cs="宋体"/>
                <w:b/>
                <w:bCs/>
                <w:color w:val="000000"/>
                <w:kern w:val="0"/>
                <w:sz w:val="22"/>
                <w:szCs w:val="22"/>
              </w:rPr>
              <w:t>中型</w:t>
            </w:r>
          </w:p>
        </w:tc>
        <w:tc>
          <w:tcPr>
            <w:tcW w:w="1752" w:type="dxa"/>
            <w:noWrap w:val="0"/>
            <w:vAlign w:val="center"/>
          </w:tcPr>
          <w:p w14:paraId="5D614959">
            <w:pPr>
              <w:keepNext w:val="0"/>
              <w:keepLines w:val="0"/>
              <w:widowControl/>
              <w:suppressLineNumbers w:val="0"/>
              <w:spacing w:before="0" w:beforeAutospacing="0" w:after="0" w:afterAutospacing="0"/>
              <w:ind w:left="0" w:right="0"/>
              <w:jc w:val="center"/>
              <w:rPr>
                <w:rFonts w:hint="default" w:ascii="宋体" w:cs="宋体"/>
                <w:b/>
                <w:bCs/>
                <w:color w:val="000000"/>
                <w:kern w:val="0"/>
                <w:sz w:val="22"/>
                <w:szCs w:val="22"/>
              </w:rPr>
            </w:pPr>
            <w:r>
              <w:rPr>
                <w:rFonts w:hint="eastAsia" w:ascii="宋体" w:hAnsi="宋体" w:cs="宋体"/>
                <w:b/>
                <w:bCs/>
                <w:color w:val="000000"/>
                <w:kern w:val="0"/>
                <w:sz w:val="22"/>
                <w:szCs w:val="22"/>
              </w:rPr>
              <w:t>小型</w:t>
            </w:r>
          </w:p>
        </w:tc>
        <w:tc>
          <w:tcPr>
            <w:tcW w:w="1008" w:type="dxa"/>
            <w:noWrap w:val="0"/>
            <w:vAlign w:val="center"/>
          </w:tcPr>
          <w:p w14:paraId="11DAD638">
            <w:pPr>
              <w:keepNext w:val="0"/>
              <w:keepLines w:val="0"/>
              <w:widowControl/>
              <w:suppressLineNumbers w:val="0"/>
              <w:spacing w:before="0" w:beforeAutospacing="0" w:after="0" w:afterAutospacing="0"/>
              <w:ind w:left="0" w:right="0"/>
              <w:jc w:val="center"/>
              <w:rPr>
                <w:rFonts w:hint="default" w:ascii="宋体" w:cs="宋体"/>
                <w:b/>
                <w:bCs/>
                <w:color w:val="000000"/>
                <w:kern w:val="0"/>
                <w:sz w:val="22"/>
                <w:szCs w:val="22"/>
              </w:rPr>
            </w:pPr>
            <w:r>
              <w:rPr>
                <w:rFonts w:hint="eastAsia" w:ascii="宋体" w:hAnsi="宋体" w:cs="宋体"/>
                <w:b/>
                <w:bCs/>
                <w:color w:val="000000"/>
                <w:kern w:val="0"/>
                <w:sz w:val="22"/>
                <w:szCs w:val="22"/>
              </w:rPr>
              <w:t>微型</w:t>
            </w:r>
          </w:p>
        </w:tc>
      </w:tr>
      <w:tr w14:paraId="1AFE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noWrap w:val="0"/>
            <w:vAlign w:val="center"/>
          </w:tcPr>
          <w:p w14:paraId="5682A8D7">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highlight w:val="none"/>
              </w:rPr>
            </w:pPr>
            <w:r>
              <w:rPr>
                <w:rFonts w:hint="eastAsia" w:ascii="宋体" w:hAnsi="宋体" w:cs="宋体"/>
                <w:color w:val="000000"/>
                <w:kern w:val="0"/>
                <w:sz w:val="22"/>
                <w:szCs w:val="22"/>
                <w:highlight w:val="none"/>
              </w:rPr>
              <w:t>农、林、牧、渔业</w:t>
            </w:r>
          </w:p>
        </w:tc>
        <w:tc>
          <w:tcPr>
            <w:tcW w:w="1524" w:type="dxa"/>
            <w:noWrap w:val="0"/>
            <w:vAlign w:val="center"/>
          </w:tcPr>
          <w:p w14:paraId="1820E8A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highlight w:val="none"/>
              </w:rPr>
            </w:pPr>
            <w:r>
              <w:rPr>
                <w:rFonts w:hint="eastAsia" w:ascii="宋体" w:hAnsi="宋体" w:cs="宋体"/>
                <w:color w:val="000000"/>
                <w:kern w:val="0"/>
                <w:sz w:val="22"/>
                <w:szCs w:val="22"/>
                <w:highlight w:val="none"/>
              </w:rPr>
              <w:t>营业收入</w:t>
            </w:r>
            <w:r>
              <w:rPr>
                <w:rFonts w:hint="default" w:ascii="宋体" w:hAnsi="宋体" w:cs="宋体"/>
                <w:color w:val="000000"/>
                <w:kern w:val="0"/>
                <w:sz w:val="22"/>
                <w:szCs w:val="22"/>
                <w:highlight w:val="none"/>
              </w:rPr>
              <w:t>(Y)</w:t>
            </w:r>
          </w:p>
        </w:tc>
        <w:tc>
          <w:tcPr>
            <w:tcW w:w="709" w:type="dxa"/>
            <w:noWrap w:val="0"/>
            <w:vAlign w:val="center"/>
          </w:tcPr>
          <w:p w14:paraId="26D0F7F7">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highlight w:val="none"/>
              </w:rPr>
            </w:pPr>
            <w:r>
              <w:rPr>
                <w:rFonts w:hint="eastAsia" w:ascii="宋体" w:hAnsi="宋体" w:cs="宋体"/>
                <w:color w:val="000000"/>
                <w:kern w:val="0"/>
                <w:sz w:val="22"/>
                <w:szCs w:val="22"/>
                <w:highlight w:val="none"/>
              </w:rPr>
              <w:t>万元</w:t>
            </w:r>
          </w:p>
        </w:tc>
        <w:tc>
          <w:tcPr>
            <w:tcW w:w="1125" w:type="dxa"/>
            <w:noWrap w:val="0"/>
            <w:vAlign w:val="center"/>
          </w:tcPr>
          <w:p w14:paraId="1D76432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highlight w:val="none"/>
              </w:rPr>
            </w:pPr>
            <w:r>
              <w:rPr>
                <w:rFonts w:hint="default" w:ascii="宋体" w:hAnsi="宋体" w:cs="宋体"/>
                <w:color w:val="000000"/>
                <w:kern w:val="0"/>
                <w:sz w:val="22"/>
                <w:szCs w:val="22"/>
                <w:highlight w:val="none"/>
              </w:rPr>
              <w:t>Y</w:t>
            </w:r>
            <w:r>
              <w:rPr>
                <w:rFonts w:hint="eastAsia" w:ascii="宋体" w:hAnsi="宋体" w:cs="宋体"/>
                <w:color w:val="000000"/>
                <w:kern w:val="0"/>
                <w:sz w:val="22"/>
                <w:szCs w:val="22"/>
                <w:highlight w:val="none"/>
              </w:rPr>
              <w:t>≥</w:t>
            </w:r>
            <w:r>
              <w:rPr>
                <w:rFonts w:hint="default" w:ascii="宋体" w:hAnsi="宋体" w:cs="宋体"/>
                <w:color w:val="000000"/>
                <w:kern w:val="0"/>
                <w:sz w:val="22"/>
                <w:szCs w:val="22"/>
                <w:highlight w:val="none"/>
              </w:rPr>
              <w:t>20000</w:t>
            </w:r>
          </w:p>
        </w:tc>
        <w:tc>
          <w:tcPr>
            <w:tcW w:w="1862" w:type="dxa"/>
            <w:noWrap w:val="0"/>
            <w:vAlign w:val="center"/>
          </w:tcPr>
          <w:p w14:paraId="74B08C1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highlight w:val="none"/>
              </w:rPr>
            </w:pPr>
            <w:r>
              <w:rPr>
                <w:rFonts w:hint="default" w:ascii="宋体" w:hAnsi="宋体" w:cs="宋体"/>
                <w:color w:val="000000"/>
                <w:kern w:val="0"/>
                <w:sz w:val="22"/>
                <w:szCs w:val="22"/>
                <w:highlight w:val="none"/>
              </w:rPr>
              <w:t xml:space="preserve"> 500</w:t>
            </w:r>
            <w:r>
              <w:rPr>
                <w:rFonts w:hint="eastAsia" w:ascii="宋体" w:hAnsi="宋体" w:cs="宋体"/>
                <w:color w:val="000000"/>
                <w:kern w:val="0"/>
                <w:sz w:val="22"/>
                <w:szCs w:val="22"/>
                <w:highlight w:val="none"/>
              </w:rPr>
              <w:t>≤</w:t>
            </w:r>
            <w:r>
              <w:rPr>
                <w:rFonts w:hint="default" w:ascii="宋体" w:hAnsi="宋体" w:cs="宋体"/>
                <w:color w:val="000000"/>
                <w:kern w:val="0"/>
                <w:sz w:val="22"/>
                <w:szCs w:val="22"/>
                <w:highlight w:val="none"/>
              </w:rPr>
              <w:t>Y</w:t>
            </w:r>
            <w:r>
              <w:rPr>
                <w:rFonts w:hint="eastAsia" w:ascii="宋体" w:hAnsi="宋体" w:cs="宋体"/>
                <w:color w:val="000000"/>
                <w:kern w:val="0"/>
                <w:sz w:val="22"/>
                <w:szCs w:val="22"/>
                <w:highlight w:val="none"/>
              </w:rPr>
              <w:t>＜</w:t>
            </w:r>
            <w:r>
              <w:rPr>
                <w:rFonts w:hint="default" w:ascii="宋体" w:hAnsi="宋体" w:cs="宋体"/>
                <w:color w:val="000000"/>
                <w:kern w:val="0"/>
                <w:sz w:val="22"/>
                <w:szCs w:val="22"/>
                <w:highlight w:val="none"/>
              </w:rPr>
              <w:t>20000</w:t>
            </w:r>
          </w:p>
        </w:tc>
        <w:tc>
          <w:tcPr>
            <w:tcW w:w="1752" w:type="dxa"/>
            <w:noWrap w:val="0"/>
            <w:vAlign w:val="center"/>
          </w:tcPr>
          <w:p w14:paraId="334A51D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highlight w:val="none"/>
              </w:rPr>
            </w:pPr>
            <w:r>
              <w:rPr>
                <w:rFonts w:hint="default" w:ascii="宋体" w:hAnsi="宋体" w:cs="宋体"/>
                <w:color w:val="000000"/>
                <w:kern w:val="0"/>
                <w:sz w:val="22"/>
                <w:szCs w:val="22"/>
                <w:highlight w:val="none"/>
              </w:rPr>
              <w:t xml:space="preserve"> 50</w:t>
            </w:r>
            <w:r>
              <w:rPr>
                <w:rFonts w:hint="eastAsia" w:ascii="宋体" w:hAnsi="宋体" w:cs="宋体"/>
                <w:color w:val="000000"/>
                <w:kern w:val="0"/>
                <w:sz w:val="22"/>
                <w:szCs w:val="22"/>
                <w:highlight w:val="none"/>
              </w:rPr>
              <w:t>≤</w:t>
            </w:r>
            <w:r>
              <w:rPr>
                <w:rFonts w:hint="default" w:ascii="宋体" w:hAnsi="宋体" w:cs="宋体"/>
                <w:color w:val="000000"/>
                <w:kern w:val="0"/>
                <w:sz w:val="22"/>
                <w:szCs w:val="22"/>
                <w:highlight w:val="none"/>
              </w:rPr>
              <w:t>Y</w:t>
            </w:r>
            <w:r>
              <w:rPr>
                <w:rFonts w:hint="eastAsia" w:ascii="宋体" w:hAnsi="宋体" w:cs="宋体"/>
                <w:color w:val="000000"/>
                <w:kern w:val="0"/>
                <w:sz w:val="22"/>
                <w:szCs w:val="22"/>
                <w:highlight w:val="none"/>
              </w:rPr>
              <w:t>＜</w:t>
            </w:r>
            <w:r>
              <w:rPr>
                <w:rFonts w:hint="default" w:ascii="宋体" w:hAnsi="宋体" w:cs="宋体"/>
                <w:color w:val="000000"/>
                <w:kern w:val="0"/>
                <w:sz w:val="22"/>
                <w:szCs w:val="22"/>
                <w:highlight w:val="none"/>
              </w:rPr>
              <w:t>500</w:t>
            </w:r>
          </w:p>
        </w:tc>
        <w:tc>
          <w:tcPr>
            <w:tcW w:w="1008" w:type="dxa"/>
            <w:noWrap w:val="0"/>
            <w:vAlign w:val="center"/>
          </w:tcPr>
          <w:p w14:paraId="3EA87515">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highlight w:val="none"/>
              </w:rPr>
            </w:pPr>
            <w:r>
              <w:rPr>
                <w:rFonts w:hint="default" w:ascii="宋体" w:hAnsi="宋体" w:cs="宋体"/>
                <w:color w:val="000000"/>
                <w:kern w:val="0"/>
                <w:sz w:val="22"/>
                <w:szCs w:val="22"/>
                <w:highlight w:val="none"/>
              </w:rPr>
              <w:t>Y</w:t>
            </w:r>
            <w:r>
              <w:rPr>
                <w:rFonts w:hint="eastAsia" w:ascii="宋体" w:hAnsi="宋体" w:cs="宋体"/>
                <w:color w:val="000000"/>
                <w:kern w:val="0"/>
                <w:sz w:val="22"/>
                <w:szCs w:val="22"/>
                <w:highlight w:val="none"/>
              </w:rPr>
              <w:t>＜</w:t>
            </w:r>
            <w:r>
              <w:rPr>
                <w:rFonts w:hint="default" w:ascii="宋体" w:hAnsi="宋体" w:cs="宋体"/>
                <w:color w:val="000000"/>
                <w:kern w:val="0"/>
                <w:sz w:val="22"/>
                <w:szCs w:val="22"/>
                <w:highlight w:val="none"/>
              </w:rPr>
              <w:t>50</w:t>
            </w:r>
          </w:p>
        </w:tc>
      </w:tr>
      <w:tr w14:paraId="3B45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restart"/>
            <w:noWrap w:val="0"/>
            <w:vAlign w:val="center"/>
          </w:tcPr>
          <w:p w14:paraId="0C292408">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highlight w:val="none"/>
              </w:rPr>
            </w:pPr>
            <w:r>
              <w:rPr>
                <w:rFonts w:hint="eastAsia" w:ascii="宋体" w:hAnsi="宋体" w:cs="宋体"/>
                <w:color w:val="000000"/>
                <w:kern w:val="0"/>
                <w:sz w:val="22"/>
                <w:szCs w:val="22"/>
                <w:highlight w:val="none"/>
              </w:rPr>
              <w:t>工业</w:t>
            </w:r>
            <w:r>
              <w:rPr>
                <w:rFonts w:hint="default" w:ascii="宋体" w:hAnsi="宋体" w:cs="宋体"/>
                <w:color w:val="000000"/>
                <w:kern w:val="0"/>
                <w:sz w:val="22"/>
                <w:szCs w:val="22"/>
                <w:highlight w:val="none"/>
              </w:rPr>
              <w:t xml:space="preserve"> *</w:t>
            </w:r>
          </w:p>
        </w:tc>
        <w:tc>
          <w:tcPr>
            <w:tcW w:w="1524" w:type="dxa"/>
            <w:noWrap w:val="0"/>
            <w:vAlign w:val="center"/>
          </w:tcPr>
          <w:p w14:paraId="1FB6D8A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highlight w:val="none"/>
              </w:rPr>
            </w:pPr>
            <w:r>
              <w:rPr>
                <w:rFonts w:hint="eastAsia" w:ascii="宋体" w:hAnsi="宋体" w:cs="宋体"/>
                <w:color w:val="000000"/>
                <w:kern w:val="0"/>
                <w:sz w:val="22"/>
                <w:szCs w:val="22"/>
                <w:highlight w:val="none"/>
              </w:rPr>
              <w:t>从业人员</w:t>
            </w:r>
            <w:r>
              <w:rPr>
                <w:rFonts w:hint="default" w:ascii="宋体" w:hAnsi="宋体" w:cs="宋体"/>
                <w:color w:val="000000"/>
                <w:kern w:val="0"/>
                <w:sz w:val="22"/>
                <w:szCs w:val="22"/>
                <w:highlight w:val="none"/>
              </w:rPr>
              <w:t>(X)</w:t>
            </w:r>
          </w:p>
        </w:tc>
        <w:tc>
          <w:tcPr>
            <w:tcW w:w="709" w:type="dxa"/>
            <w:noWrap w:val="0"/>
            <w:vAlign w:val="center"/>
          </w:tcPr>
          <w:p w14:paraId="2FFFAA37">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highlight w:val="none"/>
              </w:rPr>
            </w:pPr>
            <w:r>
              <w:rPr>
                <w:rFonts w:hint="eastAsia" w:ascii="宋体" w:hAnsi="宋体" w:cs="宋体"/>
                <w:color w:val="000000"/>
                <w:kern w:val="0"/>
                <w:sz w:val="22"/>
                <w:szCs w:val="22"/>
                <w:highlight w:val="none"/>
              </w:rPr>
              <w:t>人</w:t>
            </w:r>
          </w:p>
        </w:tc>
        <w:tc>
          <w:tcPr>
            <w:tcW w:w="1125" w:type="dxa"/>
            <w:noWrap w:val="0"/>
            <w:vAlign w:val="center"/>
          </w:tcPr>
          <w:p w14:paraId="7B3D7018">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highlight w:val="none"/>
              </w:rPr>
            </w:pPr>
            <w:r>
              <w:rPr>
                <w:rFonts w:hint="default" w:ascii="宋体" w:hAnsi="宋体" w:cs="宋体"/>
                <w:color w:val="000000"/>
                <w:kern w:val="0"/>
                <w:sz w:val="22"/>
                <w:szCs w:val="22"/>
                <w:highlight w:val="none"/>
              </w:rPr>
              <w:t>X</w:t>
            </w:r>
            <w:r>
              <w:rPr>
                <w:rFonts w:hint="eastAsia" w:ascii="宋体" w:hAnsi="宋体" w:cs="宋体"/>
                <w:color w:val="000000"/>
                <w:kern w:val="0"/>
                <w:sz w:val="22"/>
                <w:szCs w:val="22"/>
                <w:highlight w:val="none"/>
              </w:rPr>
              <w:t>≥</w:t>
            </w:r>
            <w:r>
              <w:rPr>
                <w:rFonts w:hint="default" w:ascii="宋体" w:hAnsi="宋体" w:cs="宋体"/>
                <w:color w:val="000000"/>
                <w:kern w:val="0"/>
                <w:sz w:val="22"/>
                <w:szCs w:val="22"/>
                <w:highlight w:val="none"/>
              </w:rPr>
              <w:t>1000</w:t>
            </w:r>
          </w:p>
        </w:tc>
        <w:tc>
          <w:tcPr>
            <w:tcW w:w="1862" w:type="dxa"/>
            <w:noWrap w:val="0"/>
            <w:vAlign w:val="center"/>
          </w:tcPr>
          <w:p w14:paraId="6485389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highlight w:val="none"/>
              </w:rPr>
            </w:pPr>
            <w:r>
              <w:rPr>
                <w:rFonts w:hint="default" w:ascii="宋体" w:hAnsi="宋体" w:cs="宋体"/>
                <w:color w:val="000000"/>
                <w:kern w:val="0"/>
                <w:sz w:val="22"/>
                <w:szCs w:val="22"/>
                <w:highlight w:val="none"/>
              </w:rPr>
              <w:t>300</w:t>
            </w:r>
            <w:r>
              <w:rPr>
                <w:rFonts w:hint="eastAsia" w:ascii="宋体" w:hAnsi="宋体" w:cs="宋体"/>
                <w:color w:val="000000"/>
                <w:kern w:val="0"/>
                <w:sz w:val="22"/>
                <w:szCs w:val="22"/>
                <w:highlight w:val="none"/>
              </w:rPr>
              <w:t>≤</w:t>
            </w:r>
            <w:r>
              <w:rPr>
                <w:rFonts w:hint="default" w:ascii="宋体" w:hAnsi="宋体" w:cs="宋体"/>
                <w:color w:val="000000"/>
                <w:kern w:val="0"/>
                <w:sz w:val="22"/>
                <w:szCs w:val="22"/>
                <w:highlight w:val="none"/>
              </w:rPr>
              <w:t>X</w:t>
            </w:r>
            <w:r>
              <w:rPr>
                <w:rFonts w:hint="eastAsia" w:ascii="宋体" w:hAnsi="宋体" w:cs="宋体"/>
                <w:color w:val="000000"/>
                <w:kern w:val="0"/>
                <w:sz w:val="22"/>
                <w:szCs w:val="22"/>
                <w:highlight w:val="none"/>
              </w:rPr>
              <w:t>＜</w:t>
            </w:r>
            <w:r>
              <w:rPr>
                <w:rFonts w:hint="default" w:ascii="宋体" w:hAnsi="宋体" w:cs="宋体"/>
                <w:color w:val="000000"/>
                <w:kern w:val="0"/>
                <w:sz w:val="22"/>
                <w:szCs w:val="22"/>
                <w:highlight w:val="none"/>
              </w:rPr>
              <w:t>1000</w:t>
            </w:r>
          </w:p>
        </w:tc>
        <w:tc>
          <w:tcPr>
            <w:tcW w:w="1752" w:type="dxa"/>
            <w:noWrap w:val="0"/>
            <w:vAlign w:val="center"/>
          </w:tcPr>
          <w:p w14:paraId="042A6D5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highlight w:val="none"/>
              </w:rPr>
            </w:pPr>
            <w:r>
              <w:rPr>
                <w:rFonts w:hint="default" w:ascii="宋体" w:hAnsi="宋体" w:cs="宋体"/>
                <w:color w:val="000000"/>
                <w:kern w:val="0"/>
                <w:sz w:val="22"/>
                <w:szCs w:val="22"/>
                <w:highlight w:val="none"/>
              </w:rPr>
              <w:t xml:space="preserve"> 20</w:t>
            </w:r>
            <w:r>
              <w:rPr>
                <w:rFonts w:hint="eastAsia" w:ascii="宋体" w:hAnsi="宋体" w:cs="宋体"/>
                <w:color w:val="000000"/>
                <w:kern w:val="0"/>
                <w:sz w:val="22"/>
                <w:szCs w:val="22"/>
                <w:highlight w:val="none"/>
              </w:rPr>
              <w:t>≤</w:t>
            </w:r>
            <w:r>
              <w:rPr>
                <w:rFonts w:hint="default" w:ascii="宋体" w:hAnsi="宋体" w:cs="宋体"/>
                <w:color w:val="000000"/>
                <w:kern w:val="0"/>
                <w:sz w:val="22"/>
                <w:szCs w:val="22"/>
                <w:highlight w:val="none"/>
              </w:rPr>
              <w:t>X</w:t>
            </w:r>
            <w:r>
              <w:rPr>
                <w:rFonts w:hint="eastAsia" w:ascii="宋体" w:hAnsi="宋体" w:cs="宋体"/>
                <w:color w:val="000000"/>
                <w:kern w:val="0"/>
                <w:sz w:val="22"/>
                <w:szCs w:val="22"/>
                <w:highlight w:val="none"/>
              </w:rPr>
              <w:t>＜</w:t>
            </w:r>
            <w:r>
              <w:rPr>
                <w:rFonts w:hint="default" w:ascii="宋体" w:hAnsi="宋体" w:cs="宋体"/>
                <w:color w:val="000000"/>
                <w:kern w:val="0"/>
                <w:sz w:val="22"/>
                <w:szCs w:val="22"/>
                <w:highlight w:val="none"/>
              </w:rPr>
              <w:t>300</w:t>
            </w:r>
          </w:p>
        </w:tc>
        <w:tc>
          <w:tcPr>
            <w:tcW w:w="1008" w:type="dxa"/>
            <w:noWrap w:val="0"/>
            <w:vAlign w:val="center"/>
          </w:tcPr>
          <w:p w14:paraId="104182DE">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highlight w:val="none"/>
              </w:rPr>
            </w:pPr>
            <w:r>
              <w:rPr>
                <w:rFonts w:hint="default" w:ascii="宋体" w:hAnsi="宋体" w:cs="宋体"/>
                <w:color w:val="000000"/>
                <w:kern w:val="0"/>
                <w:sz w:val="22"/>
                <w:szCs w:val="22"/>
                <w:highlight w:val="none"/>
              </w:rPr>
              <w:t>X</w:t>
            </w:r>
            <w:r>
              <w:rPr>
                <w:rFonts w:hint="eastAsia" w:ascii="宋体" w:hAnsi="宋体" w:cs="宋体"/>
                <w:color w:val="000000"/>
                <w:kern w:val="0"/>
                <w:sz w:val="22"/>
                <w:szCs w:val="22"/>
                <w:highlight w:val="none"/>
              </w:rPr>
              <w:t>＜</w:t>
            </w:r>
            <w:r>
              <w:rPr>
                <w:rFonts w:hint="default" w:ascii="宋体" w:hAnsi="宋体" w:cs="宋体"/>
                <w:color w:val="000000"/>
                <w:kern w:val="0"/>
                <w:sz w:val="22"/>
                <w:szCs w:val="22"/>
                <w:highlight w:val="none"/>
              </w:rPr>
              <w:t>20</w:t>
            </w:r>
          </w:p>
        </w:tc>
      </w:tr>
      <w:tr w14:paraId="0CFA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continue"/>
            <w:noWrap w:val="0"/>
            <w:vAlign w:val="center"/>
          </w:tcPr>
          <w:p w14:paraId="1EC48013">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highlight w:val="none"/>
              </w:rPr>
            </w:pPr>
          </w:p>
        </w:tc>
        <w:tc>
          <w:tcPr>
            <w:tcW w:w="1524" w:type="dxa"/>
            <w:noWrap w:val="0"/>
            <w:vAlign w:val="center"/>
          </w:tcPr>
          <w:p w14:paraId="143F2BE6">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highlight w:val="none"/>
              </w:rPr>
            </w:pPr>
            <w:r>
              <w:rPr>
                <w:rFonts w:hint="eastAsia" w:ascii="宋体" w:hAnsi="宋体" w:cs="宋体"/>
                <w:color w:val="000000"/>
                <w:kern w:val="0"/>
                <w:sz w:val="22"/>
                <w:szCs w:val="22"/>
                <w:highlight w:val="none"/>
              </w:rPr>
              <w:t>营业收入</w:t>
            </w:r>
            <w:r>
              <w:rPr>
                <w:rFonts w:hint="default" w:ascii="宋体" w:hAnsi="宋体" w:cs="宋体"/>
                <w:color w:val="000000"/>
                <w:kern w:val="0"/>
                <w:sz w:val="22"/>
                <w:szCs w:val="22"/>
                <w:highlight w:val="none"/>
              </w:rPr>
              <w:t>(Y)</w:t>
            </w:r>
          </w:p>
        </w:tc>
        <w:tc>
          <w:tcPr>
            <w:tcW w:w="709" w:type="dxa"/>
            <w:noWrap w:val="0"/>
            <w:vAlign w:val="center"/>
          </w:tcPr>
          <w:p w14:paraId="4D14D722">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highlight w:val="none"/>
              </w:rPr>
            </w:pPr>
            <w:r>
              <w:rPr>
                <w:rFonts w:hint="eastAsia" w:ascii="宋体" w:hAnsi="宋体" w:cs="宋体"/>
                <w:color w:val="000000"/>
                <w:kern w:val="0"/>
                <w:sz w:val="22"/>
                <w:szCs w:val="22"/>
                <w:highlight w:val="none"/>
              </w:rPr>
              <w:t>万元</w:t>
            </w:r>
          </w:p>
        </w:tc>
        <w:tc>
          <w:tcPr>
            <w:tcW w:w="1125" w:type="dxa"/>
            <w:noWrap w:val="0"/>
            <w:vAlign w:val="center"/>
          </w:tcPr>
          <w:p w14:paraId="5333985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highlight w:val="none"/>
              </w:rPr>
            </w:pPr>
            <w:r>
              <w:rPr>
                <w:rFonts w:hint="default" w:ascii="宋体" w:hAnsi="宋体" w:cs="宋体"/>
                <w:color w:val="000000"/>
                <w:kern w:val="0"/>
                <w:sz w:val="22"/>
                <w:szCs w:val="22"/>
                <w:highlight w:val="none"/>
              </w:rPr>
              <w:t>Y</w:t>
            </w:r>
            <w:r>
              <w:rPr>
                <w:rFonts w:hint="eastAsia" w:ascii="宋体" w:hAnsi="宋体" w:cs="宋体"/>
                <w:color w:val="000000"/>
                <w:kern w:val="0"/>
                <w:sz w:val="22"/>
                <w:szCs w:val="22"/>
                <w:highlight w:val="none"/>
              </w:rPr>
              <w:t>≥</w:t>
            </w:r>
            <w:r>
              <w:rPr>
                <w:rFonts w:hint="default" w:ascii="宋体" w:hAnsi="宋体" w:cs="宋体"/>
                <w:color w:val="000000"/>
                <w:kern w:val="0"/>
                <w:sz w:val="22"/>
                <w:szCs w:val="22"/>
                <w:highlight w:val="none"/>
              </w:rPr>
              <w:t>40000</w:t>
            </w:r>
          </w:p>
        </w:tc>
        <w:tc>
          <w:tcPr>
            <w:tcW w:w="1862" w:type="dxa"/>
            <w:noWrap w:val="0"/>
            <w:vAlign w:val="center"/>
          </w:tcPr>
          <w:p w14:paraId="6F6ED1F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highlight w:val="none"/>
              </w:rPr>
            </w:pPr>
            <w:r>
              <w:rPr>
                <w:rFonts w:hint="default" w:ascii="宋体" w:hAnsi="宋体" w:cs="宋体"/>
                <w:color w:val="000000"/>
                <w:kern w:val="0"/>
                <w:sz w:val="22"/>
                <w:szCs w:val="22"/>
                <w:highlight w:val="none"/>
              </w:rPr>
              <w:t>2000</w:t>
            </w:r>
            <w:r>
              <w:rPr>
                <w:rFonts w:hint="eastAsia" w:ascii="宋体" w:hAnsi="宋体" w:cs="宋体"/>
                <w:color w:val="000000"/>
                <w:kern w:val="0"/>
                <w:sz w:val="22"/>
                <w:szCs w:val="22"/>
                <w:highlight w:val="none"/>
              </w:rPr>
              <w:t>≤</w:t>
            </w:r>
            <w:r>
              <w:rPr>
                <w:rFonts w:hint="default" w:ascii="宋体" w:hAnsi="宋体" w:cs="宋体"/>
                <w:color w:val="000000"/>
                <w:kern w:val="0"/>
                <w:sz w:val="22"/>
                <w:szCs w:val="22"/>
                <w:highlight w:val="none"/>
              </w:rPr>
              <w:t>Y</w:t>
            </w:r>
            <w:r>
              <w:rPr>
                <w:rFonts w:hint="eastAsia" w:ascii="宋体" w:hAnsi="宋体" w:cs="宋体"/>
                <w:color w:val="000000"/>
                <w:kern w:val="0"/>
                <w:sz w:val="22"/>
                <w:szCs w:val="22"/>
                <w:highlight w:val="none"/>
              </w:rPr>
              <w:t>＜</w:t>
            </w:r>
            <w:r>
              <w:rPr>
                <w:rFonts w:hint="default" w:ascii="宋体" w:hAnsi="宋体" w:cs="宋体"/>
                <w:color w:val="000000"/>
                <w:kern w:val="0"/>
                <w:sz w:val="22"/>
                <w:szCs w:val="22"/>
                <w:highlight w:val="none"/>
              </w:rPr>
              <w:t>40000</w:t>
            </w:r>
          </w:p>
        </w:tc>
        <w:tc>
          <w:tcPr>
            <w:tcW w:w="1752" w:type="dxa"/>
            <w:noWrap w:val="0"/>
            <w:vAlign w:val="center"/>
          </w:tcPr>
          <w:p w14:paraId="10FEBF37">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highlight w:val="none"/>
              </w:rPr>
            </w:pPr>
            <w:r>
              <w:rPr>
                <w:rFonts w:hint="default" w:ascii="宋体" w:hAnsi="宋体" w:cs="宋体"/>
                <w:color w:val="000000"/>
                <w:kern w:val="0"/>
                <w:sz w:val="22"/>
                <w:szCs w:val="22"/>
                <w:highlight w:val="none"/>
              </w:rPr>
              <w:t xml:space="preserve"> 300</w:t>
            </w:r>
            <w:r>
              <w:rPr>
                <w:rFonts w:hint="eastAsia" w:ascii="宋体" w:hAnsi="宋体" w:cs="宋体"/>
                <w:color w:val="000000"/>
                <w:kern w:val="0"/>
                <w:sz w:val="22"/>
                <w:szCs w:val="22"/>
                <w:highlight w:val="none"/>
              </w:rPr>
              <w:t>≤</w:t>
            </w:r>
            <w:r>
              <w:rPr>
                <w:rFonts w:hint="default" w:ascii="宋体" w:hAnsi="宋体" w:cs="宋体"/>
                <w:color w:val="000000"/>
                <w:kern w:val="0"/>
                <w:sz w:val="22"/>
                <w:szCs w:val="22"/>
                <w:highlight w:val="none"/>
              </w:rPr>
              <w:t>Y</w:t>
            </w:r>
            <w:r>
              <w:rPr>
                <w:rFonts w:hint="eastAsia" w:ascii="宋体" w:hAnsi="宋体" w:cs="宋体"/>
                <w:color w:val="000000"/>
                <w:kern w:val="0"/>
                <w:sz w:val="22"/>
                <w:szCs w:val="22"/>
                <w:highlight w:val="none"/>
              </w:rPr>
              <w:t>＜</w:t>
            </w:r>
            <w:r>
              <w:rPr>
                <w:rFonts w:hint="default" w:ascii="宋体" w:hAnsi="宋体" w:cs="宋体"/>
                <w:color w:val="000000"/>
                <w:kern w:val="0"/>
                <w:sz w:val="22"/>
                <w:szCs w:val="22"/>
                <w:highlight w:val="none"/>
              </w:rPr>
              <w:t>2000</w:t>
            </w:r>
          </w:p>
        </w:tc>
        <w:tc>
          <w:tcPr>
            <w:tcW w:w="1008" w:type="dxa"/>
            <w:noWrap w:val="0"/>
            <w:vAlign w:val="center"/>
          </w:tcPr>
          <w:p w14:paraId="7CCA37CB">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highlight w:val="none"/>
              </w:rPr>
            </w:pPr>
            <w:r>
              <w:rPr>
                <w:rFonts w:hint="default" w:ascii="宋体" w:hAnsi="宋体" w:cs="宋体"/>
                <w:color w:val="000000"/>
                <w:kern w:val="0"/>
                <w:sz w:val="22"/>
                <w:szCs w:val="22"/>
                <w:highlight w:val="none"/>
              </w:rPr>
              <w:t>Y</w:t>
            </w:r>
            <w:r>
              <w:rPr>
                <w:rFonts w:hint="eastAsia" w:ascii="宋体" w:hAnsi="宋体" w:cs="宋体"/>
                <w:color w:val="000000"/>
                <w:kern w:val="0"/>
                <w:sz w:val="22"/>
                <w:szCs w:val="22"/>
                <w:highlight w:val="none"/>
              </w:rPr>
              <w:t>＜</w:t>
            </w:r>
            <w:r>
              <w:rPr>
                <w:rFonts w:hint="default" w:ascii="宋体" w:hAnsi="宋体" w:cs="宋体"/>
                <w:color w:val="000000"/>
                <w:kern w:val="0"/>
                <w:sz w:val="22"/>
                <w:szCs w:val="22"/>
                <w:highlight w:val="none"/>
              </w:rPr>
              <w:t>300</w:t>
            </w:r>
          </w:p>
        </w:tc>
      </w:tr>
      <w:tr w14:paraId="542D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restart"/>
            <w:noWrap w:val="0"/>
            <w:vAlign w:val="center"/>
          </w:tcPr>
          <w:p w14:paraId="22408145">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建筑业</w:t>
            </w:r>
          </w:p>
        </w:tc>
        <w:tc>
          <w:tcPr>
            <w:tcW w:w="1524" w:type="dxa"/>
            <w:noWrap w:val="0"/>
            <w:vAlign w:val="center"/>
          </w:tcPr>
          <w:p w14:paraId="68E8FD22">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6AE1DC13">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5BCB9A58">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80000</w:t>
            </w:r>
          </w:p>
        </w:tc>
        <w:tc>
          <w:tcPr>
            <w:tcW w:w="1862" w:type="dxa"/>
            <w:noWrap w:val="0"/>
            <w:vAlign w:val="center"/>
          </w:tcPr>
          <w:p w14:paraId="345022E5">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6000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80000</w:t>
            </w:r>
          </w:p>
        </w:tc>
        <w:tc>
          <w:tcPr>
            <w:tcW w:w="1752" w:type="dxa"/>
            <w:noWrap w:val="0"/>
            <w:vAlign w:val="center"/>
          </w:tcPr>
          <w:p w14:paraId="2A0D528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300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6000</w:t>
            </w:r>
          </w:p>
        </w:tc>
        <w:tc>
          <w:tcPr>
            <w:tcW w:w="1008" w:type="dxa"/>
            <w:noWrap w:val="0"/>
            <w:vAlign w:val="center"/>
          </w:tcPr>
          <w:p w14:paraId="0A284F2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r>
      <w:tr w14:paraId="52A2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continue"/>
            <w:noWrap w:val="0"/>
            <w:vAlign w:val="center"/>
          </w:tcPr>
          <w:p w14:paraId="114F314E">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3EE34CEC">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资产总额</w:t>
            </w:r>
            <w:r>
              <w:rPr>
                <w:rFonts w:hint="default" w:ascii="宋体" w:hAnsi="宋体" w:cs="宋体"/>
                <w:color w:val="000000"/>
                <w:kern w:val="0"/>
                <w:sz w:val="22"/>
                <w:szCs w:val="22"/>
              </w:rPr>
              <w:t>(Z)</w:t>
            </w:r>
          </w:p>
        </w:tc>
        <w:tc>
          <w:tcPr>
            <w:tcW w:w="709" w:type="dxa"/>
            <w:noWrap w:val="0"/>
            <w:vAlign w:val="center"/>
          </w:tcPr>
          <w:p w14:paraId="20C329F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1F996B9B">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80000</w:t>
            </w:r>
          </w:p>
        </w:tc>
        <w:tc>
          <w:tcPr>
            <w:tcW w:w="1862" w:type="dxa"/>
            <w:noWrap w:val="0"/>
            <w:vAlign w:val="center"/>
          </w:tcPr>
          <w:p w14:paraId="7D03AF5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5000</w:t>
            </w:r>
            <w:r>
              <w:rPr>
                <w:rFonts w:hint="eastAsia" w:ascii="宋体" w:hAnsi="宋体" w:cs="宋体"/>
                <w:color w:val="000000"/>
                <w:kern w:val="0"/>
                <w:sz w:val="22"/>
                <w:szCs w:val="22"/>
              </w:rPr>
              <w:t>≤</w:t>
            </w: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80000</w:t>
            </w:r>
          </w:p>
        </w:tc>
        <w:tc>
          <w:tcPr>
            <w:tcW w:w="1752" w:type="dxa"/>
            <w:noWrap w:val="0"/>
            <w:vAlign w:val="center"/>
          </w:tcPr>
          <w:p w14:paraId="3A49C67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300</w:t>
            </w:r>
            <w:r>
              <w:rPr>
                <w:rFonts w:hint="eastAsia" w:ascii="宋体" w:hAnsi="宋体" w:cs="宋体"/>
                <w:color w:val="000000"/>
                <w:kern w:val="0"/>
                <w:sz w:val="22"/>
                <w:szCs w:val="22"/>
              </w:rPr>
              <w:t>≤</w:t>
            </w: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5000</w:t>
            </w:r>
          </w:p>
        </w:tc>
        <w:tc>
          <w:tcPr>
            <w:tcW w:w="1008" w:type="dxa"/>
            <w:noWrap w:val="0"/>
            <w:vAlign w:val="center"/>
          </w:tcPr>
          <w:p w14:paraId="4628B57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r>
      <w:tr w14:paraId="63AB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restart"/>
            <w:noWrap w:val="0"/>
            <w:vAlign w:val="center"/>
          </w:tcPr>
          <w:p w14:paraId="33B2B586">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批发业</w:t>
            </w:r>
          </w:p>
        </w:tc>
        <w:tc>
          <w:tcPr>
            <w:tcW w:w="1524" w:type="dxa"/>
            <w:noWrap w:val="0"/>
            <w:vAlign w:val="center"/>
          </w:tcPr>
          <w:p w14:paraId="3E41547D">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71AD467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0A05676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200</w:t>
            </w:r>
          </w:p>
        </w:tc>
        <w:tc>
          <w:tcPr>
            <w:tcW w:w="1862" w:type="dxa"/>
            <w:noWrap w:val="0"/>
            <w:vAlign w:val="center"/>
          </w:tcPr>
          <w:p w14:paraId="68E4446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20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200</w:t>
            </w:r>
          </w:p>
        </w:tc>
        <w:tc>
          <w:tcPr>
            <w:tcW w:w="1752" w:type="dxa"/>
            <w:noWrap w:val="0"/>
            <w:vAlign w:val="center"/>
          </w:tcPr>
          <w:p w14:paraId="3EB649EC">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5</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20</w:t>
            </w:r>
          </w:p>
        </w:tc>
        <w:tc>
          <w:tcPr>
            <w:tcW w:w="1008" w:type="dxa"/>
            <w:noWrap w:val="0"/>
            <w:vAlign w:val="center"/>
          </w:tcPr>
          <w:p w14:paraId="58176A53">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5</w:t>
            </w:r>
          </w:p>
        </w:tc>
      </w:tr>
      <w:tr w14:paraId="0350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continue"/>
            <w:noWrap w:val="0"/>
            <w:vAlign w:val="center"/>
          </w:tcPr>
          <w:p w14:paraId="452F67DC">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214E8F3E">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40F118F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5858580F">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40000</w:t>
            </w:r>
          </w:p>
        </w:tc>
        <w:tc>
          <w:tcPr>
            <w:tcW w:w="1862" w:type="dxa"/>
            <w:noWrap w:val="0"/>
            <w:vAlign w:val="center"/>
          </w:tcPr>
          <w:p w14:paraId="6EF6CE2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5000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40000</w:t>
            </w:r>
          </w:p>
        </w:tc>
        <w:tc>
          <w:tcPr>
            <w:tcW w:w="1752" w:type="dxa"/>
            <w:noWrap w:val="0"/>
            <w:vAlign w:val="center"/>
          </w:tcPr>
          <w:p w14:paraId="4B72B307">
            <w:pPr>
              <w:keepNext w:val="0"/>
              <w:keepLines w:val="0"/>
              <w:widowControl/>
              <w:suppressLineNumbers w:val="0"/>
              <w:spacing w:before="0" w:beforeAutospacing="0" w:after="0" w:afterAutospacing="0"/>
              <w:ind w:left="-1" w:leftChars="-1" w:right="0" w:hanging="1"/>
              <w:jc w:val="center"/>
              <w:rPr>
                <w:rFonts w:hint="default" w:ascii="宋体" w:cs="宋体"/>
                <w:color w:val="000000"/>
                <w:kern w:val="0"/>
                <w:sz w:val="22"/>
                <w:szCs w:val="22"/>
              </w:rPr>
            </w:pPr>
            <w:r>
              <w:rPr>
                <w:rFonts w:hint="default" w:ascii="宋体" w:hAnsi="宋体" w:cs="宋体"/>
                <w:color w:val="000000"/>
                <w:kern w:val="0"/>
                <w:sz w:val="22"/>
                <w:szCs w:val="22"/>
              </w:rPr>
              <w:t>1000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5000</w:t>
            </w:r>
          </w:p>
        </w:tc>
        <w:tc>
          <w:tcPr>
            <w:tcW w:w="1008" w:type="dxa"/>
            <w:noWrap w:val="0"/>
            <w:vAlign w:val="center"/>
          </w:tcPr>
          <w:p w14:paraId="49824D4C">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r>
      <w:tr w14:paraId="04B4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restart"/>
            <w:noWrap w:val="0"/>
            <w:vAlign w:val="center"/>
          </w:tcPr>
          <w:p w14:paraId="5C65CCDC">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零售业</w:t>
            </w:r>
          </w:p>
        </w:tc>
        <w:tc>
          <w:tcPr>
            <w:tcW w:w="1524" w:type="dxa"/>
            <w:noWrap w:val="0"/>
            <w:vAlign w:val="center"/>
          </w:tcPr>
          <w:p w14:paraId="17C3DFCF">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401CC2E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3EFEF94A">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c>
          <w:tcPr>
            <w:tcW w:w="1862" w:type="dxa"/>
            <w:noWrap w:val="0"/>
            <w:vAlign w:val="center"/>
          </w:tcPr>
          <w:p w14:paraId="6D07EC1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50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c>
          <w:tcPr>
            <w:tcW w:w="1752" w:type="dxa"/>
            <w:noWrap w:val="0"/>
            <w:vAlign w:val="center"/>
          </w:tcPr>
          <w:p w14:paraId="200B19ED">
            <w:pPr>
              <w:keepNext w:val="0"/>
              <w:keepLines w:val="0"/>
              <w:widowControl/>
              <w:suppressLineNumbers w:val="0"/>
              <w:spacing w:before="0" w:beforeAutospacing="0" w:after="0" w:afterAutospacing="0"/>
              <w:ind w:left="-1" w:leftChars="-1" w:right="0" w:hanging="1"/>
              <w:jc w:val="center"/>
              <w:rPr>
                <w:rFonts w:hint="default" w:ascii="宋体" w:cs="宋体"/>
                <w:color w:val="000000"/>
                <w:kern w:val="0"/>
                <w:sz w:val="22"/>
                <w:szCs w:val="22"/>
              </w:rPr>
            </w:pPr>
            <w:r>
              <w:rPr>
                <w:rFonts w:hint="default" w:ascii="宋体" w:hAnsi="宋体" w:cs="宋体"/>
                <w:color w:val="000000"/>
                <w:kern w:val="0"/>
                <w:sz w:val="22"/>
                <w:szCs w:val="22"/>
              </w:rPr>
              <w:t>10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 xml:space="preserve">50 </w:t>
            </w:r>
          </w:p>
        </w:tc>
        <w:tc>
          <w:tcPr>
            <w:tcW w:w="1008" w:type="dxa"/>
            <w:noWrap w:val="0"/>
            <w:vAlign w:val="center"/>
          </w:tcPr>
          <w:p w14:paraId="1EB0444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w:t>
            </w:r>
          </w:p>
        </w:tc>
      </w:tr>
      <w:tr w14:paraId="7F4D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continue"/>
            <w:noWrap w:val="0"/>
            <w:vAlign w:val="center"/>
          </w:tcPr>
          <w:p w14:paraId="5142FF04">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3C40C7A1">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66D16E8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43EA1BAC">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20000</w:t>
            </w:r>
          </w:p>
        </w:tc>
        <w:tc>
          <w:tcPr>
            <w:tcW w:w="1862" w:type="dxa"/>
            <w:noWrap w:val="0"/>
            <w:vAlign w:val="center"/>
          </w:tcPr>
          <w:p w14:paraId="5AEE1B28">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500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20000</w:t>
            </w:r>
          </w:p>
        </w:tc>
        <w:tc>
          <w:tcPr>
            <w:tcW w:w="1752" w:type="dxa"/>
            <w:noWrap w:val="0"/>
            <w:vAlign w:val="center"/>
          </w:tcPr>
          <w:p w14:paraId="0D7FF3EF">
            <w:pPr>
              <w:keepNext w:val="0"/>
              <w:keepLines w:val="0"/>
              <w:widowControl/>
              <w:suppressLineNumbers w:val="0"/>
              <w:spacing w:before="0" w:beforeAutospacing="0" w:after="0" w:afterAutospacing="0"/>
              <w:ind w:left="-1" w:leftChars="-1" w:right="0" w:hanging="1"/>
              <w:jc w:val="center"/>
              <w:rPr>
                <w:rFonts w:hint="default" w:ascii="宋体" w:cs="宋体"/>
                <w:color w:val="000000"/>
                <w:kern w:val="0"/>
                <w:sz w:val="22"/>
                <w:szCs w:val="22"/>
              </w:rPr>
            </w:pPr>
            <w:r>
              <w:rPr>
                <w:rFonts w:hint="default" w:ascii="宋体" w:hAnsi="宋体" w:cs="宋体"/>
                <w:color w:val="000000"/>
                <w:kern w:val="0"/>
                <w:sz w:val="22"/>
                <w:szCs w:val="22"/>
              </w:rPr>
              <w:t>100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 xml:space="preserve">500 </w:t>
            </w:r>
          </w:p>
        </w:tc>
        <w:tc>
          <w:tcPr>
            <w:tcW w:w="1008" w:type="dxa"/>
            <w:noWrap w:val="0"/>
            <w:vAlign w:val="center"/>
          </w:tcPr>
          <w:p w14:paraId="3D0DFE6D">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r>
      <w:tr w14:paraId="3300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restart"/>
            <w:noWrap w:val="0"/>
            <w:vAlign w:val="center"/>
          </w:tcPr>
          <w:p w14:paraId="7BF3D95F">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交通运输业</w:t>
            </w:r>
            <w:r>
              <w:rPr>
                <w:rFonts w:hint="default" w:ascii="宋体" w:hAnsi="宋体" w:cs="宋体"/>
                <w:color w:val="000000"/>
                <w:kern w:val="0"/>
                <w:sz w:val="22"/>
                <w:szCs w:val="22"/>
              </w:rPr>
              <w:t xml:space="preserve"> *</w:t>
            </w:r>
          </w:p>
        </w:tc>
        <w:tc>
          <w:tcPr>
            <w:tcW w:w="1524" w:type="dxa"/>
            <w:noWrap w:val="0"/>
            <w:vAlign w:val="center"/>
          </w:tcPr>
          <w:p w14:paraId="2DA7EA55">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57E240AD">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26C78C2C">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862" w:type="dxa"/>
            <w:noWrap w:val="0"/>
            <w:vAlign w:val="center"/>
          </w:tcPr>
          <w:p w14:paraId="50763DA5">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300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752" w:type="dxa"/>
            <w:noWrap w:val="0"/>
            <w:vAlign w:val="center"/>
          </w:tcPr>
          <w:p w14:paraId="3E6A7405">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20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c>
          <w:tcPr>
            <w:tcW w:w="1008" w:type="dxa"/>
            <w:noWrap w:val="0"/>
            <w:vAlign w:val="center"/>
          </w:tcPr>
          <w:p w14:paraId="1861A457">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20</w:t>
            </w:r>
          </w:p>
        </w:tc>
      </w:tr>
      <w:tr w14:paraId="3E07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continue"/>
            <w:noWrap w:val="0"/>
            <w:vAlign w:val="center"/>
          </w:tcPr>
          <w:p w14:paraId="73375AFD">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21C48380">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2BA17FF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77ECAA72">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30000</w:t>
            </w:r>
          </w:p>
        </w:tc>
        <w:tc>
          <w:tcPr>
            <w:tcW w:w="1862" w:type="dxa"/>
            <w:noWrap w:val="0"/>
            <w:vAlign w:val="center"/>
          </w:tcPr>
          <w:p w14:paraId="1214F93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3000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30000</w:t>
            </w:r>
          </w:p>
        </w:tc>
        <w:tc>
          <w:tcPr>
            <w:tcW w:w="1752" w:type="dxa"/>
            <w:noWrap w:val="0"/>
            <w:vAlign w:val="center"/>
          </w:tcPr>
          <w:p w14:paraId="1849EEF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200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3000</w:t>
            </w:r>
          </w:p>
        </w:tc>
        <w:tc>
          <w:tcPr>
            <w:tcW w:w="1008" w:type="dxa"/>
            <w:noWrap w:val="0"/>
            <w:vAlign w:val="center"/>
          </w:tcPr>
          <w:p w14:paraId="03C6A82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200</w:t>
            </w:r>
          </w:p>
        </w:tc>
      </w:tr>
      <w:tr w14:paraId="4D63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restart"/>
            <w:noWrap w:val="0"/>
            <w:vAlign w:val="center"/>
          </w:tcPr>
          <w:p w14:paraId="4A1836C7">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仓储业</w:t>
            </w:r>
            <w:r>
              <w:rPr>
                <w:rFonts w:hint="default" w:ascii="宋体" w:hAnsi="宋体" w:cs="宋体"/>
                <w:color w:val="000000"/>
                <w:kern w:val="0"/>
                <w:sz w:val="22"/>
                <w:szCs w:val="22"/>
              </w:rPr>
              <w:t>*</w:t>
            </w:r>
          </w:p>
        </w:tc>
        <w:tc>
          <w:tcPr>
            <w:tcW w:w="1524" w:type="dxa"/>
            <w:noWrap w:val="0"/>
            <w:vAlign w:val="center"/>
          </w:tcPr>
          <w:p w14:paraId="65A3FF6D">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6B3EEA8F">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314F5E53">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200</w:t>
            </w:r>
          </w:p>
        </w:tc>
        <w:tc>
          <w:tcPr>
            <w:tcW w:w="1862" w:type="dxa"/>
            <w:noWrap w:val="0"/>
            <w:vAlign w:val="center"/>
          </w:tcPr>
          <w:p w14:paraId="0E55FE76">
            <w:pPr>
              <w:keepNext w:val="0"/>
              <w:keepLines w:val="0"/>
              <w:widowControl/>
              <w:suppressLineNumbers w:val="0"/>
              <w:spacing w:before="0" w:beforeAutospacing="0" w:after="0" w:afterAutospacing="0"/>
              <w:ind w:left="25" w:leftChars="-51" w:right="0" w:hanging="132" w:hangingChars="60"/>
              <w:jc w:val="center"/>
              <w:rPr>
                <w:rFonts w:hint="default" w:ascii="宋体" w:cs="宋体"/>
                <w:color w:val="000000"/>
                <w:kern w:val="0"/>
                <w:sz w:val="22"/>
                <w:szCs w:val="22"/>
              </w:rPr>
            </w:pPr>
            <w:r>
              <w:rPr>
                <w:rFonts w:hint="default" w:ascii="宋体" w:hAnsi="宋体" w:cs="宋体"/>
                <w:color w:val="000000"/>
                <w:kern w:val="0"/>
                <w:sz w:val="22"/>
                <w:szCs w:val="22"/>
              </w:rPr>
              <w:t>100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200</w:t>
            </w:r>
          </w:p>
        </w:tc>
        <w:tc>
          <w:tcPr>
            <w:tcW w:w="1752" w:type="dxa"/>
            <w:noWrap w:val="0"/>
            <w:vAlign w:val="center"/>
          </w:tcPr>
          <w:p w14:paraId="2CE54157">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20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c>
          <w:tcPr>
            <w:tcW w:w="1008" w:type="dxa"/>
            <w:noWrap w:val="0"/>
            <w:vAlign w:val="center"/>
          </w:tcPr>
          <w:p w14:paraId="70F7EBEB">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20</w:t>
            </w:r>
          </w:p>
        </w:tc>
      </w:tr>
      <w:tr w14:paraId="2B50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continue"/>
            <w:noWrap w:val="0"/>
            <w:vAlign w:val="center"/>
          </w:tcPr>
          <w:p w14:paraId="2F0B0594">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66276717">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5A7174C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1797BAE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30000</w:t>
            </w:r>
          </w:p>
        </w:tc>
        <w:tc>
          <w:tcPr>
            <w:tcW w:w="1862" w:type="dxa"/>
            <w:noWrap w:val="0"/>
            <w:vAlign w:val="center"/>
          </w:tcPr>
          <w:p w14:paraId="67EF869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1000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30000</w:t>
            </w:r>
          </w:p>
        </w:tc>
        <w:tc>
          <w:tcPr>
            <w:tcW w:w="1752" w:type="dxa"/>
            <w:noWrap w:val="0"/>
            <w:vAlign w:val="center"/>
          </w:tcPr>
          <w:p w14:paraId="5FFF9EC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008" w:type="dxa"/>
            <w:noWrap w:val="0"/>
            <w:vAlign w:val="center"/>
          </w:tcPr>
          <w:p w14:paraId="098B688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r>
      <w:tr w14:paraId="2A5C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958" w:type="dxa"/>
            <w:vMerge w:val="restart"/>
            <w:noWrap w:val="0"/>
            <w:vAlign w:val="center"/>
          </w:tcPr>
          <w:p w14:paraId="04754113">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邮政业</w:t>
            </w:r>
          </w:p>
        </w:tc>
        <w:tc>
          <w:tcPr>
            <w:tcW w:w="1524" w:type="dxa"/>
            <w:noWrap w:val="0"/>
            <w:vAlign w:val="center"/>
          </w:tcPr>
          <w:p w14:paraId="6B66708C">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4F092302">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74EF70BD">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862" w:type="dxa"/>
            <w:noWrap w:val="0"/>
            <w:vAlign w:val="center"/>
          </w:tcPr>
          <w:p w14:paraId="41EDF7F7">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300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752" w:type="dxa"/>
            <w:noWrap w:val="0"/>
            <w:vAlign w:val="center"/>
          </w:tcPr>
          <w:p w14:paraId="54D9A1C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20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c>
          <w:tcPr>
            <w:tcW w:w="1008" w:type="dxa"/>
            <w:noWrap w:val="0"/>
            <w:vAlign w:val="center"/>
          </w:tcPr>
          <w:p w14:paraId="5AB3B3C7">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20</w:t>
            </w:r>
          </w:p>
        </w:tc>
      </w:tr>
      <w:tr w14:paraId="74BC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1958" w:type="dxa"/>
            <w:vMerge w:val="continue"/>
            <w:noWrap w:val="0"/>
            <w:vAlign w:val="center"/>
          </w:tcPr>
          <w:p w14:paraId="054C7968">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21328713">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65F26C32">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4997739C">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30000</w:t>
            </w:r>
          </w:p>
        </w:tc>
        <w:tc>
          <w:tcPr>
            <w:tcW w:w="1862" w:type="dxa"/>
            <w:noWrap w:val="0"/>
            <w:vAlign w:val="center"/>
          </w:tcPr>
          <w:p w14:paraId="2B81C19E">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2000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30000</w:t>
            </w:r>
          </w:p>
        </w:tc>
        <w:tc>
          <w:tcPr>
            <w:tcW w:w="1752" w:type="dxa"/>
            <w:noWrap w:val="0"/>
            <w:vAlign w:val="center"/>
          </w:tcPr>
          <w:p w14:paraId="798EBBDA">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2000</w:t>
            </w:r>
          </w:p>
        </w:tc>
        <w:tc>
          <w:tcPr>
            <w:tcW w:w="1008" w:type="dxa"/>
            <w:noWrap w:val="0"/>
            <w:vAlign w:val="center"/>
          </w:tcPr>
          <w:p w14:paraId="4E84100D">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r>
      <w:tr w14:paraId="116E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958" w:type="dxa"/>
            <w:vMerge w:val="restart"/>
            <w:noWrap w:val="0"/>
            <w:vAlign w:val="center"/>
          </w:tcPr>
          <w:p w14:paraId="2302AA51">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住宿业</w:t>
            </w:r>
          </w:p>
        </w:tc>
        <w:tc>
          <w:tcPr>
            <w:tcW w:w="1524" w:type="dxa"/>
            <w:noWrap w:val="0"/>
            <w:vAlign w:val="center"/>
          </w:tcPr>
          <w:p w14:paraId="6ED76D1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6D123FB7">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68AF36B5">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c>
          <w:tcPr>
            <w:tcW w:w="1862" w:type="dxa"/>
            <w:noWrap w:val="0"/>
            <w:vAlign w:val="center"/>
          </w:tcPr>
          <w:p w14:paraId="1FD81C3C">
            <w:pPr>
              <w:keepNext w:val="0"/>
              <w:keepLines w:val="0"/>
              <w:widowControl/>
              <w:suppressLineNumbers w:val="0"/>
              <w:spacing w:before="0" w:beforeAutospacing="0" w:after="0" w:afterAutospacing="0"/>
              <w:ind w:left="25" w:leftChars="-51" w:right="0" w:hanging="132" w:hangingChars="60"/>
              <w:jc w:val="center"/>
              <w:rPr>
                <w:rFonts w:hint="default" w:ascii="宋体" w:cs="宋体"/>
                <w:color w:val="000000"/>
                <w:kern w:val="0"/>
                <w:sz w:val="22"/>
                <w:szCs w:val="22"/>
              </w:rPr>
            </w:pPr>
            <w:r>
              <w:rPr>
                <w:rFonts w:hint="default" w:ascii="宋体" w:hAnsi="宋体" w:cs="宋体"/>
                <w:color w:val="000000"/>
                <w:kern w:val="0"/>
                <w:sz w:val="22"/>
                <w:szCs w:val="22"/>
              </w:rPr>
              <w:t>100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 xml:space="preserve">300 </w:t>
            </w:r>
          </w:p>
        </w:tc>
        <w:tc>
          <w:tcPr>
            <w:tcW w:w="1752" w:type="dxa"/>
            <w:noWrap w:val="0"/>
            <w:vAlign w:val="center"/>
          </w:tcPr>
          <w:p w14:paraId="45C2AC95">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c>
          <w:tcPr>
            <w:tcW w:w="1008" w:type="dxa"/>
            <w:noWrap w:val="0"/>
            <w:vAlign w:val="center"/>
          </w:tcPr>
          <w:p w14:paraId="15D1D55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w:t>
            </w:r>
          </w:p>
        </w:tc>
      </w:tr>
      <w:tr w14:paraId="10BA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958" w:type="dxa"/>
            <w:vMerge w:val="continue"/>
            <w:noWrap w:val="0"/>
            <w:vAlign w:val="center"/>
          </w:tcPr>
          <w:p w14:paraId="7BE981D8">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2D431051">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5E6C126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4A0C997D">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10000</w:t>
            </w:r>
          </w:p>
        </w:tc>
        <w:tc>
          <w:tcPr>
            <w:tcW w:w="1862" w:type="dxa"/>
            <w:noWrap w:val="0"/>
            <w:vAlign w:val="center"/>
          </w:tcPr>
          <w:p w14:paraId="2B033805">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2000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10000</w:t>
            </w:r>
          </w:p>
        </w:tc>
        <w:tc>
          <w:tcPr>
            <w:tcW w:w="1752" w:type="dxa"/>
            <w:noWrap w:val="0"/>
            <w:vAlign w:val="center"/>
          </w:tcPr>
          <w:p w14:paraId="71C51EA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2000</w:t>
            </w:r>
          </w:p>
        </w:tc>
        <w:tc>
          <w:tcPr>
            <w:tcW w:w="1008" w:type="dxa"/>
            <w:noWrap w:val="0"/>
            <w:vAlign w:val="center"/>
          </w:tcPr>
          <w:p w14:paraId="35218F4A">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r>
      <w:tr w14:paraId="499E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restart"/>
            <w:noWrap w:val="0"/>
            <w:vAlign w:val="center"/>
          </w:tcPr>
          <w:p w14:paraId="7A819FF8">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餐饮业</w:t>
            </w:r>
          </w:p>
        </w:tc>
        <w:tc>
          <w:tcPr>
            <w:tcW w:w="1524" w:type="dxa"/>
            <w:noWrap w:val="0"/>
            <w:vAlign w:val="center"/>
          </w:tcPr>
          <w:p w14:paraId="607985E3">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7980EAA8">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6B2B308B">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c>
          <w:tcPr>
            <w:tcW w:w="1862" w:type="dxa"/>
            <w:noWrap w:val="0"/>
            <w:vAlign w:val="center"/>
          </w:tcPr>
          <w:p w14:paraId="75FAC0DF">
            <w:pPr>
              <w:keepNext w:val="0"/>
              <w:keepLines w:val="0"/>
              <w:widowControl/>
              <w:suppressLineNumbers w:val="0"/>
              <w:spacing w:before="0" w:beforeAutospacing="0" w:after="0" w:afterAutospacing="0"/>
              <w:ind w:left="25" w:leftChars="-51" w:right="0" w:hanging="132" w:hangingChars="60"/>
              <w:jc w:val="center"/>
              <w:rPr>
                <w:rFonts w:hint="default" w:ascii="宋体" w:cs="宋体"/>
                <w:color w:val="000000"/>
                <w:kern w:val="0"/>
                <w:sz w:val="22"/>
                <w:szCs w:val="22"/>
              </w:rPr>
            </w:pPr>
            <w:r>
              <w:rPr>
                <w:rFonts w:hint="default" w:ascii="宋体" w:hAnsi="宋体" w:cs="宋体"/>
                <w:color w:val="000000"/>
                <w:kern w:val="0"/>
                <w:sz w:val="22"/>
                <w:szCs w:val="22"/>
              </w:rPr>
              <w:t>100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 xml:space="preserve">300 </w:t>
            </w:r>
          </w:p>
        </w:tc>
        <w:tc>
          <w:tcPr>
            <w:tcW w:w="1752" w:type="dxa"/>
            <w:noWrap w:val="0"/>
            <w:vAlign w:val="center"/>
          </w:tcPr>
          <w:p w14:paraId="4AAE046D">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c>
          <w:tcPr>
            <w:tcW w:w="1008" w:type="dxa"/>
            <w:noWrap w:val="0"/>
            <w:vAlign w:val="center"/>
          </w:tcPr>
          <w:p w14:paraId="1B62656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w:t>
            </w:r>
          </w:p>
        </w:tc>
      </w:tr>
      <w:tr w14:paraId="4A92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continue"/>
            <w:noWrap w:val="0"/>
            <w:vAlign w:val="center"/>
          </w:tcPr>
          <w:p w14:paraId="1314DF99">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5C8264AA">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14465B7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630394EA">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10000</w:t>
            </w:r>
          </w:p>
        </w:tc>
        <w:tc>
          <w:tcPr>
            <w:tcW w:w="1862" w:type="dxa"/>
            <w:noWrap w:val="0"/>
            <w:vAlign w:val="center"/>
          </w:tcPr>
          <w:p w14:paraId="73D839E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2000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10000</w:t>
            </w:r>
          </w:p>
        </w:tc>
        <w:tc>
          <w:tcPr>
            <w:tcW w:w="1752" w:type="dxa"/>
            <w:noWrap w:val="0"/>
            <w:vAlign w:val="center"/>
          </w:tcPr>
          <w:p w14:paraId="1FB5FDB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2000</w:t>
            </w:r>
          </w:p>
        </w:tc>
        <w:tc>
          <w:tcPr>
            <w:tcW w:w="1008" w:type="dxa"/>
            <w:noWrap w:val="0"/>
            <w:vAlign w:val="center"/>
          </w:tcPr>
          <w:p w14:paraId="2DEAACA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r>
      <w:tr w14:paraId="5D3D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restart"/>
            <w:noWrap w:val="0"/>
            <w:vAlign w:val="center"/>
          </w:tcPr>
          <w:p w14:paraId="14C35C51">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信息传输业</w:t>
            </w:r>
            <w:r>
              <w:rPr>
                <w:rFonts w:hint="default" w:ascii="宋体" w:hAnsi="宋体" w:cs="宋体"/>
                <w:color w:val="000000"/>
                <w:kern w:val="0"/>
                <w:sz w:val="22"/>
                <w:szCs w:val="22"/>
              </w:rPr>
              <w:t xml:space="preserve"> *</w:t>
            </w:r>
          </w:p>
        </w:tc>
        <w:tc>
          <w:tcPr>
            <w:tcW w:w="1524" w:type="dxa"/>
            <w:noWrap w:val="0"/>
            <w:vAlign w:val="center"/>
          </w:tcPr>
          <w:p w14:paraId="7EB39D8F">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4964379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4BC15B8C">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2000</w:t>
            </w:r>
          </w:p>
        </w:tc>
        <w:tc>
          <w:tcPr>
            <w:tcW w:w="1862" w:type="dxa"/>
            <w:noWrap w:val="0"/>
            <w:vAlign w:val="center"/>
          </w:tcPr>
          <w:p w14:paraId="1B1EC962">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100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2000</w:t>
            </w:r>
          </w:p>
        </w:tc>
        <w:tc>
          <w:tcPr>
            <w:tcW w:w="1752" w:type="dxa"/>
            <w:noWrap w:val="0"/>
            <w:vAlign w:val="center"/>
          </w:tcPr>
          <w:p w14:paraId="5A1D1D7E">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c>
          <w:tcPr>
            <w:tcW w:w="1008" w:type="dxa"/>
            <w:noWrap w:val="0"/>
            <w:vAlign w:val="center"/>
          </w:tcPr>
          <w:p w14:paraId="49D24D1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w:t>
            </w:r>
          </w:p>
        </w:tc>
      </w:tr>
      <w:tr w14:paraId="227D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8" w:type="dxa"/>
            <w:vMerge w:val="continue"/>
            <w:noWrap w:val="0"/>
            <w:vAlign w:val="center"/>
          </w:tcPr>
          <w:p w14:paraId="02D640A3">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5F90FB15">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26A548DC">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59DA04E5">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100000</w:t>
            </w:r>
          </w:p>
        </w:tc>
        <w:tc>
          <w:tcPr>
            <w:tcW w:w="1862" w:type="dxa"/>
            <w:noWrap w:val="0"/>
            <w:vAlign w:val="center"/>
          </w:tcPr>
          <w:p w14:paraId="3EE9AF2A">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100000</w:t>
            </w:r>
          </w:p>
        </w:tc>
        <w:tc>
          <w:tcPr>
            <w:tcW w:w="1752" w:type="dxa"/>
            <w:noWrap w:val="0"/>
            <w:vAlign w:val="center"/>
          </w:tcPr>
          <w:p w14:paraId="694A10B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008" w:type="dxa"/>
            <w:noWrap w:val="0"/>
            <w:vAlign w:val="center"/>
          </w:tcPr>
          <w:p w14:paraId="1F85258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r>
      <w:tr w14:paraId="1369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8" w:type="dxa"/>
            <w:vMerge w:val="restart"/>
            <w:noWrap w:val="0"/>
            <w:vAlign w:val="center"/>
          </w:tcPr>
          <w:p w14:paraId="4D430906">
            <w:pPr>
              <w:keepNext w:val="0"/>
              <w:keepLines w:val="0"/>
              <w:widowControl/>
              <w:suppressLineNumbers w:val="0"/>
              <w:spacing w:before="0" w:beforeAutospacing="0" w:after="0" w:afterAutospacing="0" w:line="240" w:lineRule="exact"/>
              <w:ind w:left="0" w:right="0"/>
              <w:jc w:val="left"/>
              <w:rPr>
                <w:rFonts w:hint="default" w:ascii="宋体" w:cs="宋体"/>
                <w:color w:val="000000"/>
                <w:spacing w:val="-12"/>
                <w:kern w:val="0"/>
                <w:sz w:val="22"/>
                <w:szCs w:val="22"/>
              </w:rPr>
            </w:pPr>
            <w:r>
              <w:rPr>
                <w:rFonts w:hint="eastAsia" w:ascii="宋体" w:hAnsi="宋体" w:cs="宋体"/>
                <w:color w:val="000000"/>
                <w:spacing w:val="-12"/>
                <w:kern w:val="0"/>
                <w:sz w:val="22"/>
                <w:szCs w:val="22"/>
              </w:rPr>
              <w:t>软件和信息技术服</w:t>
            </w:r>
            <w:r>
              <w:rPr>
                <w:rFonts w:hint="eastAsia" w:ascii="宋体" w:hAnsi="宋体" w:cs="宋体"/>
                <w:color w:val="000000"/>
                <w:kern w:val="0"/>
                <w:sz w:val="22"/>
                <w:szCs w:val="22"/>
              </w:rPr>
              <w:t>务业</w:t>
            </w:r>
          </w:p>
        </w:tc>
        <w:tc>
          <w:tcPr>
            <w:tcW w:w="1524" w:type="dxa"/>
            <w:noWrap w:val="0"/>
            <w:vAlign w:val="center"/>
          </w:tcPr>
          <w:p w14:paraId="3314935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36A47BD7">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31AF2026">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c>
          <w:tcPr>
            <w:tcW w:w="1862" w:type="dxa"/>
            <w:noWrap w:val="0"/>
            <w:vAlign w:val="center"/>
          </w:tcPr>
          <w:p w14:paraId="6CDEED3F">
            <w:pPr>
              <w:keepNext w:val="0"/>
              <w:keepLines w:val="0"/>
              <w:widowControl/>
              <w:suppressLineNumbers w:val="0"/>
              <w:spacing w:before="0" w:beforeAutospacing="0" w:after="0" w:afterAutospacing="0"/>
              <w:ind w:left="25" w:leftChars="-51" w:right="0" w:hanging="132" w:hangingChars="60"/>
              <w:jc w:val="center"/>
              <w:rPr>
                <w:rFonts w:hint="default" w:ascii="宋体" w:cs="宋体"/>
                <w:color w:val="000000"/>
                <w:kern w:val="0"/>
                <w:sz w:val="22"/>
                <w:szCs w:val="22"/>
              </w:rPr>
            </w:pPr>
            <w:r>
              <w:rPr>
                <w:rFonts w:hint="default" w:ascii="宋体" w:hAnsi="宋体" w:cs="宋体"/>
                <w:color w:val="000000"/>
                <w:kern w:val="0"/>
                <w:sz w:val="22"/>
                <w:szCs w:val="22"/>
              </w:rPr>
              <w:t>100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 xml:space="preserve">300 </w:t>
            </w:r>
          </w:p>
        </w:tc>
        <w:tc>
          <w:tcPr>
            <w:tcW w:w="1752" w:type="dxa"/>
            <w:noWrap w:val="0"/>
            <w:vAlign w:val="center"/>
          </w:tcPr>
          <w:p w14:paraId="151B747E">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c>
          <w:tcPr>
            <w:tcW w:w="1008" w:type="dxa"/>
            <w:noWrap w:val="0"/>
            <w:vAlign w:val="center"/>
          </w:tcPr>
          <w:p w14:paraId="6FD44E4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w:t>
            </w:r>
          </w:p>
        </w:tc>
      </w:tr>
      <w:tr w14:paraId="2C01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8" w:type="dxa"/>
            <w:vMerge w:val="continue"/>
            <w:noWrap w:val="0"/>
            <w:vAlign w:val="center"/>
          </w:tcPr>
          <w:p w14:paraId="22811C41">
            <w:pPr>
              <w:keepNext w:val="0"/>
              <w:keepLines w:val="0"/>
              <w:widowControl/>
              <w:suppressLineNumbers w:val="0"/>
              <w:spacing w:before="0" w:beforeAutospacing="0" w:after="0" w:afterAutospacing="0"/>
              <w:ind w:left="0" w:right="0"/>
              <w:jc w:val="left"/>
              <w:rPr>
                <w:rFonts w:hint="default" w:ascii="宋体" w:cs="宋体"/>
                <w:color w:val="000000"/>
                <w:spacing w:val="-12"/>
                <w:kern w:val="0"/>
                <w:sz w:val="22"/>
                <w:szCs w:val="22"/>
              </w:rPr>
            </w:pPr>
          </w:p>
        </w:tc>
        <w:tc>
          <w:tcPr>
            <w:tcW w:w="1524" w:type="dxa"/>
            <w:noWrap w:val="0"/>
            <w:vAlign w:val="center"/>
          </w:tcPr>
          <w:p w14:paraId="2F5A792A">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17676DAC">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10204EDF">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10000</w:t>
            </w:r>
          </w:p>
        </w:tc>
        <w:tc>
          <w:tcPr>
            <w:tcW w:w="1862" w:type="dxa"/>
            <w:noWrap w:val="0"/>
            <w:vAlign w:val="center"/>
          </w:tcPr>
          <w:p w14:paraId="4694A51A">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1000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10000</w:t>
            </w:r>
          </w:p>
        </w:tc>
        <w:tc>
          <w:tcPr>
            <w:tcW w:w="1752" w:type="dxa"/>
            <w:noWrap w:val="0"/>
            <w:vAlign w:val="center"/>
          </w:tcPr>
          <w:p w14:paraId="01C9515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50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008" w:type="dxa"/>
            <w:noWrap w:val="0"/>
            <w:vAlign w:val="center"/>
          </w:tcPr>
          <w:p w14:paraId="29C61A08">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50</w:t>
            </w:r>
          </w:p>
        </w:tc>
      </w:tr>
      <w:tr w14:paraId="655F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8" w:type="dxa"/>
            <w:vMerge w:val="restart"/>
            <w:noWrap w:val="0"/>
            <w:vAlign w:val="center"/>
          </w:tcPr>
          <w:p w14:paraId="5AA92AC7">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房地产开发经营</w:t>
            </w:r>
          </w:p>
        </w:tc>
        <w:tc>
          <w:tcPr>
            <w:tcW w:w="1524" w:type="dxa"/>
            <w:noWrap w:val="0"/>
            <w:vAlign w:val="center"/>
          </w:tcPr>
          <w:p w14:paraId="19C83F88">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08AC4E7C">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59C4A6A2">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200000</w:t>
            </w:r>
          </w:p>
        </w:tc>
        <w:tc>
          <w:tcPr>
            <w:tcW w:w="1862" w:type="dxa"/>
            <w:noWrap w:val="0"/>
            <w:vAlign w:val="center"/>
          </w:tcPr>
          <w:p w14:paraId="47A38AE3">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200000</w:t>
            </w:r>
          </w:p>
        </w:tc>
        <w:tc>
          <w:tcPr>
            <w:tcW w:w="1752" w:type="dxa"/>
            <w:noWrap w:val="0"/>
            <w:vAlign w:val="center"/>
          </w:tcPr>
          <w:p w14:paraId="02736157">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008" w:type="dxa"/>
            <w:noWrap w:val="0"/>
            <w:vAlign w:val="center"/>
          </w:tcPr>
          <w:p w14:paraId="5F326F9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r>
      <w:tr w14:paraId="4AC7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1958" w:type="dxa"/>
            <w:vMerge w:val="continue"/>
            <w:noWrap w:val="0"/>
            <w:vAlign w:val="center"/>
          </w:tcPr>
          <w:p w14:paraId="686A30DD">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7C199426">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资产总额</w:t>
            </w:r>
            <w:r>
              <w:rPr>
                <w:rFonts w:hint="default" w:ascii="宋体" w:hAnsi="宋体" w:cs="宋体"/>
                <w:color w:val="000000"/>
                <w:kern w:val="0"/>
                <w:sz w:val="22"/>
                <w:szCs w:val="22"/>
              </w:rPr>
              <w:t>(Z)</w:t>
            </w:r>
          </w:p>
        </w:tc>
        <w:tc>
          <w:tcPr>
            <w:tcW w:w="709" w:type="dxa"/>
            <w:noWrap w:val="0"/>
            <w:vAlign w:val="center"/>
          </w:tcPr>
          <w:p w14:paraId="6887C7BE">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011D48D7">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10000</w:t>
            </w:r>
          </w:p>
        </w:tc>
        <w:tc>
          <w:tcPr>
            <w:tcW w:w="1862" w:type="dxa"/>
            <w:noWrap w:val="0"/>
            <w:vAlign w:val="center"/>
          </w:tcPr>
          <w:p w14:paraId="2936F4E3">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5000</w:t>
            </w:r>
            <w:r>
              <w:rPr>
                <w:rFonts w:hint="eastAsia" w:ascii="宋体" w:hAnsi="宋体" w:cs="宋体"/>
                <w:color w:val="000000"/>
                <w:kern w:val="0"/>
                <w:sz w:val="22"/>
                <w:szCs w:val="22"/>
              </w:rPr>
              <w:t>≤</w:t>
            </w: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10000</w:t>
            </w:r>
          </w:p>
        </w:tc>
        <w:tc>
          <w:tcPr>
            <w:tcW w:w="1752" w:type="dxa"/>
            <w:noWrap w:val="0"/>
            <w:vAlign w:val="center"/>
          </w:tcPr>
          <w:p w14:paraId="2A2B418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2000</w:t>
            </w:r>
            <w:r>
              <w:rPr>
                <w:rFonts w:hint="eastAsia" w:ascii="宋体" w:hAnsi="宋体" w:cs="宋体"/>
                <w:color w:val="000000"/>
                <w:kern w:val="0"/>
                <w:sz w:val="22"/>
                <w:szCs w:val="22"/>
              </w:rPr>
              <w:t>≤</w:t>
            </w: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 xml:space="preserve">5000   </w:t>
            </w:r>
          </w:p>
        </w:tc>
        <w:tc>
          <w:tcPr>
            <w:tcW w:w="1008" w:type="dxa"/>
            <w:noWrap w:val="0"/>
            <w:vAlign w:val="center"/>
          </w:tcPr>
          <w:p w14:paraId="39FE053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2000</w:t>
            </w:r>
          </w:p>
        </w:tc>
      </w:tr>
      <w:tr w14:paraId="75A3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8" w:type="dxa"/>
            <w:vMerge w:val="restart"/>
            <w:noWrap w:val="0"/>
            <w:vAlign w:val="center"/>
          </w:tcPr>
          <w:p w14:paraId="69037CF5">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物业管理</w:t>
            </w:r>
          </w:p>
        </w:tc>
        <w:tc>
          <w:tcPr>
            <w:tcW w:w="1524" w:type="dxa"/>
            <w:noWrap w:val="0"/>
            <w:vAlign w:val="center"/>
          </w:tcPr>
          <w:p w14:paraId="1454039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572E6BDF">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52EB82A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862" w:type="dxa"/>
            <w:noWrap w:val="0"/>
            <w:vAlign w:val="center"/>
          </w:tcPr>
          <w:p w14:paraId="307EE362">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300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752" w:type="dxa"/>
            <w:noWrap w:val="0"/>
            <w:vAlign w:val="center"/>
          </w:tcPr>
          <w:p w14:paraId="5426F297">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100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 xml:space="preserve">300 </w:t>
            </w:r>
          </w:p>
        </w:tc>
        <w:tc>
          <w:tcPr>
            <w:tcW w:w="1008" w:type="dxa"/>
            <w:noWrap w:val="0"/>
            <w:vAlign w:val="center"/>
          </w:tcPr>
          <w:p w14:paraId="7C6B622E">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r>
      <w:tr w14:paraId="3061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8" w:type="dxa"/>
            <w:vMerge w:val="continue"/>
            <w:noWrap w:val="0"/>
            <w:vAlign w:val="center"/>
          </w:tcPr>
          <w:p w14:paraId="47BBDD3B">
            <w:pPr>
              <w:keepNext w:val="0"/>
              <w:keepLines w:val="0"/>
              <w:widowControl/>
              <w:suppressLineNumbers w:val="0"/>
              <w:spacing w:before="0" w:beforeAutospacing="0" w:after="0" w:afterAutospacing="0"/>
              <w:ind w:left="0" w:right="0"/>
              <w:jc w:val="left"/>
              <w:rPr>
                <w:rFonts w:hint="default" w:ascii="宋体" w:cs="宋体"/>
                <w:color w:val="000000"/>
                <w:kern w:val="0"/>
                <w:sz w:val="22"/>
                <w:szCs w:val="22"/>
              </w:rPr>
            </w:pPr>
          </w:p>
        </w:tc>
        <w:tc>
          <w:tcPr>
            <w:tcW w:w="1524" w:type="dxa"/>
            <w:noWrap w:val="0"/>
            <w:vAlign w:val="center"/>
          </w:tcPr>
          <w:p w14:paraId="543A97EB">
            <w:pPr>
              <w:keepNext w:val="0"/>
              <w:keepLines w:val="0"/>
              <w:widowControl/>
              <w:suppressLineNumbers w:val="0"/>
              <w:spacing w:before="0" w:beforeAutospacing="0" w:after="0" w:afterAutospacing="0" w:line="240" w:lineRule="exact"/>
              <w:ind w:left="0" w:right="0"/>
              <w:jc w:val="center"/>
              <w:rPr>
                <w:rFonts w:hint="default" w:ascii="宋体" w:cs="宋体"/>
                <w:color w:val="000000"/>
                <w:kern w:val="0"/>
                <w:sz w:val="22"/>
                <w:szCs w:val="22"/>
              </w:rPr>
            </w:pPr>
            <w:r>
              <w:rPr>
                <w:rFonts w:hint="eastAsia" w:ascii="宋体" w:hAnsi="宋体" w:cs="宋体"/>
                <w:color w:val="000000"/>
                <w:kern w:val="0"/>
                <w:sz w:val="22"/>
                <w:szCs w:val="22"/>
              </w:rPr>
              <w:t>营业收入</w:t>
            </w:r>
            <w:r>
              <w:rPr>
                <w:rFonts w:hint="default" w:ascii="宋体" w:hAnsi="宋体" w:cs="宋体"/>
                <w:color w:val="000000"/>
                <w:kern w:val="0"/>
                <w:sz w:val="22"/>
                <w:szCs w:val="22"/>
              </w:rPr>
              <w:t>(Y)</w:t>
            </w:r>
          </w:p>
        </w:tc>
        <w:tc>
          <w:tcPr>
            <w:tcW w:w="709" w:type="dxa"/>
            <w:noWrap w:val="0"/>
            <w:vAlign w:val="center"/>
          </w:tcPr>
          <w:p w14:paraId="4646828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36B7148C">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5000</w:t>
            </w:r>
          </w:p>
        </w:tc>
        <w:tc>
          <w:tcPr>
            <w:tcW w:w="1862" w:type="dxa"/>
            <w:noWrap w:val="0"/>
            <w:vAlign w:val="center"/>
          </w:tcPr>
          <w:p w14:paraId="38743380">
            <w:pPr>
              <w:keepNext w:val="0"/>
              <w:keepLines w:val="0"/>
              <w:widowControl/>
              <w:suppressLineNumbers w:val="0"/>
              <w:spacing w:before="0" w:beforeAutospacing="0" w:after="0" w:afterAutospacing="0"/>
              <w:ind w:left="25" w:leftChars="-51" w:right="0" w:hanging="132" w:hangingChars="60"/>
              <w:jc w:val="center"/>
              <w:rPr>
                <w:rFonts w:hint="default" w:ascii="宋体" w:cs="宋体"/>
                <w:color w:val="000000"/>
                <w:kern w:val="0"/>
                <w:sz w:val="22"/>
                <w:szCs w:val="22"/>
              </w:rPr>
            </w:pPr>
            <w:r>
              <w:rPr>
                <w:rFonts w:hint="default" w:ascii="宋体" w:hAnsi="宋体" w:cs="宋体"/>
                <w:color w:val="000000"/>
                <w:kern w:val="0"/>
                <w:sz w:val="22"/>
                <w:szCs w:val="22"/>
              </w:rPr>
              <w:t>1000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 xml:space="preserve">5000 </w:t>
            </w:r>
          </w:p>
        </w:tc>
        <w:tc>
          <w:tcPr>
            <w:tcW w:w="1752" w:type="dxa"/>
            <w:noWrap w:val="0"/>
            <w:vAlign w:val="center"/>
          </w:tcPr>
          <w:p w14:paraId="785719F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500</w:t>
            </w:r>
            <w:r>
              <w:rPr>
                <w:rFonts w:hint="eastAsia" w:ascii="宋体" w:hAnsi="宋体" w:cs="宋体"/>
                <w:color w:val="000000"/>
                <w:kern w:val="0"/>
                <w:sz w:val="22"/>
                <w:szCs w:val="22"/>
              </w:rPr>
              <w:t>≤</w:t>
            </w: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1000</w:t>
            </w:r>
          </w:p>
        </w:tc>
        <w:tc>
          <w:tcPr>
            <w:tcW w:w="1008" w:type="dxa"/>
            <w:noWrap w:val="0"/>
            <w:vAlign w:val="center"/>
          </w:tcPr>
          <w:p w14:paraId="5AB66601">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Y</w:t>
            </w:r>
            <w:r>
              <w:rPr>
                <w:rFonts w:hint="eastAsia" w:ascii="宋体" w:hAnsi="宋体" w:cs="宋体"/>
                <w:color w:val="000000"/>
                <w:kern w:val="0"/>
                <w:sz w:val="22"/>
                <w:szCs w:val="22"/>
              </w:rPr>
              <w:t>＜</w:t>
            </w:r>
            <w:r>
              <w:rPr>
                <w:rFonts w:hint="default" w:ascii="宋体" w:hAnsi="宋体" w:cs="宋体"/>
                <w:color w:val="000000"/>
                <w:kern w:val="0"/>
                <w:sz w:val="22"/>
                <w:szCs w:val="22"/>
              </w:rPr>
              <w:t>500</w:t>
            </w:r>
          </w:p>
        </w:tc>
      </w:tr>
      <w:tr w14:paraId="4C80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8" w:type="dxa"/>
            <w:vMerge w:val="restart"/>
            <w:noWrap w:val="0"/>
            <w:vAlign w:val="center"/>
          </w:tcPr>
          <w:p w14:paraId="5361B7A5">
            <w:pPr>
              <w:keepNext w:val="0"/>
              <w:keepLines w:val="0"/>
              <w:widowControl/>
              <w:suppressLineNumbers w:val="0"/>
              <w:spacing w:before="0" w:beforeAutospacing="0" w:after="0" w:afterAutospacing="0" w:line="240" w:lineRule="exact"/>
              <w:ind w:left="0" w:right="0"/>
              <w:jc w:val="left"/>
              <w:rPr>
                <w:rFonts w:hint="default" w:ascii="宋体" w:cs="宋体"/>
                <w:color w:val="auto"/>
                <w:kern w:val="0"/>
                <w:sz w:val="22"/>
                <w:szCs w:val="22"/>
                <w:highlight w:val="yellow"/>
              </w:rPr>
            </w:pPr>
            <w:r>
              <w:rPr>
                <w:rFonts w:hint="eastAsia" w:ascii="宋体" w:hAnsi="宋体" w:cs="宋体"/>
                <w:color w:val="000000"/>
                <w:kern w:val="0"/>
                <w:sz w:val="22"/>
                <w:szCs w:val="22"/>
              </w:rPr>
              <w:t>租赁和商务服务业</w:t>
            </w:r>
          </w:p>
        </w:tc>
        <w:tc>
          <w:tcPr>
            <w:tcW w:w="1524" w:type="dxa"/>
            <w:noWrap w:val="0"/>
            <w:vAlign w:val="center"/>
          </w:tcPr>
          <w:p w14:paraId="2B3B6CFF">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1D966D5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3E8FACD3">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c>
          <w:tcPr>
            <w:tcW w:w="1862" w:type="dxa"/>
            <w:noWrap w:val="0"/>
            <w:vAlign w:val="center"/>
          </w:tcPr>
          <w:p w14:paraId="0EAD929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default" w:ascii="宋体" w:hAnsi="宋体" w:cs="宋体"/>
                <w:color w:val="000000"/>
                <w:kern w:val="0"/>
                <w:sz w:val="22"/>
                <w:szCs w:val="22"/>
              </w:rPr>
              <w:t>100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 xml:space="preserve">300 </w:t>
            </w:r>
          </w:p>
        </w:tc>
        <w:tc>
          <w:tcPr>
            <w:tcW w:w="1752" w:type="dxa"/>
            <w:noWrap w:val="0"/>
            <w:vAlign w:val="center"/>
          </w:tcPr>
          <w:p w14:paraId="6C17F06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default" w:ascii="宋体" w:hAnsi="宋体" w:cs="宋体"/>
                <w:color w:val="000000"/>
                <w:kern w:val="0"/>
                <w:sz w:val="22"/>
                <w:szCs w:val="22"/>
              </w:rPr>
              <w:t xml:space="preserve"> 10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c>
          <w:tcPr>
            <w:tcW w:w="1008" w:type="dxa"/>
            <w:noWrap w:val="0"/>
            <w:vAlign w:val="center"/>
          </w:tcPr>
          <w:p w14:paraId="11FE96F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w:t>
            </w:r>
          </w:p>
        </w:tc>
      </w:tr>
      <w:tr w14:paraId="3A21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958" w:type="dxa"/>
            <w:vMerge w:val="continue"/>
            <w:noWrap w:val="0"/>
            <w:vAlign w:val="center"/>
          </w:tcPr>
          <w:p w14:paraId="3B28C946">
            <w:pPr>
              <w:keepNext w:val="0"/>
              <w:keepLines w:val="0"/>
              <w:widowControl/>
              <w:suppressLineNumbers w:val="0"/>
              <w:spacing w:before="0" w:beforeAutospacing="0" w:after="0" w:afterAutospacing="0"/>
              <w:ind w:left="0" w:right="0"/>
              <w:jc w:val="left"/>
              <w:rPr>
                <w:rFonts w:hint="default" w:ascii="宋体" w:cs="宋体"/>
                <w:color w:val="auto"/>
                <w:kern w:val="0"/>
                <w:sz w:val="22"/>
                <w:szCs w:val="22"/>
                <w:highlight w:val="yellow"/>
              </w:rPr>
            </w:pPr>
          </w:p>
        </w:tc>
        <w:tc>
          <w:tcPr>
            <w:tcW w:w="1524" w:type="dxa"/>
            <w:noWrap w:val="0"/>
            <w:vAlign w:val="center"/>
          </w:tcPr>
          <w:p w14:paraId="4C5159D7">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资产总额</w:t>
            </w:r>
            <w:r>
              <w:rPr>
                <w:rFonts w:hint="default" w:ascii="宋体" w:hAnsi="宋体" w:cs="宋体"/>
                <w:color w:val="000000"/>
                <w:kern w:val="0"/>
                <w:sz w:val="22"/>
                <w:szCs w:val="22"/>
              </w:rPr>
              <w:t>(Z)</w:t>
            </w:r>
          </w:p>
        </w:tc>
        <w:tc>
          <w:tcPr>
            <w:tcW w:w="709" w:type="dxa"/>
            <w:noWrap w:val="0"/>
            <w:vAlign w:val="center"/>
          </w:tcPr>
          <w:p w14:paraId="61F73049">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万元</w:t>
            </w:r>
          </w:p>
        </w:tc>
        <w:tc>
          <w:tcPr>
            <w:tcW w:w="1125" w:type="dxa"/>
            <w:noWrap w:val="0"/>
            <w:vAlign w:val="center"/>
          </w:tcPr>
          <w:p w14:paraId="4023295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120000</w:t>
            </w:r>
          </w:p>
        </w:tc>
        <w:tc>
          <w:tcPr>
            <w:tcW w:w="1862" w:type="dxa"/>
            <w:noWrap w:val="0"/>
            <w:vAlign w:val="center"/>
          </w:tcPr>
          <w:p w14:paraId="44C5BEE8">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default" w:ascii="宋体" w:hAnsi="宋体" w:cs="宋体"/>
                <w:color w:val="000000"/>
                <w:kern w:val="0"/>
                <w:sz w:val="22"/>
                <w:szCs w:val="22"/>
              </w:rPr>
              <w:t xml:space="preserve"> 8000</w:t>
            </w:r>
            <w:r>
              <w:rPr>
                <w:rFonts w:hint="eastAsia" w:ascii="宋体" w:hAnsi="宋体" w:cs="宋体"/>
                <w:color w:val="000000"/>
                <w:kern w:val="0"/>
                <w:sz w:val="22"/>
                <w:szCs w:val="22"/>
              </w:rPr>
              <w:t>≤</w:t>
            </w: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120000</w:t>
            </w:r>
          </w:p>
        </w:tc>
        <w:tc>
          <w:tcPr>
            <w:tcW w:w="1752" w:type="dxa"/>
            <w:noWrap w:val="0"/>
            <w:vAlign w:val="center"/>
          </w:tcPr>
          <w:p w14:paraId="0D5BFC2A">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default" w:ascii="宋体" w:hAnsi="宋体" w:cs="宋体"/>
                <w:color w:val="000000"/>
                <w:kern w:val="0"/>
                <w:sz w:val="22"/>
                <w:szCs w:val="22"/>
              </w:rPr>
              <w:t xml:space="preserve"> 100</w:t>
            </w:r>
            <w:r>
              <w:rPr>
                <w:rFonts w:hint="eastAsia" w:ascii="宋体" w:hAnsi="宋体" w:cs="宋体"/>
                <w:color w:val="000000"/>
                <w:kern w:val="0"/>
                <w:sz w:val="22"/>
                <w:szCs w:val="22"/>
              </w:rPr>
              <w:t>≤</w:t>
            </w: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8000</w:t>
            </w:r>
          </w:p>
        </w:tc>
        <w:tc>
          <w:tcPr>
            <w:tcW w:w="1008" w:type="dxa"/>
            <w:noWrap w:val="0"/>
            <w:vAlign w:val="center"/>
          </w:tcPr>
          <w:p w14:paraId="0492960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2"/>
                <w:szCs w:val="22"/>
              </w:rPr>
            </w:pPr>
            <w:r>
              <w:rPr>
                <w:rFonts w:hint="default" w:ascii="宋体" w:hAnsi="宋体" w:cs="宋体"/>
                <w:color w:val="000000"/>
                <w:kern w:val="0"/>
                <w:sz w:val="22"/>
                <w:szCs w:val="22"/>
              </w:rPr>
              <w:t>Z</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r>
      <w:tr w14:paraId="6A5E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1958" w:type="dxa"/>
            <w:noWrap w:val="0"/>
            <w:vAlign w:val="center"/>
          </w:tcPr>
          <w:p w14:paraId="1115BEF8">
            <w:pPr>
              <w:keepNext w:val="0"/>
              <w:keepLines w:val="0"/>
              <w:widowControl/>
              <w:suppressLineNumbers w:val="0"/>
              <w:spacing w:before="0" w:beforeAutospacing="0" w:after="0" w:afterAutospacing="0" w:line="240" w:lineRule="exact"/>
              <w:ind w:left="0" w:right="0"/>
              <w:jc w:val="left"/>
              <w:rPr>
                <w:rFonts w:hint="default" w:ascii="宋体" w:cs="宋体"/>
                <w:color w:val="000000"/>
                <w:kern w:val="0"/>
                <w:sz w:val="22"/>
                <w:szCs w:val="22"/>
              </w:rPr>
            </w:pPr>
            <w:r>
              <w:rPr>
                <w:rFonts w:hint="eastAsia" w:ascii="宋体" w:hAnsi="宋体" w:cs="宋体"/>
                <w:color w:val="000000"/>
                <w:kern w:val="0"/>
                <w:sz w:val="22"/>
                <w:szCs w:val="22"/>
              </w:rPr>
              <w:t>其他未列明行业</w:t>
            </w:r>
            <w:r>
              <w:rPr>
                <w:rFonts w:hint="default" w:ascii="宋体" w:hAnsi="宋体" w:cs="宋体"/>
                <w:color w:val="000000"/>
                <w:kern w:val="0"/>
                <w:sz w:val="22"/>
                <w:szCs w:val="22"/>
              </w:rPr>
              <w:t xml:space="preserve"> *</w:t>
            </w:r>
          </w:p>
        </w:tc>
        <w:tc>
          <w:tcPr>
            <w:tcW w:w="1524" w:type="dxa"/>
            <w:noWrap w:val="0"/>
            <w:vAlign w:val="center"/>
          </w:tcPr>
          <w:p w14:paraId="32DA9F1C">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从业人员</w:t>
            </w:r>
            <w:r>
              <w:rPr>
                <w:rFonts w:hint="default" w:ascii="宋体" w:hAnsi="宋体" w:cs="宋体"/>
                <w:color w:val="000000"/>
                <w:kern w:val="0"/>
                <w:sz w:val="22"/>
                <w:szCs w:val="22"/>
              </w:rPr>
              <w:t>(X)</w:t>
            </w:r>
          </w:p>
        </w:tc>
        <w:tc>
          <w:tcPr>
            <w:tcW w:w="709" w:type="dxa"/>
            <w:noWrap w:val="0"/>
            <w:vAlign w:val="center"/>
          </w:tcPr>
          <w:p w14:paraId="10415CA9">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eastAsia" w:ascii="宋体" w:hAnsi="宋体" w:cs="宋体"/>
                <w:color w:val="000000"/>
                <w:kern w:val="0"/>
                <w:sz w:val="22"/>
                <w:szCs w:val="22"/>
              </w:rPr>
              <w:t>人</w:t>
            </w:r>
          </w:p>
        </w:tc>
        <w:tc>
          <w:tcPr>
            <w:tcW w:w="1125" w:type="dxa"/>
            <w:noWrap w:val="0"/>
            <w:vAlign w:val="center"/>
          </w:tcPr>
          <w:p w14:paraId="4DBF7244">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300</w:t>
            </w:r>
          </w:p>
        </w:tc>
        <w:tc>
          <w:tcPr>
            <w:tcW w:w="1862" w:type="dxa"/>
            <w:noWrap w:val="0"/>
            <w:vAlign w:val="center"/>
          </w:tcPr>
          <w:p w14:paraId="367009C6">
            <w:pPr>
              <w:keepNext w:val="0"/>
              <w:keepLines w:val="0"/>
              <w:widowControl/>
              <w:suppressLineNumbers w:val="0"/>
              <w:spacing w:before="0" w:beforeAutospacing="0" w:after="0" w:afterAutospacing="0"/>
              <w:ind w:left="25" w:leftChars="-51" w:right="0" w:hanging="132" w:hangingChars="60"/>
              <w:jc w:val="center"/>
              <w:rPr>
                <w:rFonts w:hint="default" w:ascii="宋体" w:cs="宋体"/>
                <w:color w:val="000000"/>
                <w:kern w:val="0"/>
                <w:sz w:val="22"/>
                <w:szCs w:val="22"/>
              </w:rPr>
            </w:pPr>
            <w:r>
              <w:rPr>
                <w:rFonts w:hint="default" w:ascii="宋体" w:hAnsi="宋体" w:cs="宋体"/>
                <w:color w:val="000000"/>
                <w:kern w:val="0"/>
                <w:sz w:val="22"/>
                <w:szCs w:val="22"/>
              </w:rPr>
              <w:t>100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 xml:space="preserve">300 </w:t>
            </w:r>
          </w:p>
        </w:tc>
        <w:tc>
          <w:tcPr>
            <w:tcW w:w="1752" w:type="dxa"/>
            <w:noWrap w:val="0"/>
            <w:vAlign w:val="center"/>
          </w:tcPr>
          <w:p w14:paraId="38ED2230">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 xml:space="preserve"> 10</w:t>
            </w:r>
            <w:r>
              <w:rPr>
                <w:rFonts w:hint="eastAsia" w:ascii="宋体" w:hAnsi="宋体" w:cs="宋体"/>
                <w:color w:val="000000"/>
                <w:kern w:val="0"/>
                <w:sz w:val="22"/>
                <w:szCs w:val="22"/>
              </w:rPr>
              <w:t>≤</w:t>
            </w: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100</w:t>
            </w:r>
          </w:p>
        </w:tc>
        <w:tc>
          <w:tcPr>
            <w:tcW w:w="1008" w:type="dxa"/>
            <w:noWrap w:val="0"/>
            <w:vAlign w:val="center"/>
          </w:tcPr>
          <w:p w14:paraId="2DB3E86E">
            <w:pPr>
              <w:keepNext w:val="0"/>
              <w:keepLines w:val="0"/>
              <w:widowControl/>
              <w:suppressLineNumbers w:val="0"/>
              <w:spacing w:before="0" w:beforeAutospacing="0" w:after="0" w:afterAutospacing="0"/>
              <w:ind w:left="0" w:right="0"/>
              <w:jc w:val="center"/>
              <w:rPr>
                <w:rFonts w:hint="default" w:ascii="宋体" w:cs="宋体"/>
                <w:color w:val="000000"/>
                <w:kern w:val="0"/>
                <w:sz w:val="22"/>
                <w:szCs w:val="22"/>
              </w:rPr>
            </w:pPr>
            <w:r>
              <w:rPr>
                <w:rFonts w:hint="default" w:ascii="宋体" w:hAnsi="宋体" w:cs="宋体"/>
                <w:color w:val="000000"/>
                <w:kern w:val="0"/>
                <w:sz w:val="22"/>
                <w:szCs w:val="22"/>
              </w:rPr>
              <w:t>X</w:t>
            </w:r>
            <w:r>
              <w:rPr>
                <w:rFonts w:hint="eastAsia" w:ascii="宋体" w:hAnsi="宋体" w:cs="宋体"/>
                <w:color w:val="000000"/>
                <w:kern w:val="0"/>
                <w:sz w:val="22"/>
                <w:szCs w:val="22"/>
              </w:rPr>
              <w:t>＜</w:t>
            </w:r>
            <w:r>
              <w:rPr>
                <w:rFonts w:hint="default" w:ascii="宋体" w:hAnsi="宋体" w:cs="宋体"/>
                <w:color w:val="000000"/>
                <w:kern w:val="0"/>
                <w:sz w:val="22"/>
                <w:szCs w:val="22"/>
              </w:rPr>
              <w:t>10</w:t>
            </w:r>
          </w:p>
        </w:tc>
      </w:tr>
    </w:tbl>
    <w:p w14:paraId="1CC742B5">
      <w:pPr>
        <w:widowControl/>
        <w:spacing w:line="540" w:lineRule="exact"/>
        <w:rPr>
          <w:rFonts w:ascii="宋体" w:hAnsi="宋体" w:cs="宋体"/>
          <w:color w:val="000000"/>
          <w:spacing w:val="8"/>
          <w:kern w:val="0"/>
          <w:sz w:val="24"/>
          <w:szCs w:val="24"/>
        </w:rPr>
      </w:pPr>
      <w:r>
        <w:rPr>
          <w:rFonts w:hint="eastAsia" w:ascii="宋体" w:hAnsi="宋体" w:cs="宋体"/>
          <w:color w:val="000000"/>
          <w:spacing w:val="8"/>
          <w:kern w:val="0"/>
          <w:sz w:val="24"/>
          <w:szCs w:val="24"/>
        </w:rPr>
        <w:t>说明：</w:t>
      </w:r>
    </w:p>
    <w:p w14:paraId="1CDCD8FD">
      <w:pPr>
        <w:spacing w:line="540" w:lineRule="exact"/>
        <w:ind w:firstLine="512" w:firstLineChars="200"/>
        <w:rPr>
          <w:rFonts w:ascii="宋体" w:hAnsi="宋体" w:cs="宋体"/>
          <w:color w:val="000000"/>
          <w:spacing w:val="8"/>
          <w:kern w:val="0"/>
          <w:sz w:val="24"/>
          <w:szCs w:val="24"/>
        </w:rPr>
      </w:pPr>
      <w:r>
        <w:rPr>
          <w:rFonts w:ascii="宋体" w:hAnsi="宋体"/>
          <w:color w:val="000000"/>
          <w:spacing w:val="8"/>
          <w:kern w:val="0"/>
          <w:sz w:val="24"/>
          <w:szCs w:val="24"/>
        </w:rPr>
        <w:t>1.</w:t>
      </w:r>
      <w:r>
        <w:rPr>
          <w:rFonts w:hint="eastAsia" w:ascii="宋体" w:hAnsi="宋体" w:cs="宋体"/>
          <w:color w:val="000000"/>
          <w:spacing w:val="8"/>
          <w:kern w:val="0"/>
          <w:sz w:val="24"/>
          <w:szCs w:val="24"/>
        </w:rPr>
        <w:t>大型、中型和小型企业须同时满足所列指标的下限，否则下划一档；微型企业只须满足所列指标中的一项即可。</w:t>
      </w:r>
    </w:p>
    <w:p w14:paraId="7ACE907E">
      <w:pPr>
        <w:spacing w:line="540" w:lineRule="exact"/>
        <w:rPr>
          <w:rFonts w:ascii="宋体" w:hAnsi="宋体" w:cs="宋体"/>
          <w:color w:val="000000"/>
          <w:spacing w:val="8"/>
          <w:kern w:val="0"/>
          <w:sz w:val="24"/>
          <w:szCs w:val="24"/>
        </w:rPr>
      </w:pPr>
      <w:r>
        <w:rPr>
          <w:rFonts w:hint="eastAsia" w:ascii="宋体" w:hAnsi="宋体" w:cs="宋体"/>
          <w:color w:val="000000"/>
          <w:spacing w:val="8"/>
          <w:kern w:val="0"/>
          <w:sz w:val="24"/>
          <w:szCs w:val="24"/>
        </w:rPr>
        <w:t>　　</w:t>
      </w:r>
      <w:r>
        <w:rPr>
          <w:rFonts w:ascii="宋体" w:hAnsi="宋体"/>
          <w:color w:val="000000"/>
          <w:spacing w:val="8"/>
          <w:kern w:val="0"/>
          <w:sz w:val="24"/>
          <w:szCs w:val="24"/>
        </w:rPr>
        <w:t>2.</w:t>
      </w:r>
      <w:r>
        <w:rPr>
          <w:rFonts w:hint="eastAsia" w:ascii="宋体" w:hAnsi="宋体" w:cs="宋体"/>
          <w:color w:val="000000"/>
          <w:spacing w:val="8"/>
          <w:kern w:val="0"/>
          <w:sz w:val="24"/>
          <w:szCs w:val="24"/>
        </w:rPr>
        <w:t>附表中各行业的范围以《国民经济行业分类》（</w:t>
      </w:r>
      <w:r>
        <w:rPr>
          <w:rFonts w:ascii="宋体" w:hAnsi="宋体"/>
          <w:color w:val="000000"/>
          <w:spacing w:val="8"/>
          <w:kern w:val="0"/>
          <w:sz w:val="24"/>
          <w:szCs w:val="24"/>
        </w:rPr>
        <w:t>GB/T4754-2017</w:t>
      </w:r>
      <w:r>
        <w:rPr>
          <w:rFonts w:hint="eastAsia" w:ascii="宋体" w:hAnsi="宋体" w:cs="宋体"/>
          <w:color w:val="000000"/>
          <w:spacing w:val="8"/>
          <w:kern w:val="0"/>
          <w:sz w:val="24"/>
          <w:szCs w:val="24"/>
        </w:rPr>
        <w:t>）为准。带</w:t>
      </w:r>
      <w:r>
        <w:rPr>
          <w:rFonts w:ascii="宋体" w:hAnsi="宋体"/>
          <w:color w:val="000000"/>
          <w:spacing w:val="8"/>
          <w:kern w:val="0"/>
          <w:sz w:val="24"/>
          <w:szCs w:val="24"/>
        </w:rPr>
        <w:t>*</w:t>
      </w:r>
      <w:r>
        <w:rPr>
          <w:rFonts w:hint="eastAsia" w:ascii="宋体" w:hAnsi="宋体" w:cs="宋体"/>
          <w:color w:val="000000"/>
          <w:spacing w:val="8"/>
          <w:kern w:val="0"/>
          <w:sz w:val="24"/>
          <w:szCs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ascii="宋体" w:hAnsi="宋体" w:cs="宋体"/>
          <w:color w:val="000000"/>
          <w:spacing w:val="8"/>
          <w:kern w:val="0"/>
          <w:sz w:val="24"/>
          <w:szCs w:val="24"/>
        </w:rPr>
        <w:t>;</w:t>
      </w:r>
      <w:r>
        <w:rPr>
          <w:rFonts w:hint="eastAsia" w:ascii="宋体" w:hAnsi="宋体" w:cs="宋体"/>
          <w:color w:val="000000"/>
          <w:spacing w:val="8"/>
          <w:kern w:val="0"/>
          <w:sz w:val="24"/>
          <w:szCs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02C4473">
      <w:pPr>
        <w:spacing w:line="540" w:lineRule="exact"/>
        <w:ind w:firstLine="512"/>
        <w:rPr>
          <w:rFonts w:hint="eastAsia" w:ascii="宋体" w:hAnsi="宋体"/>
          <w:color w:val="000000"/>
          <w:spacing w:val="8"/>
          <w:kern w:val="0"/>
          <w:sz w:val="24"/>
          <w:szCs w:val="24"/>
        </w:rPr>
      </w:pPr>
      <w:r>
        <w:rPr>
          <w:rFonts w:ascii="宋体" w:hAnsi="宋体"/>
          <w:color w:val="000000"/>
          <w:spacing w:val="8"/>
          <w:kern w:val="0"/>
          <w:sz w:val="24"/>
          <w:szCs w:val="24"/>
        </w:rPr>
        <w:t>3.</w:t>
      </w:r>
      <w:r>
        <w:rPr>
          <w:rFonts w:hint="eastAsia" w:ascii="宋体" w:hAnsi="宋体"/>
          <w:color w:val="000000"/>
          <w:spacing w:val="8"/>
          <w:kern w:val="0"/>
          <w:sz w:val="24"/>
          <w:szCs w:val="24"/>
        </w:rPr>
        <w:t>企业划分指标以现行统计制度为准。（</w:t>
      </w:r>
      <w:r>
        <w:rPr>
          <w:rFonts w:ascii="宋体" w:hAnsi="宋体"/>
          <w:color w:val="000000"/>
          <w:spacing w:val="8"/>
          <w:kern w:val="0"/>
          <w:sz w:val="24"/>
          <w:szCs w:val="24"/>
        </w:rPr>
        <w:t>1</w:t>
      </w:r>
      <w:r>
        <w:rPr>
          <w:rFonts w:hint="eastAsia" w:ascii="宋体" w:hAnsi="宋体"/>
          <w:color w:val="000000"/>
          <w:spacing w:val="8"/>
          <w:kern w:val="0"/>
          <w:sz w:val="24"/>
          <w:szCs w:val="24"/>
        </w:rPr>
        <w:t>）从业人员，是指期末从业人员数，没有期末从业人员数的，采用全年平均人员数代替。（</w:t>
      </w:r>
      <w:r>
        <w:rPr>
          <w:rFonts w:ascii="宋体" w:hAnsi="宋体"/>
          <w:color w:val="000000"/>
          <w:spacing w:val="8"/>
          <w:kern w:val="0"/>
          <w:sz w:val="24"/>
          <w:szCs w:val="24"/>
        </w:rPr>
        <w:t>2</w:t>
      </w:r>
      <w:r>
        <w:rPr>
          <w:rFonts w:hint="eastAsia" w:ascii="宋体" w:hAnsi="宋体"/>
          <w:color w:val="000000"/>
          <w:spacing w:val="8"/>
          <w:kern w:val="0"/>
          <w:sz w:val="24"/>
          <w:szCs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宋体" w:hAnsi="宋体"/>
          <w:color w:val="000000"/>
          <w:spacing w:val="8"/>
          <w:kern w:val="0"/>
          <w:sz w:val="24"/>
          <w:szCs w:val="24"/>
        </w:rPr>
        <w:t>3</w:t>
      </w:r>
      <w:r>
        <w:rPr>
          <w:rFonts w:hint="eastAsia" w:ascii="宋体" w:hAnsi="宋体"/>
          <w:color w:val="000000"/>
          <w:spacing w:val="8"/>
          <w:kern w:val="0"/>
          <w:sz w:val="24"/>
          <w:szCs w:val="24"/>
        </w:rPr>
        <w:t>）资产总额，采用资产总计代替。</w:t>
      </w:r>
    </w:p>
    <w:p w14:paraId="4805B192">
      <w:pPr>
        <w:spacing w:line="540" w:lineRule="exact"/>
        <w:ind w:firstLine="512"/>
        <w:rPr>
          <w:rFonts w:hint="default" w:ascii="宋体" w:hAnsi="宋体"/>
          <w:b/>
          <w:bCs/>
          <w:color w:val="000000"/>
          <w:spacing w:val="8"/>
          <w:kern w:val="0"/>
          <w:sz w:val="24"/>
          <w:szCs w:val="24"/>
          <w:lang w:val="en-US" w:eastAsia="zh-CN"/>
        </w:rPr>
      </w:pPr>
      <w:r>
        <w:rPr>
          <w:rFonts w:hint="default" w:ascii="宋体" w:hAnsi="宋体"/>
          <w:b/>
          <w:bCs/>
          <w:color w:val="000000"/>
          <w:spacing w:val="8"/>
          <w:kern w:val="0"/>
          <w:sz w:val="24"/>
          <w:szCs w:val="24"/>
          <w:lang w:val="en-US" w:eastAsia="zh-CN"/>
        </w:rPr>
        <w:t xml:space="preserve">4.本项目采购标的对应的中小企业划分标准所属行业：租赁和商务服务业； </w:t>
      </w:r>
    </w:p>
    <w:p w14:paraId="69170572">
      <w:pPr>
        <w:wordWrap w:val="0"/>
        <w:jc w:val="both"/>
        <w:rPr>
          <w:rFonts w:ascii="宋体" w:hAnsi="宋体" w:cs="宋体"/>
          <w:b/>
          <w:bCs/>
          <w:sz w:val="28"/>
          <w:szCs w:val="28"/>
        </w:rPr>
      </w:pPr>
      <w:r>
        <w:rPr>
          <w:rFonts w:hint="eastAsia" w:ascii="宋体" w:hAnsi="宋体" w:cs="宋体"/>
          <w:b/>
          <w:bCs/>
          <w:sz w:val="28"/>
          <w:szCs w:val="28"/>
        </w:rPr>
        <w:br w:type="page"/>
      </w:r>
    </w:p>
    <w:p w14:paraId="7AB727CD">
      <w:pPr>
        <w:bidi w:val="0"/>
      </w:pPr>
      <w:bookmarkStart w:id="832" w:name="_Toc19860"/>
      <w:bookmarkStart w:id="833" w:name="_Toc9073"/>
    </w:p>
    <w:p w14:paraId="337D3860">
      <w:pPr>
        <w:bidi w:val="0"/>
      </w:pPr>
    </w:p>
    <w:p w14:paraId="05BBABB5">
      <w:pPr>
        <w:wordWrap w:val="0"/>
        <w:jc w:val="center"/>
        <w:outlineLvl w:val="1"/>
        <w:rPr>
          <w:rFonts w:ascii="宋体" w:hAnsi="宋体" w:cs="宋体"/>
        </w:rPr>
      </w:pPr>
      <w:r>
        <w:rPr>
          <w:rFonts w:hint="eastAsia" w:ascii="宋体" w:hAnsi="宋体" w:cs="宋体"/>
          <w:b/>
          <w:bCs/>
          <w:sz w:val="28"/>
          <w:szCs w:val="28"/>
          <w:lang w:val="en-US" w:eastAsia="zh-CN"/>
        </w:rPr>
        <w:t>（二）</w:t>
      </w:r>
      <w:r>
        <w:rPr>
          <w:rFonts w:hint="eastAsia" w:ascii="宋体" w:hAnsi="宋体" w:cs="宋体"/>
          <w:b/>
          <w:bCs/>
          <w:sz w:val="28"/>
          <w:szCs w:val="28"/>
        </w:rPr>
        <w:t>残疾人福利性单位声明函（如有）</w:t>
      </w:r>
      <w:bookmarkEnd w:id="832"/>
      <w:bookmarkEnd w:id="833"/>
    </w:p>
    <w:p w14:paraId="1F6FAEF3">
      <w:pPr>
        <w:pStyle w:val="17"/>
        <w:wordWrap w:val="0"/>
        <w:spacing w:line="420" w:lineRule="exact"/>
        <w:ind w:firstLine="0" w:firstLineChars="0"/>
        <w:rPr>
          <w:rFonts w:ascii="宋体" w:hAnsi="宋体" w:cs="宋体"/>
          <w:sz w:val="24"/>
        </w:rPr>
      </w:pPr>
    </w:p>
    <w:p w14:paraId="3F429397">
      <w:pPr>
        <w:wordWrap w:val="0"/>
        <w:spacing w:line="420" w:lineRule="exact"/>
        <w:ind w:firstLine="48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24"/>
          <w:u w:val="single"/>
        </w:rPr>
        <w:t xml:space="preserve">       </w:t>
      </w:r>
      <w:r>
        <w:rPr>
          <w:rFonts w:hint="eastAsia" w:ascii="宋体" w:hAnsi="宋体" w:cs="宋体"/>
          <w:sz w:val="24"/>
          <w:szCs w:val="24"/>
        </w:rPr>
        <w:t>单位的</w:t>
      </w:r>
      <w:r>
        <w:rPr>
          <w:rFonts w:hint="eastAsia" w:ascii="宋体" w:hAnsi="宋体" w:cs="宋体"/>
          <w:sz w:val="24"/>
          <w:szCs w:val="24"/>
          <w:u w:val="single"/>
        </w:rPr>
        <w:t xml:space="preserve">      </w:t>
      </w:r>
      <w:r>
        <w:rPr>
          <w:rFonts w:hint="eastAsia" w:ascii="宋体" w:hAnsi="宋体" w:cs="宋体"/>
          <w:sz w:val="24"/>
          <w:szCs w:val="24"/>
        </w:rPr>
        <w:t>项目采购活动提供本单位制造的货物（由本单位承担工程/提供服务），或者提供其他残疾人福利性单位制造的货物（不包括使用非残疾人福利性单位注册商标的货物）。</w:t>
      </w:r>
    </w:p>
    <w:p w14:paraId="00FB7F33">
      <w:pPr>
        <w:wordWrap w:val="0"/>
        <w:spacing w:line="420" w:lineRule="exact"/>
        <w:ind w:firstLine="480"/>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2B4C7BB1">
      <w:pPr>
        <w:wordWrap w:val="0"/>
        <w:spacing w:line="420" w:lineRule="exact"/>
        <w:ind w:firstLine="480"/>
        <w:rPr>
          <w:rFonts w:ascii="宋体" w:hAnsi="宋体" w:cs="宋体"/>
          <w:sz w:val="24"/>
          <w:szCs w:val="24"/>
        </w:rPr>
      </w:pPr>
    </w:p>
    <w:p w14:paraId="3ADBE4E1">
      <w:pPr>
        <w:tabs>
          <w:tab w:val="left" w:pos="4860"/>
        </w:tabs>
        <w:wordWrap w:val="0"/>
        <w:spacing w:line="420" w:lineRule="exact"/>
        <w:ind w:right="1560" w:firstLine="480"/>
        <w:rPr>
          <w:rFonts w:ascii="宋体" w:hAnsi="宋体" w:cs="宋体"/>
          <w:sz w:val="24"/>
          <w:szCs w:val="24"/>
        </w:rPr>
      </w:pPr>
      <w:r>
        <w:rPr>
          <w:rFonts w:hint="eastAsia" w:ascii="宋体" w:hAnsi="宋体" w:cs="宋体"/>
          <w:sz w:val="24"/>
          <w:szCs w:val="24"/>
        </w:rPr>
        <w:t>单位名称（盖章）：</w:t>
      </w:r>
    </w:p>
    <w:p w14:paraId="2DDFC284">
      <w:pPr>
        <w:tabs>
          <w:tab w:val="left" w:pos="4860"/>
        </w:tabs>
        <w:wordWrap w:val="0"/>
        <w:spacing w:line="420" w:lineRule="exact"/>
        <w:ind w:right="1560" w:firstLine="480"/>
        <w:rPr>
          <w:rFonts w:ascii="宋体" w:hAnsi="宋体" w:cs="宋体"/>
          <w:sz w:val="24"/>
          <w:szCs w:val="24"/>
        </w:rPr>
      </w:pPr>
      <w:r>
        <w:rPr>
          <w:rFonts w:hint="eastAsia" w:ascii="宋体" w:hAnsi="宋体" w:cs="宋体"/>
          <w:sz w:val="24"/>
          <w:szCs w:val="24"/>
        </w:rPr>
        <w:t>日  期：</w:t>
      </w:r>
    </w:p>
    <w:p w14:paraId="32D3C931">
      <w:pPr>
        <w:widowControl/>
        <w:wordWrap w:val="0"/>
        <w:spacing w:line="420" w:lineRule="exact"/>
        <w:ind w:firstLine="480"/>
        <w:rPr>
          <w:rFonts w:ascii="宋体" w:hAnsi="宋体" w:cs="宋体"/>
          <w:sz w:val="24"/>
          <w:szCs w:val="24"/>
        </w:rPr>
      </w:pPr>
    </w:p>
    <w:p w14:paraId="653C4983">
      <w:pPr>
        <w:widowControl/>
        <w:wordWrap w:val="0"/>
        <w:spacing w:line="420" w:lineRule="exact"/>
        <w:ind w:firstLine="480"/>
        <w:rPr>
          <w:rFonts w:ascii="宋体" w:hAnsi="宋体" w:cs="宋体"/>
          <w:sz w:val="24"/>
          <w:szCs w:val="24"/>
        </w:rPr>
      </w:pPr>
      <w:r>
        <w:rPr>
          <w:rFonts w:hint="eastAsia" w:ascii="宋体" w:hAnsi="宋体" w:cs="宋体"/>
          <w:sz w:val="24"/>
          <w:szCs w:val="24"/>
        </w:rPr>
        <w:t>（提醒：如果供应商不是残疾人福利性单位，则不需要提供《残疾人福利性单位声明函》。否则，因此导致虚假投标的后果由供应商自行承担。）</w:t>
      </w:r>
    </w:p>
    <w:p w14:paraId="5D135C56">
      <w:pPr>
        <w:wordWrap w:val="0"/>
        <w:spacing w:line="420" w:lineRule="exact"/>
        <w:ind w:firstLine="480"/>
        <w:rPr>
          <w:rFonts w:ascii="宋体" w:hAnsi="宋体" w:cs="宋体"/>
          <w:sz w:val="24"/>
          <w:szCs w:val="24"/>
        </w:rPr>
      </w:pPr>
      <w:r>
        <w:rPr>
          <w:rFonts w:hint="eastAsia" w:ascii="宋体" w:hAnsi="宋体" w:cs="宋体"/>
          <w:sz w:val="24"/>
          <w:szCs w:val="24"/>
        </w:rPr>
        <w:t>《财政部民政部中国残疾人联合会关于促进残疾人就业政府采购政策的通知》（财库（2017〔141〕号）的规定：</w:t>
      </w:r>
    </w:p>
    <w:p w14:paraId="4FCBD9D2">
      <w:pPr>
        <w:wordWrap w:val="0"/>
        <w:spacing w:line="420" w:lineRule="exact"/>
        <w:ind w:firstLine="480"/>
        <w:rPr>
          <w:rFonts w:ascii="宋体" w:hAnsi="宋体" w:cs="宋体"/>
          <w:sz w:val="24"/>
          <w:szCs w:val="24"/>
        </w:rPr>
      </w:pPr>
      <w:r>
        <w:rPr>
          <w:rFonts w:hint="eastAsia" w:ascii="宋体" w:hAnsi="宋体" w:cs="宋体"/>
          <w:sz w:val="24"/>
          <w:szCs w:val="24"/>
        </w:rPr>
        <w:t>1.享受政府采购支持政策的残疾人福利性单位应当同时满足以下条件：</w:t>
      </w:r>
    </w:p>
    <w:p w14:paraId="6C29CA7D">
      <w:pPr>
        <w:wordWrap w:val="0"/>
        <w:spacing w:line="420" w:lineRule="exact"/>
        <w:ind w:firstLine="480"/>
        <w:rPr>
          <w:rFonts w:ascii="宋体" w:hAnsi="宋体" w:cs="宋体"/>
          <w:sz w:val="24"/>
          <w:szCs w:val="24"/>
        </w:rPr>
      </w:pPr>
      <w:r>
        <w:rPr>
          <w:rFonts w:hint="eastAsia" w:ascii="宋体" w:hAnsi="宋体" w:cs="宋体"/>
          <w:sz w:val="24"/>
          <w:szCs w:val="24"/>
        </w:rPr>
        <w:t>（1）安置的残疾人占本单位在职职工人数的比例不低于25%（含25%），并且安置的残疾人人数不少于10人（含10人）；</w:t>
      </w:r>
    </w:p>
    <w:p w14:paraId="24F6DC9B">
      <w:pPr>
        <w:wordWrap w:val="0"/>
        <w:spacing w:line="420" w:lineRule="exact"/>
        <w:ind w:firstLine="480"/>
        <w:rPr>
          <w:rFonts w:ascii="宋体" w:hAnsi="宋体" w:cs="宋体"/>
          <w:sz w:val="24"/>
          <w:szCs w:val="24"/>
        </w:rPr>
      </w:pPr>
      <w:r>
        <w:rPr>
          <w:rFonts w:hint="eastAsia" w:ascii="宋体" w:hAnsi="宋体" w:cs="宋体"/>
          <w:sz w:val="24"/>
          <w:szCs w:val="24"/>
        </w:rPr>
        <w:t>（2）依法与安置的每位残疾人签订了一年以上（含一年）的劳动合同或服务协议；</w:t>
      </w:r>
    </w:p>
    <w:p w14:paraId="6DB6858C">
      <w:pPr>
        <w:wordWrap w:val="0"/>
        <w:spacing w:line="420" w:lineRule="exact"/>
        <w:ind w:firstLine="480"/>
        <w:rPr>
          <w:rFonts w:ascii="宋体" w:hAnsi="宋体" w:cs="宋体"/>
          <w:sz w:val="24"/>
          <w:szCs w:val="24"/>
        </w:rPr>
      </w:pPr>
      <w:r>
        <w:rPr>
          <w:rFonts w:hint="eastAsia" w:ascii="宋体" w:hAnsi="宋体" w:cs="宋体"/>
          <w:sz w:val="24"/>
          <w:szCs w:val="24"/>
        </w:rPr>
        <w:t>（3）为安置的每位残疾人按月足额缴纳了基本养老保险、基本医疗保险、失业保险、工伤保险和生育保险等社会保险费；</w:t>
      </w:r>
    </w:p>
    <w:p w14:paraId="64A56154">
      <w:pPr>
        <w:wordWrap w:val="0"/>
        <w:spacing w:line="420" w:lineRule="exact"/>
        <w:ind w:firstLine="480"/>
        <w:rPr>
          <w:rFonts w:ascii="宋体" w:hAnsi="宋体" w:cs="宋体"/>
          <w:sz w:val="24"/>
          <w:szCs w:val="24"/>
        </w:rPr>
      </w:pPr>
      <w:r>
        <w:rPr>
          <w:rFonts w:hint="eastAsia" w:ascii="宋体" w:hAnsi="宋体" w:cs="宋体"/>
          <w:sz w:val="24"/>
          <w:szCs w:val="24"/>
        </w:rPr>
        <w:t>（4）通过银行等金融机构向安置的每位残疾人，按月支付了不低于单位所在区县适用的经省级人民政府批准的月最低工资标准的工资；</w:t>
      </w:r>
    </w:p>
    <w:p w14:paraId="7CE2A764">
      <w:pPr>
        <w:wordWrap w:val="0"/>
        <w:spacing w:line="420" w:lineRule="exact"/>
        <w:ind w:firstLine="480"/>
        <w:rPr>
          <w:rFonts w:ascii="宋体" w:hAnsi="宋体" w:cs="宋体"/>
          <w:sz w:val="24"/>
          <w:szCs w:val="24"/>
        </w:rPr>
      </w:pPr>
      <w:r>
        <w:rPr>
          <w:rFonts w:hint="eastAsia" w:ascii="宋体" w:hAnsi="宋体" w:cs="宋体"/>
          <w:sz w:val="24"/>
          <w:szCs w:val="24"/>
        </w:rPr>
        <w:t>（5）提供本单位制造的货物、承担的工程或者服务（以下简称产品），或者提供其他残疾人福利性单位制造的货物（不包括使用非残疾人福利性单位注册商标的货物）。</w:t>
      </w:r>
    </w:p>
    <w:p w14:paraId="68E2D30D">
      <w:pPr>
        <w:wordWrap w:val="0"/>
        <w:autoSpaceDE w:val="0"/>
        <w:autoSpaceDN w:val="0"/>
        <w:adjustRightInd w:val="0"/>
        <w:spacing w:line="420" w:lineRule="exact"/>
        <w:ind w:firstLine="480"/>
        <w:rPr>
          <w:rFonts w:ascii="宋体" w:hAnsi="宋体" w:cs="宋体"/>
          <w:sz w:val="24"/>
          <w:szCs w:val="24"/>
        </w:rPr>
      </w:pPr>
      <w:r>
        <w:rPr>
          <w:rFonts w:hint="eastAsia" w:ascii="宋体" w:hAnsi="宋体" w:cs="宋体"/>
          <w:sz w:val="24"/>
          <w:szCs w:val="24"/>
        </w:rPr>
        <w:t>2.成交人为残疾人福利性单位的，采购人或者其委托的采购代理机构应当随成交、成交结果同时公告其《残疾人福利性单位声明函》，接受社会监督，一旦发现弄虚作假提供虚假信息的，承担相应的法律责任。</w:t>
      </w:r>
    </w:p>
    <w:p w14:paraId="0F577C44">
      <w:pPr>
        <w:wordWrap w:val="0"/>
        <w:spacing w:line="420" w:lineRule="exact"/>
        <w:ind w:firstLine="420"/>
        <w:jc w:val="center"/>
        <w:rPr>
          <w:rFonts w:hint="eastAsia" w:ascii="宋体" w:hAnsi="宋体" w:cs="宋体"/>
        </w:rPr>
      </w:pPr>
    </w:p>
    <w:p w14:paraId="145CE50A">
      <w:pPr>
        <w:wordWrap w:val="0"/>
        <w:spacing w:line="420" w:lineRule="exact"/>
        <w:ind w:firstLine="420"/>
        <w:jc w:val="center"/>
        <w:rPr>
          <w:rFonts w:hint="eastAsia" w:ascii="宋体" w:hAnsi="宋体" w:cs="宋体"/>
        </w:rPr>
      </w:pPr>
    </w:p>
    <w:p w14:paraId="44AA4139">
      <w:pPr>
        <w:wordWrap w:val="0"/>
        <w:spacing w:line="420" w:lineRule="exact"/>
        <w:jc w:val="both"/>
        <w:rPr>
          <w:rFonts w:hint="eastAsia" w:ascii="宋体" w:hAnsi="宋体" w:eastAsia="宋体" w:cs="宋体"/>
          <w:b/>
          <w:bCs/>
          <w:sz w:val="28"/>
          <w:szCs w:val="28"/>
          <w:lang w:val="en-US" w:eastAsia="zh-CN"/>
        </w:rPr>
      </w:pPr>
      <w:r>
        <w:rPr>
          <w:rFonts w:hint="eastAsia" w:ascii="宋体" w:hAnsi="宋体" w:cs="宋体"/>
        </w:rPr>
        <w:br w:type="page"/>
      </w:r>
      <w:r>
        <w:rPr>
          <w:rFonts w:hint="eastAsia" w:ascii="宋体" w:hAnsi="宋体" w:eastAsia="宋体" w:cs="宋体"/>
          <w:b/>
          <w:bCs/>
          <w:sz w:val="28"/>
          <w:szCs w:val="28"/>
          <w:lang w:val="en-US" w:eastAsia="zh-CN"/>
        </w:rPr>
        <w:t>（三）监狱企业证明文件（如有）</w:t>
      </w:r>
    </w:p>
    <w:p w14:paraId="3E4D2858">
      <w:pPr>
        <w:wordWrap w:val="0"/>
        <w:spacing w:line="420" w:lineRule="exact"/>
        <w:ind w:firstLine="480"/>
        <w:rPr>
          <w:rFonts w:hint="eastAsia" w:ascii="宋体" w:hAnsi="宋体" w:cs="宋体"/>
          <w:szCs w:val="21"/>
        </w:rPr>
      </w:pPr>
    </w:p>
    <w:p w14:paraId="04D855E1">
      <w:pPr>
        <w:pStyle w:val="7"/>
        <w:rPr>
          <w:rFonts w:hint="eastAsia"/>
        </w:rPr>
      </w:pPr>
    </w:p>
    <w:p w14:paraId="18E47F77">
      <w:pPr>
        <w:wordWrap w:val="0"/>
        <w:spacing w:line="420" w:lineRule="exact"/>
        <w:ind w:firstLine="480"/>
        <w:rPr>
          <w:rFonts w:ascii="宋体" w:hAnsi="宋体" w:cs="宋体"/>
          <w:sz w:val="24"/>
          <w:szCs w:val="24"/>
        </w:rPr>
      </w:pPr>
      <w:r>
        <w:rPr>
          <w:rFonts w:hint="eastAsia" w:ascii="宋体" w:hAnsi="宋体" w:cs="宋体"/>
          <w:sz w:val="24"/>
          <w:szCs w:val="24"/>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的价格扣除，但必须提供由省级以上监狱管理局、戒毒管理局（含新疆生产建设兵团）出具的属于监狱企业的证明文件，否则评审时不予价格扣除优惠。</w:t>
      </w:r>
    </w:p>
    <w:p w14:paraId="2B807956">
      <w:pPr>
        <w:wordWrap w:val="0"/>
        <w:spacing w:line="420" w:lineRule="exact"/>
        <w:rPr>
          <w:rFonts w:ascii="宋体" w:hAnsi="宋体" w:cs="宋体"/>
          <w:sz w:val="24"/>
          <w:szCs w:val="24"/>
        </w:rPr>
      </w:pPr>
    </w:p>
    <w:p w14:paraId="41A8DCE0">
      <w:pPr>
        <w:wordWrap w:val="0"/>
        <w:spacing w:line="420" w:lineRule="exact"/>
        <w:ind w:firstLine="480"/>
        <w:rPr>
          <w:rFonts w:ascii="宋体" w:hAnsi="宋体" w:cs="宋体"/>
          <w:sz w:val="24"/>
          <w:szCs w:val="24"/>
        </w:rPr>
      </w:pPr>
      <w:r>
        <w:rPr>
          <w:rFonts w:hint="eastAsia" w:ascii="宋体" w:hAnsi="宋体" w:cs="宋体"/>
          <w:sz w:val="24"/>
          <w:szCs w:val="24"/>
        </w:rPr>
        <w:t>注：在响应文件中附扫描件。</w:t>
      </w:r>
    </w:p>
    <w:p w14:paraId="2612E7FD">
      <w:pPr>
        <w:pStyle w:val="17"/>
        <w:ind w:firstLine="240"/>
        <w:jc w:val="center"/>
        <w:rPr>
          <w:rFonts w:hint="eastAsia" w:ascii="宋体" w:hAnsi="宋体" w:eastAsia="宋体" w:cs="宋体"/>
          <w:b/>
          <w:bCs/>
          <w:sz w:val="36"/>
          <w:szCs w:val="36"/>
        </w:rPr>
      </w:pPr>
      <w:r>
        <w:rPr>
          <w:rFonts w:hint="eastAsia" w:ascii="宋体" w:hAnsi="宋体" w:cs="宋体"/>
        </w:rPr>
        <w:br w:type="page"/>
      </w:r>
      <w:r>
        <w:rPr>
          <w:rFonts w:hint="eastAsia" w:ascii="宋体" w:hAnsi="宋体" w:eastAsia="宋体" w:cs="宋体"/>
          <w:b/>
          <w:bCs/>
          <w:sz w:val="36"/>
          <w:szCs w:val="36"/>
        </w:rPr>
        <w:t>河南省政府采购合同融资政策告知函</w:t>
      </w:r>
    </w:p>
    <w:p w14:paraId="61724051">
      <w:pPr>
        <w:pStyle w:val="17"/>
        <w:ind w:firstLine="240"/>
        <w:rPr>
          <w:rFonts w:hint="eastAsia"/>
          <w:sz w:val="24"/>
          <w:szCs w:val="24"/>
        </w:rPr>
      </w:pPr>
    </w:p>
    <w:p w14:paraId="7EB1E583">
      <w:pPr>
        <w:pStyle w:val="17"/>
        <w:keepNext w:val="0"/>
        <w:keepLines w:val="0"/>
        <w:pageBreakBefore w:val="0"/>
        <w:widowControl w:val="0"/>
        <w:kinsoku/>
        <w:wordWrap/>
        <w:overflowPunct/>
        <w:topLinePunct w:val="0"/>
        <w:autoSpaceDE/>
        <w:autoSpaceDN/>
        <w:bidi w:val="0"/>
        <w:adjustRightInd/>
        <w:snapToGrid/>
        <w:spacing w:line="480" w:lineRule="auto"/>
        <w:ind w:firstLine="240"/>
        <w:textAlignment w:val="auto"/>
        <w:rPr>
          <w:rFonts w:hint="eastAsia" w:ascii="宋体" w:hAnsi="宋体" w:eastAsia="宋体" w:cs="宋体"/>
          <w:sz w:val="24"/>
          <w:szCs w:val="24"/>
        </w:rPr>
      </w:pPr>
      <w:r>
        <w:rPr>
          <w:rFonts w:hint="eastAsia" w:ascii="宋体" w:hAnsi="宋体" w:eastAsia="宋体" w:cs="宋体"/>
          <w:sz w:val="24"/>
          <w:szCs w:val="24"/>
        </w:rPr>
        <w:t>各供应商:</w:t>
      </w:r>
    </w:p>
    <w:p w14:paraId="32A17746">
      <w:pPr>
        <w:pStyle w:val="17"/>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欢迎贵公司参与河南省政府采购活动!</w:t>
      </w:r>
    </w:p>
    <w:p w14:paraId="5E473FEA">
      <w:pPr>
        <w:pStyle w:val="17"/>
        <w:keepNext w:val="0"/>
        <w:keepLines w:val="0"/>
        <w:pageBreakBefore w:val="0"/>
        <w:widowControl w:val="0"/>
        <w:kinsoku/>
        <w:wordWrap/>
        <w:overflowPunct/>
        <w:topLinePunct w:val="0"/>
        <w:autoSpaceDE/>
        <w:autoSpaceDN/>
        <w:bidi w:val="0"/>
        <w:adjustRightInd/>
        <w:snapToGrid/>
        <w:spacing w:line="480" w:lineRule="auto"/>
        <w:ind w:left="279" w:leftChars="13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43CB06B">
      <w:pPr>
        <w:pStyle w:val="17"/>
        <w:keepNext w:val="0"/>
        <w:keepLines w:val="0"/>
        <w:pageBreakBefore w:val="0"/>
        <w:widowControl w:val="0"/>
        <w:kinsoku/>
        <w:wordWrap/>
        <w:overflowPunct/>
        <w:topLinePunct w:val="0"/>
        <w:autoSpaceDE/>
        <w:autoSpaceDN/>
        <w:bidi w:val="0"/>
        <w:adjustRightInd/>
        <w:snapToGrid/>
        <w:spacing w:line="480" w:lineRule="auto"/>
        <w:ind w:left="279" w:leftChars="133"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贷款渠道和提供贷款的金融机构，可在河南省政府采购网“河南省政府采购合同融资平台”查询联系。</w:t>
      </w:r>
    </w:p>
    <w:p w14:paraId="71D97B0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p>
    <w:p w14:paraId="62ED0293">
      <w:pPr>
        <w:pStyle w:val="17"/>
        <w:keepNext w:val="0"/>
        <w:keepLines w:val="0"/>
        <w:pageBreakBefore w:val="0"/>
        <w:widowControl w:val="0"/>
        <w:kinsoku/>
        <w:wordWrap/>
        <w:overflowPunct/>
        <w:topLinePunct w:val="0"/>
        <w:autoSpaceDE/>
        <w:autoSpaceDN/>
        <w:bidi w:val="0"/>
        <w:adjustRightInd/>
        <w:snapToGrid/>
        <w:spacing w:line="480" w:lineRule="auto"/>
        <w:ind w:left="279" w:leftChars="133"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固始县合作融资平台：</w:t>
      </w:r>
    </w:p>
    <w:p w14:paraId="07194DF0">
      <w:pPr>
        <w:pStyle w:val="17"/>
        <w:keepNext w:val="0"/>
        <w:keepLines w:val="0"/>
        <w:pageBreakBefore w:val="0"/>
        <w:widowControl w:val="0"/>
        <w:kinsoku/>
        <w:wordWrap/>
        <w:overflowPunct/>
        <w:topLinePunct w:val="0"/>
        <w:autoSpaceDE/>
        <w:autoSpaceDN/>
        <w:bidi w:val="0"/>
        <w:adjustRightInd/>
        <w:snapToGrid/>
        <w:spacing w:line="480" w:lineRule="auto"/>
        <w:ind w:left="279" w:leftChars="133"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1、中原银行固始支行，联系人：吴宵 联系方式：13526070966 ；</w:t>
      </w:r>
    </w:p>
    <w:p w14:paraId="14320DA8">
      <w:pPr>
        <w:pStyle w:val="17"/>
        <w:keepNext w:val="0"/>
        <w:keepLines w:val="0"/>
        <w:pageBreakBefore w:val="0"/>
        <w:widowControl w:val="0"/>
        <w:kinsoku/>
        <w:wordWrap/>
        <w:overflowPunct/>
        <w:topLinePunct w:val="0"/>
        <w:autoSpaceDE/>
        <w:autoSpaceDN/>
        <w:bidi w:val="0"/>
        <w:adjustRightInd/>
        <w:snapToGrid/>
        <w:spacing w:line="480" w:lineRule="auto"/>
        <w:ind w:firstLine="720" w:firstLineChars="300"/>
        <w:textAlignment w:val="auto"/>
        <w:rPr>
          <w:rFonts w:hint="eastAsia" w:ascii="宋体" w:hAnsi="宋体" w:eastAsia="宋体" w:cs="宋体"/>
          <w:color w:val="auto"/>
          <w:sz w:val="21"/>
          <w:szCs w:val="21"/>
          <w:highlight w:val="none"/>
        </w:rPr>
      </w:pPr>
      <w:r>
        <w:rPr>
          <w:rFonts w:hint="eastAsia" w:ascii="宋体" w:hAnsi="宋体" w:eastAsia="宋体" w:cs="宋体"/>
          <w:sz w:val="24"/>
          <w:szCs w:val="24"/>
          <w:lang w:val="en-US" w:eastAsia="zh-CN"/>
        </w:rPr>
        <w:t>2、中国农业银行固始县支行，联系人：姚玉烛 联系方式：18037601233 ；</w:t>
      </w:r>
      <w:r>
        <w:rPr>
          <w:rFonts w:hint="eastAsia" w:ascii="宋体" w:hAnsi="宋体" w:eastAsia="宋体" w:cs="宋体"/>
          <w:color w:val="auto"/>
          <w:spacing w:val="-4"/>
          <w:sz w:val="21"/>
          <w:szCs w:val="21"/>
          <w:highlight w:val="none"/>
        </w:rPr>
        <w:t>37601233。</w:t>
      </w:r>
    </w:p>
    <w:sectPr>
      <w:headerReference r:id="rId14" w:type="default"/>
      <w:footerReference r:id="rId15" w:type="default"/>
      <w:pgSz w:w="11909" w:h="16834"/>
      <w:pgMar w:top="1440" w:right="1080" w:bottom="1440" w:left="1080" w:header="0" w:footer="98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FE887">
    <w:pPr>
      <w:spacing w:line="191" w:lineRule="auto"/>
      <w:ind w:left="4824"/>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05EE1">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4A673">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28A4A673">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DCA5B">
    <w:pPr>
      <w:spacing w:line="191" w:lineRule="auto"/>
      <w:ind w:left="46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B7F8E">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37DB7F8E">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9F775">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C5CFA">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68C5CFA">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C6301">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B1BB4E">
                          <w:pPr>
                            <w:pStyle w:val="13"/>
                          </w:pPr>
                          <w:r>
                            <w:fldChar w:fldCharType="begin"/>
                          </w:r>
                          <w:r>
                            <w:instrText xml:space="preserve"> PAGE  \* MERGEFORMAT </w:instrText>
                          </w:r>
                          <w:r>
                            <w:fldChar w:fldCharType="separate"/>
                          </w:r>
                          <w:r>
                            <w:t>35</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JW7X8IBAACN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CVu1/CAQAAjQMAAA4AAAAAAAAAAQAgAAAAHgEAAGRycy9lMm9Eb2MueG1sUEsF&#10;BgAAAAAGAAYAWQEAAFIFAAAAAA==&#10;">
              <v:fill on="f" focussize="0,0"/>
              <v:stroke on="f"/>
              <v:imagedata o:title=""/>
              <o:lock v:ext="edit" aspectratio="f"/>
              <v:textbox inset="0mm,0mm,0mm,0mm" style="mso-fit-shape-to-text:t;">
                <w:txbxContent>
                  <w:p w14:paraId="59B1BB4E">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59DC2">
    <w:pPr>
      <w:spacing w:line="191" w:lineRule="auto"/>
      <w:ind w:left="46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5F8E8">
                          <w:pPr>
                            <w:pStyle w:val="1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14:paraId="6565F8E8">
                    <w:pPr>
                      <w:pStyle w:val="1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27316">
    <w:pPr>
      <w:pStyle w:val="14"/>
      <w:pBdr>
        <w:bottom w:val="none" w:color="auto" w:sz="0" w:space="1"/>
      </w:pBdr>
      <w:jc w:val="right"/>
      <w:rPr>
        <w:rFonts w:ascii="宋体" w:hAnsi="宋体" w:cs="宋体"/>
        <w:i/>
        <w:iCs/>
        <w:color w:val="0000FF"/>
      </w:rPr>
    </w:pPr>
    <w:r>
      <w:rPr>
        <w:rFonts w:hint="eastAsia" w:ascii="宋体" w:hAnsi="宋体"/>
        <w:i/>
        <w:iCs/>
        <w:color w:val="0000FF"/>
      </w:rPr>
      <w:t xml:space="preserve"> </w:t>
    </w:r>
    <w:r>
      <w:rPr>
        <w:rFonts w:hint="eastAsia" w:ascii="宋体" w:hAnsi="宋体" w:cs="宋体"/>
        <w:i/>
        <w:iCs/>
        <w:color w:val="0000FF"/>
      </w:rPr>
      <w:t xml:space="preserve"> </w:t>
    </w:r>
  </w:p>
  <w:p w14:paraId="6E99083C">
    <w:pPr>
      <w:pStyle w:val="14"/>
      <w:pBdr>
        <w:bottom w:val="none" w:color="auto" w:sz="0" w:space="1"/>
      </w:pBdr>
      <w:jc w:val="right"/>
      <w:rPr>
        <w:rFonts w:ascii="黑体" w:eastAsia="黑体"/>
        <w:color w:val="0000FF"/>
        <w:sz w:val="20"/>
      </w:rPr>
    </w:pPr>
    <w:r>
      <w:rPr>
        <w:rFonts w:hint="eastAsia" w:ascii="宋体" w:hAnsi="宋体"/>
        <w:sz w:val="15"/>
        <w:szCs w:val="15"/>
      </w:rPr>
      <w:t xml:space="preserve">                                     </w:t>
    </w:r>
    <w:r>
      <w:rPr>
        <w:rFonts w:hint="eastAsia" w:ascii="宋体" w:hAnsi="宋体"/>
        <w:i/>
        <w:iCs/>
        <w:color w:val="0000F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CEBA2">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3A9CE">
    <w:pPr>
      <w:spacing w:line="100"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21BDD">
    <w:pPr>
      <w:pBdr>
        <w:bottom w:val="none" w:color="auto" w:sz="0" w:space="0"/>
      </w:pBdr>
      <w:tabs>
        <w:tab w:val="left" w:pos="564"/>
      </w:tabs>
      <w:ind w:left="0" w:leftChars="0" w:firstLine="0" w:firstLineChars="0"/>
      <w:rPr>
        <w:rFonts w:hint="eastAsia" w:eastAsia="宋体"/>
        <w:color w:val="0000FF"/>
        <w:sz w:val="24"/>
        <w:szCs w:val="24"/>
        <w:lang w:val="en-US" w:eastAsia="zh-CN"/>
      </w:rPr>
    </w:pPr>
    <w:r>
      <w:rPr>
        <w:rFonts w:hint="eastAsia"/>
        <w:b/>
        <w:bCs/>
        <w:color w:val="0070C0"/>
        <w:sz w:val="24"/>
        <w:szCs w:val="24"/>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40F94">
    <w:pPr>
      <w:spacing w:line="100"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8AFA5"/>
    <w:multiLevelType w:val="singleLevel"/>
    <w:tmpl w:val="9C88AFA5"/>
    <w:lvl w:ilvl="0" w:tentative="0">
      <w:start w:val="1"/>
      <w:numFmt w:val="decimal"/>
      <w:suff w:val="nothing"/>
      <w:lvlText w:val="%1、"/>
      <w:lvlJc w:val="left"/>
    </w:lvl>
  </w:abstractNum>
  <w:abstractNum w:abstractNumId="1">
    <w:nsid w:val="AAF47B61"/>
    <w:multiLevelType w:val="singleLevel"/>
    <w:tmpl w:val="AAF47B61"/>
    <w:lvl w:ilvl="0" w:tentative="0">
      <w:start w:val="1"/>
      <w:numFmt w:val="decimal"/>
      <w:suff w:val="nothing"/>
      <w:lvlText w:val="%1、"/>
      <w:lvlJc w:val="left"/>
    </w:lvl>
  </w:abstractNum>
  <w:abstractNum w:abstractNumId="2">
    <w:nsid w:val="FC9B266E"/>
    <w:multiLevelType w:val="singleLevel"/>
    <w:tmpl w:val="FC9B266E"/>
    <w:lvl w:ilvl="0" w:tentative="0">
      <w:start w:val="1"/>
      <w:numFmt w:val="decimal"/>
      <w:suff w:val="nothing"/>
      <w:lvlText w:val="%1、"/>
      <w:lvlJc w:val="left"/>
    </w:lvl>
  </w:abstractNum>
  <w:abstractNum w:abstractNumId="3">
    <w:nsid w:val="FE71A30A"/>
    <w:multiLevelType w:val="singleLevel"/>
    <w:tmpl w:val="FE71A30A"/>
    <w:lvl w:ilvl="0" w:tentative="0">
      <w:start w:val="1"/>
      <w:numFmt w:val="decimal"/>
      <w:suff w:val="nothing"/>
      <w:lvlText w:val="%1、"/>
      <w:lvlJc w:val="left"/>
    </w:lvl>
  </w:abstractNum>
  <w:abstractNum w:abstractNumId="4">
    <w:nsid w:val="103026C8"/>
    <w:multiLevelType w:val="singleLevel"/>
    <w:tmpl w:val="103026C8"/>
    <w:lvl w:ilvl="0" w:tentative="0">
      <w:start w:val="1"/>
      <w:numFmt w:val="decimal"/>
      <w:suff w:val="nothing"/>
      <w:lvlText w:val="%1、"/>
      <w:lvlJc w:val="left"/>
    </w:lvl>
  </w:abstractNum>
  <w:abstractNum w:abstractNumId="5">
    <w:nsid w:val="1EC41285"/>
    <w:multiLevelType w:val="singleLevel"/>
    <w:tmpl w:val="1EC41285"/>
    <w:lvl w:ilvl="0" w:tentative="0">
      <w:start w:val="1"/>
      <w:numFmt w:val="decimal"/>
      <w:suff w:val="nothing"/>
      <w:lvlText w:val="%1、"/>
      <w:lvlJc w:val="left"/>
    </w:lvl>
  </w:abstractNum>
  <w:abstractNum w:abstractNumId="6">
    <w:nsid w:val="2A284CA0"/>
    <w:multiLevelType w:val="singleLevel"/>
    <w:tmpl w:val="2A284CA0"/>
    <w:lvl w:ilvl="0" w:tentative="0">
      <w:start w:val="1"/>
      <w:numFmt w:val="decimal"/>
      <w:suff w:val="nothing"/>
      <w:lvlText w:val="%1、"/>
      <w:lvlJc w:val="left"/>
    </w:lvl>
  </w:abstractNum>
  <w:abstractNum w:abstractNumId="7">
    <w:nsid w:val="4F7AE2FC"/>
    <w:multiLevelType w:val="singleLevel"/>
    <w:tmpl w:val="4F7AE2FC"/>
    <w:lvl w:ilvl="0" w:tentative="0">
      <w:start w:val="1"/>
      <w:numFmt w:val="decimal"/>
      <w:suff w:val="nothing"/>
      <w:lvlText w:val="%1、"/>
      <w:lvlJc w:val="left"/>
    </w:lvl>
  </w:abstractNum>
  <w:num w:numId="1">
    <w:abstractNumId w:val="3"/>
  </w:num>
  <w:num w:numId="2">
    <w:abstractNumId w:val="5"/>
  </w:num>
  <w:num w:numId="3">
    <w:abstractNumId w:val="6"/>
  </w:num>
  <w:num w:numId="4">
    <w:abstractNumId w:val="1"/>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k5OGUzMjVmNzJlNGMzNmE0OTA2OWYxZTIxNjYxZjcifQ=="/>
  </w:docVars>
  <w:rsids>
    <w:rsidRoot w:val="00000000"/>
    <w:rsid w:val="00066EBC"/>
    <w:rsid w:val="002410F1"/>
    <w:rsid w:val="00443541"/>
    <w:rsid w:val="0049497D"/>
    <w:rsid w:val="004D53C6"/>
    <w:rsid w:val="005260D0"/>
    <w:rsid w:val="007B650D"/>
    <w:rsid w:val="011D2710"/>
    <w:rsid w:val="01457570"/>
    <w:rsid w:val="01BF3482"/>
    <w:rsid w:val="02372AF3"/>
    <w:rsid w:val="0241278C"/>
    <w:rsid w:val="024725F3"/>
    <w:rsid w:val="02783976"/>
    <w:rsid w:val="029F53A6"/>
    <w:rsid w:val="02B524D4"/>
    <w:rsid w:val="02BC3862"/>
    <w:rsid w:val="02CE773E"/>
    <w:rsid w:val="033E696D"/>
    <w:rsid w:val="034D095E"/>
    <w:rsid w:val="03B31109"/>
    <w:rsid w:val="03CE0347"/>
    <w:rsid w:val="042C2C6A"/>
    <w:rsid w:val="0449381C"/>
    <w:rsid w:val="044D0BED"/>
    <w:rsid w:val="04736DDF"/>
    <w:rsid w:val="04DA4474"/>
    <w:rsid w:val="052676B9"/>
    <w:rsid w:val="05370122"/>
    <w:rsid w:val="05410997"/>
    <w:rsid w:val="05445D91"/>
    <w:rsid w:val="05BB6053"/>
    <w:rsid w:val="05FB57F0"/>
    <w:rsid w:val="06026337"/>
    <w:rsid w:val="06410614"/>
    <w:rsid w:val="06426B2D"/>
    <w:rsid w:val="06A46AAA"/>
    <w:rsid w:val="06CC5B0D"/>
    <w:rsid w:val="06D25D4A"/>
    <w:rsid w:val="06D849E3"/>
    <w:rsid w:val="06E96BF0"/>
    <w:rsid w:val="06F07F7E"/>
    <w:rsid w:val="07040B6B"/>
    <w:rsid w:val="07350BC2"/>
    <w:rsid w:val="074F5A1D"/>
    <w:rsid w:val="07541319"/>
    <w:rsid w:val="077706A0"/>
    <w:rsid w:val="0777297F"/>
    <w:rsid w:val="07C136C9"/>
    <w:rsid w:val="07D84282"/>
    <w:rsid w:val="081D57F6"/>
    <w:rsid w:val="083245C7"/>
    <w:rsid w:val="08836B83"/>
    <w:rsid w:val="08A6123D"/>
    <w:rsid w:val="08D35DAA"/>
    <w:rsid w:val="091268D2"/>
    <w:rsid w:val="0958005D"/>
    <w:rsid w:val="09B72FD5"/>
    <w:rsid w:val="09C32911"/>
    <w:rsid w:val="09EA5159"/>
    <w:rsid w:val="0A176C9A"/>
    <w:rsid w:val="0A254034"/>
    <w:rsid w:val="0A2E5489"/>
    <w:rsid w:val="0A334D52"/>
    <w:rsid w:val="0A6767AA"/>
    <w:rsid w:val="0A692BA5"/>
    <w:rsid w:val="0A8F5D00"/>
    <w:rsid w:val="0ACC0D02"/>
    <w:rsid w:val="0ADD2F10"/>
    <w:rsid w:val="0B0706CB"/>
    <w:rsid w:val="0B2C2FDF"/>
    <w:rsid w:val="0B4D3BF1"/>
    <w:rsid w:val="0B642CE9"/>
    <w:rsid w:val="0B745622"/>
    <w:rsid w:val="0B7E7AA8"/>
    <w:rsid w:val="0BB7550F"/>
    <w:rsid w:val="0C1E10EA"/>
    <w:rsid w:val="0C550884"/>
    <w:rsid w:val="0C57284E"/>
    <w:rsid w:val="0C811679"/>
    <w:rsid w:val="0C8573BB"/>
    <w:rsid w:val="0C996BA8"/>
    <w:rsid w:val="0CB832EC"/>
    <w:rsid w:val="0CC954FA"/>
    <w:rsid w:val="0CDE5006"/>
    <w:rsid w:val="0D0B3D64"/>
    <w:rsid w:val="0D2546FA"/>
    <w:rsid w:val="0D31309F"/>
    <w:rsid w:val="0D4350B1"/>
    <w:rsid w:val="0D444B80"/>
    <w:rsid w:val="0D576FA9"/>
    <w:rsid w:val="0D974726"/>
    <w:rsid w:val="0D98311E"/>
    <w:rsid w:val="0E0A6086"/>
    <w:rsid w:val="0E1A287D"/>
    <w:rsid w:val="0E552DBD"/>
    <w:rsid w:val="0E5567B5"/>
    <w:rsid w:val="0E5D18A0"/>
    <w:rsid w:val="0EBD2E3C"/>
    <w:rsid w:val="0F16079E"/>
    <w:rsid w:val="0F242255"/>
    <w:rsid w:val="0F3330FE"/>
    <w:rsid w:val="0FFA07FB"/>
    <w:rsid w:val="0FFC29C8"/>
    <w:rsid w:val="10060813"/>
    <w:rsid w:val="1030349B"/>
    <w:rsid w:val="103063C9"/>
    <w:rsid w:val="106D2640"/>
    <w:rsid w:val="10D80401"/>
    <w:rsid w:val="10E91B97"/>
    <w:rsid w:val="110E19A1"/>
    <w:rsid w:val="113C66FE"/>
    <w:rsid w:val="1144666B"/>
    <w:rsid w:val="115F467E"/>
    <w:rsid w:val="121E0096"/>
    <w:rsid w:val="12537BF5"/>
    <w:rsid w:val="125C6E10"/>
    <w:rsid w:val="12807E56"/>
    <w:rsid w:val="12877022"/>
    <w:rsid w:val="13063CBF"/>
    <w:rsid w:val="131F7875"/>
    <w:rsid w:val="132943F7"/>
    <w:rsid w:val="13504B1D"/>
    <w:rsid w:val="135368F7"/>
    <w:rsid w:val="13653AA2"/>
    <w:rsid w:val="138A3509"/>
    <w:rsid w:val="13906D71"/>
    <w:rsid w:val="13A633B3"/>
    <w:rsid w:val="13CC3C5E"/>
    <w:rsid w:val="13D3259A"/>
    <w:rsid w:val="13F05A62"/>
    <w:rsid w:val="14253B8C"/>
    <w:rsid w:val="149433CE"/>
    <w:rsid w:val="14F11A91"/>
    <w:rsid w:val="154F4A0A"/>
    <w:rsid w:val="15595EBC"/>
    <w:rsid w:val="161F1B1F"/>
    <w:rsid w:val="164B3423"/>
    <w:rsid w:val="16822ED3"/>
    <w:rsid w:val="168D57EA"/>
    <w:rsid w:val="168F2EB1"/>
    <w:rsid w:val="16A86180"/>
    <w:rsid w:val="16B32D77"/>
    <w:rsid w:val="16BB5874"/>
    <w:rsid w:val="16BF21A1"/>
    <w:rsid w:val="16BF34C9"/>
    <w:rsid w:val="16E94766"/>
    <w:rsid w:val="174A5489"/>
    <w:rsid w:val="175D340E"/>
    <w:rsid w:val="177E548D"/>
    <w:rsid w:val="17B165B8"/>
    <w:rsid w:val="17DA2BE0"/>
    <w:rsid w:val="180970F2"/>
    <w:rsid w:val="182B76DB"/>
    <w:rsid w:val="184A3267"/>
    <w:rsid w:val="18673E19"/>
    <w:rsid w:val="1899497C"/>
    <w:rsid w:val="18DA283C"/>
    <w:rsid w:val="190E44EA"/>
    <w:rsid w:val="19603F1C"/>
    <w:rsid w:val="196939B3"/>
    <w:rsid w:val="197651E3"/>
    <w:rsid w:val="199C3F86"/>
    <w:rsid w:val="19C91CBA"/>
    <w:rsid w:val="19CB02BF"/>
    <w:rsid w:val="19DA74FC"/>
    <w:rsid w:val="19E716B5"/>
    <w:rsid w:val="1A037B71"/>
    <w:rsid w:val="1A0F6EBC"/>
    <w:rsid w:val="1A293A7B"/>
    <w:rsid w:val="1A495ECC"/>
    <w:rsid w:val="1A527B13"/>
    <w:rsid w:val="1A7B48F0"/>
    <w:rsid w:val="1A7F1D1C"/>
    <w:rsid w:val="1AB1581F"/>
    <w:rsid w:val="1AFA71C6"/>
    <w:rsid w:val="1B154000"/>
    <w:rsid w:val="1B1E1106"/>
    <w:rsid w:val="1B524B2B"/>
    <w:rsid w:val="1B5578D5"/>
    <w:rsid w:val="1B83540D"/>
    <w:rsid w:val="1B9B2757"/>
    <w:rsid w:val="1BAA5975"/>
    <w:rsid w:val="1BAB226E"/>
    <w:rsid w:val="1BBD1AAB"/>
    <w:rsid w:val="1C1C6307"/>
    <w:rsid w:val="1C3109C5"/>
    <w:rsid w:val="1C706889"/>
    <w:rsid w:val="1C834305"/>
    <w:rsid w:val="1CCC6940"/>
    <w:rsid w:val="1CE80822"/>
    <w:rsid w:val="1D4A4435"/>
    <w:rsid w:val="1D4A647E"/>
    <w:rsid w:val="1D974374"/>
    <w:rsid w:val="1D994A74"/>
    <w:rsid w:val="1DA16ADD"/>
    <w:rsid w:val="1DA2016E"/>
    <w:rsid w:val="1DC87107"/>
    <w:rsid w:val="1DD0420E"/>
    <w:rsid w:val="1E1467F1"/>
    <w:rsid w:val="1E49223A"/>
    <w:rsid w:val="1E8A252B"/>
    <w:rsid w:val="1EE15C31"/>
    <w:rsid w:val="1EF503D0"/>
    <w:rsid w:val="1F444EB4"/>
    <w:rsid w:val="1FEC17D3"/>
    <w:rsid w:val="1FF31AAF"/>
    <w:rsid w:val="1FFE09DE"/>
    <w:rsid w:val="20191E9C"/>
    <w:rsid w:val="206C2914"/>
    <w:rsid w:val="2080016D"/>
    <w:rsid w:val="20A51982"/>
    <w:rsid w:val="20CE712B"/>
    <w:rsid w:val="20DA18EF"/>
    <w:rsid w:val="20E06E5E"/>
    <w:rsid w:val="20EE3329"/>
    <w:rsid w:val="210668C5"/>
    <w:rsid w:val="21171278"/>
    <w:rsid w:val="212B1E88"/>
    <w:rsid w:val="217507A6"/>
    <w:rsid w:val="21C70639"/>
    <w:rsid w:val="21FD15AA"/>
    <w:rsid w:val="2217065D"/>
    <w:rsid w:val="22286F53"/>
    <w:rsid w:val="2230171F"/>
    <w:rsid w:val="223E5BEA"/>
    <w:rsid w:val="224376A4"/>
    <w:rsid w:val="226C09A9"/>
    <w:rsid w:val="228A1686"/>
    <w:rsid w:val="228B1745"/>
    <w:rsid w:val="22954D43"/>
    <w:rsid w:val="22BD7457"/>
    <w:rsid w:val="231C1FB2"/>
    <w:rsid w:val="236D7D55"/>
    <w:rsid w:val="23F70746"/>
    <w:rsid w:val="23FA1D3F"/>
    <w:rsid w:val="24163FB5"/>
    <w:rsid w:val="243F0E45"/>
    <w:rsid w:val="24436F5D"/>
    <w:rsid w:val="24657E9D"/>
    <w:rsid w:val="24773635"/>
    <w:rsid w:val="24823524"/>
    <w:rsid w:val="24C820E3"/>
    <w:rsid w:val="24C90335"/>
    <w:rsid w:val="24CA19B7"/>
    <w:rsid w:val="24D669AB"/>
    <w:rsid w:val="24E449CE"/>
    <w:rsid w:val="24FD3B3B"/>
    <w:rsid w:val="251F7F55"/>
    <w:rsid w:val="255319AC"/>
    <w:rsid w:val="257F09F3"/>
    <w:rsid w:val="258D3A08"/>
    <w:rsid w:val="25982F94"/>
    <w:rsid w:val="259A61DB"/>
    <w:rsid w:val="25AC75F2"/>
    <w:rsid w:val="25BD151C"/>
    <w:rsid w:val="25BE7601"/>
    <w:rsid w:val="25C44658"/>
    <w:rsid w:val="25CD5C03"/>
    <w:rsid w:val="25FC2044"/>
    <w:rsid w:val="26382CFA"/>
    <w:rsid w:val="264D28A0"/>
    <w:rsid w:val="265C6B68"/>
    <w:rsid w:val="26607C2B"/>
    <w:rsid w:val="26877098"/>
    <w:rsid w:val="26AD333E"/>
    <w:rsid w:val="26B172D2"/>
    <w:rsid w:val="26E054C2"/>
    <w:rsid w:val="27172F07"/>
    <w:rsid w:val="27516E21"/>
    <w:rsid w:val="27693709"/>
    <w:rsid w:val="27AF1460"/>
    <w:rsid w:val="27C055BC"/>
    <w:rsid w:val="282761CE"/>
    <w:rsid w:val="28362487"/>
    <w:rsid w:val="287560DE"/>
    <w:rsid w:val="28956780"/>
    <w:rsid w:val="2906235B"/>
    <w:rsid w:val="29E76B67"/>
    <w:rsid w:val="29F86FC6"/>
    <w:rsid w:val="2A151926"/>
    <w:rsid w:val="2A48459B"/>
    <w:rsid w:val="2A720B27"/>
    <w:rsid w:val="2A76140C"/>
    <w:rsid w:val="2AAD392A"/>
    <w:rsid w:val="2B85488A"/>
    <w:rsid w:val="2B9E594C"/>
    <w:rsid w:val="2BA70CA4"/>
    <w:rsid w:val="2C0A7CF2"/>
    <w:rsid w:val="2C3342E6"/>
    <w:rsid w:val="2C3A1B18"/>
    <w:rsid w:val="2C975494"/>
    <w:rsid w:val="2CC94C4A"/>
    <w:rsid w:val="2CE71061"/>
    <w:rsid w:val="2CF66B55"/>
    <w:rsid w:val="2D045C82"/>
    <w:rsid w:val="2D485B6F"/>
    <w:rsid w:val="2D8824D1"/>
    <w:rsid w:val="2E1819E5"/>
    <w:rsid w:val="2E235240"/>
    <w:rsid w:val="2E277E7A"/>
    <w:rsid w:val="2E2A34C6"/>
    <w:rsid w:val="2E5F7614"/>
    <w:rsid w:val="2E6C44AA"/>
    <w:rsid w:val="2E7A61FC"/>
    <w:rsid w:val="2E7C0E4C"/>
    <w:rsid w:val="2EBF00B3"/>
    <w:rsid w:val="2F0361F1"/>
    <w:rsid w:val="2F5527C5"/>
    <w:rsid w:val="2F677BAE"/>
    <w:rsid w:val="2F73222D"/>
    <w:rsid w:val="2F81180C"/>
    <w:rsid w:val="2F9413A4"/>
    <w:rsid w:val="2F943152"/>
    <w:rsid w:val="2FB15C4D"/>
    <w:rsid w:val="2FB90FA6"/>
    <w:rsid w:val="2FDE6C5E"/>
    <w:rsid w:val="30055F99"/>
    <w:rsid w:val="304171C7"/>
    <w:rsid w:val="304A7E50"/>
    <w:rsid w:val="304E2219"/>
    <w:rsid w:val="30980739"/>
    <w:rsid w:val="30CD1549"/>
    <w:rsid w:val="30D50061"/>
    <w:rsid w:val="30E36681"/>
    <w:rsid w:val="30E65DCB"/>
    <w:rsid w:val="314B4B4B"/>
    <w:rsid w:val="3163566D"/>
    <w:rsid w:val="316633ED"/>
    <w:rsid w:val="31772EC7"/>
    <w:rsid w:val="317F3B29"/>
    <w:rsid w:val="318F1FBE"/>
    <w:rsid w:val="319F3EA5"/>
    <w:rsid w:val="31DE139A"/>
    <w:rsid w:val="31FB58A6"/>
    <w:rsid w:val="31FC4CAA"/>
    <w:rsid w:val="3200110E"/>
    <w:rsid w:val="323106AA"/>
    <w:rsid w:val="324B208A"/>
    <w:rsid w:val="328C22B5"/>
    <w:rsid w:val="3296737C"/>
    <w:rsid w:val="32A606B5"/>
    <w:rsid w:val="32E4633A"/>
    <w:rsid w:val="32FF13C6"/>
    <w:rsid w:val="33092244"/>
    <w:rsid w:val="340C4D7B"/>
    <w:rsid w:val="3430602A"/>
    <w:rsid w:val="34424D74"/>
    <w:rsid w:val="3474193F"/>
    <w:rsid w:val="34784F8C"/>
    <w:rsid w:val="34795E57"/>
    <w:rsid w:val="34A246FE"/>
    <w:rsid w:val="34B47F8E"/>
    <w:rsid w:val="34F85849"/>
    <w:rsid w:val="352913DA"/>
    <w:rsid w:val="358E6D38"/>
    <w:rsid w:val="35A973C7"/>
    <w:rsid w:val="35BE7316"/>
    <w:rsid w:val="35C3492C"/>
    <w:rsid w:val="36436413"/>
    <w:rsid w:val="364A0BAA"/>
    <w:rsid w:val="36811A5E"/>
    <w:rsid w:val="368E7C20"/>
    <w:rsid w:val="36984C27"/>
    <w:rsid w:val="36D466C5"/>
    <w:rsid w:val="36DD37CC"/>
    <w:rsid w:val="36E96615"/>
    <w:rsid w:val="375021F0"/>
    <w:rsid w:val="375F35B5"/>
    <w:rsid w:val="37644EDF"/>
    <w:rsid w:val="37A147F9"/>
    <w:rsid w:val="37C91FA2"/>
    <w:rsid w:val="37CD130A"/>
    <w:rsid w:val="38157F04"/>
    <w:rsid w:val="3836588A"/>
    <w:rsid w:val="3864699E"/>
    <w:rsid w:val="38B90269"/>
    <w:rsid w:val="38D64977"/>
    <w:rsid w:val="38DA6126"/>
    <w:rsid w:val="38DB11E0"/>
    <w:rsid w:val="38FE7A29"/>
    <w:rsid w:val="391F41F8"/>
    <w:rsid w:val="39277AF6"/>
    <w:rsid w:val="393A4F06"/>
    <w:rsid w:val="39A44A75"/>
    <w:rsid w:val="39E44E71"/>
    <w:rsid w:val="39FB2A28"/>
    <w:rsid w:val="3A0D261A"/>
    <w:rsid w:val="3A19468D"/>
    <w:rsid w:val="3A371445"/>
    <w:rsid w:val="3A856654"/>
    <w:rsid w:val="3A8C582C"/>
    <w:rsid w:val="3AFE1F63"/>
    <w:rsid w:val="3B0357CB"/>
    <w:rsid w:val="3B1654FE"/>
    <w:rsid w:val="3B2F5A1E"/>
    <w:rsid w:val="3B392F9B"/>
    <w:rsid w:val="3B73215B"/>
    <w:rsid w:val="3BB23479"/>
    <w:rsid w:val="3BC812B6"/>
    <w:rsid w:val="3C010D46"/>
    <w:rsid w:val="3C022953"/>
    <w:rsid w:val="3C0E40B9"/>
    <w:rsid w:val="3C717E98"/>
    <w:rsid w:val="3C834DAB"/>
    <w:rsid w:val="3CCD42E3"/>
    <w:rsid w:val="3CE04016"/>
    <w:rsid w:val="3DAD27CB"/>
    <w:rsid w:val="3DF21912"/>
    <w:rsid w:val="3E612F34"/>
    <w:rsid w:val="3E720C9E"/>
    <w:rsid w:val="3EAB2402"/>
    <w:rsid w:val="3EB72B54"/>
    <w:rsid w:val="3EC040FF"/>
    <w:rsid w:val="3ECA2888"/>
    <w:rsid w:val="3ED90473"/>
    <w:rsid w:val="3EF26282"/>
    <w:rsid w:val="3F4E170B"/>
    <w:rsid w:val="3F9609BC"/>
    <w:rsid w:val="3FBB6674"/>
    <w:rsid w:val="3FE6171A"/>
    <w:rsid w:val="3FF12096"/>
    <w:rsid w:val="40207E13"/>
    <w:rsid w:val="4041301D"/>
    <w:rsid w:val="40572841"/>
    <w:rsid w:val="406E2E94"/>
    <w:rsid w:val="40AE30AE"/>
    <w:rsid w:val="40E53347"/>
    <w:rsid w:val="40E57E4D"/>
    <w:rsid w:val="414F176A"/>
    <w:rsid w:val="41772D04"/>
    <w:rsid w:val="41D659E7"/>
    <w:rsid w:val="41E9396D"/>
    <w:rsid w:val="42637914"/>
    <w:rsid w:val="42CB1E3D"/>
    <w:rsid w:val="42CE526A"/>
    <w:rsid w:val="42E31E8A"/>
    <w:rsid w:val="43065E58"/>
    <w:rsid w:val="43106CD7"/>
    <w:rsid w:val="4322598C"/>
    <w:rsid w:val="432664FB"/>
    <w:rsid w:val="439416B6"/>
    <w:rsid w:val="43D441A9"/>
    <w:rsid w:val="43E51F12"/>
    <w:rsid w:val="44254A04"/>
    <w:rsid w:val="443A04B0"/>
    <w:rsid w:val="44CB735A"/>
    <w:rsid w:val="44FE615B"/>
    <w:rsid w:val="45261525"/>
    <w:rsid w:val="45622B78"/>
    <w:rsid w:val="45B8657D"/>
    <w:rsid w:val="45CF69D6"/>
    <w:rsid w:val="45DA518F"/>
    <w:rsid w:val="45F33853"/>
    <w:rsid w:val="45FF375F"/>
    <w:rsid w:val="46BF4C9C"/>
    <w:rsid w:val="46BF5619"/>
    <w:rsid w:val="471C20EE"/>
    <w:rsid w:val="477517FF"/>
    <w:rsid w:val="47811F51"/>
    <w:rsid w:val="478F7835"/>
    <w:rsid w:val="47ED3A8B"/>
    <w:rsid w:val="480706A9"/>
    <w:rsid w:val="48691363"/>
    <w:rsid w:val="4874419B"/>
    <w:rsid w:val="487726A7"/>
    <w:rsid w:val="48AE6D76"/>
    <w:rsid w:val="48C765AB"/>
    <w:rsid w:val="48C77E38"/>
    <w:rsid w:val="491F7C74"/>
    <w:rsid w:val="495C4A24"/>
    <w:rsid w:val="49885819"/>
    <w:rsid w:val="498F443F"/>
    <w:rsid w:val="49900D47"/>
    <w:rsid w:val="49CD44FC"/>
    <w:rsid w:val="49D02E2F"/>
    <w:rsid w:val="49D0328C"/>
    <w:rsid w:val="49D1357F"/>
    <w:rsid w:val="49F25388"/>
    <w:rsid w:val="4A080B83"/>
    <w:rsid w:val="4A6E2C61"/>
    <w:rsid w:val="4A755D3D"/>
    <w:rsid w:val="4AD15AD1"/>
    <w:rsid w:val="4B180E1F"/>
    <w:rsid w:val="4B700C5B"/>
    <w:rsid w:val="4B891905"/>
    <w:rsid w:val="4BCF3BD3"/>
    <w:rsid w:val="4BEC465C"/>
    <w:rsid w:val="4BF126D7"/>
    <w:rsid w:val="4C08741E"/>
    <w:rsid w:val="4C0F6FA6"/>
    <w:rsid w:val="4C5C4D3B"/>
    <w:rsid w:val="4C716A38"/>
    <w:rsid w:val="4C735A71"/>
    <w:rsid w:val="4CB330A0"/>
    <w:rsid w:val="4CDE4533"/>
    <w:rsid w:val="4CF5766A"/>
    <w:rsid w:val="4D20220D"/>
    <w:rsid w:val="4D3461FF"/>
    <w:rsid w:val="4D6B16DA"/>
    <w:rsid w:val="4DA40444"/>
    <w:rsid w:val="4DB95DF5"/>
    <w:rsid w:val="4DEE5F80"/>
    <w:rsid w:val="4E2B2C17"/>
    <w:rsid w:val="4E37780E"/>
    <w:rsid w:val="4E5E2364"/>
    <w:rsid w:val="4E766588"/>
    <w:rsid w:val="4E8011B5"/>
    <w:rsid w:val="4EE96D5A"/>
    <w:rsid w:val="4F22160D"/>
    <w:rsid w:val="4F2A1AC0"/>
    <w:rsid w:val="4F8B6063"/>
    <w:rsid w:val="4FD5108C"/>
    <w:rsid w:val="4FE42B70"/>
    <w:rsid w:val="4FED4628"/>
    <w:rsid w:val="4FF359B6"/>
    <w:rsid w:val="5038161B"/>
    <w:rsid w:val="50412BC6"/>
    <w:rsid w:val="504D50C7"/>
    <w:rsid w:val="50947B17"/>
    <w:rsid w:val="512C68D8"/>
    <w:rsid w:val="51313B46"/>
    <w:rsid w:val="516E1798"/>
    <w:rsid w:val="51886D51"/>
    <w:rsid w:val="51932FAD"/>
    <w:rsid w:val="51B15582"/>
    <w:rsid w:val="52320D89"/>
    <w:rsid w:val="525C5A95"/>
    <w:rsid w:val="525E180D"/>
    <w:rsid w:val="528943B0"/>
    <w:rsid w:val="52A511EA"/>
    <w:rsid w:val="52B61649"/>
    <w:rsid w:val="52E729D6"/>
    <w:rsid w:val="53130849"/>
    <w:rsid w:val="5334431C"/>
    <w:rsid w:val="533C41C5"/>
    <w:rsid w:val="53866A97"/>
    <w:rsid w:val="53AC3486"/>
    <w:rsid w:val="53B06098"/>
    <w:rsid w:val="53C102A5"/>
    <w:rsid w:val="53CC09F8"/>
    <w:rsid w:val="545571E3"/>
    <w:rsid w:val="546477B5"/>
    <w:rsid w:val="54774E08"/>
    <w:rsid w:val="548412D3"/>
    <w:rsid w:val="548F2152"/>
    <w:rsid w:val="54905ECA"/>
    <w:rsid w:val="54D44008"/>
    <w:rsid w:val="54E620DA"/>
    <w:rsid w:val="550F3292"/>
    <w:rsid w:val="554D5B69"/>
    <w:rsid w:val="55572544"/>
    <w:rsid w:val="5572523E"/>
    <w:rsid w:val="55801A9A"/>
    <w:rsid w:val="56156687"/>
    <w:rsid w:val="56384123"/>
    <w:rsid w:val="56474093"/>
    <w:rsid w:val="56794E67"/>
    <w:rsid w:val="569B5C83"/>
    <w:rsid w:val="56CB143B"/>
    <w:rsid w:val="56DC53F6"/>
    <w:rsid w:val="56EB388B"/>
    <w:rsid w:val="57193E63"/>
    <w:rsid w:val="57277599"/>
    <w:rsid w:val="572A43B4"/>
    <w:rsid w:val="57805D82"/>
    <w:rsid w:val="579F099D"/>
    <w:rsid w:val="57AD4AA6"/>
    <w:rsid w:val="57EA3B43"/>
    <w:rsid w:val="58105524"/>
    <w:rsid w:val="5855720E"/>
    <w:rsid w:val="58587B8F"/>
    <w:rsid w:val="585F62DF"/>
    <w:rsid w:val="587578B0"/>
    <w:rsid w:val="58975A79"/>
    <w:rsid w:val="58CB127E"/>
    <w:rsid w:val="5903310E"/>
    <w:rsid w:val="5952374E"/>
    <w:rsid w:val="59D51D01"/>
    <w:rsid w:val="5A2450EA"/>
    <w:rsid w:val="5ACC72EC"/>
    <w:rsid w:val="5AD7215D"/>
    <w:rsid w:val="5AE0025B"/>
    <w:rsid w:val="5AE34FA5"/>
    <w:rsid w:val="5AF727FF"/>
    <w:rsid w:val="5B182775"/>
    <w:rsid w:val="5B2D7FCE"/>
    <w:rsid w:val="5B4E356A"/>
    <w:rsid w:val="5B955C1B"/>
    <w:rsid w:val="5BCD355F"/>
    <w:rsid w:val="5BD47CD7"/>
    <w:rsid w:val="5BD82630"/>
    <w:rsid w:val="5BE70AC5"/>
    <w:rsid w:val="5BF96438"/>
    <w:rsid w:val="5C013209"/>
    <w:rsid w:val="5C180C7F"/>
    <w:rsid w:val="5C480E38"/>
    <w:rsid w:val="5C4C52A3"/>
    <w:rsid w:val="5C8307D5"/>
    <w:rsid w:val="5C976FAB"/>
    <w:rsid w:val="5CA442C0"/>
    <w:rsid w:val="5CAD579C"/>
    <w:rsid w:val="5CCC1A69"/>
    <w:rsid w:val="5CD07C61"/>
    <w:rsid w:val="5CE80213"/>
    <w:rsid w:val="5CF73C00"/>
    <w:rsid w:val="5D347D3A"/>
    <w:rsid w:val="5D79574D"/>
    <w:rsid w:val="5DEA21A7"/>
    <w:rsid w:val="5E543AC4"/>
    <w:rsid w:val="5EB32EE1"/>
    <w:rsid w:val="5EDF3CD6"/>
    <w:rsid w:val="5F024610"/>
    <w:rsid w:val="5F1D65AC"/>
    <w:rsid w:val="5F7A57AC"/>
    <w:rsid w:val="600F05EB"/>
    <w:rsid w:val="6010604A"/>
    <w:rsid w:val="60175315"/>
    <w:rsid w:val="602816AC"/>
    <w:rsid w:val="6032665A"/>
    <w:rsid w:val="60363647"/>
    <w:rsid w:val="607555C8"/>
    <w:rsid w:val="608C5797"/>
    <w:rsid w:val="609D1752"/>
    <w:rsid w:val="60BE791B"/>
    <w:rsid w:val="60E025C5"/>
    <w:rsid w:val="611F2AAF"/>
    <w:rsid w:val="61406582"/>
    <w:rsid w:val="617642BC"/>
    <w:rsid w:val="617C3C2F"/>
    <w:rsid w:val="619458D9"/>
    <w:rsid w:val="625E3163"/>
    <w:rsid w:val="626B762E"/>
    <w:rsid w:val="627C183B"/>
    <w:rsid w:val="6283706E"/>
    <w:rsid w:val="6287090C"/>
    <w:rsid w:val="62976675"/>
    <w:rsid w:val="62A20EC5"/>
    <w:rsid w:val="62CF7BBD"/>
    <w:rsid w:val="62D160BE"/>
    <w:rsid w:val="62ED5038"/>
    <w:rsid w:val="632F4494"/>
    <w:rsid w:val="635D166D"/>
    <w:rsid w:val="637F7835"/>
    <w:rsid w:val="63EE0517"/>
    <w:rsid w:val="63FF44D2"/>
    <w:rsid w:val="64107E22"/>
    <w:rsid w:val="64520AA6"/>
    <w:rsid w:val="646507D9"/>
    <w:rsid w:val="64660087"/>
    <w:rsid w:val="64793590"/>
    <w:rsid w:val="64813139"/>
    <w:rsid w:val="648B3FB8"/>
    <w:rsid w:val="64AC28AC"/>
    <w:rsid w:val="64C022EF"/>
    <w:rsid w:val="64D140C0"/>
    <w:rsid w:val="65031DA0"/>
    <w:rsid w:val="652341F0"/>
    <w:rsid w:val="65817895"/>
    <w:rsid w:val="65A5435B"/>
    <w:rsid w:val="65AE61B0"/>
    <w:rsid w:val="65E70377"/>
    <w:rsid w:val="65F016B7"/>
    <w:rsid w:val="662326FA"/>
    <w:rsid w:val="6635242D"/>
    <w:rsid w:val="664F2ADA"/>
    <w:rsid w:val="66532ABE"/>
    <w:rsid w:val="6678792A"/>
    <w:rsid w:val="669870E7"/>
    <w:rsid w:val="66C57C55"/>
    <w:rsid w:val="66E778EF"/>
    <w:rsid w:val="675E48FC"/>
    <w:rsid w:val="676A13C4"/>
    <w:rsid w:val="67C1041C"/>
    <w:rsid w:val="67C446EC"/>
    <w:rsid w:val="67D521CC"/>
    <w:rsid w:val="68016A6B"/>
    <w:rsid w:val="68182006"/>
    <w:rsid w:val="68352BB8"/>
    <w:rsid w:val="68550B65"/>
    <w:rsid w:val="686A23AC"/>
    <w:rsid w:val="686F7E78"/>
    <w:rsid w:val="68923B67"/>
    <w:rsid w:val="68B271EF"/>
    <w:rsid w:val="68EC7861"/>
    <w:rsid w:val="68F53477"/>
    <w:rsid w:val="691F110C"/>
    <w:rsid w:val="691F26A1"/>
    <w:rsid w:val="69344175"/>
    <w:rsid w:val="6939728B"/>
    <w:rsid w:val="69627017"/>
    <w:rsid w:val="69E2467A"/>
    <w:rsid w:val="6A013207"/>
    <w:rsid w:val="6A3550F2"/>
    <w:rsid w:val="6A6041B6"/>
    <w:rsid w:val="6A6A4BA8"/>
    <w:rsid w:val="6A9A31A7"/>
    <w:rsid w:val="6A9F4C18"/>
    <w:rsid w:val="6AA0038E"/>
    <w:rsid w:val="6AAF5B7C"/>
    <w:rsid w:val="6AB73D58"/>
    <w:rsid w:val="6AE4014E"/>
    <w:rsid w:val="6B1F4868"/>
    <w:rsid w:val="6B2F39D3"/>
    <w:rsid w:val="6B403D4E"/>
    <w:rsid w:val="6B7D6346"/>
    <w:rsid w:val="6BD40E09"/>
    <w:rsid w:val="6BD779E0"/>
    <w:rsid w:val="6BF665EC"/>
    <w:rsid w:val="6C0C3C30"/>
    <w:rsid w:val="6C284632"/>
    <w:rsid w:val="6C2D48E4"/>
    <w:rsid w:val="6C7041BF"/>
    <w:rsid w:val="6C727F37"/>
    <w:rsid w:val="6C9B017D"/>
    <w:rsid w:val="6CA544BE"/>
    <w:rsid w:val="6D213550"/>
    <w:rsid w:val="6D50371D"/>
    <w:rsid w:val="6D946D06"/>
    <w:rsid w:val="6DA5433C"/>
    <w:rsid w:val="6DAF3A2F"/>
    <w:rsid w:val="6E060C3A"/>
    <w:rsid w:val="6E1A0886"/>
    <w:rsid w:val="6E4B0338"/>
    <w:rsid w:val="6E5A5127"/>
    <w:rsid w:val="6E8757F0"/>
    <w:rsid w:val="6EA25B6B"/>
    <w:rsid w:val="6EC10D02"/>
    <w:rsid w:val="6EC8515D"/>
    <w:rsid w:val="6ED70525"/>
    <w:rsid w:val="6ED73AD8"/>
    <w:rsid w:val="6EFC7F8C"/>
    <w:rsid w:val="6F173018"/>
    <w:rsid w:val="6F23376B"/>
    <w:rsid w:val="6F4F4560"/>
    <w:rsid w:val="6FAC7C04"/>
    <w:rsid w:val="6FC14D32"/>
    <w:rsid w:val="6FCD3DF1"/>
    <w:rsid w:val="6FDD4ECD"/>
    <w:rsid w:val="6FEE34F5"/>
    <w:rsid w:val="70054FF5"/>
    <w:rsid w:val="702A21AF"/>
    <w:rsid w:val="70651B61"/>
    <w:rsid w:val="708E2E66"/>
    <w:rsid w:val="70F60E79"/>
    <w:rsid w:val="70FE0AB9"/>
    <w:rsid w:val="71155335"/>
    <w:rsid w:val="713E68F1"/>
    <w:rsid w:val="716A38D3"/>
    <w:rsid w:val="71754026"/>
    <w:rsid w:val="71A5490B"/>
    <w:rsid w:val="71A7581C"/>
    <w:rsid w:val="71AF7537"/>
    <w:rsid w:val="71B608C6"/>
    <w:rsid w:val="71CF7BDA"/>
    <w:rsid w:val="71F4639A"/>
    <w:rsid w:val="727F6340"/>
    <w:rsid w:val="72CC5BD6"/>
    <w:rsid w:val="73163330"/>
    <w:rsid w:val="736F3422"/>
    <w:rsid w:val="73700F48"/>
    <w:rsid w:val="73C13552"/>
    <w:rsid w:val="74714F78"/>
    <w:rsid w:val="747E4ADD"/>
    <w:rsid w:val="74A964C0"/>
    <w:rsid w:val="74CE5F27"/>
    <w:rsid w:val="751678CE"/>
    <w:rsid w:val="7533222E"/>
    <w:rsid w:val="7542694E"/>
    <w:rsid w:val="75497CA3"/>
    <w:rsid w:val="759A22AD"/>
    <w:rsid w:val="75C27E53"/>
    <w:rsid w:val="75EF4F07"/>
    <w:rsid w:val="76150B03"/>
    <w:rsid w:val="76320737"/>
    <w:rsid w:val="76397D18"/>
    <w:rsid w:val="766C1E9B"/>
    <w:rsid w:val="767C4DB4"/>
    <w:rsid w:val="76956495"/>
    <w:rsid w:val="769E3797"/>
    <w:rsid w:val="76CF5F86"/>
    <w:rsid w:val="76DB4554"/>
    <w:rsid w:val="76E71411"/>
    <w:rsid w:val="76EA266A"/>
    <w:rsid w:val="76FE1B8D"/>
    <w:rsid w:val="77247247"/>
    <w:rsid w:val="7730111A"/>
    <w:rsid w:val="7731279D"/>
    <w:rsid w:val="773504DF"/>
    <w:rsid w:val="776112D4"/>
    <w:rsid w:val="777C4360"/>
    <w:rsid w:val="77A45665"/>
    <w:rsid w:val="77BF5FFA"/>
    <w:rsid w:val="77E43CB3"/>
    <w:rsid w:val="78144598"/>
    <w:rsid w:val="782F3884"/>
    <w:rsid w:val="78397B5B"/>
    <w:rsid w:val="78A551F0"/>
    <w:rsid w:val="78DB50B6"/>
    <w:rsid w:val="78EE46B5"/>
    <w:rsid w:val="78F5007C"/>
    <w:rsid w:val="796B4B28"/>
    <w:rsid w:val="79AB4EB5"/>
    <w:rsid w:val="79DF2984"/>
    <w:rsid w:val="79ED50A1"/>
    <w:rsid w:val="7A2F7467"/>
    <w:rsid w:val="7A3840F3"/>
    <w:rsid w:val="7A590988"/>
    <w:rsid w:val="7A5E4B76"/>
    <w:rsid w:val="7A5F1EB1"/>
    <w:rsid w:val="7AD033D5"/>
    <w:rsid w:val="7B304553"/>
    <w:rsid w:val="7B71742F"/>
    <w:rsid w:val="7B937ECA"/>
    <w:rsid w:val="7BA23C69"/>
    <w:rsid w:val="7BEF7644"/>
    <w:rsid w:val="7C217284"/>
    <w:rsid w:val="7C32323F"/>
    <w:rsid w:val="7CBC0D5A"/>
    <w:rsid w:val="7CC3658D"/>
    <w:rsid w:val="7CD85D9F"/>
    <w:rsid w:val="7CF21017"/>
    <w:rsid w:val="7CF404F4"/>
    <w:rsid w:val="7D0050EB"/>
    <w:rsid w:val="7D006117"/>
    <w:rsid w:val="7D0C7F34"/>
    <w:rsid w:val="7D172435"/>
    <w:rsid w:val="7D23702C"/>
    <w:rsid w:val="7D3905FD"/>
    <w:rsid w:val="7D764185"/>
    <w:rsid w:val="7D7C7A36"/>
    <w:rsid w:val="7D9836D6"/>
    <w:rsid w:val="7DA912DF"/>
    <w:rsid w:val="7DC4536C"/>
    <w:rsid w:val="7DFD5ACF"/>
    <w:rsid w:val="7E206D18"/>
    <w:rsid w:val="7E2968C4"/>
    <w:rsid w:val="7E4D25B2"/>
    <w:rsid w:val="7E7254DE"/>
    <w:rsid w:val="7E9E696A"/>
    <w:rsid w:val="7EB02B41"/>
    <w:rsid w:val="7EB761DD"/>
    <w:rsid w:val="7EEB3E21"/>
    <w:rsid w:val="7F190287"/>
    <w:rsid w:val="7F192494"/>
    <w:rsid w:val="7F482D79"/>
    <w:rsid w:val="7F5C2EDD"/>
    <w:rsid w:val="7F5D4A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4">
    <w:name w:val="index 8"/>
    <w:basedOn w:val="1"/>
    <w:next w:val="1"/>
    <w:unhideWhenUsed/>
    <w:qFormat/>
    <w:uiPriority w:val="99"/>
    <w:pPr>
      <w:ind w:left="1400" w:leftChars="1400"/>
    </w:pPr>
  </w:style>
  <w:style w:type="paragraph" w:styleId="5">
    <w:name w:val="Normal Indent"/>
    <w:basedOn w:val="1"/>
    <w:next w:val="6"/>
    <w:autoRedefine/>
    <w:qFormat/>
    <w:uiPriority w:val="0"/>
    <w:pPr>
      <w:widowControl/>
      <w:ind w:firstLine="420"/>
      <w:jc w:val="left"/>
    </w:pPr>
    <w:rPr>
      <w:rFonts w:ascii="Times New Roman" w:hAnsi="Times New Roman" w:eastAsia="宋体" w:cs="Times New Roman"/>
      <w:kern w:val="0"/>
      <w:sz w:val="20"/>
      <w:szCs w:val="20"/>
    </w:rPr>
  </w:style>
  <w:style w:type="paragraph" w:styleId="6">
    <w:name w:val="Body Text 2"/>
    <w:basedOn w:val="1"/>
    <w:next w:val="7"/>
    <w:autoRedefine/>
    <w:qFormat/>
    <w:uiPriority w:val="0"/>
    <w:pPr>
      <w:spacing w:after="120" w:line="480" w:lineRule="auto"/>
    </w:pPr>
    <w:rPr>
      <w:rFonts w:ascii="Times New Roman" w:hAnsi="Times New Roman" w:eastAsia="宋体" w:cs="Times New Roman"/>
    </w:rPr>
  </w:style>
  <w:style w:type="paragraph" w:styleId="7">
    <w:name w:val="Body Text"/>
    <w:basedOn w:val="1"/>
    <w:next w:val="6"/>
    <w:autoRedefine/>
    <w:qFormat/>
    <w:uiPriority w:val="0"/>
    <w:pPr>
      <w:spacing w:after="120" w:afterLines="0" w:afterAutospacing="0"/>
    </w:pPr>
    <w:rPr>
      <w:sz w:val="21"/>
    </w:rPr>
  </w:style>
  <w:style w:type="paragraph" w:styleId="8">
    <w:name w:val="caption"/>
    <w:basedOn w:val="1"/>
    <w:next w:val="1"/>
    <w:autoRedefine/>
    <w:qFormat/>
    <w:uiPriority w:val="0"/>
    <w:rPr>
      <w:rFonts w:ascii="Cambria" w:hAnsi="Cambria" w:eastAsia="黑体"/>
      <w:sz w:val="20"/>
      <w:szCs w:val="20"/>
    </w:rPr>
  </w:style>
  <w:style w:type="paragraph" w:styleId="9">
    <w:name w:val="Body Text Indent"/>
    <w:basedOn w:val="1"/>
    <w:next w:val="10"/>
    <w:autoRedefine/>
    <w:qFormat/>
    <w:uiPriority w:val="0"/>
    <w:pPr>
      <w:spacing w:after="120"/>
      <w:ind w:left="200" w:leftChars="200"/>
    </w:pPr>
  </w:style>
  <w:style w:type="paragraph" w:styleId="10">
    <w:name w:val="envelope return"/>
    <w:basedOn w:val="1"/>
    <w:autoRedefine/>
    <w:qFormat/>
    <w:uiPriority w:val="0"/>
    <w:pPr>
      <w:snapToGrid w:val="0"/>
    </w:pPr>
    <w:rPr>
      <w:rFonts w:ascii="Arial" w:hAnsi="Arial" w:cs="Arial"/>
    </w:rPr>
  </w:style>
  <w:style w:type="paragraph" w:styleId="11">
    <w:name w:val="List 2"/>
    <w:basedOn w:val="1"/>
    <w:qFormat/>
    <w:uiPriority w:val="0"/>
    <w:pPr>
      <w:ind w:left="100" w:leftChars="200" w:hanging="200" w:hangingChars="200"/>
    </w:pPr>
  </w:style>
  <w:style w:type="paragraph" w:styleId="12">
    <w:name w:val="Plain Text"/>
    <w:basedOn w:val="1"/>
    <w:qFormat/>
    <w:uiPriority w:val="0"/>
    <w:rPr>
      <w:rFonts w:ascii="宋体" w:hAnsi="Courier New" w:cs="Courier New"/>
      <w:szCs w:val="21"/>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next w:val="1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2"/>
    <w:basedOn w:val="1"/>
    <w:next w:val="1"/>
    <w:autoRedefine/>
    <w:unhideWhenUsed/>
    <w:qFormat/>
    <w:uiPriority w:val="39"/>
    <w:pPr>
      <w:widowControl/>
      <w:tabs>
        <w:tab w:val="right" w:leader="dot" w:pos="8777"/>
      </w:tabs>
      <w:spacing w:line="360" w:lineRule="auto"/>
      <w:jc w:val="left"/>
    </w:pPr>
    <w:rPr>
      <w:kern w:val="0"/>
      <w:szCs w:val="22"/>
    </w:rPr>
  </w:style>
  <w:style w:type="paragraph" w:styleId="1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7"/>
    <w:next w:val="18"/>
    <w:autoRedefine/>
    <w:qFormat/>
    <w:uiPriority w:val="0"/>
    <w:pPr>
      <w:ind w:firstLine="420" w:firstLineChars="100"/>
    </w:pPr>
  </w:style>
  <w:style w:type="paragraph" w:styleId="18">
    <w:name w:val="Body Text First Indent 2"/>
    <w:basedOn w:val="9"/>
    <w:next w:val="1"/>
    <w:autoRedefine/>
    <w:qFormat/>
    <w:uiPriority w:val="0"/>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autoRedefine/>
    <w:qFormat/>
    <w:uiPriority w:val="0"/>
    <w:rPr>
      <w:color w:val="800080"/>
      <w:u w:val="none"/>
    </w:rPr>
  </w:style>
  <w:style w:type="character" w:styleId="23">
    <w:name w:val="Emphasis"/>
    <w:basedOn w:val="21"/>
    <w:autoRedefine/>
    <w:qFormat/>
    <w:uiPriority w:val="0"/>
  </w:style>
  <w:style w:type="character" w:styleId="24">
    <w:name w:val="HTML Definition"/>
    <w:basedOn w:val="21"/>
    <w:autoRedefine/>
    <w:qFormat/>
    <w:uiPriority w:val="0"/>
  </w:style>
  <w:style w:type="character" w:styleId="25">
    <w:name w:val="HTML Typewriter"/>
    <w:basedOn w:val="21"/>
    <w:autoRedefine/>
    <w:qFormat/>
    <w:uiPriority w:val="0"/>
    <w:rPr>
      <w:rFonts w:hint="default" w:ascii="monospace" w:hAnsi="monospace" w:eastAsia="monospace" w:cs="monospace"/>
      <w:sz w:val="20"/>
    </w:rPr>
  </w:style>
  <w:style w:type="character" w:styleId="26">
    <w:name w:val="HTML Acronym"/>
    <w:basedOn w:val="21"/>
    <w:autoRedefine/>
    <w:qFormat/>
    <w:uiPriority w:val="0"/>
  </w:style>
  <w:style w:type="character" w:styleId="27">
    <w:name w:val="HTML Variable"/>
    <w:basedOn w:val="21"/>
    <w:autoRedefine/>
    <w:qFormat/>
    <w:uiPriority w:val="0"/>
  </w:style>
  <w:style w:type="character" w:styleId="28">
    <w:name w:val="Hyperlink"/>
    <w:basedOn w:val="21"/>
    <w:autoRedefine/>
    <w:qFormat/>
    <w:uiPriority w:val="0"/>
    <w:rPr>
      <w:color w:val="0000FF"/>
      <w:u w:val="none"/>
    </w:rPr>
  </w:style>
  <w:style w:type="character" w:styleId="29">
    <w:name w:val="HTML Code"/>
    <w:basedOn w:val="21"/>
    <w:autoRedefine/>
    <w:qFormat/>
    <w:uiPriority w:val="0"/>
    <w:rPr>
      <w:rFonts w:hint="default" w:ascii="monospace" w:hAnsi="monospace" w:eastAsia="monospace" w:cs="monospace"/>
      <w:sz w:val="20"/>
    </w:rPr>
  </w:style>
  <w:style w:type="character" w:styleId="30">
    <w:name w:val="HTML Cite"/>
    <w:basedOn w:val="21"/>
    <w:autoRedefine/>
    <w:qFormat/>
    <w:uiPriority w:val="0"/>
  </w:style>
  <w:style w:type="character" w:styleId="31">
    <w:name w:val="HTML Keyboard"/>
    <w:basedOn w:val="21"/>
    <w:autoRedefine/>
    <w:qFormat/>
    <w:uiPriority w:val="0"/>
    <w:rPr>
      <w:rFonts w:ascii="monospace" w:hAnsi="monospace" w:eastAsia="monospace" w:cs="monospace"/>
      <w:sz w:val="20"/>
    </w:rPr>
  </w:style>
  <w:style w:type="character" w:styleId="32">
    <w:name w:val="HTML Sample"/>
    <w:basedOn w:val="21"/>
    <w:autoRedefine/>
    <w:qFormat/>
    <w:uiPriority w:val="0"/>
    <w:rPr>
      <w:rFonts w:hint="default" w:ascii="monospace" w:hAnsi="monospace" w:eastAsia="monospace" w:cs="monospace"/>
    </w:rPr>
  </w:style>
  <w:style w:type="paragraph" w:customStyle="1" w:styleId="33">
    <w:name w:val="Default"/>
    <w:basedOn w:val="12"/>
    <w:next w:val="1"/>
    <w:qFormat/>
    <w:uiPriority w:val="0"/>
    <w:pPr>
      <w:widowControl w:val="0"/>
      <w:autoSpaceDE w:val="0"/>
      <w:autoSpaceDN w:val="0"/>
      <w:adjustRightInd w:val="0"/>
    </w:pPr>
    <w:rPr>
      <w:rFonts w:ascii="宋体" w:hAnsi="Times New Roman" w:cs="宋体"/>
      <w:color w:val="000000"/>
      <w:sz w:val="24"/>
      <w:szCs w:val="24"/>
      <w:lang w:val="en-US" w:eastAsia="zh-CN" w:bidi="ar-SA"/>
    </w:rPr>
  </w:style>
  <w:style w:type="paragraph" w:customStyle="1" w:styleId="34">
    <w:name w:val="style4"/>
    <w:basedOn w:val="35"/>
    <w:next w:val="36"/>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5">
    <w:name w:val="Normal"/>
    <w:next w:val="17"/>
    <w:qFormat/>
    <w:uiPriority w:val="0"/>
    <w:pPr>
      <w:jc w:val="both"/>
    </w:pPr>
    <w:rPr>
      <w:rFonts w:ascii="Calibri" w:hAnsi="Calibri" w:eastAsia="宋体" w:cs="Times New Roman"/>
      <w:kern w:val="2"/>
      <w:sz w:val="21"/>
      <w:szCs w:val="21"/>
      <w:lang w:val="en-US" w:eastAsia="zh-CN" w:bidi="ar-SA"/>
    </w:rPr>
  </w:style>
  <w:style w:type="paragraph" w:customStyle="1" w:styleId="36">
    <w:name w:val="2"/>
    <w:basedOn w:val="1"/>
    <w:next w:val="1"/>
    <w:autoRedefine/>
    <w:qFormat/>
    <w:uiPriority w:val="0"/>
    <w:pPr>
      <w:widowControl w:val="0"/>
      <w:spacing w:line="360" w:lineRule="auto"/>
    </w:pPr>
    <w:rPr>
      <w:rFonts w:ascii="Times New Roman" w:hAnsi="Times New Roman" w:eastAsia="仿宋_GB2312"/>
      <w:sz w:val="28"/>
      <w:szCs w:val="28"/>
      <w:lang w:eastAsia="zh-CN"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paragraph" w:customStyle="1" w:styleId="38">
    <w:name w:val="WPSOffice手动目录 1"/>
    <w:autoRedefine/>
    <w:qFormat/>
    <w:uiPriority w:val="0"/>
    <w:pPr>
      <w:ind w:leftChars="0"/>
    </w:pPr>
    <w:rPr>
      <w:rFonts w:ascii="Times New Roman" w:hAnsi="Times New Roman" w:eastAsia="宋体" w:cs="Times New Roman"/>
      <w:sz w:val="20"/>
      <w:szCs w:val="20"/>
    </w:rPr>
  </w:style>
  <w:style w:type="paragraph" w:customStyle="1" w:styleId="39">
    <w:name w:val="WPSOffice手动目录 2"/>
    <w:autoRedefine/>
    <w:qFormat/>
    <w:uiPriority w:val="0"/>
    <w:pPr>
      <w:ind w:leftChars="200"/>
    </w:pPr>
    <w:rPr>
      <w:rFonts w:ascii="Times New Roman" w:hAnsi="Times New Roman" w:eastAsia="宋体" w:cs="Times New Roman"/>
      <w:sz w:val="20"/>
      <w:szCs w:val="20"/>
    </w:rPr>
  </w:style>
  <w:style w:type="paragraph" w:customStyle="1" w:styleId="40">
    <w:name w:val="WPSOffice手动目录 3"/>
    <w:autoRedefine/>
    <w:qFormat/>
    <w:uiPriority w:val="0"/>
    <w:pPr>
      <w:ind w:leftChars="400"/>
    </w:pPr>
    <w:rPr>
      <w:rFonts w:ascii="Times New Roman" w:hAnsi="Times New Roman" w:eastAsia="宋体" w:cs="Times New Roman"/>
      <w:sz w:val="20"/>
      <w:szCs w:val="20"/>
    </w:rPr>
  </w:style>
  <w:style w:type="paragraph" w:customStyle="1" w:styleId="41">
    <w:name w:val="Table Paragraph"/>
    <w:basedOn w:val="1"/>
    <w:autoRedefine/>
    <w:qFormat/>
    <w:uiPriority w:val="0"/>
  </w:style>
  <w:style w:type="paragraph" w:customStyle="1" w:styleId="42">
    <w:name w:val="无间隔1"/>
    <w:basedOn w:val="1"/>
    <w:next w:val="8"/>
    <w:qFormat/>
    <w:uiPriority w:val="99"/>
    <w:pPr>
      <w:spacing w:line="400" w:lineRule="exact"/>
    </w:pPr>
    <w:rPr>
      <w:sz w:val="24"/>
    </w:rPr>
  </w:style>
  <w:style w:type="character" w:customStyle="1" w:styleId="43">
    <w:name w:val="纯文本 Char1"/>
    <w:qFormat/>
    <w:uiPriority w:val="0"/>
    <w:rPr>
      <w:rFonts w:ascii="宋体" w:hAnsi="Courier New" w:eastAsia="宋体" w:cs="Times New Roman"/>
      <w:kern w:val="2"/>
      <w:sz w:val="21"/>
    </w:rPr>
  </w:style>
  <w:style w:type="paragraph" w:customStyle="1" w:styleId="44">
    <w:name w:val="*正文"/>
    <w:basedOn w:val="1"/>
    <w:next w:val="1"/>
    <w:qFormat/>
    <w:uiPriority w:val="0"/>
    <w:pPr>
      <w:spacing w:line="360" w:lineRule="auto"/>
      <w:ind w:firstLine="200" w:firstLineChars="200"/>
    </w:pPr>
    <w:rPr>
      <w:rFonts w:hint="eastAsia" w:ascii="宋体" w:hAnsi="宋体" w:eastAsia="宋体" w:cs="Times New Roman"/>
      <w:kern w:val="0"/>
      <w:sz w:val="20"/>
      <w:szCs w:val="24"/>
    </w:rPr>
  </w:style>
  <w:style w:type="paragraph" w:customStyle="1" w:styleId="45">
    <w:name w:val="Table Text"/>
    <w:basedOn w:val="1"/>
    <w:autoRedefine/>
    <w:semiHidden/>
    <w:qFormat/>
    <w:uiPriority w:val="0"/>
    <w:rPr>
      <w:rFonts w:ascii="宋体" w:hAnsi="宋体" w:eastAsia="宋体" w:cs="宋体"/>
      <w:sz w:val="24"/>
      <w:szCs w:val="24"/>
      <w:lang w:val="en-US" w:eastAsia="en-US" w:bidi="ar-SA"/>
    </w:rPr>
  </w:style>
  <w:style w:type="paragraph" w:customStyle="1" w:styleId="46">
    <w:name w:val="样式 标题 2 + Times New Roman 四号 非加粗 段前: 5 磅 段后: 0 磅 行距: 固定值 20..."/>
    <w:basedOn w:val="2"/>
    <w:autoRedefine/>
    <w:qFormat/>
    <w:uiPriority w:val="0"/>
    <w:pPr>
      <w:spacing w:before="100" w:line="400" w:lineRule="exact"/>
      <w:ind w:firstLine="200" w:firstLineChars="200"/>
    </w:pPr>
    <w:rPr>
      <w:rFonts w:ascii="Times New Roman" w:hAnsi="Times New Roman" w:cs="宋体"/>
      <w:b w:val="0"/>
      <w:sz w:val="28"/>
      <w:szCs w:val="20"/>
    </w:rPr>
  </w:style>
  <w:style w:type="paragraph" w:customStyle="1" w:styleId="47">
    <w:name w:val="Body text|1"/>
    <w:basedOn w:val="1"/>
    <w:autoRedefine/>
    <w:qFormat/>
    <w:uiPriority w:val="0"/>
    <w:pPr>
      <w:spacing w:line="456"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26651</Words>
  <Characters>29306</Characters>
  <TotalTime>18</TotalTime>
  <ScaleCrop>false</ScaleCrop>
  <LinksUpToDate>false</LinksUpToDate>
  <CharactersWithSpaces>31024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2023-02-28T16:16:00Z</dcterms:created>
  <dc:creator>wanglihua</dc:creator>
  <cp:lastModifiedBy>blackcat626</cp:lastModifiedBy>
  <cp:lastPrinted>2025-08-14T07:48:00Z</cp:lastPrinted>
  <dcterms:modified xsi:type="dcterms:W3CDTF">2025-09-05T09:24:59Z</dcterms:modified>
  <dc:title>河南卷烟工业烟草薄片有限公司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2023-04-19T11:32:00Z</vt:filetime>
  </property>
  <property fmtid="{D5CDD505-2E9C-101B-9397-08002B2CF9AE}" pid="4" name="KSOProductBuildVer">
    <vt:lpwstr>2052-12.1.0.22529</vt:lpwstr>
  </property>
  <property fmtid="{D5CDD505-2E9C-101B-9397-08002B2CF9AE}" pid="5" name="ICV">
    <vt:lpwstr>1663DA8C6771491DA3325B632679FAE7_13</vt:lpwstr>
  </property>
  <property fmtid="{D5CDD505-2E9C-101B-9397-08002B2CF9AE}" pid="6" name="KSOTemplateDocerSaveRecord">
    <vt:lpwstr>eyJoZGlkIjoiMTk5OGUzMjVmNzJlNGMzNmE0OTA2OWYxZTIxNjYxZjciLCJ1c2VySWQiOiI1MzkzMjI4MTAifQ==</vt:lpwstr>
  </property>
</Properties>
</file>