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0" w:lineRule="auto"/>
        <w:ind w:left="5"/>
        <w:jc w:val="center"/>
        <w:rPr>
          <w:rFonts w:hint="eastAsia"/>
          <w:b/>
          <w:bCs/>
          <w:spacing w:val="-4"/>
          <w:sz w:val="28"/>
          <w:szCs w:val="28"/>
          <w:lang w:eastAsia="zh-CN"/>
        </w:rPr>
      </w:pPr>
      <w:r>
        <w:rPr>
          <w:rFonts w:hint="eastAsia"/>
          <w:b/>
          <w:bCs/>
          <w:spacing w:val="-4"/>
          <w:sz w:val="28"/>
          <w:szCs w:val="28"/>
          <w:lang w:eastAsia="zh-CN"/>
        </w:rPr>
        <w:t>巩义市赵和线半个店段路面修复工程项目</w:t>
      </w:r>
    </w:p>
    <w:p>
      <w:pPr>
        <w:pStyle w:val="2"/>
        <w:spacing w:before="181" w:line="220" w:lineRule="auto"/>
        <w:ind w:left="5"/>
        <w:rPr>
          <w:sz w:val="24"/>
          <w:szCs w:val="24"/>
        </w:rPr>
      </w:pPr>
      <w:r>
        <w:rPr>
          <w:spacing w:val="-4"/>
          <w:sz w:val="24"/>
          <w:szCs w:val="24"/>
        </w:rPr>
        <w:t>一、评审结果</w:t>
      </w:r>
    </w:p>
    <w:p>
      <w:pPr>
        <w:pStyle w:val="2"/>
        <w:spacing w:before="204" w:line="481" w:lineRule="exact"/>
        <w:ind w:right="25"/>
        <w:jc w:val="right"/>
      </w:pPr>
      <w:r>
        <w:rPr>
          <w:rFonts w:hint="eastAsia"/>
          <w:spacing w:val="2"/>
          <w:position w:val="20"/>
          <w:lang w:val="en-US" w:eastAsia="zh-CN"/>
        </w:rPr>
        <w:t>谈判</w:t>
      </w:r>
      <w:r>
        <w:rPr>
          <w:spacing w:val="2"/>
          <w:position w:val="20"/>
        </w:rPr>
        <w:t>小组根据</w:t>
      </w:r>
      <w:r>
        <w:rPr>
          <w:rFonts w:hint="eastAsia"/>
          <w:spacing w:val="2"/>
          <w:position w:val="20"/>
          <w:lang w:val="en-US" w:eastAsia="zh-CN"/>
        </w:rPr>
        <w:t>谈判</w:t>
      </w:r>
      <w:r>
        <w:rPr>
          <w:spacing w:val="2"/>
          <w:position w:val="20"/>
        </w:rPr>
        <w:t>文件规定的评审程序、评审方法和评审标准等事项对响应文件进行初步评审，</w:t>
      </w:r>
      <w:r>
        <w:rPr>
          <w:spacing w:val="1"/>
          <w:position w:val="20"/>
        </w:rPr>
        <w:t>各响</w:t>
      </w:r>
    </w:p>
    <w:p>
      <w:pPr>
        <w:pStyle w:val="2"/>
        <w:spacing w:line="219" w:lineRule="auto"/>
      </w:pPr>
      <w:r>
        <w:rPr>
          <w:spacing w:val="-1"/>
        </w:rPr>
        <w:t>应人均通过了初步评审。</w:t>
      </w:r>
      <w:r>
        <w:rPr>
          <w:rFonts w:hint="eastAsia"/>
          <w:spacing w:val="-1"/>
        </w:rPr>
        <w:t>供应商最后谈判报价、扣减情况、最终评审报价及排序如下</w:t>
      </w:r>
      <w:r>
        <w:rPr>
          <w:spacing w:val="-2"/>
        </w:rPr>
        <w:t>：</w:t>
      </w:r>
    </w:p>
    <w:p>
      <w:pPr>
        <w:spacing w:line="80" w:lineRule="exact"/>
      </w:pPr>
    </w:p>
    <w:tbl>
      <w:tblPr>
        <w:tblStyle w:val="5"/>
        <w:tblW w:w="51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92"/>
        <w:gridCol w:w="3087"/>
        <w:gridCol w:w="1456"/>
        <w:gridCol w:w="1362"/>
        <w:gridCol w:w="1364"/>
        <w:gridCol w:w="1456"/>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340" w:type="pct"/>
            <w:vAlign w:val="center"/>
          </w:tcPr>
          <w:p>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序号</w:t>
            </w:r>
          </w:p>
        </w:tc>
        <w:tc>
          <w:tcPr>
            <w:tcW w:w="1516" w:type="pct"/>
            <w:vAlign w:val="center"/>
          </w:tcPr>
          <w:p>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响应人名称</w:t>
            </w:r>
          </w:p>
        </w:tc>
        <w:tc>
          <w:tcPr>
            <w:tcW w:w="715" w:type="pct"/>
            <w:vAlign w:val="center"/>
          </w:tcPr>
          <w:p>
            <w:pPr>
              <w:pStyle w:val="6"/>
              <w:spacing w:before="119" w:line="222" w:lineRule="auto"/>
              <w:ind w:left="0" w:leftChars="0" w:firstLine="0" w:firstLineChars="0"/>
              <w:jc w:val="center"/>
              <w:rPr>
                <w:rFonts w:ascii="宋体" w:hAnsi="宋体" w:eastAsia="宋体" w:cs="宋体"/>
                <w:spacing w:val="-3"/>
              </w:rPr>
            </w:pPr>
            <w:r>
              <w:rPr>
                <w:rFonts w:hint="eastAsia" w:ascii="宋体" w:hAnsi="宋体" w:eastAsia="宋体" w:cs="宋体"/>
                <w:spacing w:val="-3"/>
                <w:lang w:val="en-US" w:eastAsia="zh-CN"/>
              </w:rPr>
              <w:t>最终谈判</w:t>
            </w:r>
            <w:r>
              <w:rPr>
                <w:rFonts w:ascii="宋体" w:hAnsi="宋体" w:eastAsia="宋体" w:cs="宋体"/>
                <w:spacing w:val="-3"/>
              </w:rPr>
              <w:t>报价（元）</w:t>
            </w:r>
          </w:p>
        </w:tc>
        <w:tc>
          <w:tcPr>
            <w:tcW w:w="669" w:type="pct"/>
            <w:vAlign w:val="center"/>
          </w:tcPr>
          <w:p>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ascii="宋体" w:hAnsi="宋体" w:eastAsia="宋体" w:cs="宋体"/>
                <w:spacing w:val="-3"/>
                <w:lang w:val="en-US" w:eastAsia="zh-CN"/>
              </w:rPr>
              <w:t>是否节能产品扣减1%</w:t>
            </w:r>
          </w:p>
        </w:tc>
        <w:tc>
          <w:tcPr>
            <w:tcW w:w="670" w:type="pct"/>
            <w:vAlign w:val="center"/>
          </w:tcPr>
          <w:p>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是否环保产品扣减1%</w:t>
            </w:r>
          </w:p>
        </w:tc>
        <w:tc>
          <w:tcPr>
            <w:tcW w:w="715" w:type="pct"/>
            <w:vAlign w:val="center"/>
          </w:tcPr>
          <w:p>
            <w:pPr>
              <w:pStyle w:val="6"/>
              <w:spacing w:before="119" w:line="222" w:lineRule="auto"/>
              <w:ind w:left="0" w:leftChars="0" w:firstLine="0" w:firstLineChars="0"/>
              <w:jc w:val="center"/>
              <w:rPr>
                <w:rFonts w:ascii="宋体" w:hAnsi="宋体" w:eastAsia="宋体" w:cs="宋体"/>
                <w:spacing w:val="-3"/>
              </w:rPr>
            </w:pPr>
            <w:r>
              <w:rPr>
                <w:rFonts w:hint="eastAsia" w:ascii="宋体" w:hAnsi="宋体" w:eastAsia="宋体" w:cs="宋体"/>
                <w:spacing w:val="-3"/>
                <w:lang w:val="en-US" w:eastAsia="zh-CN"/>
              </w:rPr>
              <w:t>最终评审</w:t>
            </w:r>
            <w:r>
              <w:rPr>
                <w:rFonts w:ascii="宋体" w:hAnsi="宋体" w:eastAsia="宋体" w:cs="宋体"/>
                <w:spacing w:val="-3"/>
              </w:rPr>
              <w:t>报价（元）</w:t>
            </w:r>
          </w:p>
        </w:tc>
        <w:tc>
          <w:tcPr>
            <w:tcW w:w="372" w:type="pct"/>
            <w:vAlign w:val="center"/>
          </w:tcPr>
          <w:p>
            <w:pPr>
              <w:pStyle w:val="6"/>
              <w:spacing w:before="119" w:line="222" w:lineRule="auto"/>
              <w:ind w:left="0" w:leftChars="0" w:firstLine="0" w:firstLineChars="0"/>
              <w:jc w:val="center"/>
              <w:rPr>
                <w:rFonts w:ascii="宋体" w:hAnsi="宋体" w:eastAsia="宋体" w:cs="宋体"/>
                <w:spacing w:val="-3"/>
              </w:rPr>
            </w:pPr>
            <w:r>
              <w:rPr>
                <w:rFonts w:ascii="宋体" w:hAnsi="宋体" w:eastAsia="宋体" w:cs="宋体"/>
                <w:spacing w:val="-3"/>
              </w:rPr>
              <w:t>排序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340" w:type="pct"/>
            <w:vAlign w:val="center"/>
          </w:tcPr>
          <w:p>
            <w:pPr>
              <w:pStyle w:val="6"/>
              <w:spacing w:before="119" w:line="222" w:lineRule="auto"/>
              <w:ind w:left="0" w:leftChars="0" w:firstLine="0" w:firstLineChars="0"/>
              <w:jc w:val="center"/>
              <w:rPr>
                <w:rFonts w:hint="eastAsia" w:ascii="宋体" w:hAnsi="宋体" w:eastAsia="宋体" w:cs="宋体"/>
                <w:spacing w:val="-3"/>
                <w:lang w:eastAsia="zh-CN"/>
              </w:rPr>
            </w:pPr>
            <w:r>
              <w:rPr>
                <w:rFonts w:hint="eastAsia" w:ascii="宋体" w:hAnsi="宋体" w:eastAsia="宋体" w:cs="宋体"/>
                <w:spacing w:val="-3"/>
                <w:lang w:val="en-US" w:eastAsia="zh-CN"/>
              </w:rPr>
              <w:t>1</w:t>
            </w:r>
          </w:p>
        </w:tc>
        <w:tc>
          <w:tcPr>
            <w:tcW w:w="1516" w:type="pct"/>
            <w:shd w:val="clear" w:color="auto" w:fill="auto"/>
            <w:vAlign w:val="center"/>
          </w:tcPr>
          <w:p>
            <w:pPr>
              <w:pStyle w:val="6"/>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巩义市腾达路桥工程有限公司</w:t>
            </w:r>
          </w:p>
        </w:tc>
        <w:tc>
          <w:tcPr>
            <w:tcW w:w="715" w:type="pct"/>
            <w:shd w:val="clear" w:color="auto" w:fill="auto"/>
            <w:vAlign w:val="center"/>
          </w:tcPr>
          <w:p>
            <w:pPr>
              <w:pStyle w:val="6"/>
              <w:spacing w:before="119" w:line="222" w:lineRule="auto"/>
              <w:ind w:left="0" w:leftChars="0" w:firstLine="0" w:firstLineChars="0"/>
              <w:jc w:val="center"/>
              <w:rPr>
                <w:rFonts w:hint="default"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2471512</w:t>
            </w:r>
            <w:r>
              <w:rPr>
                <w:rFonts w:hint="eastAsia" w:cs="宋体"/>
                <w:snapToGrid w:val="0"/>
                <w:color w:val="000000"/>
                <w:spacing w:val="-3"/>
                <w:kern w:val="0"/>
                <w:sz w:val="21"/>
                <w:szCs w:val="21"/>
                <w:lang w:val="en-US" w:eastAsia="zh-CN" w:bidi="ar-SA"/>
              </w:rPr>
              <w:t>.00</w:t>
            </w:r>
          </w:p>
        </w:tc>
        <w:tc>
          <w:tcPr>
            <w:tcW w:w="669" w:type="pct"/>
            <w:shd w:val="clear" w:color="auto" w:fill="auto"/>
            <w:vAlign w:val="center"/>
          </w:tcPr>
          <w:p>
            <w:pPr>
              <w:spacing w:before="119" w:line="222" w:lineRule="auto"/>
              <w:ind w:left="0" w:leftChars="0" w:firstLine="0" w:firstLineChars="0"/>
              <w:jc w:val="center"/>
              <w:rPr>
                <w:rFonts w:hint="default"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否</w:t>
            </w:r>
          </w:p>
        </w:tc>
        <w:tc>
          <w:tcPr>
            <w:tcW w:w="670" w:type="pct"/>
            <w:shd w:val="clear" w:color="auto" w:fill="auto"/>
            <w:vAlign w:val="center"/>
          </w:tcPr>
          <w:p>
            <w:pPr>
              <w:spacing w:before="119" w:line="222" w:lineRule="auto"/>
              <w:ind w:left="0" w:leftChars="0" w:firstLine="0" w:firstLineChars="0"/>
              <w:jc w:val="center"/>
              <w:rPr>
                <w:rFonts w:hint="default"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否</w:t>
            </w:r>
          </w:p>
        </w:tc>
        <w:tc>
          <w:tcPr>
            <w:tcW w:w="1456" w:type="dxa"/>
            <w:shd w:val="clear" w:color="auto" w:fill="auto"/>
            <w:vAlign w:val="center"/>
          </w:tcPr>
          <w:p>
            <w:pPr>
              <w:pStyle w:val="6"/>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2471512</w:t>
            </w:r>
            <w:r>
              <w:rPr>
                <w:rFonts w:hint="eastAsia" w:cs="宋体"/>
                <w:snapToGrid w:val="0"/>
                <w:color w:val="000000"/>
                <w:spacing w:val="-3"/>
                <w:kern w:val="0"/>
                <w:sz w:val="21"/>
                <w:szCs w:val="21"/>
                <w:lang w:val="en-US" w:eastAsia="zh-CN" w:bidi="ar-SA"/>
              </w:rPr>
              <w:t>.00</w:t>
            </w:r>
          </w:p>
        </w:tc>
        <w:tc>
          <w:tcPr>
            <w:tcW w:w="372" w:type="pct"/>
            <w:vAlign w:val="center"/>
          </w:tcPr>
          <w:p>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cs="宋体"/>
                <w:spacing w:val="-3"/>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340" w:type="pct"/>
            <w:vAlign w:val="center"/>
          </w:tcPr>
          <w:p>
            <w:pPr>
              <w:pStyle w:val="6"/>
              <w:spacing w:before="119" w:line="222" w:lineRule="auto"/>
              <w:ind w:left="0" w:leftChars="0" w:firstLine="0" w:firstLineChars="0"/>
              <w:jc w:val="center"/>
              <w:rPr>
                <w:rFonts w:hint="eastAsia" w:ascii="宋体" w:hAnsi="宋体" w:eastAsia="宋体" w:cs="宋体"/>
                <w:spacing w:val="-3"/>
                <w:lang w:eastAsia="zh-CN"/>
              </w:rPr>
            </w:pPr>
            <w:r>
              <w:rPr>
                <w:rFonts w:hint="eastAsia" w:ascii="宋体" w:hAnsi="宋体" w:eastAsia="宋体" w:cs="宋体"/>
                <w:spacing w:val="-3"/>
                <w:lang w:val="en-US" w:eastAsia="zh-CN"/>
              </w:rPr>
              <w:t>2</w:t>
            </w:r>
          </w:p>
        </w:tc>
        <w:tc>
          <w:tcPr>
            <w:tcW w:w="1516" w:type="pct"/>
            <w:vAlign w:val="center"/>
          </w:tcPr>
          <w:p>
            <w:pPr>
              <w:pStyle w:val="6"/>
              <w:spacing w:before="119" w:line="222" w:lineRule="auto"/>
              <w:ind w:left="0" w:leftChars="0" w:firstLine="0" w:firstLineChars="0"/>
              <w:jc w:val="center"/>
              <w:rPr>
                <w:rFonts w:hint="eastAsia" w:ascii="宋体" w:hAnsi="宋体" w:eastAsia="宋体" w:cs="宋体"/>
                <w:spacing w:val="-3"/>
                <w:lang w:val="en-US" w:eastAsia="en-US"/>
              </w:rPr>
            </w:pPr>
            <w:r>
              <w:rPr>
                <w:rFonts w:hint="eastAsia" w:ascii="宋体" w:hAnsi="宋体" w:eastAsia="宋体" w:cs="宋体"/>
                <w:spacing w:val="-3"/>
                <w:lang w:val="en-US" w:eastAsia="en-US"/>
              </w:rPr>
              <w:t>河南省韶旭建设工程有限公司</w:t>
            </w:r>
          </w:p>
        </w:tc>
        <w:tc>
          <w:tcPr>
            <w:tcW w:w="715" w:type="pct"/>
            <w:vAlign w:val="center"/>
          </w:tcPr>
          <w:p>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default" w:ascii="宋体" w:hAnsi="宋体" w:eastAsia="宋体" w:cs="宋体"/>
                <w:spacing w:val="-3"/>
                <w:lang w:val="en-US" w:eastAsia="zh-CN"/>
              </w:rPr>
              <w:t>2472293.69</w:t>
            </w:r>
          </w:p>
        </w:tc>
        <w:tc>
          <w:tcPr>
            <w:tcW w:w="669" w:type="pct"/>
            <w:vAlign w:val="center"/>
          </w:tcPr>
          <w:p>
            <w:pPr>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napToGrid w:val="0"/>
                <w:color w:val="000000"/>
                <w:spacing w:val="-3"/>
                <w:kern w:val="0"/>
                <w:sz w:val="21"/>
                <w:szCs w:val="21"/>
                <w:lang w:val="en-US" w:eastAsia="zh-CN" w:bidi="ar-SA"/>
              </w:rPr>
              <w:t>否</w:t>
            </w:r>
          </w:p>
        </w:tc>
        <w:tc>
          <w:tcPr>
            <w:tcW w:w="670" w:type="pct"/>
            <w:vAlign w:val="center"/>
          </w:tcPr>
          <w:p>
            <w:pPr>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napToGrid w:val="0"/>
                <w:color w:val="000000"/>
                <w:spacing w:val="-3"/>
                <w:kern w:val="0"/>
                <w:sz w:val="21"/>
                <w:szCs w:val="21"/>
                <w:lang w:val="en-US" w:eastAsia="zh-CN" w:bidi="ar-SA"/>
              </w:rPr>
              <w:t>否</w:t>
            </w:r>
          </w:p>
        </w:tc>
        <w:tc>
          <w:tcPr>
            <w:tcW w:w="1456" w:type="dxa"/>
            <w:vAlign w:val="center"/>
          </w:tcPr>
          <w:p>
            <w:pPr>
              <w:pStyle w:val="6"/>
              <w:spacing w:before="119" w:line="222" w:lineRule="auto"/>
              <w:ind w:left="0" w:leftChars="0" w:firstLine="0" w:firstLineChars="0"/>
              <w:jc w:val="center"/>
              <w:rPr>
                <w:rFonts w:hint="default" w:ascii="宋体" w:hAnsi="宋体" w:eastAsia="宋体" w:cs="宋体"/>
                <w:spacing w:val="-3"/>
                <w:lang w:val="en-US" w:eastAsia="en-US"/>
              </w:rPr>
            </w:pPr>
            <w:r>
              <w:rPr>
                <w:rFonts w:hint="default" w:ascii="宋体" w:hAnsi="宋体" w:eastAsia="宋体" w:cs="宋体"/>
                <w:spacing w:val="-3"/>
                <w:lang w:val="en-US" w:eastAsia="zh-CN"/>
              </w:rPr>
              <w:t>2472293.69</w:t>
            </w:r>
          </w:p>
        </w:tc>
        <w:tc>
          <w:tcPr>
            <w:tcW w:w="372" w:type="pct"/>
            <w:vAlign w:val="center"/>
          </w:tcPr>
          <w:p>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cs="宋体"/>
                <w:spacing w:val="-3"/>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40" w:type="pct"/>
            <w:vAlign w:val="center"/>
          </w:tcPr>
          <w:p>
            <w:pPr>
              <w:pStyle w:val="6"/>
              <w:spacing w:before="119" w:line="222" w:lineRule="auto"/>
              <w:ind w:left="0" w:leftChars="0" w:firstLine="0" w:firstLineChars="0"/>
              <w:jc w:val="center"/>
              <w:rPr>
                <w:rFonts w:hint="eastAsia" w:ascii="宋体" w:hAnsi="宋体" w:eastAsia="宋体" w:cs="宋体"/>
                <w:spacing w:val="-3"/>
                <w:lang w:val="en-US" w:eastAsia="zh-CN"/>
              </w:rPr>
            </w:pPr>
            <w:r>
              <w:rPr>
                <w:rFonts w:hint="eastAsia" w:ascii="宋体" w:hAnsi="宋体" w:eastAsia="宋体" w:cs="宋体"/>
                <w:spacing w:val="-3"/>
                <w:lang w:val="en-US" w:eastAsia="zh-CN"/>
              </w:rPr>
              <w:t>3</w:t>
            </w:r>
          </w:p>
        </w:tc>
        <w:tc>
          <w:tcPr>
            <w:tcW w:w="1516" w:type="pct"/>
            <w:shd w:val="clear" w:color="auto" w:fill="auto"/>
            <w:vAlign w:val="center"/>
          </w:tcPr>
          <w:p>
            <w:pPr>
              <w:pStyle w:val="6"/>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河南启豪建设工程有限公司</w:t>
            </w:r>
          </w:p>
        </w:tc>
        <w:tc>
          <w:tcPr>
            <w:tcW w:w="715" w:type="pct"/>
            <w:shd w:val="clear" w:color="auto" w:fill="auto"/>
            <w:vAlign w:val="center"/>
          </w:tcPr>
          <w:p>
            <w:pPr>
              <w:pStyle w:val="6"/>
              <w:spacing w:before="119" w:line="222" w:lineRule="auto"/>
              <w:ind w:left="0" w:leftChars="0" w:firstLine="0" w:firstLineChars="0"/>
              <w:jc w:val="center"/>
              <w:rPr>
                <w:rFonts w:hint="default" w:ascii="宋体" w:hAnsi="宋体" w:eastAsia="宋体" w:cs="宋体"/>
                <w:snapToGrid w:val="0"/>
                <w:color w:val="000000"/>
                <w:spacing w:val="-3"/>
                <w:kern w:val="0"/>
                <w:sz w:val="21"/>
                <w:szCs w:val="21"/>
                <w:lang w:val="en-US" w:eastAsia="en-US" w:bidi="ar-SA"/>
              </w:rPr>
            </w:pPr>
            <w:r>
              <w:rPr>
                <w:rFonts w:hint="default" w:ascii="宋体" w:hAnsi="宋体" w:eastAsia="宋体" w:cs="宋体"/>
                <w:snapToGrid w:val="0"/>
                <w:color w:val="000000"/>
                <w:spacing w:val="-3"/>
                <w:kern w:val="0"/>
                <w:sz w:val="21"/>
                <w:szCs w:val="21"/>
                <w:lang w:val="en-US" w:eastAsia="en-US" w:bidi="ar-SA"/>
              </w:rPr>
              <w:t>2472500.00</w:t>
            </w:r>
          </w:p>
        </w:tc>
        <w:tc>
          <w:tcPr>
            <w:tcW w:w="669" w:type="pct"/>
            <w:shd w:val="clear" w:color="auto" w:fill="auto"/>
            <w:vAlign w:val="center"/>
          </w:tcPr>
          <w:p>
            <w:pPr>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否</w:t>
            </w:r>
          </w:p>
        </w:tc>
        <w:tc>
          <w:tcPr>
            <w:tcW w:w="670" w:type="pct"/>
            <w:shd w:val="clear" w:color="auto" w:fill="auto"/>
            <w:vAlign w:val="center"/>
          </w:tcPr>
          <w:p>
            <w:pPr>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否</w:t>
            </w:r>
          </w:p>
        </w:tc>
        <w:tc>
          <w:tcPr>
            <w:tcW w:w="1456" w:type="dxa"/>
            <w:shd w:val="clear" w:color="auto" w:fill="auto"/>
            <w:vAlign w:val="center"/>
          </w:tcPr>
          <w:p>
            <w:pPr>
              <w:pStyle w:val="6"/>
              <w:spacing w:before="119" w:line="222" w:lineRule="auto"/>
              <w:ind w:left="0" w:leftChars="0" w:firstLine="0" w:firstLineChars="0"/>
              <w:jc w:val="center"/>
              <w:rPr>
                <w:rFonts w:hint="eastAsia" w:ascii="宋体" w:hAnsi="宋体" w:eastAsia="宋体" w:cs="宋体"/>
                <w:snapToGrid w:val="0"/>
                <w:color w:val="000000"/>
                <w:spacing w:val="-3"/>
                <w:kern w:val="0"/>
                <w:sz w:val="21"/>
                <w:szCs w:val="21"/>
                <w:lang w:val="en-US" w:eastAsia="zh-CN" w:bidi="ar-SA"/>
              </w:rPr>
            </w:pPr>
            <w:r>
              <w:rPr>
                <w:rFonts w:hint="default" w:ascii="宋体" w:hAnsi="宋体" w:eastAsia="宋体" w:cs="宋体"/>
                <w:snapToGrid w:val="0"/>
                <w:color w:val="000000"/>
                <w:spacing w:val="-3"/>
                <w:kern w:val="0"/>
                <w:sz w:val="21"/>
                <w:szCs w:val="21"/>
                <w:lang w:val="en-US" w:eastAsia="en-US" w:bidi="ar-SA"/>
              </w:rPr>
              <w:t>2472500.00</w:t>
            </w:r>
          </w:p>
        </w:tc>
        <w:tc>
          <w:tcPr>
            <w:tcW w:w="372" w:type="pct"/>
            <w:shd w:val="clear" w:color="auto" w:fill="auto"/>
            <w:vAlign w:val="center"/>
          </w:tcPr>
          <w:p>
            <w:pPr>
              <w:pStyle w:val="6"/>
              <w:spacing w:before="119" w:line="222" w:lineRule="auto"/>
              <w:ind w:left="0" w:leftChars="0" w:firstLine="0" w:firstLineChars="0"/>
              <w:jc w:val="center"/>
              <w:rPr>
                <w:rFonts w:hint="default" w:ascii="宋体" w:hAnsi="宋体" w:eastAsia="宋体" w:cs="宋体"/>
                <w:spacing w:val="-3"/>
                <w:lang w:val="en-US" w:eastAsia="zh-CN"/>
              </w:rPr>
            </w:pPr>
            <w:r>
              <w:rPr>
                <w:rFonts w:hint="eastAsia" w:cs="宋体"/>
                <w:spacing w:val="-3"/>
                <w:lang w:val="en-US" w:eastAsia="zh-CN"/>
              </w:rPr>
              <w:t>3</w:t>
            </w:r>
          </w:p>
        </w:tc>
      </w:tr>
    </w:tbl>
    <w:p>
      <w:pPr>
        <w:pStyle w:val="2"/>
        <w:spacing w:before="108" w:line="219" w:lineRule="auto"/>
        <w:ind w:left="5"/>
        <w:rPr>
          <w:sz w:val="24"/>
          <w:szCs w:val="24"/>
        </w:rPr>
      </w:pPr>
      <w:r>
        <w:rPr>
          <w:spacing w:val="-1"/>
          <w:sz w:val="24"/>
          <w:szCs w:val="24"/>
        </w:rPr>
        <w:t>选供应商名单</w:t>
      </w:r>
    </w:p>
    <w:p>
      <w:pPr>
        <w:pStyle w:val="2"/>
        <w:spacing w:before="207" w:line="481" w:lineRule="exact"/>
        <w:ind w:firstLine="392" w:firstLineChars="200"/>
        <w:jc w:val="left"/>
        <w:rPr>
          <w:rFonts w:hint="eastAsia" w:ascii="宋体" w:hAnsi="宋体" w:eastAsia="宋体" w:cs="宋体"/>
          <w:spacing w:val="-7"/>
          <w:position w:val="20"/>
        </w:rPr>
      </w:pPr>
      <w:r>
        <w:rPr>
          <w:rFonts w:hint="eastAsia"/>
          <w:spacing w:val="-7"/>
          <w:position w:val="20"/>
        </w:rPr>
        <w:t>谈判小组应当从质量和服务均能满足采购文件实质性响应要求的供应商中，按照最后报价由低到高的顺序</w:t>
      </w:r>
      <w:r>
        <w:rPr>
          <w:rFonts w:hint="eastAsia" w:ascii="宋体" w:hAnsi="宋体" w:eastAsia="宋体" w:cs="宋体"/>
          <w:spacing w:val="-7"/>
          <w:position w:val="20"/>
        </w:rPr>
        <w:t>提出3名以上成交候选人；具体推荐成交候选供应商意见如下：</w:t>
      </w:r>
    </w:p>
    <w:p>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第一成交候选供应商：巩义市腾达路桥工程有限公司</w:t>
      </w:r>
    </w:p>
    <w:p>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第二成交候选供应商：河南省韶旭建设工程有限公司</w:t>
      </w:r>
    </w:p>
    <w:p>
      <w:pPr>
        <w:pStyle w:val="2"/>
        <w:spacing w:before="207" w:line="481" w:lineRule="exact"/>
        <w:ind w:firstLine="392" w:firstLineChars="200"/>
        <w:jc w:val="left"/>
        <w:rPr>
          <w:rFonts w:hint="eastAsia" w:ascii="宋体" w:hAnsi="宋体" w:eastAsia="宋体" w:cs="宋体"/>
          <w:spacing w:val="-7"/>
          <w:position w:val="20"/>
        </w:rPr>
      </w:pPr>
      <w:r>
        <w:rPr>
          <w:rFonts w:hint="eastAsia" w:ascii="宋体" w:hAnsi="宋体" w:eastAsia="宋体" w:cs="宋体"/>
          <w:spacing w:val="-7"/>
          <w:position w:val="20"/>
        </w:rPr>
        <w:t>第三成交候选供应商：河南启豪建设工程有限公司</w:t>
      </w:r>
      <w:bookmarkStart w:id="0" w:name="_GoBack"/>
      <w:bookmarkEnd w:id="0"/>
    </w:p>
    <w:sectPr>
      <w:pgSz w:w="11910" w:h="16845"/>
      <w:pgMar w:top="1431" w:right="1047" w:bottom="0" w:left="108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GExMjczY2RhMjFhNDNiYjkxM2RiOTlkYzFhNWRhZDYifQ=="/>
  </w:docVars>
  <w:rsids>
    <w:rsidRoot w:val="00000000"/>
    <w:rsid w:val="00292BAB"/>
    <w:rsid w:val="025E2992"/>
    <w:rsid w:val="048C0345"/>
    <w:rsid w:val="076B5857"/>
    <w:rsid w:val="07AD1C22"/>
    <w:rsid w:val="07C37441"/>
    <w:rsid w:val="09864BCA"/>
    <w:rsid w:val="09992B4F"/>
    <w:rsid w:val="0AFB1E0B"/>
    <w:rsid w:val="0ECA37AB"/>
    <w:rsid w:val="127E28E2"/>
    <w:rsid w:val="13157D03"/>
    <w:rsid w:val="17F717AB"/>
    <w:rsid w:val="18810CB9"/>
    <w:rsid w:val="1A204F2B"/>
    <w:rsid w:val="1AE4301D"/>
    <w:rsid w:val="1AFC4CEC"/>
    <w:rsid w:val="21D249F9"/>
    <w:rsid w:val="24DD5B8E"/>
    <w:rsid w:val="26A21EBD"/>
    <w:rsid w:val="27606603"/>
    <w:rsid w:val="2826784C"/>
    <w:rsid w:val="2A790107"/>
    <w:rsid w:val="2A9C2048"/>
    <w:rsid w:val="2D3E1194"/>
    <w:rsid w:val="312F3063"/>
    <w:rsid w:val="34687503"/>
    <w:rsid w:val="37E62B54"/>
    <w:rsid w:val="37F94635"/>
    <w:rsid w:val="39DD2800"/>
    <w:rsid w:val="3A195B58"/>
    <w:rsid w:val="3AD57913"/>
    <w:rsid w:val="3C4B2E55"/>
    <w:rsid w:val="3D5F318D"/>
    <w:rsid w:val="3DD27E02"/>
    <w:rsid w:val="3E5C591E"/>
    <w:rsid w:val="40A1676B"/>
    <w:rsid w:val="41B7273D"/>
    <w:rsid w:val="441647C1"/>
    <w:rsid w:val="45D66DB2"/>
    <w:rsid w:val="47E84D9E"/>
    <w:rsid w:val="4D00124D"/>
    <w:rsid w:val="4D1B2392"/>
    <w:rsid w:val="4E630603"/>
    <w:rsid w:val="50772E93"/>
    <w:rsid w:val="5100038B"/>
    <w:rsid w:val="5305612D"/>
    <w:rsid w:val="549A28A4"/>
    <w:rsid w:val="549C5765"/>
    <w:rsid w:val="5A1A070F"/>
    <w:rsid w:val="5A647BDD"/>
    <w:rsid w:val="5B597015"/>
    <w:rsid w:val="5C1473E0"/>
    <w:rsid w:val="5C71038F"/>
    <w:rsid w:val="5CF54F42"/>
    <w:rsid w:val="5EE258EB"/>
    <w:rsid w:val="61363955"/>
    <w:rsid w:val="66AA2E1B"/>
    <w:rsid w:val="66C35C8B"/>
    <w:rsid w:val="66FF7C69"/>
    <w:rsid w:val="67BC4789"/>
    <w:rsid w:val="69C51D1A"/>
    <w:rsid w:val="6D604192"/>
    <w:rsid w:val="6DB8406F"/>
    <w:rsid w:val="6E221C8D"/>
    <w:rsid w:val="6F7A5A8E"/>
    <w:rsid w:val="72141A90"/>
    <w:rsid w:val="72D60AF4"/>
    <w:rsid w:val="74B5450B"/>
    <w:rsid w:val="75826D11"/>
    <w:rsid w:val="75AF5D58"/>
    <w:rsid w:val="75C7756D"/>
    <w:rsid w:val="75CE1F56"/>
    <w:rsid w:val="776E1B4A"/>
    <w:rsid w:val="77F008AA"/>
    <w:rsid w:val="7ACB16CD"/>
    <w:rsid w:val="7B094508"/>
    <w:rsid w:val="7D892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character" w:customStyle="1" w:styleId="7">
    <w:name w:val="toolbarlabel"/>
    <w:basedOn w:val="4"/>
    <w:uiPriority w:val="0"/>
    <w:rPr>
      <w:color w:val="333333"/>
      <w:sz w:val="18"/>
      <w:szCs w:val="18"/>
    </w:rPr>
  </w:style>
  <w:style w:type="character" w:customStyle="1" w:styleId="8">
    <w:name w:val="toolbarlabel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373</Words>
  <Characters>432</Characters>
  <TotalTime>1</TotalTime>
  <ScaleCrop>false</ScaleCrop>
  <LinksUpToDate>false</LinksUpToDate>
  <CharactersWithSpaces>432</CharactersWithSpaces>
  <Application>WPS Office_11.1.0.10000_F1E327BC-269C-435d-A152-05C5408002CA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2024-05-06T13:56:00Z</dcterms:created>
  <dc:creator>李娟</dc:creator>
  <cp:lastModifiedBy>Administrator</cp:lastModifiedBy>
  <dcterms:modified xsi:type="dcterms:W3CDTF">2025-02-11T04:36:04Z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2024-05-06T13:58:13Z</vt:filetime>
  </property>
  <property fmtid="{D5CDD505-2E9C-101B-9397-08002B2CF9AE}" pid="4" name="KSOProductBuildVer">
    <vt:lpwstr>2052-11.1.0.10000</vt:lpwstr>
  </property>
  <property fmtid="{D5CDD505-2E9C-101B-9397-08002B2CF9AE}" pid="5" name="ICV">
    <vt:lpwstr>61B3930DB90C4484AF04485952407876_12</vt:lpwstr>
  </property>
  <property fmtid="{D5CDD505-2E9C-101B-9397-08002B2CF9AE}" pid="6" name="KSOTemplateDocerSaveRecord">
    <vt:lpwstr>eyJoZGlkIjoiN2I2ZGQ4MTYwNmM3ZDI2ODY1YzBiN2QzNDMwMjhlZDQiLCJ1c2VySWQiOiI2OTE5NzM1NzQifQ==</vt:lpwstr>
  </property>
</Properties>
</file>