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AB2FD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巩义市第二初级中学运动场扩建项目</w:t>
      </w:r>
    </w:p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2765733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小组按照</w:t>
      </w:r>
      <w:r>
        <w:rPr>
          <w:rFonts w:hint="eastAsia" w:ascii="宋体" w:hAnsi="宋体"/>
          <w:color w:val="0000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</w:rPr>
        <w:t>文件规定的对各供应商的</w:t>
      </w:r>
      <w:r>
        <w:rPr>
          <w:rFonts w:hint="eastAsia" w:ascii="宋体" w:hAnsi="宋体"/>
          <w:color w:val="000000"/>
          <w:sz w:val="24"/>
          <w:lang w:eastAsia="zh-CN"/>
        </w:rPr>
        <w:t>响应文件进行了资格评审，各投标人均通过资格评审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eastAsia="zh-CN"/>
        </w:rPr>
        <w:t>供应商最终报价及排名情况如下：</w:t>
      </w:r>
    </w:p>
    <w:tbl>
      <w:tblPr>
        <w:tblStyle w:val="9"/>
        <w:tblpPr w:leftFromText="180" w:rightFromText="180" w:vertAnchor="text" w:tblpXSpec="center" w:tblpY="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7"/>
        <w:gridCol w:w="1691"/>
        <w:gridCol w:w="823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0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7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91" w:type="dxa"/>
            <w:vAlign w:val="center"/>
          </w:tcPr>
          <w:p w14:paraId="758512B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823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0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17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河南展饶建筑工程有限公司</w:t>
            </w:r>
          </w:p>
        </w:tc>
        <w:tc>
          <w:tcPr>
            <w:tcW w:w="1691" w:type="dxa"/>
            <w:vAlign w:val="center"/>
          </w:tcPr>
          <w:p w14:paraId="44A4D63A">
            <w:pPr>
              <w:tabs>
                <w:tab w:val="left" w:pos="554"/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927600</w:t>
            </w:r>
          </w:p>
        </w:tc>
        <w:tc>
          <w:tcPr>
            <w:tcW w:w="823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0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17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河南东奥建筑工程有限公司</w:t>
            </w:r>
          </w:p>
        </w:tc>
        <w:tc>
          <w:tcPr>
            <w:tcW w:w="1691" w:type="dxa"/>
            <w:vAlign w:val="center"/>
          </w:tcPr>
          <w:p w14:paraId="4806D96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925050</w:t>
            </w:r>
          </w:p>
        </w:tc>
        <w:tc>
          <w:tcPr>
            <w:tcW w:w="823" w:type="dxa"/>
            <w:vAlign w:val="center"/>
          </w:tcPr>
          <w:p w14:paraId="6A639D65">
            <w:pPr>
              <w:tabs>
                <w:tab w:val="left" w:pos="259"/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0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17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中鑫玉博建工集团有限公司</w:t>
            </w:r>
          </w:p>
        </w:tc>
        <w:tc>
          <w:tcPr>
            <w:tcW w:w="1691" w:type="dxa"/>
            <w:vAlign w:val="center"/>
          </w:tcPr>
          <w:p w14:paraId="2CE055A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926666</w:t>
            </w:r>
          </w:p>
        </w:tc>
        <w:tc>
          <w:tcPr>
            <w:tcW w:w="823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</w:tbl>
    <w:p w14:paraId="19A90076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</w:pPr>
    </w:p>
    <w:p w14:paraId="787F944B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</w:pPr>
    </w:p>
    <w:p w14:paraId="48C4578C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</w:pPr>
    </w:p>
    <w:p w14:paraId="2E8A5D3D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</w:pPr>
    </w:p>
    <w:p w14:paraId="16787E4D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</w:pPr>
    </w:p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/>
          <w:b/>
          <w:color w:val="auto"/>
          <w:spacing w:val="-8"/>
          <w:sz w:val="24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推荐成交候选人</w:t>
      </w:r>
    </w:p>
    <w:p w14:paraId="756E79B8">
      <w:pPr>
        <w:tabs>
          <w:tab w:val="left" w:pos="1800"/>
        </w:tabs>
        <w:spacing w:line="480" w:lineRule="exact"/>
        <w:ind w:firstLine="480" w:firstLineChars="200"/>
        <w:rPr>
          <w:rFonts w:hint="eastAsia" w:ascii="宋体" w:hAnsi="宋体"/>
          <w:color w:val="auto"/>
          <w:spacing w:val="-2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谈判</w:t>
      </w:r>
      <w:r>
        <w:rPr>
          <w:rFonts w:hint="eastAsia" w:ascii="宋体" w:hAnsi="宋体"/>
          <w:color w:val="auto"/>
          <w:sz w:val="24"/>
        </w:rPr>
        <w:t>小组</w:t>
      </w:r>
      <w:r>
        <w:rPr>
          <w:rFonts w:hint="eastAsia" w:ascii="宋体" w:hAnsi="宋体"/>
          <w:color w:val="auto"/>
          <w:spacing w:val="-2"/>
          <w:sz w:val="24"/>
        </w:rPr>
        <w:t>按照</w:t>
      </w:r>
      <w:r>
        <w:rPr>
          <w:rFonts w:hint="eastAsia" w:ascii="宋体" w:hAnsi="宋体"/>
          <w:color w:val="auto"/>
          <w:spacing w:val="-2"/>
          <w:sz w:val="24"/>
          <w:lang w:eastAsia="zh-CN"/>
        </w:rPr>
        <w:t>采购</w:t>
      </w:r>
      <w:r>
        <w:rPr>
          <w:rFonts w:hint="eastAsia" w:ascii="宋体" w:hAnsi="宋体"/>
          <w:color w:val="auto"/>
          <w:spacing w:val="-2"/>
          <w:sz w:val="24"/>
        </w:rPr>
        <w:t>文件规定，按供应商</w:t>
      </w:r>
      <w:r>
        <w:rPr>
          <w:rFonts w:hint="eastAsia" w:ascii="宋体" w:hAnsi="宋体"/>
          <w:color w:val="auto"/>
          <w:spacing w:val="-2"/>
          <w:sz w:val="24"/>
          <w:lang w:eastAsia="zh-CN"/>
        </w:rPr>
        <w:t>报价</w:t>
      </w:r>
      <w:r>
        <w:rPr>
          <w:rFonts w:hint="eastAsia" w:ascii="宋体" w:hAnsi="宋体"/>
          <w:color w:val="auto"/>
          <w:spacing w:val="-2"/>
          <w:sz w:val="24"/>
        </w:rPr>
        <w:t>从</w:t>
      </w:r>
      <w:r>
        <w:rPr>
          <w:rFonts w:hint="eastAsia" w:ascii="宋体" w:hAnsi="宋体"/>
          <w:color w:val="auto"/>
          <w:spacing w:val="-2"/>
          <w:sz w:val="24"/>
          <w:lang w:eastAsia="zh-CN"/>
        </w:rPr>
        <w:t>低</w:t>
      </w:r>
      <w:r>
        <w:rPr>
          <w:rFonts w:hint="eastAsia" w:ascii="宋体" w:hAnsi="宋体"/>
          <w:color w:val="auto"/>
          <w:spacing w:val="-2"/>
          <w:sz w:val="24"/>
        </w:rPr>
        <w:t>到</w:t>
      </w:r>
      <w:r>
        <w:rPr>
          <w:rFonts w:hint="eastAsia" w:ascii="宋体" w:hAnsi="宋体"/>
          <w:color w:val="auto"/>
          <w:spacing w:val="-2"/>
          <w:sz w:val="24"/>
          <w:lang w:eastAsia="zh-CN"/>
        </w:rPr>
        <w:t>高</w:t>
      </w:r>
      <w:r>
        <w:rPr>
          <w:rFonts w:hint="eastAsia" w:ascii="宋体" w:hAnsi="宋体"/>
          <w:color w:val="auto"/>
          <w:spacing w:val="-2"/>
          <w:sz w:val="24"/>
        </w:rPr>
        <w:t>的顺序推荐成交候选人如下：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河南东奥建筑工程有限公司</w:t>
      </w:r>
    </w:p>
    <w:p w14:paraId="4E08283A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中鑫玉博建工集团有限公司</w:t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河南展饶建筑工程有限公司</w:t>
      </w:r>
      <w:bookmarkStart w:id="0" w:name="_GoBack"/>
      <w:bookmarkEnd w:id="0"/>
    </w:p>
    <w:p w14:paraId="6C4C5D1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mQ1Yzk4MDgxOTI1MGJmZDA0MGMyZTQ3NzgwMTgifQ=="/>
  </w:docVars>
  <w:rsids>
    <w:rsidRoot w:val="102B5C60"/>
    <w:rsid w:val="010A0E64"/>
    <w:rsid w:val="02076F1C"/>
    <w:rsid w:val="025D250C"/>
    <w:rsid w:val="0B725406"/>
    <w:rsid w:val="0C7071E4"/>
    <w:rsid w:val="102B5C60"/>
    <w:rsid w:val="13950B66"/>
    <w:rsid w:val="15EE3555"/>
    <w:rsid w:val="1D0D1432"/>
    <w:rsid w:val="1F3225AD"/>
    <w:rsid w:val="2E913546"/>
    <w:rsid w:val="30BB0AEF"/>
    <w:rsid w:val="3406680D"/>
    <w:rsid w:val="391D4354"/>
    <w:rsid w:val="41FA709D"/>
    <w:rsid w:val="42885319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uiPriority w:val="0"/>
  </w:style>
  <w:style w:type="character" w:customStyle="1" w:styleId="24">
    <w:name w:val="toolbarlabel"/>
    <w:basedOn w:val="10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317</Characters>
  <Lines>0</Lines>
  <Paragraphs>0</Paragraphs>
  <TotalTime>2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       阳</cp:lastModifiedBy>
  <dcterms:modified xsi:type="dcterms:W3CDTF">2024-10-25T06:30:33Z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0CD3D0CE37D940749A730B0E5373820A</vt:lpwstr>
  </property>
</Properties>
</file>